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1.xml" ContentType="application/vnd.openxmlformats-officedocument.wordprocessingml.header+xml"/>
  <Override PartName="/word/footer19.xml" ContentType="application/vnd.openxmlformats-officedocument.wordprocessingml.footer+xml"/>
  <Override PartName="/word/header12.xml" ContentType="application/vnd.openxmlformats-officedocument.wordprocessingml.header+xml"/>
  <Override PartName="/word/footer20.xml" ContentType="application/vnd.openxmlformats-officedocument.wordprocessingml.footer+xml"/>
  <Override PartName="/word/header13.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930" w:lineRule="exact"/>
        <w:ind w:left="397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drawing>
          <wp:inline distT="0" distB="0" distL="0" distR="0">
            <wp:extent cx="1268730" cy="59055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268730" cy="590550"/>
                    </a:xfrm>
                    <a:prstGeom prst="rect">
                      <a:avLst/>
                    </a:prstGeom>
                  </pic:spPr>
                </pic:pic>
              </a:graphicData>
            </a:graphic>
          </wp:inline>
        </w:drawing>
      </w:r>
      <w:r>
        <w:rPr>
          <w:rFonts w:ascii="Times New Roman" w:hAnsi="Times New Roman" w:cs="Times New Roman" w:eastAsia="Times New Roman" w:hint="default"/>
          <w:position w:val="-18"/>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605" w:right="3583" w:firstLine="0"/>
        <w:jc w:val="center"/>
        <w:rPr>
          <w:rFonts w:ascii="宋体" w:hAnsi="宋体" w:cs="宋体" w:eastAsia="宋体" w:hint="default"/>
          <w:sz w:val="36"/>
          <w:szCs w:val="36"/>
        </w:rPr>
      </w:pPr>
      <w:r>
        <w:rPr>
          <w:rFonts w:ascii="宋体" w:hAnsi="宋体" w:cs="宋体" w:eastAsia="宋体" w:hint="default"/>
          <w:b/>
          <w:bCs/>
          <w:sz w:val="36"/>
          <w:szCs w:val="36"/>
        </w:rPr>
        <w:t>二六三网络通信股份有限公司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604" w:right="358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605" w:right="358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公司负责人李小龙、主管会计工作负责人李光千及会计机构负责人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王志慧声明：保证年度报告中财务报告的真实、准确、完整。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本报告中如有涉及未来计划、业绩预测等方面的内容，均不构成公司对投</w:t>
      </w:r>
      <w:r>
        <w:rPr>
          <w:rFonts w:ascii="宋体" w:hAnsi="宋体" w:cs="宋体" w:eastAsia="宋体" w:hint="default"/>
          <w:spacing w:val="3"/>
          <w:sz w:val="28"/>
          <w:szCs w:val="28"/>
        </w:rPr>
      </w:r>
    </w:p>
    <w:p>
      <w:pPr>
        <w:spacing w:line="410" w:lineRule="auto" w:before="0"/>
        <w:ind w:left="154" w:right="1139"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资者的实质承诺，投资者及相关人士均应当对此保持足够的风险认识，并且应</w:t>
      </w:r>
      <w:r>
        <w:rPr>
          <w:rFonts w:ascii="宋体" w:hAnsi="宋体" w:cs="宋体" w:eastAsia="宋体" w:hint="default"/>
          <w:b/>
          <w:bCs/>
          <w:spacing w:val="27"/>
          <w:w w:val="95"/>
          <w:sz w:val="28"/>
          <w:szCs w:val="28"/>
        </w:rPr>
        <w:t> </w:t>
      </w:r>
      <w:r>
        <w:rPr>
          <w:rFonts w:ascii="宋体" w:hAnsi="宋体" w:cs="宋体" w:eastAsia="宋体" w:hint="default"/>
          <w:b/>
          <w:bCs/>
          <w:spacing w:val="27"/>
          <w:w w:val="95"/>
          <w:sz w:val="28"/>
          <w:szCs w:val="28"/>
        </w:rPr>
      </w:r>
      <w:r>
        <w:rPr>
          <w:rFonts w:ascii="宋体" w:hAnsi="宋体" w:cs="宋体" w:eastAsia="宋体" w:hint="default"/>
          <w:b/>
          <w:bCs/>
          <w:sz w:val="28"/>
          <w:szCs w:val="28"/>
        </w:rPr>
        <w:t>当理解计划、预测与承诺之间的差异，请投资者注意投资风险。</w:t>
      </w:r>
      <w:r>
        <w:rPr>
          <w:rFonts w:ascii="宋体" w:hAnsi="宋体" w:cs="宋体" w:eastAsia="宋体" w:hint="default"/>
          <w:sz w:val="28"/>
          <w:szCs w:val="28"/>
        </w:rPr>
      </w:r>
    </w:p>
    <w:p>
      <w:pPr>
        <w:spacing w:line="410" w:lineRule="auto" w:before="158"/>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公司已在本报告中详细描述可能存在的风险因素，请查阅董事会报告中关</w:t>
      </w:r>
      <w:r>
        <w:rPr>
          <w:rFonts w:ascii="宋体" w:hAnsi="宋体" w:cs="宋体" w:eastAsia="宋体" w:hint="default"/>
          <w:b/>
          <w:bCs/>
          <w:w w:val="99"/>
          <w:sz w:val="28"/>
          <w:szCs w:val="28"/>
        </w:rPr>
        <w:t> </w:t>
      </w:r>
      <w:r>
        <w:rPr>
          <w:rFonts w:ascii="宋体" w:hAnsi="宋体" w:cs="宋体" w:eastAsia="宋体" w:hint="default"/>
          <w:b/>
          <w:bCs/>
          <w:sz w:val="28"/>
          <w:szCs w:val="28"/>
        </w:rPr>
        <w:t>于公司未来发展的讨论及分析中可能面对的风险因素及对策部分的内容。</w:t>
      </w:r>
      <w:r>
        <w:rPr>
          <w:rFonts w:ascii="宋体" w:hAnsi="宋体" w:cs="宋体" w:eastAsia="宋体" w:hint="default"/>
          <w:sz w:val="28"/>
          <w:szCs w:val="28"/>
        </w:rPr>
      </w:r>
    </w:p>
    <w:p>
      <w:pPr>
        <w:spacing w:before="157"/>
        <w:ind w:left="716"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年</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before="236"/>
        <w:ind w:left="154" w:right="0" w:firstLine="0"/>
        <w:jc w:val="both"/>
        <w:rPr>
          <w:rFonts w:ascii="宋体" w:hAnsi="宋体" w:cs="宋体" w:eastAsia="宋体" w:hint="default"/>
          <w:sz w:val="28"/>
          <w:szCs w:val="28"/>
        </w:rPr>
      </w:pPr>
      <w:r>
        <w:rPr>
          <w:rFonts w:ascii="宋体" w:hAnsi="宋体" w:cs="宋体" w:eastAsia="宋体" w:hint="default"/>
          <w:b/>
          <w:bCs/>
          <w:sz w:val="28"/>
          <w:szCs w:val="28"/>
        </w:rPr>
        <w:t>司总股本</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794,980,220 </w:t>
      </w:r>
      <w:r>
        <w:rPr>
          <w:rFonts w:ascii="宋体" w:hAnsi="宋体" w:cs="宋体" w:eastAsia="宋体" w:hint="default"/>
          <w:b/>
          <w:bCs/>
          <w:sz w:val="28"/>
          <w:szCs w:val="28"/>
        </w:rPr>
        <w:t>股为基数，向全体股东每</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元（含</w:t>
      </w:r>
      <w:r>
        <w:rPr>
          <w:rFonts w:ascii="宋体" w:hAnsi="宋体" w:cs="宋体" w:eastAsia="宋体" w:hint="default"/>
          <w:sz w:val="28"/>
          <w:szCs w:val="28"/>
        </w:rPr>
      </w:r>
    </w:p>
    <w:p>
      <w:pPr>
        <w:spacing w:line="403" w:lineRule="auto" w:before="236"/>
        <w:ind w:left="154" w:right="1133" w:firstLine="0"/>
        <w:jc w:val="both"/>
        <w:rPr>
          <w:rFonts w:ascii="宋体" w:hAnsi="宋体" w:cs="宋体" w:eastAsia="宋体" w:hint="default"/>
          <w:sz w:val="28"/>
          <w:szCs w:val="28"/>
        </w:rPr>
      </w:pPr>
      <w:r>
        <w:rPr>
          <w:rFonts w:ascii="宋体" w:hAnsi="宋体" w:cs="宋体" w:eastAsia="宋体" w:hint="default"/>
          <w:b/>
          <w:bCs/>
          <w:spacing w:val="-26"/>
          <w:w w:val="99"/>
          <w:sz w:val="28"/>
          <w:szCs w:val="28"/>
        </w:rPr>
        <w:t>税），送红股</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5"/>
          <w:w w:val="99"/>
          <w:sz w:val="28"/>
          <w:szCs w:val="28"/>
        </w:rPr>
        <w:t> </w:t>
      </w:r>
      <w:r>
        <w:rPr>
          <w:rFonts w:ascii="宋体" w:hAnsi="宋体" w:cs="宋体" w:eastAsia="宋体" w:hint="default"/>
          <w:b/>
          <w:bCs/>
          <w:spacing w:val="-10"/>
          <w:w w:val="99"/>
          <w:sz w:val="28"/>
          <w:szCs w:val="28"/>
        </w:rPr>
        <w:t>股（含税），以资本公积金向全体股东每</w:t>
      </w:r>
      <w:r>
        <w:rPr>
          <w:rFonts w:ascii="宋体" w:hAnsi="宋体" w:cs="宋体" w:eastAsia="宋体" w:hint="default"/>
          <w:b/>
          <w:bCs/>
          <w:spacing w:val="-60"/>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5"/>
          <w:w w:val="99"/>
          <w:sz w:val="28"/>
          <w:szCs w:val="28"/>
        </w:rPr>
        <w:t> </w:t>
      </w:r>
      <w:r>
        <w:rPr>
          <w:rFonts w:ascii="宋体" w:hAnsi="宋体" w:cs="宋体" w:eastAsia="宋体" w:hint="default"/>
          <w:b/>
          <w:bCs/>
          <w:w w:val="99"/>
          <w:sz w:val="28"/>
          <w:szCs w:val="28"/>
        </w:rPr>
        <w:t>股转增</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7</w:t>
      </w:r>
      <w:r>
        <w:rPr>
          <w:rFonts w:ascii="Times New Roman" w:hAnsi="Times New Roman" w:cs="Times New Roman" w:eastAsia="Times New Roman" w:hint="default"/>
          <w:b/>
          <w:bCs/>
          <w:spacing w:val="5"/>
          <w:w w:val="99"/>
          <w:sz w:val="28"/>
          <w:szCs w:val="28"/>
        </w:rPr>
        <w:t> </w:t>
      </w:r>
      <w:r>
        <w:rPr>
          <w:rFonts w:ascii="宋体" w:hAnsi="宋体" w:cs="宋体" w:eastAsia="宋体" w:hint="default"/>
          <w:b/>
          <w:bCs/>
          <w:spacing w:val="-3"/>
          <w:w w:val="99"/>
          <w:sz w:val="28"/>
          <w:szCs w:val="28"/>
        </w:rPr>
        <w:t>股。自董事</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会审议利润分配预案后至实施利润分配方案的股权登记日期间，若公司总股本</w:t>
      </w:r>
      <w:r>
        <w:rPr>
          <w:rFonts w:ascii="宋体" w:hAnsi="宋体" w:cs="宋体" w:eastAsia="宋体" w:hint="default"/>
          <w:b/>
          <w:bCs/>
          <w:spacing w:val="30"/>
          <w:w w:val="95"/>
          <w:sz w:val="28"/>
          <w:szCs w:val="28"/>
        </w:rPr>
        <w:t> </w:t>
      </w:r>
      <w:r>
        <w:rPr>
          <w:rFonts w:ascii="宋体" w:hAnsi="宋体" w:cs="宋体" w:eastAsia="宋体" w:hint="default"/>
          <w:b/>
          <w:bCs/>
          <w:spacing w:val="30"/>
          <w:w w:val="95"/>
          <w:sz w:val="28"/>
          <w:szCs w:val="28"/>
        </w:rPr>
      </w:r>
      <w:r>
        <w:rPr>
          <w:rFonts w:ascii="宋体" w:hAnsi="宋体" w:cs="宋体" w:eastAsia="宋体" w:hint="default"/>
          <w:b/>
          <w:bCs/>
          <w:spacing w:val="3"/>
          <w:w w:val="95"/>
          <w:sz w:val="28"/>
          <w:szCs w:val="28"/>
        </w:rPr>
        <w:t>因限制性股票激励计划和股票期权激励计划发生变动的，依照未来实施分配方</w:t>
      </w:r>
      <w:r>
        <w:rPr>
          <w:rFonts w:ascii="宋体" w:hAnsi="宋体" w:cs="宋体" w:eastAsia="宋体" w:hint="default"/>
          <w:b/>
          <w:bCs/>
          <w:spacing w:val="28"/>
          <w:w w:val="95"/>
          <w:sz w:val="28"/>
          <w:szCs w:val="28"/>
        </w:rPr>
        <w:t> </w:t>
      </w:r>
      <w:r>
        <w:rPr>
          <w:rFonts w:ascii="宋体" w:hAnsi="宋体" w:cs="宋体" w:eastAsia="宋体" w:hint="default"/>
          <w:b/>
          <w:bCs/>
          <w:spacing w:val="28"/>
          <w:w w:val="95"/>
          <w:sz w:val="28"/>
          <w:szCs w:val="28"/>
        </w:rPr>
      </w:r>
      <w:r>
        <w:rPr>
          <w:rFonts w:ascii="宋体" w:hAnsi="宋体" w:cs="宋体" w:eastAsia="宋体" w:hint="default"/>
          <w:b/>
          <w:bCs/>
          <w:spacing w:val="3"/>
          <w:w w:val="95"/>
          <w:sz w:val="28"/>
          <w:szCs w:val="28"/>
        </w:rPr>
        <w:t>案时股权登记日的总股本为基数实施，并保持上述分配比例不变对总额进行调  </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整。</w:t>
      </w:r>
      <w:r>
        <w:rPr>
          <w:rFonts w:ascii="宋体" w:hAnsi="宋体" w:cs="宋体" w:eastAsia="宋体" w:hint="default"/>
          <w:sz w:val="28"/>
          <w:szCs w:val="28"/>
        </w:rPr>
      </w:r>
    </w:p>
    <w:p>
      <w:pPr>
        <w:spacing w:after="0" w:line="403" w:lineRule="auto"/>
        <w:jc w:val="both"/>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605" w:right="358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1" w:val="right" w:leader="dot"/>
            </w:tabs>
            <w:spacing w:line="240" w:lineRule="auto"/>
            <w:ind w:right="0"/>
            <w:jc w:val="left"/>
            <w:rPr>
              <w:rFonts w:ascii="宋体" w:hAnsi="宋体" w:cs="宋体" w:eastAsia="宋体" w:hint="default"/>
              <w:b w:val="0"/>
              <w:bCs w:val="0"/>
            </w:rPr>
          </w:pPr>
          <w:hyperlink w:history="true" w:anchor="_bookmark1">
            <w:r>
              <w:rPr/>
              <w:t>第二节</w:t>
            </w:r>
            <w:r>
              <w:rPr>
                <w:spacing w:val="-1"/>
              </w:rPr>
              <w:t> </w:t>
            </w:r>
            <w:r>
              <w:rPr/>
              <w:t>公司简介和主要财务指标</w:t>
            </w:r>
            <w:r>
              <w:rPr>
                <w:rFonts w:ascii="宋体" w:hAnsi="宋体" w:cs="宋体" w:eastAsia="宋体" w:hint="default"/>
              </w:rPr>
              <w:tab/>
              <w:t>5</w:t>
            </w:r>
            <w:r>
              <w:rPr>
                <w:rFonts w:ascii="宋体" w:hAnsi="宋体" w:cs="宋体" w:eastAsia="宋体" w:hint="default"/>
                <w:b w:val="0"/>
                <w:bCs w:val="0"/>
              </w:rPr>
            </w:r>
          </w:hyperlink>
        </w:p>
        <w:p>
          <w:pPr>
            <w:pStyle w:val="TOC1"/>
            <w:tabs>
              <w:tab w:pos="9781" w:val="right" w:leader="dot"/>
            </w:tabs>
            <w:spacing w:line="240" w:lineRule="auto"/>
            <w:ind w:right="0"/>
            <w:jc w:val="left"/>
            <w:rPr>
              <w:rFonts w:ascii="宋体" w:hAnsi="宋体" w:cs="宋体" w:eastAsia="宋体" w:hint="default"/>
              <w:b w:val="0"/>
              <w:bCs w:val="0"/>
            </w:rPr>
          </w:pPr>
          <w:hyperlink w:history="true" w:anchor="_bookmark2">
            <w:r>
              <w:rPr/>
              <w:t>第三节</w:t>
            </w:r>
            <w:r>
              <w:rPr>
                <w:spacing w:val="-1"/>
              </w:rPr>
              <w:t> </w:t>
            </w:r>
            <w:r>
              <w:rPr/>
              <w:t>公司业务概要</w:t>
            </w:r>
            <w:r>
              <w:rPr>
                <w:rFonts w:ascii="宋体" w:hAnsi="宋体" w:cs="宋体" w:eastAsia="宋体" w:hint="default"/>
              </w:rPr>
              <w:tab/>
              <w:t>9</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3">
            <w:r>
              <w:rPr/>
              <w:t>第四节</w:t>
            </w:r>
            <w:r>
              <w:rPr>
                <w:spacing w:val="-1"/>
              </w:rPr>
              <w:t> </w:t>
            </w:r>
            <w:r>
              <w:rPr/>
              <w:t>经营情况讨论与分析</w:t>
            </w:r>
            <w:r>
              <w:rPr>
                <w:rFonts w:ascii="宋体" w:hAnsi="宋体" w:cs="宋体" w:eastAsia="宋体" w:hint="default"/>
              </w:rPr>
              <w:tab/>
              <w:t>12</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1"/>
              </w:rPr>
              <w:t> </w:t>
            </w:r>
            <w:r>
              <w:rPr/>
              <w:t>重要事项</w:t>
            </w:r>
            <w:r>
              <w:rPr>
                <w:rFonts w:ascii="宋体" w:hAnsi="宋体" w:cs="宋体" w:eastAsia="宋体" w:hint="default"/>
              </w:rPr>
              <w:tab/>
              <w:t>31</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45</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6">
            <w:r>
              <w:rPr/>
              <w:t>第七节</w:t>
            </w:r>
            <w:r>
              <w:rPr>
                <w:spacing w:val="-1"/>
              </w:rPr>
              <w:t> </w:t>
            </w:r>
            <w:r>
              <w:rPr/>
              <w:t>优先股相关情况</w:t>
            </w:r>
            <w:r>
              <w:rPr>
                <w:rFonts w:ascii="宋体" w:hAnsi="宋体" w:cs="宋体" w:eastAsia="宋体" w:hint="default"/>
              </w:rPr>
              <w:tab/>
              <w:t>52</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7">
            <w:r>
              <w:rPr/>
              <w:t>第八节</w:t>
            </w:r>
            <w:r>
              <w:rPr>
                <w:spacing w:val="-1"/>
              </w:rPr>
              <w:t> </w:t>
            </w:r>
            <w:r>
              <w:rPr/>
              <w:t>董事、监事、高级管理人员和员工情况</w:t>
            </w:r>
            <w:r>
              <w:rPr>
                <w:rFonts w:ascii="宋体" w:hAnsi="宋体" w:cs="宋体" w:eastAsia="宋体" w:hint="default"/>
              </w:rPr>
              <w:tab/>
              <w:t>53</w:t>
            </w:r>
            <w:r>
              <w:rPr>
                <w:rFonts w:ascii="宋体" w:hAnsi="宋体" w:cs="宋体" w:eastAsia="宋体" w:hint="default"/>
                <w:b w:val="0"/>
                <w:bCs w:val="0"/>
              </w:rPr>
            </w:r>
          </w:hyperlink>
        </w:p>
        <w:p>
          <w:pPr>
            <w:pStyle w:val="TOC1"/>
            <w:tabs>
              <w:tab w:pos="9782" w:val="right" w:leader="dot"/>
            </w:tabs>
            <w:spacing w:line="240" w:lineRule="auto" w:before="153"/>
            <w:ind w:right="0"/>
            <w:jc w:val="left"/>
            <w:rPr>
              <w:rFonts w:ascii="宋体" w:hAnsi="宋体" w:cs="宋体" w:eastAsia="宋体" w:hint="default"/>
              <w:b w:val="0"/>
              <w:bCs w:val="0"/>
            </w:rPr>
          </w:pPr>
          <w:hyperlink w:history="true" w:anchor="_bookmark8">
            <w:r>
              <w:rPr/>
              <w:t>第九节</w:t>
            </w:r>
            <w:r>
              <w:rPr>
                <w:spacing w:val="-1"/>
              </w:rPr>
              <w:t> </w:t>
            </w:r>
            <w:r>
              <w:rPr/>
              <w:t>公司治理</w:t>
            </w:r>
            <w:r>
              <w:rPr>
                <w:rFonts w:ascii="宋体" w:hAnsi="宋体" w:cs="宋体" w:eastAsia="宋体" w:hint="default"/>
              </w:rPr>
              <w:tab/>
              <w:t>60</w:t>
            </w:r>
            <w:r>
              <w:rPr>
                <w:rFonts w:ascii="宋体" w:hAnsi="宋体" w:cs="宋体" w:eastAsia="宋体" w:hint="default"/>
                <w:b w:val="0"/>
                <w:bCs w:val="0"/>
              </w:rPr>
            </w:r>
          </w:hyperlink>
        </w:p>
        <w:p>
          <w:pPr>
            <w:pStyle w:val="TOC1"/>
            <w:tabs>
              <w:tab w:pos="9782" w:val="right" w:leader="dot"/>
            </w:tabs>
            <w:spacing w:line="240" w:lineRule="auto" w:before="154"/>
            <w:ind w:right="0"/>
            <w:jc w:val="left"/>
            <w:rPr>
              <w:rFonts w:ascii="宋体" w:hAnsi="宋体" w:cs="宋体" w:eastAsia="宋体" w:hint="default"/>
              <w:b w:val="0"/>
              <w:bCs w:val="0"/>
            </w:rPr>
          </w:pPr>
          <w:hyperlink w:history="true" w:anchor="_bookmark9">
            <w:r>
              <w:rPr/>
              <w:t>第十节</w:t>
            </w:r>
            <w:r>
              <w:rPr>
                <w:spacing w:val="-1"/>
              </w:rPr>
              <w:t> </w:t>
            </w:r>
            <w:r>
              <w:rPr/>
              <w:t>公司债券相关情况</w:t>
            </w:r>
            <w:r>
              <w:rPr>
                <w:rFonts w:ascii="宋体" w:hAnsi="宋体" w:cs="宋体" w:eastAsia="宋体" w:hint="default"/>
              </w:rPr>
              <w:tab/>
              <w:t>66</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10">
            <w:r>
              <w:rPr/>
              <w:t>第十一节</w:t>
            </w:r>
            <w:r>
              <w:rPr>
                <w:spacing w:val="-1"/>
              </w:rPr>
              <w:t> </w:t>
            </w:r>
            <w:r>
              <w:rPr/>
              <w:t>财务报告</w:t>
            </w:r>
            <w:r>
              <w:rPr>
                <w:rFonts w:ascii="宋体" w:hAnsi="宋体" w:cs="宋体" w:eastAsia="宋体" w:hint="default"/>
              </w:rPr>
              <w:tab/>
              <w:t>67</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11">
            <w:r>
              <w:rPr/>
              <w:t>第十二节</w:t>
            </w:r>
            <w:r>
              <w:rPr>
                <w:spacing w:val="-2"/>
              </w:rPr>
              <w:t> </w:t>
            </w:r>
            <w:r>
              <w:rPr/>
              <w:t>备查文件目录</w:t>
            </w:r>
            <w:r>
              <w:rPr>
                <w:rFonts w:ascii="宋体" w:hAnsi="宋体" w:cs="宋体" w:eastAsia="宋体" w:hint="default"/>
              </w:rPr>
              <w:tab/>
              <w:t>178</w:t>
            </w:r>
            <w:r>
              <w:rPr>
                <w:rFonts w:ascii="宋体" w:hAnsi="宋体" w:cs="宋体" w:eastAsia="宋体"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2605" w:right="358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二六三</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二六三网络通信股份有限公司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《二六三网络通信股份有限公司公司章程》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工业和信息化部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中华人民共和国工业和信息化部</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北京证监局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中国证券监督管理委员会北京监管局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如无说明，指人民币元、人民币万元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I-ACCESS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/I-ACCESS</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I-ACCESS NETWORK</w:t>
            </w:r>
            <w:r>
              <w:rPr>
                <w:rFonts w:ascii="Times New Roman"/>
                <w:spacing w:val="-5"/>
                <w:sz w:val="18"/>
              </w:rPr>
              <w:t> </w:t>
            </w:r>
            <w:r>
              <w:rPr>
                <w:rFonts w:ascii="Times New Roman"/>
                <w:sz w:val="18"/>
              </w:rPr>
              <w:t>LIMITED</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深圳日升</w:t>
            </w:r>
            <w:r>
              <w:rPr>
                <w:rFonts w:ascii="Times New Roman" w:hAnsi="Times New Roman" w:cs="Times New Roman" w:eastAsia="Times New Roman" w:hint="default"/>
                <w:sz w:val="18"/>
                <w:szCs w:val="18"/>
              </w:rPr>
              <w:t>/</w:t>
            </w:r>
            <w:r>
              <w:rPr>
                <w:rFonts w:ascii="宋体" w:hAnsi="宋体" w:cs="宋体" w:eastAsia="宋体" w:hint="default"/>
                <w:sz w:val="18"/>
                <w:szCs w:val="18"/>
              </w:rPr>
              <w:t>日升科技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深圳市日升科技有限公司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展视互动</w:t>
            </w:r>
            <w:r>
              <w:rPr>
                <w:rFonts w:ascii="Times New Roman" w:hAnsi="Times New Roman" w:cs="Times New Roman" w:eastAsia="Times New Roman" w:hint="default"/>
                <w:sz w:val="18"/>
                <w:szCs w:val="18"/>
              </w:rPr>
              <w:t>/</w:t>
            </w:r>
            <w:r>
              <w:rPr>
                <w:rFonts w:ascii="宋体" w:hAnsi="宋体" w:cs="宋体" w:eastAsia="宋体" w:hint="default"/>
                <w:sz w:val="18"/>
                <w:szCs w:val="18"/>
              </w:rPr>
              <w:t>北京展视</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北京展视互动科技有限公司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pacing w:val="2"/>
                <w:sz w:val="18"/>
              </w:rPr>
              <w:t> </w:t>
            </w:r>
            <w:r>
              <w:rPr>
                <w:rFonts w:ascii="Times New Roman"/>
                <w:sz w:val="18"/>
              </w:rPr>
              <w:t>BB</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Global</w:t>
            </w:r>
            <w:r>
              <w:rPr>
                <w:rFonts w:ascii="Times New Roman"/>
                <w:spacing w:val="-3"/>
                <w:sz w:val="18"/>
              </w:rPr>
              <w:t> </w:t>
            </w:r>
            <w:r>
              <w:rPr>
                <w:rFonts w:ascii="Times New Roman"/>
                <w:sz w:val="18"/>
              </w:rPr>
              <w:t>Communications,Inc.</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z w:val="18"/>
              </w:rPr>
              <w:t> Media</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 Media</w:t>
            </w:r>
            <w:r>
              <w:rPr>
                <w:rFonts w:ascii="Times New Roman"/>
                <w:spacing w:val="-16"/>
                <w:sz w:val="18"/>
              </w:rPr>
              <w:t> </w:t>
            </w:r>
            <w:r>
              <w:rPr>
                <w:rFonts w:ascii="Times New Roman"/>
                <w:sz w:val="18"/>
              </w:rPr>
              <w:t>Inc.</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苏州龙遨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苏州龙遨泛人工智能高科技投资中心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联通</w:t>
            </w:r>
            <w:r>
              <w:rPr>
                <w:rFonts w:ascii="Times New Roman" w:hAnsi="Times New Roman" w:cs="Times New Roman" w:eastAsia="Times New Roman" w:hint="default"/>
                <w:sz w:val="18"/>
                <w:szCs w:val="18"/>
              </w:rPr>
              <w:t>/</w:t>
            </w:r>
            <w:r>
              <w:rPr>
                <w:rFonts w:ascii="宋体" w:hAnsi="宋体" w:cs="宋体" w:eastAsia="宋体" w:hint="default"/>
                <w:sz w:val="18"/>
                <w:szCs w:val="18"/>
              </w:rPr>
              <w:t>中国联通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中国联合网络通信集团有限公司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1004152"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二六三</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002467</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二六三网络通信股份有限公司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二六三网络通信</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NET263</w:t>
            </w:r>
            <w:r>
              <w:rPr>
                <w:rFonts w:ascii="Times New Roman"/>
                <w:spacing w:val="-2"/>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NET263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李小龙</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北京市昌平区城区镇超前路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102200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北京市朝阳区和平里东土城路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号建达大厦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100013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www.net263.com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invest263@net263.com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947"/>
        <w:gridCol w:w="5612"/>
      </w:tblGrid>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董事会秘书</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李波</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北京市朝阳区和平里东土城路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号建达大厦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010-64260109</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010-64260109</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invest263@net263.com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巨潮资讯询网（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公司法务证券部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70034726-7</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德勤华永会计师事务所（特殊普通合伙）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中国上海市延安路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号外滩中心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童传江、高天福</w:t>
            </w:r>
          </w:p>
        </w:tc>
      </w:tr>
    </w:tbl>
    <w:p>
      <w:pPr>
        <w:pStyle w:val="BodyText"/>
        <w:spacing w:line="240" w:lineRule="auto" w:before="51"/>
        <w:ind w:right="0"/>
        <w:jc w:val="left"/>
      </w:pPr>
      <w:r>
        <w:rPr/>
        <w:t>公司聘请的报告期内履行持续督导职责的保荐机构</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928,733,524.63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835,851,735.87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3"/>
                <w:sz w:val="18"/>
              </w:rPr>
              <w:t>11.11%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835,675,220.99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86,042,223.02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30,986,896.11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-378,266,158.07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79,138,319.07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11,010,772.43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618.74%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-320,492,159.73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127,495,669.92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141,349,980.76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100,480,520.81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w w:val="95"/>
                <w:sz w:val="18"/>
              </w:rPr>
              <w:t>0.11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175.00%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-0.48</w:t>
            </w:r>
            <w:r>
              <w:rPr>
                <w:rFonts w:ascii="Times New Roman"/>
                <w:sz w:val="18"/>
              </w:rPr>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w w:val="95"/>
                <w:sz w:val="18"/>
              </w:rPr>
              <w:t>0.11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175.00%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-0.48</w:t>
            </w:r>
            <w:r>
              <w:rPr>
                <w:rFonts w:ascii="Times New Roman"/>
                <w:sz w:val="18"/>
              </w:rPr>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-18.96%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2,539,538,499.89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2,375,904,975.20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2,699,470,371.38</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1,902,702,794.12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1,811,879,665.90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1,790,727,729.33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200,430,080.11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221,330,942.61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253,660,776.03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253,311,725.88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13,889,636.77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26,192,440.54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29,106,162.80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16,853,982.91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11,262,293.72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23,978,032.54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27,246,353.25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16,651,639.56</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6,087,500.53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11,612,165.13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71,517,438.33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38,278,565.93</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-3,366,724.29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-2,374,981.68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-14,190,578.87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2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4,257,261.84</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43" w:right="0"/>
              <w:jc w:val="left"/>
              <w:rPr>
                <w:rFonts w:ascii="Times New Roman" w:hAnsi="Times New Roman" w:cs="Times New Roman" w:eastAsia="Times New Roman" w:hint="default"/>
                <w:sz w:val="18"/>
                <w:szCs w:val="18"/>
              </w:rPr>
            </w:pPr>
            <w:r>
              <w:rPr>
                <w:rFonts w:ascii="Times New Roman"/>
                <w:sz w:val="18"/>
              </w:rPr>
              <w:t>3,959,503.36</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4,209,048.00</w:t>
            </w:r>
          </w:p>
        </w:tc>
        <w:tc>
          <w:tcPr>
            <w:tcW w:w="1710" w:type="dxa"/>
            <w:vMerge w:val="restart"/>
            <w:tcBorders>
              <w:top w:val="single" w:sz="4" w:space="0" w:color="000000"/>
              <w:left w:val="single" w:sz="4" w:space="0" w:color="000000"/>
              <w:right w:val="single" w:sz="4" w:space="0" w:color="000000"/>
            </w:tcBorders>
          </w:tcPr>
          <w:p>
            <w:pPr>
              <w:pStyle w:val="TableParagraph"/>
              <w:spacing w:line="307" w:lineRule="auto" w:before="51"/>
              <w:ind w:left="23" w:right="54"/>
              <w:jc w:val="both"/>
              <w:rPr>
                <w:rFonts w:ascii="宋体" w:hAnsi="宋体" w:cs="宋体" w:eastAsia="宋体" w:hint="default"/>
                <w:sz w:val="18"/>
                <w:szCs w:val="18"/>
              </w:rPr>
            </w:pPr>
            <w:r>
              <w:rPr>
                <w:rFonts w:ascii="宋体" w:hAnsi="宋体" w:cs="宋体" w:eastAsia="宋体" w:hint="default"/>
                <w:sz w:val="18"/>
                <w:szCs w:val="18"/>
              </w:rPr>
              <w:t>详见</w:t>
            </w:r>
            <w:r>
              <w:rPr>
                <w:rFonts w:ascii="Times New Roman" w:hAnsi="Times New Roman" w:cs="Times New Roman" w:eastAsia="Times New Roman" w:hint="default"/>
                <w:sz w:val="18"/>
                <w:szCs w:val="18"/>
              </w:rPr>
              <w:t>“</w:t>
            </w:r>
            <w:r>
              <w:rPr>
                <w:rFonts w:ascii="宋体" w:hAnsi="宋体" w:cs="宋体" w:eastAsia="宋体" w:hint="default"/>
                <w:sz w:val="18"/>
                <w:szCs w:val="18"/>
              </w:rPr>
              <w:t>附注（七）</w:t>
            </w:r>
            <w:r>
              <w:rPr>
                <w:rFonts w:ascii="Times New Roman" w:hAnsi="Times New Roman" w:cs="Times New Roman" w:eastAsia="Times New Roman" w:hint="default"/>
                <w:sz w:val="18"/>
                <w:szCs w:val="18"/>
              </w:rPr>
              <w:t>.47 </w:t>
            </w: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扣除软件 产品增值税即征即退 的金额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16" w:hRule="exact"/>
        </w:trPr>
        <w:tc>
          <w:tcPr>
            <w:tcW w:w="32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61" w:hRule="exact"/>
        </w:trPr>
        <w:tc>
          <w:tcPr>
            <w:tcW w:w="32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20"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12,477,917.42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5,016,401.34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4,344,727.11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25,499,613.88</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3" w:right="54"/>
              <w:jc w:val="left"/>
              <w:rPr>
                <w:rFonts w:ascii="宋体" w:hAnsi="宋体" w:cs="宋体" w:eastAsia="宋体" w:hint="default"/>
                <w:sz w:val="18"/>
                <w:szCs w:val="18"/>
              </w:rPr>
            </w:pPr>
            <w:r>
              <w:rPr>
                <w:rFonts w:ascii="宋体" w:hAnsi="宋体" w:cs="宋体" w:eastAsia="宋体" w:hint="default"/>
                <w:sz w:val="18"/>
                <w:szCs w:val="18"/>
              </w:rPr>
              <w:t>本报告期购买理财产 品收益。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67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 可供出售金融资产取得的投资收益</w:t>
            </w:r>
          </w:p>
        </w:tc>
        <w:tc>
          <w:tcPr>
            <w:tcW w:w="1520"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2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338,349.92</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43" w:right="0"/>
              <w:jc w:val="left"/>
              <w:rPr>
                <w:rFonts w:ascii="Times New Roman" w:hAnsi="Times New Roman" w:cs="Times New Roman" w:eastAsia="Times New Roman" w:hint="default"/>
                <w:sz w:val="18"/>
                <w:szCs w:val="18"/>
              </w:rPr>
            </w:pPr>
            <w:r>
              <w:rPr>
                <w:rFonts w:ascii="Times New Roman"/>
                <w:sz w:val="18"/>
              </w:rPr>
              <w:t>2,600,858.57</w:t>
            </w:r>
          </w:p>
        </w:tc>
        <w:tc>
          <w:tcPr>
            <w:tcW w:w="1522" w:type="dxa"/>
            <w:vMerge w:val="restart"/>
            <w:tcBorders>
              <w:top w:val="single" w:sz="4" w:space="0" w:color="000000"/>
              <w:left w:val="single" w:sz="4" w:space="0" w:color="000000"/>
              <w:right w:val="single" w:sz="4" w:space="0" w:color="000000"/>
            </w:tcBorders>
          </w:tcPr>
          <w:p>
            <w:pPr/>
          </w:p>
        </w:tc>
        <w:tc>
          <w:tcPr>
            <w:tcW w:w="1710"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54"/>
              <w:jc w:val="both"/>
              <w:rPr>
                <w:rFonts w:ascii="宋体" w:hAnsi="宋体" w:cs="宋体" w:eastAsia="宋体" w:hint="default"/>
                <w:sz w:val="18"/>
                <w:szCs w:val="18"/>
              </w:rPr>
            </w:pPr>
            <w:r>
              <w:rPr>
                <w:rFonts w:ascii="宋体" w:hAnsi="宋体" w:cs="宋体" w:eastAsia="宋体" w:hint="default"/>
                <w:sz w:val="18"/>
                <w:szCs w:val="18"/>
              </w:rPr>
              <w:t>本报告期内，单项金 额重大并单独计提坏 账准备的应收账款收 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万美金。</w:t>
            </w:r>
          </w:p>
        </w:tc>
      </w:tr>
      <w:tr>
        <w:trPr>
          <w:trHeight w:val="704" w:hRule="exact"/>
        </w:trPr>
        <w:tc>
          <w:tcPr>
            <w:tcW w:w="32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0"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317" w:hRule="exact"/>
        </w:trPr>
        <w:tc>
          <w:tcPr>
            <w:tcW w:w="32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20"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16,328,324.38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63,555,175.10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870,227.28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-5,764,418.09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-516,812.77</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收购子公司应支付的或有对价增加额</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-148,909,020.00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204,657.47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-882,110.03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-100,658.90</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6,954.67</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6,903,903.95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19,976,123.68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-57,773,998.34</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16" w:lineRule="auto" w:before="25"/>
        <w:ind w:left="454" w:right="0"/>
        <w:jc w:val="left"/>
      </w:pPr>
      <w:r>
        <w:rPr/>
        <w:t>公司致力于运用互联网技术和转售方式为客户提供通信服务。 </w:t>
      </w:r>
      <w:r>
        <w:rPr>
          <w:spacing w:val="-1"/>
        </w:rPr>
        <w:t>在企业客户市场，公司在企业通信和协同办公领域为国内各类企业客户提供企业级</w:t>
      </w:r>
      <w:r>
        <w:rPr>
          <w:rFonts w:ascii="Times New Roman" w:hAnsi="Times New Roman" w:cs="Times New Roman" w:eastAsia="Times New Roman" w:hint="default"/>
          <w:spacing w:val="-1"/>
        </w:rPr>
        <w:t>SaaS</w:t>
      </w:r>
      <w:r>
        <w:rPr>
          <w:spacing w:val="-1"/>
        </w:rPr>
        <w:t>服务，致力于成为中国领先的企</w:t>
      </w:r>
    </w:p>
    <w:p>
      <w:pPr>
        <w:pStyle w:val="BodyText"/>
        <w:spacing w:line="300" w:lineRule="auto"/>
        <w:ind w:right="1130"/>
        <w:jc w:val="left"/>
      </w:pPr>
      <w:r>
        <w:rPr>
          <w:spacing w:val="-1"/>
        </w:rPr>
        <w:t>业通信服务商和企业</w:t>
      </w:r>
      <w:r>
        <w:rPr>
          <w:rFonts w:ascii="Times New Roman" w:hAnsi="Times New Roman" w:cs="Times New Roman" w:eastAsia="Times New Roman" w:hint="default"/>
          <w:spacing w:val="-1"/>
        </w:rPr>
        <w:t>SaaS</w:t>
      </w:r>
      <w:r>
        <w:rPr>
          <w:spacing w:val="-1"/>
        </w:rPr>
        <w:t>服务商。同时，公司借助国家</w:t>
      </w:r>
      <w:r>
        <w:rPr>
          <w:rFonts w:ascii="Times New Roman" w:hAnsi="Times New Roman" w:cs="Times New Roman" w:eastAsia="Times New Roman" w:hint="default"/>
          <w:spacing w:val="-1"/>
        </w:rPr>
        <w:t>“</w:t>
      </w:r>
      <w:r>
        <w:rPr>
          <w:spacing w:val="-1"/>
        </w:rPr>
        <w:t>一带一路</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走出去</w:t>
      </w:r>
      <w:r>
        <w:rPr>
          <w:rFonts w:ascii="Times New Roman" w:hAnsi="Times New Roman" w:cs="Times New Roman" w:eastAsia="Times New Roman" w:hint="default"/>
          <w:spacing w:val="-1"/>
        </w:rPr>
        <w:t>”</w:t>
      </w:r>
      <w:r>
        <w:rPr>
          <w:spacing w:val="-1"/>
        </w:rPr>
        <w:t>战略、积极开展企业国际化通信服务，向企业</w:t>
      </w:r>
      <w:r>
        <w:rPr>
          <w:spacing w:val="-76"/>
        </w:rPr>
        <w:t> </w:t>
      </w:r>
      <w:r>
        <w:rPr>
          <w:spacing w:val="-76"/>
        </w:rPr>
      </w:r>
      <w:r>
        <w:rPr/>
        <w:t>用户提供国际跨境通信服务和境外本地通信服务。</w:t>
      </w:r>
    </w:p>
    <w:p>
      <w:pPr>
        <w:pStyle w:val="BodyText"/>
        <w:spacing w:line="300" w:lineRule="auto" w:before="31"/>
        <w:ind w:right="0" w:firstLine="300"/>
        <w:jc w:val="left"/>
      </w:pPr>
      <w:r>
        <w:rPr>
          <w:spacing w:val="-1"/>
        </w:rPr>
        <w:t>在个人客户市场，公司主要为北美华人提供多平台、多终端的视频内容服务以及虚拟移动通信服务（</w:t>
      </w:r>
      <w:r>
        <w:rPr>
          <w:rFonts w:ascii="Times New Roman" w:hAnsi="Times New Roman" w:cs="Times New Roman" w:eastAsia="Times New Roman" w:hint="default"/>
          <w:spacing w:val="-1"/>
        </w:rPr>
        <w:t>MVNO</w:t>
      </w:r>
      <w:r>
        <w:rPr>
          <w:spacing w:val="-1"/>
        </w:rPr>
        <w:t>），致力于</w:t>
      </w:r>
      <w:r>
        <w:rPr/>
        <w:t> 成为北美地区的互联网综合服务商。</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317"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both"/>
              <w:rPr>
                <w:rFonts w:ascii="宋体" w:hAnsi="宋体" w:cs="宋体" w:eastAsia="宋体" w:hint="default"/>
                <w:sz w:val="18"/>
                <w:szCs w:val="18"/>
              </w:rPr>
            </w:pPr>
            <w:r>
              <w:rPr>
                <w:rFonts w:ascii="宋体" w:hAnsi="宋体" w:cs="宋体" w:eastAsia="宋体" w:hint="default"/>
                <w:sz w:val="18"/>
                <w:szCs w:val="18"/>
              </w:rPr>
              <w:t>本期末较年初减少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2,482.77</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万元，减少比例</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55.21%</w:t>
            </w:r>
            <w:r>
              <w:rPr>
                <w:rFonts w:ascii="宋体" w:hAnsi="宋体" w:cs="宋体" w:eastAsia="宋体" w:hint="default"/>
                <w:spacing w:val="-4"/>
                <w:sz w:val="18"/>
                <w:szCs w:val="18"/>
              </w:rPr>
              <w:t>，主要系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以前年度收购展视互 动所确认的无形资产在本报告期摊销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1,496.67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上年收购</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Media </w:t>
            </w:r>
            <w:r>
              <w:rPr>
                <w:rFonts w:ascii="宋体" w:hAnsi="宋体" w:cs="宋体" w:eastAsia="宋体" w:hint="default"/>
                <w:sz w:val="18"/>
                <w:szCs w:val="18"/>
              </w:rPr>
              <w:t>所确认 的无形资产在本报告期摊销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331.32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vMerge/>
            <w:tcBorders>
              <w:left w:val="single" w:sz="9" w:space="0" w:color="D2D2D2"/>
              <w:right w:val="single" w:sz="4" w:space="0" w:color="000000"/>
            </w:tcBorders>
          </w:tcPr>
          <w:p>
            <w:pPr/>
          </w:p>
        </w:tc>
      </w:tr>
      <w:tr>
        <w:trPr>
          <w:trHeight w:val="317"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78"/>
              <w:jc w:val="left"/>
              <w:rPr>
                <w:rFonts w:ascii="宋体" w:hAnsi="宋体" w:cs="宋体" w:eastAsia="宋体" w:hint="default"/>
                <w:sz w:val="18"/>
                <w:szCs w:val="18"/>
              </w:rPr>
            </w:pPr>
            <w:r>
              <w:rPr>
                <w:rFonts w:ascii="宋体" w:hAnsi="宋体" w:cs="宋体" w:eastAsia="宋体" w:hint="default"/>
                <w:sz w:val="18"/>
                <w:szCs w:val="18"/>
              </w:rPr>
              <w:t>本期末较年初减少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101.02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万元，减少比例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62.06%</w:t>
            </w:r>
            <w:r>
              <w:rPr>
                <w:rFonts w:ascii="宋体" w:hAnsi="宋体" w:cs="宋体" w:eastAsia="宋体" w:hint="default"/>
                <w:sz w:val="18"/>
                <w:szCs w:val="18"/>
              </w:rPr>
              <w:t>，主要系本报告期在建工程广州 移动</w:t>
            </w:r>
            <w:r>
              <w:rPr>
                <w:rFonts w:ascii="Times New Roman" w:hAnsi="Times New Roman" w:cs="Times New Roman" w:eastAsia="Times New Roman" w:hint="default"/>
                <w:sz w:val="18"/>
                <w:szCs w:val="18"/>
              </w:rPr>
              <w:t>-</w:t>
            </w:r>
            <w:r>
              <w:rPr>
                <w:rFonts w:ascii="宋体" w:hAnsi="宋体" w:cs="宋体" w:eastAsia="宋体" w:hint="default"/>
                <w:sz w:val="18"/>
                <w:szCs w:val="18"/>
              </w:rPr>
              <w:t>企业手机项目平台完工转固所致。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026"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本期末较年初增加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6,671.58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万元，增加比例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105.03%</w:t>
            </w:r>
            <w:r>
              <w:rPr>
                <w:rFonts w:ascii="宋体" w:hAnsi="宋体" w:cs="宋体" w:eastAsia="宋体" w:hint="default"/>
                <w:sz w:val="18"/>
                <w:szCs w:val="18"/>
              </w:rPr>
              <w:t>，主要系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本报告期深圳日升 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I-ACCESS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纳入合并范围增加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3,955.76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本报告期应收联通款项增加 </w:t>
            </w:r>
            <w:r>
              <w:rPr>
                <w:rFonts w:ascii="Times New Roman" w:hAnsi="Times New Roman" w:cs="Times New Roman" w:eastAsia="Times New Roman" w:hint="default"/>
                <w:sz w:val="18"/>
                <w:szCs w:val="18"/>
              </w:rPr>
              <w:t>2,044.13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本报告期电话会议业务量增长使应收增加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839.41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本期末较年初增加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1,891.69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万，增加比例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513.95%</w:t>
            </w:r>
            <w:r>
              <w:rPr>
                <w:rFonts w:ascii="宋体" w:hAnsi="宋体" w:cs="宋体" w:eastAsia="宋体" w:hint="default"/>
                <w:sz w:val="18"/>
                <w:szCs w:val="18"/>
              </w:rPr>
              <w:t>，主要系本报告期对苏州龙遨投 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71"/>
              <w:jc w:val="left"/>
              <w:rPr>
                <w:rFonts w:ascii="宋体" w:hAnsi="宋体" w:cs="宋体" w:eastAsia="宋体" w:hint="default"/>
                <w:sz w:val="18"/>
                <w:szCs w:val="18"/>
              </w:rPr>
            </w:pPr>
            <w:r>
              <w:rPr>
                <w:rFonts w:ascii="宋体" w:hAnsi="宋体" w:cs="宋体" w:eastAsia="宋体" w:hint="default"/>
                <w:sz w:val="18"/>
                <w:szCs w:val="18"/>
              </w:rPr>
              <w:t>本期末较年初增加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31,237.25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万元，增加比例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39.36%</w:t>
            </w:r>
            <w:r>
              <w:rPr>
                <w:rFonts w:ascii="宋体" w:hAnsi="宋体" w:cs="宋体" w:eastAsia="宋体" w:hint="default"/>
                <w:sz w:val="18"/>
                <w:szCs w:val="18"/>
              </w:rPr>
              <w:t>，主要系本报告期并购 </w:t>
            </w:r>
            <w:r>
              <w:rPr>
                <w:rFonts w:ascii="Times New Roman" w:hAnsi="Times New Roman" w:cs="Times New Roman" w:eastAsia="Times New Roman" w:hint="default"/>
                <w:sz w:val="18"/>
                <w:szCs w:val="18"/>
              </w:rPr>
              <w:t>I-ACCESS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产生商誉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29,864.01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万元，并购深圳日升产生商誉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688.85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7"/>
          <w:szCs w:val="27"/>
        </w:rPr>
      </w:pPr>
    </w:p>
    <w:p>
      <w:pPr>
        <w:pStyle w:val="Heading4"/>
        <w:spacing w:line="240" w:lineRule="auto" w:before="35"/>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065"/>
        <w:gridCol w:w="1062"/>
        <w:gridCol w:w="1063"/>
        <w:gridCol w:w="1065"/>
        <w:gridCol w:w="1064"/>
        <w:gridCol w:w="1202"/>
        <w:gridCol w:w="926"/>
        <w:gridCol w:w="1062"/>
        <w:gridCol w:w="1061"/>
      </w:tblGrid>
      <w:tr>
        <w:trPr>
          <w:trHeight w:val="1021"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46" w:right="76" w:hanging="270"/>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6"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57"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6"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6" w:right="54"/>
              <w:jc w:val="left"/>
              <w:rPr>
                <w:rFonts w:ascii="宋体" w:hAnsi="宋体" w:cs="宋体" w:eastAsia="宋体" w:hint="default"/>
                <w:sz w:val="18"/>
                <w:szCs w:val="18"/>
              </w:rPr>
            </w:pPr>
            <w:r>
              <w:rPr>
                <w:rFonts w:ascii="宋体" w:hAnsi="宋体" w:cs="宋体" w:eastAsia="宋体" w:hint="default"/>
                <w:sz w:val="18"/>
                <w:szCs w:val="18"/>
              </w:rPr>
              <w:t>保障资产安全 性的控制措施</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3"/>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1031"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注资及境外 经营累计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10,759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7"/>
              <w:ind w:left="23" w:right="-49"/>
              <w:jc w:val="left"/>
              <w:rPr>
                <w:rFonts w:ascii="宋体" w:hAnsi="宋体" w:cs="宋体" w:eastAsia="宋体" w:hint="default"/>
                <w:sz w:val="18"/>
                <w:szCs w:val="18"/>
              </w:rPr>
            </w:pPr>
            <w:r>
              <w:rPr>
                <w:rFonts w:ascii="宋体" w:hAnsi="宋体" w:cs="宋体" w:eastAsia="宋体" w:hint="default"/>
                <w:sz w:val="18"/>
                <w:szCs w:val="18"/>
              </w:rPr>
              <w:t>美国、香港、 </w:t>
            </w:r>
            <w:r>
              <w:rPr>
                <w:rFonts w:ascii="宋体" w:hAnsi="宋体" w:cs="宋体" w:eastAsia="宋体" w:hint="default"/>
                <w:spacing w:val="-12"/>
                <w:sz w:val="18"/>
                <w:szCs w:val="18"/>
              </w:rPr>
              <w:t>加拿大、澳大</w:t>
            </w:r>
            <w:r>
              <w:rPr>
                <w:rFonts w:ascii="宋体" w:hAnsi="宋体" w:cs="宋体" w:eastAsia="宋体" w:hint="default"/>
                <w:sz w:val="18"/>
                <w:szCs w:val="18"/>
              </w:rPr>
              <w:t> 利亚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0"/>
              <w:jc w:val="left"/>
              <w:rPr>
                <w:rFonts w:ascii="宋体" w:hAnsi="宋体" w:cs="宋体" w:eastAsia="宋体" w:hint="default"/>
                <w:sz w:val="20"/>
                <w:szCs w:val="20"/>
              </w:rPr>
            </w:pPr>
            <w:r>
              <w:rPr>
                <w:rFonts w:ascii="宋体" w:hAnsi="宋体" w:cs="宋体" w:eastAsia="宋体" w:hint="default"/>
                <w:position w:val="-5"/>
                <w:sz w:val="20"/>
                <w:szCs w:val="20"/>
              </w:rPr>
              <w:pict>
                <v:group style="width:52.7pt;height:15.6pt;mso-position-horizontal-relative:char;mso-position-vertical-relative:line" coordorigin="0,0" coordsize="1054,312">
                  <v:group style="position:absolute;left:0;top:0;width:1054;height:312" coordorigin="0,0" coordsize="1054,312">
                    <v:shape style="position:absolute;left:0;top:0;width:1054;height:312" coordorigin="0,0" coordsize="1054,312" path="m0,312l1054,312,1054,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经营积累</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2" w:right="0"/>
              <w:jc w:val="left"/>
              <w:rPr>
                <w:rFonts w:ascii="宋体" w:hAnsi="宋体" w:cs="宋体" w:eastAsia="宋体" w:hint="default"/>
                <w:sz w:val="18"/>
                <w:szCs w:val="18"/>
              </w:rPr>
            </w:pPr>
            <w:r>
              <w:rPr>
                <w:rFonts w:ascii="宋体" w:hAnsi="宋体" w:cs="宋体" w:eastAsia="宋体" w:hint="default"/>
                <w:sz w:val="18"/>
                <w:szCs w:val="18"/>
              </w:rPr>
              <w:t>银行保存</w:t>
            </w:r>
          </w:p>
        </w:tc>
        <w:tc>
          <w:tcPr>
            <w:tcW w:w="92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2"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30"/>
              <w:jc w:val="left"/>
              <w:rPr>
                <w:rFonts w:ascii="宋体" w:hAnsi="宋体" w:cs="宋体" w:eastAsia="宋体" w:hint="default"/>
                <w:sz w:val="18"/>
                <w:szCs w:val="18"/>
              </w:rPr>
            </w:pPr>
            <w:r>
              <w:rPr>
                <w:rFonts w:ascii="宋体" w:hAnsi="宋体" w:cs="宋体" w:eastAsia="宋体" w:hint="default"/>
                <w:sz w:val="18"/>
                <w:szCs w:val="18"/>
              </w:rPr>
              <w:t>应收票据及 应收账款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境外业务经 营应收款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6,534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3" w:right="129"/>
              <w:jc w:val="both"/>
              <w:rPr>
                <w:rFonts w:ascii="宋体" w:hAnsi="宋体" w:cs="宋体" w:eastAsia="宋体" w:hint="default"/>
                <w:sz w:val="18"/>
                <w:szCs w:val="18"/>
              </w:rPr>
            </w:pPr>
            <w:r>
              <w:rPr>
                <w:rFonts w:ascii="宋体" w:hAnsi="宋体" w:cs="宋体" w:eastAsia="宋体" w:hint="default"/>
                <w:sz w:val="18"/>
                <w:szCs w:val="18"/>
              </w:rPr>
              <w:t>美国、加拿 大、澳大利 亚、香港</w:t>
            </w:r>
          </w:p>
        </w:tc>
        <w:tc>
          <w:tcPr>
            <w:tcW w:w="1064" w:type="dxa"/>
            <w:tcBorders>
              <w:top w:val="single" w:sz="4" w:space="0" w:color="000000"/>
              <w:left w:val="single" w:sz="4" w:space="0" w:color="000000"/>
              <w:bottom w:val="single" w:sz="4" w:space="0" w:color="000000"/>
              <w:right w:val="single" w:sz="9" w:space="0" w:color="FFFFFF"/>
            </w:tcBorders>
          </w:tcPr>
          <w:p>
            <w:pPr>
              <w:pStyle w:val="TableParagraph"/>
              <w:spacing w:line="312"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网络电话 </w:t>
            </w:r>
            <w:r>
              <w:rPr>
                <w:rFonts w:ascii="Times New Roman" w:hAnsi="Times New Roman" w:cs="Times New Roman" w:eastAsia="Times New Roman" w:hint="default"/>
                <w:spacing w:val="-4"/>
                <w:sz w:val="18"/>
                <w:szCs w:val="18"/>
              </w:rPr>
              <w:t>(VoIP)</w:t>
            </w:r>
            <w:r>
              <w:rPr>
                <w:rFonts w:ascii="宋体" w:hAnsi="宋体" w:cs="宋体" w:eastAsia="宋体" w:hint="default"/>
                <w:spacing w:val="-4"/>
                <w:sz w:val="18"/>
                <w:szCs w:val="18"/>
              </w:rPr>
              <w:t>及网</w:t>
            </w:r>
            <w:r>
              <w:rPr>
                <w:rFonts w:ascii="宋体" w:hAnsi="宋体" w:cs="宋体" w:eastAsia="宋体" w:hint="default"/>
                <w:spacing w:val="-84"/>
                <w:sz w:val="18"/>
                <w:szCs w:val="18"/>
              </w:rPr>
              <w:t> </w:t>
            </w:r>
            <w:r>
              <w:rPr>
                <w:rFonts w:ascii="宋体" w:hAnsi="宋体" w:cs="宋体" w:eastAsia="宋体" w:hint="default"/>
                <w:sz w:val="18"/>
                <w:szCs w:val="18"/>
              </w:rPr>
              <w:t>络电视</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(IPTV)</w:t>
            </w:r>
            <w:r>
              <w:rPr>
                <w:rFonts w:ascii="宋体" w:hAnsi="宋体" w:cs="宋体" w:eastAsia="宋体" w:hint="default"/>
                <w:sz w:val="18"/>
                <w:szCs w:val="18"/>
              </w:rPr>
              <w:t>业务、</w:t>
            </w:r>
            <w:r>
              <w:rPr>
                <w:rFonts w:ascii="宋体" w:hAnsi="宋体" w:cs="宋体" w:eastAsia="宋体" w:hint="default"/>
                <w:w w:val="99"/>
                <w:sz w:val="18"/>
                <w:szCs w:val="18"/>
              </w:rPr>
              <w:t> </w:t>
            </w:r>
            <w:r>
              <w:rPr>
                <w:rFonts w:ascii="宋体" w:hAnsi="宋体" w:cs="宋体" w:eastAsia="宋体" w:hint="default"/>
                <w:sz w:val="18"/>
                <w:szCs w:val="18"/>
              </w:rPr>
              <w:t>系统业务发</w:t>
            </w:r>
            <w:r>
              <w:rPr>
                <w:rFonts w:ascii="宋体" w:hAnsi="宋体" w:cs="宋体" w:eastAsia="宋体" w:hint="default"/>
                <w:w w:val="99"/>
                <w:sz w:val="18"/>
                <w:szCs w:val="18"/>
              </w:rPr>
              <w:t> </w:t>
            </w:r>
            <w:r>
              <w:rPr>
                <w:rFonts w:ascii="宋体" w:hAnsi="宋体" w:cs="宋体" w:eastAsia="宋体" w:hint="default"/>
                <w:sz w:val="18"/>
                <w:szCs w:val="18"/>
              </w:rPr>
              <w:t>展</w:t>
            </w:r>
          </w:p>
        </w:tc>
        <w:tc>
          <w:tcPr>
            <w:tcW w:w="120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 w:right="89"/>
              <w:jc w:val="left"/>
              <w:rPr>
                <w:rFonts w:ascii="宋体" w:hAnsi="宋体" w:cs="宋体" w:eastAsia="宋体" w:hint="default"/>
                <w:sz w:val="18"/>
                <w:szCs w:val="18"/>
              </w:rPr>
            </w:pPr>
            <w:r>
              <w:rPr>
                <w:rFonts w:ascii="宋体" w:hAnsi="宋体" w:cs="宋体" w:eastAsia="宋体" w:hint="default"/>
                <w:sz w:val="18"/>
                <w:szCs w:val="18"/>
              </w:rPr>
              <w:t>及时催收，降 低账龄</w:t>
            </w:r>
          </w:p>
        </w:tc>
        <w:tc>
          <w:tcPr>
            <w:tcW w:w="92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0"/>
              <w:jc w:val="left"/>
              <w:rPr>
                <w:rFonts w:ascii="宋体" w:hAnsi="宋体" w:cs="宋体" w:eastAsia="宋体" w:hint="default"/>
                <w:sz w:val="18"/>
                <w:szCs w:val="18"/>
              </w:rPr>
            </w:pPr>
            <w:r>
              <w:rPr>
                <w:rFonts w:ascii="宋体" w:hAnsi="宋体" w:cs="宋体" w:eastAsia="宋体" w:hint="default"/>
                <w:sz w:val="18"/>
                <w:szCs w:val="18"/>
              </w:rPr>
              <w:t>投资性房地 产</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7"/>
              <w:jc w:val="left"/>
              <w:rPr>
                <w:rFonts w:ascii="宋体" w:hAnsi="宋体" w:cs="宋体" w:eastAsia="宋体" w:hint="default"/>
                <w:sz w:val="18"/>
                <w:szCs w:val="18"/>
              </w:rPr>
            </w:pPr>
            <w:r>
              <w:rPr>
                <w:rFonts w:ascii="宋体" w:hAnsi="宋体" w:cs="宋体" w:eastAsia="宋体" w:hint="default"/>
                <w:sz w:val="18"/>
                <w:szCs w:val="18"/>
              </w:rPr>
              <w:t>境外收购形 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2"/>
                <w:sz w:val="18"/>
                <w:szCs w:val="18"/>
              </w:rPr>
              <w:t>长期持有、保</w:t>
            </w:r>
            <w:r>
              <w:rPr>
                <w:rFonts w:ascii="宋体" w:hAnsi="宋体" w:cs="宋体" w:eastAsia="宋体" w:hint="default"/>
                <w:sz w:val="18"/>
                <w:szCs w:val="18"/>
              </w:rPr>
              <w:t> 值增值</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9"/>
              <w:jc w:val="left"/>
              <w:rPr>
                <w:rFonts w:ascii="宋体" w:hAnsi="宋体" w:cs="宋体" w:eastAsia="宋体" w:hint="default"/>
                <w:sz w:val="18"/>
                <w:szCs w:val="18"/>
              </w:rPr>
            </w:pPr>
            <w:r>
              <w:rPr>
                <w:rFonts w:ascii="宋体" w:hAnsi="宋体" w:cs="宋体" w:eastAsia="宋体" w:hint="default"/>
                <w:sz w:val="18"/>
                <w:szCs w:val="18"/>
              </w:rPr>
              <w:t>产权过户、关 注业务发展</w:t>
            </w:r>
          </w:p>
        </w:tc>
        <w:tc>
          <w:tcPr>
            <w:tcW w:w="92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0"/>
              <w:jc w:val="left"/>
              <w:rPr>
                <w:rFonts w:ascii="宋体" w:hAnsi="宋体" w:cs="宋体" w:eastAsia="宋体" w:hint="default"/>
                <w:sz w:val="18"/>
                <w:szCs w:val="18"/>
              </w:rPr>
            </w:pPr>
            <w:r>
              <w:rPr>
                <w:rFonts w:ascii="宋体" w:hAnsi="宋体" w:cs="宋体" w:eastAsia="宋体" w:hint="default"/>
                <w:sz w:val="18"/>
                <w:szCs w:val="18"/>
              </w:rPr>
              <w:t>可供出售金 融资产</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7"/>
              <w:jc w:val="left"/>
              <w:rPr>
                <w:rFonts w:ascii="宋体" w:hAnsi="宋体" w:cs="宋体" w:eastAsia="宋体" w:hint="default"/>
                <w:sz w:val="18"/>
                <w:szCs w:val="18"/>
              </w:rPr>
            </w:pPr>
            <w:r>
              <w:rPr>
                <w:rFonts w:ascii="宋体" w:hAnsi="宋体" w:cs="宋体" w:eastAsia="宋体" w:hint="default"/>
                <w:sz w:val="18"/>
                <w:szCs w:val="18"/>
              </w:rPr>
              <w:t>境外收购形 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香港、美国</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长期持有</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9"/>
              <w:jc w:val="left"/>
              <w:rPr>
                <w:rFonts w:ascii="宋体" w:hAnsi="宋体" w:cs="宋体" w:eastAsia="宋体" w:hint="default"/>
                <w:sz w:val="18"/>
                <w:szCs w:val="18"/>
              </w:rPr>
            </w:pPr>
            <w:r>
              <w:rPr>
                <w:rFonts w:ascii="宋体" w:hAnsi="宋体" w:cs="宋体" w:eastAsia="宋体" w:hint="default"/>
                <w:sz w:val="18"/>
                <w:szCs w:val="18"/>
              </w:rPr>
              <w:t>产权过户、关 注业务发展</w:t>
            </w:r>
          </w:p>
        </w:tc>
        <w:tc>
          <w:tcPr>
            <w:tcW w:w="92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240" w:lineRule="auto" w:before="26"/>
        <w:ind w:right="0"/>
        <w:jc w:val="left"/>
      </w:pPr>
      <w:r>
        <w:rPr>
          <w:rFonts w:ascii="Times New Roman" w:hAnsi="Times New Roman" w:cs="Times New Roman" w:eastAsia="Times New Roman" w:hint="default"/>
        </w:rPr>
        <w:t>1</w:t>
      </w:r>
      <w:r>
        <w:rPr/>
        <w:t>、资源技术能力</w:t>
      </w:r>
    </w:p>
    <w:p>
      <w:pPr>
        <w:pStyle w:val="BodyText"/>
        <w:spacing w:line="316" w:lineRule="auto" w:before="63"/>
        <w:ind w:right="1032" w:firstLine="423"/>
        <w:jc w:val="left"/>
      </w:pPr>
      <w:r>
        <w:rPr/>
        <w:t>公司长期专注于虚拟运营通信服务领域，在互联网通信和通信转售方面长期积累，形成了独特的资源和技术能力。凭 </w:t>
      </w:r>
      <w:r>
        <w:rPr>
          <w:spacing w:val="-2"/>
        </w:rPr>
        <w:t>借多年来在通信服务领域的守法经营和良好业绩，公司获得多项电信业务经营许可证书，丰富的牌照资源为公司开展通信服</w:t>
      </w:r>
      <w:r>
        <w:rPr>
          <w:spacing w:val="-63"/>
        </w:rPr>
        <w:t> </w:t>
      </w:r>
      <w:r>
        <w:rPr>
          <w:spacing w:val="-63"/>
        </w:rPr>
      </w:r>
      <w:r>
        <w:rPr>
          <w:spacing w:val="-2"/>
        </w:rPr>
        <w:t>务业务、特别是开展融合业务提供了保障；基于对基础电信运营商业务体系及运作方式的深刻理解，公司在长期的通信服务</w:t>
      </w:r>
      <w:r>
        <w:rPr>
          <w:spacing w:val="-66"/>
        </w:rPr>
        <w:t> </w:t>
      </w:r>
      <w:r>
        <w:rPr>
          <w:spacing w:val="-66"/>
        </w:rPr>
      </w:r>
      <w:r>
        <w:rPr>
          <w:spacing w:val="-2"/>
        </w:rPr>
        <w:t>经营过程中不断维护、深化与国内外基础电信运营商的良好合作关系，与其建立了类型丰富、资源完整、独立运营、互联互</w:t>
      </w:r>
      <w:r>
        <w:rPr>
          <w:spacing w:val="-66"/>
        </w:rPr>
        <w:t> </w:t>
      </w:r>
      <w:r>
        <w:rPr>
          <w:spacing w:val="-66"/>
        </w:rPr>
      </w:r>
      <w:r>
        <w:rPr/>
        <w:t>通的通信资源体系；公司在长期的通信服务经营过程中注重技术研发、不断积累提升通信业务技术能力，并在互联网通信、 通信转售方面拥有多项核心技术并获得多项专利。</w:t>
      </w:r>
    </w:p>
    <w:p>
      <w:pPr>
        <w:pStyle w:val="BodyText"/>
        <w:spacing w:line="240" w:lineRule="auto" w:before="19"/>
        <w:ind w:right="0"/>
        <w:jc w:val="left"/>
      </w:pPr>
      <w:r>
        <w:rPr>
          <w:rFonts w:ascii="Times New Roman" w:hAnsi="Times New Roman" w:cs="Times New Roman" w:eastAsia="Times New Roman" w:hint="default"/>
        </w:rPr>
        <w:t>2</w:t>
      </w:r>
      <w:r>
        <w:rPr/>
        <w:t>、产品创新能力</w:t>
      </w:r>
    </w:p>
    <w:p>
      <w:pPr>
        <w:pStyle w:val="BodyText"/>
        <w:spacing w:line="312" w:lineRule="auto" w:before="63"/>
        <w:ind w:right="1032" w:firstLine="423"/>
        <w:jc w:val="left"/>
      </w:pPr>
      <w:r>
        <w:rPr/>
        <w:t>通信行业不变的特点是</w:t>
      </w:r>
      <w:r>
        <w:rPr>
          <w:rFonts w:ascii="Times New Roman" w:hAnsi="Times New Roman" w:cs="Times New Roman" w:eastAsia="Times New Roman" w:hint="default"/>
        </w:rPr>
        <w:t>“</w:t>
      </w:r>
      <w:r>
        <w:rPr/>
        <w:t>变</w:t>
      </w:r>
      <w:r>
        <w:rPr>
          <w:rFonts w:ascii="Times New Roman" w:hAnsi="Times New Roman" w:cs="Times New Roman" w:eastAsia="Times New Roman" w:hint="default"/>
        </w:rPr>
        <w:t>”</w:t>
      </w:r>
      <w:r>
        <w:rPr/>
        <w:t>，市场、技术、用户需求、行业监管政策等的快速变化决定了唯有顺应变化、不断创新才 </w:t>
      </w:r>
      <w:r>
        <w:rPr>
          <w:spacing w:val="-2"/>
        </w:rPr>
        <w:t>能在本行业立足、生存和发展。在多年的业务经营过程中，伴随着对行业、市场、运营商体系了解的加深，凭借对细分用户</w:t>
      </w:r>
      <w:r>
        <w:rPr>
          <w:spacing w:val="-67"/>
        </w:rPr>
        <w:t> </w:t>
      </w:r>
      <w:r>
        <w:rPr>
          <w:spacing w:val="-67"/>
        </w:rPr>
      </w:r>
      <w:r>
        <w:rPr/>
        <w:t>群通信需求、应用场景、使用习惯、消费心态和文化差异等的深度挖掘和掌握，公司积累了丰富的通信服务产品创新经验， 从洞悉市场需求变化开始，到最终推出新的产品或增加新的功能，公司内部形成了高效的产品创新机制。</w:t>
      </w:r>
    </w:p>
    <w:p>
      <w:pPr>
        <w:pStyle w:val="BodyText"/>
        <w:spacing w:line="240" w:lineRule="auto" w:before="22"/>
        <w:ind w:right="0"/>
        <w:jc w:val="left"/>
      </w:pPr>
      <w:r>
        <w:rPr>
          <w:rFonts w:ascii="Times New Roman" w:hAnsi="Times New Roman" w:cs="Times New Roman" w:eastAsia="Times New Roman" w:hint="default"/>
        </w:rPr>
        <w:t>3</w:t>
      </w:r>
      <w:r>
        <w:rPr/>
        <w:t>、运营服务能力</w:t>
      </w:r>
    </w:p>
    <w:p>
      <w:pPr>
        <w:pStyle w:val="BodyText"/>
        <w:spacing w:line="314" w:lineRule="auto" w:before="63"/>
        <w:ind w:right="1131" w:firstLine="423"/>
        <w:jc w:val="both"/>
      </w:pPr>
      <w:r>
        <w:rPr>
          <w:spacing w:val="-1"/>
        </w:rPr>
        <w:t>通信服务商必须具备成熟稳定的运营体系</w:t>
      </w:r>
      <w:r>
        <w:rPr>
          <w:rFonts w:ascii="Times New Roman" w:hAnsi="Times New Roman" w:cs="Times New Roman" w:eastAsia="Times New Roman" w:hint="default"/>
          <w:spacing w:val="-1"/>
        </w:rPr>
        <w:t>,</w:t>
      </w:r>
      <w:r>
        <w:rPr>
          <w:spacing w:val="-1"/>
        </w:rPr>
        <w:t>才能为用户提供</w:t>
      </w:r>
      <w:r>
        <w:rPr>
          <w:rFonts w:ascii="Times New Roman" w:hAnsi="Times New Roman" w:cs="Times New Roman" w:eastAsia="Times New Roman" w:hint="default"/>
          <w:spacing w:val="-1"/>
        </w:rPr>
        <w:t>24</w:t>
      </w:r>
      <w:r>
        <w:rPr>
          <w:spacing w:val="-1"/>
        </w:rPr>
        <w:t>小时不间断的运营型服务，并能及时有效的处理故障、用</w:t>
      </w:r>
      <w:r>
        <w:rPr/>
        <w:t> </w:t>
      </w:r>
      <w:r>
        <w:rPr>
          <w:spacing w:val="-2"/>
        </w:rPr>
        <w:t>户投诉及各种突发事件。所以运营水平是决定通信服务业务经营成败的核心要素之一，且通信企业的运营服务能力需要在长</w:t>
      </w:r>
      <w:r>
        <w:rPr>
          <w:spacing w:val="-64"/>
        </w:rPr>
        <w:t> </w:t>
      </w:r>
      <w:r>
        <w:rPr>
          <w:spacing w:val="-64"/>
        </w:rPr>
      </w:r>
      <w:r>
        <w:rPr>
          <w:spacing w:val="-2"/>
        </w:rPr>
        <w:t>期的运营实践中逐渐积累，无法通过短期的学习和简单的复制而快速获得。公司长期专注于通信运营服务，在多年的经营过</w:t>
      </w:r>
      <w:r>
        <w:rPr>
          <w:spacing w:val="-66"/>
        </w:rPr>
        <w:t> </w:t>
      </w:r>
      <w:r>
        <w:rPr>
          <w:spacing w:val="-66"/>
        </w:rPr>
      </w:r>
      <w:r>
        <w:rPr>
          <w:spacing w:val="-2"/>
        </w:rPr>
        <w:t>程中积累了丰富的通信服务运营经验，形成了成熟的运营体系和运营文化，建立了成熟稳定的运营能力并不断提升，确保了</w:t>
      </w:r>
      <w:r>
        <w:rPr>
          <w:spacing w:val="-66"/>
        </w:rPr>
        <w:t> </w:t>
      </w:r>
      <w:r>
        <w:rPr>
          <w:spacing w:val="-66"/>
        </w:rPr>
      </w:r>
      <w:r>
        <w:rPr/>
        <w:t>公司为用户提供稳定、持续、高效的服务。</w:t>
      </w:r>
    </w:p>
    <w:p>
      <w:pPr>
        <w:spacing w:after="0" w:line="314"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4</w:t>
      </w:r>
      <w:r>
        <w:rPr/>
        <w:t>、营销能力</w:t>
      </w:r>
    </w:p>
    <w:p>
      <w:pPr>
        <w:pStyle w:val="BodyText"/>
        <w:spacing w:line="316" w:lineRule="auto" w:before="63"/>
        <w:ind w:right="1041" w:firstLine="423"/>
        <w:jc w:val="both"/>
      </w:pPr>
      <w:r>
        <w:rPr>
          <w:spacing w:val="-2"/>
        </w:rPr>
        <w:t>公司在面向企业客户的产品营销中，积累和形成了遍布全国主要市场领域的营销渠道，发展了上百家一级合作代理商，</w:t>
      </w:r>
      <w:r>
        <w:rPr/>
        <w:t> 这些渠道广泛接触客户，拥有有效的产品推介能力，有助于公司各项通信服务产品的迅速拓展。</w:t>
      </w:r>
    </w:p>
    <w:p>
      <w:pPr>
        <w:pStyle w:val="BodyText"/>
        <w:spacing w:line="307" w:lineRule="auto" w:before="19"/>
        <w:ind w:right="1130" w:firstLine="423"/>
        <w:jc w:val="both"/>
      </w:pPr>
      <w:r>
        <w:rPr/>
        <w:t>在个人客户市场，公司长期积累形成了独特的面向海外华人的营销渠道。公司与海外的华文媒体建立了良好的长期合 作关系，和全球超过百万的海外华人终端用户建立了良好的信任关系，</w:t>
      </w:r>
      <w:r>
        <w:rPr>
          <w:rFonts w:ascii="Times New Roman" w:hAnsi="Times New Roman" w:cs="Times New Roman" w:eastAsia="Times New Roman" w:hint="default"/>
        </w:rPr>
        <w:t>“iTalkBB</w:t>
      </w:r>
      <w:r>
        <w:rPr/>
        <w:t>蜻蜓</w:t>
      </w:r>
      <w:r>
        <w:rPr>
          <w:rFonts w:ascii="Times New Roman" w:hAnsi="Times New Roman" w:cs="Times New Roman" w:eastAsia="Times New Roman" w:hint="default"/>
        </w:rPr>
        <w:t>”</w:t>
      </w:r>
      <w:r>
        <w:rPr/>
        <w:t>品牌在海外华人特别是北美华人群体</w:t>
      </w:r>
      <w:r>
        <w:rPr>
          <w:spacing w:val="-56"/>
        </w:rPr>
        <w:t> </w:t>
      </w:r>
      <w:r>
        <w:rPr>
          <w:spacing w:val="-56"/>
        </w:rPr>
      </w:r>
      <w:r>
        <w:rPr>
          <w:spacing w:val="-2"/>
        </w:rPr>
        <w:t>中树立了良好的品牌形象。公司在美国、加拿大等地开设了近</w:t>
      </w:r>
      <w:r>
        <w:rPr>
          <w:rFonts w:ascii="Times New Roman" w:hAnsi="Times New Roman" w:cs="Times New Roman" w:eastAsia="Times New Roman" w:hint="default"/>
          <w:spacing w:val="-2"/>
        </w:rPr>
        <w:t>30</w:t>
      </w:r>
      <w:r>
        <w:rPr>
          <w:spacing w:val="-2"/>
        </w:rPr>
        <w:t>家线下实体店，在海外华人及亚裔集中区域抢占了有利的战</w:t>
      </w:r>
      <w:r>
        <w:rPr>
          <w:spacing w:val="-64"/>
        </w:rPr>
        <w:t> </w:t>
      </w:r>
      <w:r>
        <w:rPr>
          <w:spacing w:val="-64"/>
        </w:rPr>
      </w:r>
      <w:r>
        <w:rPr/>
        <w:t>略位置。</w:t>
      </w:r>
    </w:p>
    <w:p>
      <w:pPr>
        <w:spacing w:after="0" w:line="30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1"/>
        <w:spacing w:line="240" w:lineRule="auto"/>
        <w:ind w:left="2966" w:right="0"/>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11"/>
        <w:rPr>
          <w:rFonts w:ascii="宋体" w:hAnsi="宋体" w:cs="宋体" w:eastAsia="宋体" w:hint="default"/>
          <w:b/>
          <w:bCs/>
          <w:sz w:val="20"/>
          <w:szCs w:val="20"/>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pStyle w:val="BodyText"/>
        <w:spacing w:line="300" w:lineRule="auto" w:before="167"/>
        <w:ind w:right="1040" w:firstLine="360"/>
        <w:jc w:val="left"/>
      </w:pPr>
      <w:r>
        <w:rPr/>
        <w:t>公司</w:t>
      </w:r>
      <w:r>
        <w:rPr>
          <w:rFonts w:ascii="Times New Roman" w:hAnsi="Times New Roman" w:cs="Times New Roman" w:eastAsia="Times New Roman" w:hint="default"/>
        </w:rPr>
        <w:t>2018</w:t>
      </w:r>
      <w:r>
        <w:rPr/>
        <w:t>年度实现营业收入</w:t>
      </w:r>
      <w:r>
        <w:rPr>
          <w:rFonts w:ascii="Times New Roman" w:hAnsi="Times New Roman" w:cs="Times New Roman" w:eastAsia="Times New Roman" w:hint="default"/>
        </w:rPr>
        <w:t>92,873.35</w:t>
      </w:r>
      <w:r>
        <w:rPr>
          <w:rFonts w:ascii="Times New Roman" w:hAnsi="Times New Roman" w:cs="Times New Roman" w:eastAsia="Times New Roman" w:hint="default"/>
          <w:spacing w:val="29"/>
        </w:rPr>
        <w:t> </w:t>
      </w:r>
      <w:r>
        <w:rPr/>
        <w:t>万元，较上年同期增加</w:t>
      </w:r>
      <w:r>
        <w:rPr>
          <w:rFonts w:ascii="Times New Roman" w:hAnsi="Times New Roman" w:cs="Times New Roman" w:eastAsia="Times New Roman" w:hint="default"/>
        </w:rPr>
        <w:t>11.11%</w:t>
      </w:r>
      <w:r>
        <w:rPr/>
        <w:t>，主要原因为</w:t>
      </w:r>
      <w:r>
        <w:rPr>
          <w:rFonts w:ascii="Times New Roman" w:hAnsi="Times New Roman" w:cs="Times New Roman" w:eastAsia="Times New Roman" w:hint="default"/>
        </w:rPr>
        <w:t>:</w:t>
      </w:r>
      <w:r>
        <w:rPr/>
        <w:t>互联网数据中心（</w:t>
      </w:r>
      <w:r>
        <w:rPr>
          <w:rFonts w:ascii="Times New Roman" w:hAnsi="Times New Roman" w:cs="Times New Roman" w:eastAsia="Times New Roman" w:hint="default"/>
        </w:rPr>
        <w:t>IDC</w:t>
      </w:r>
      <w:r>
        <w:rPr/>
        <w:t>）业务、企业 会议业务及</w:t>
      </w:r>
      <w:r>
        <w:rPr>
          <w:rFonts w:ascii="Times New Roman" w:hAnsi="Times New Roman" w:cs="Times New Roman" w:eastAsia="Times New Roman" w:hint="default"/>
        </w:rPr>
        <w:t>2018</w:t>
      </w:r>
      <w:r>
        <w:rPr/>
        <w:t>年收购深圳日升和香港</w:t>
      </w:r>
      <w:r>
        <w:rPr>
          <w:rFonts w:ascii="Times New Roman" w:hAnsi="Times New Roman" w:cs="Times New Roman" w:eastAsia="Times New Roman" w:hint="default"/>
        </w:rPr>
        <w:t>I-ACCESS </w:t>
      </w:r>
      <w:r>
        <w:rPr>
          <w:spacing w:val="-4"/>
        </w:rPr>
        <w:t>国际专网业务增长。营业利润</w:t>
      </w:r>
      <w:r>
        <w:rPr>
          <w:rFonts w:ascii="Times New Roman" w:hAnsi="Times New Roman" w:cs="Times New Roman" w:eastAsia="Times New Roman" w:hint="default"/>
          <w:spacing w:val="-4"/>
        </w:rPr>
        <w:t>8,985.61</w:t>
      </w:r>
      <w:r>
        <w:rPr>
          <w:spacing w:val="-4"/>
        </w:rPr>
        <w:t>万元，比上年同期上升</w:t>
      </w:r>
      <w:r>
        <w:rPr>
          <w:rFonts w:ascii="Times New Roman" w:hAnsi="Times New Roman" w:cs="Times New Roman" w:eastAsia="Times New Roman" w:hint="default"/>
          <w:spacing w:val="-4"/>
        </w:rPr>
        <w:t>5,680.68</w:t>
      </w:r>
      <w:r>
        <w:rPr>
          <w:spacing w:val="-4"/>
        </w:rPr>
        <w:t>万元，</w:t>
      </w:r>
      <w:r>
        <w:rPr>
          <w:spacing w:val="-88"/>
        </w:rPr>
        <w:t> </w:t>
      </w:r>
      <w:r>
        <w:rPr>
          <w:spacing w:val="-88"/>
        </w:rPr>
      </w:r>
      <w:r>
        <w:rPr/>
        <w:t>归属于上市公司股东的净利润</w:t>
      </w:r>
      <w:r>
        <w:rPr>
          <w:rFonts w:ascii="Times New Roman" w:hAnsi="Times New Roman" w:cs="Times New Roman" w:eastAsia="Times New Roman" w:hint="default"/>
        </w:rPr>
        <w:t>8,604.22</w:t>
      </w:r>
      <w:r>
        <w:rPr/>
        <w:t>万元，较上年同期增加了</w:t>
      </w:r>
      <w:r>
        <w:rPr>
          <w:rFonts w:ascii="Times New Roman" w:hAnsi="Times New Roman" w:cs="Times New Roman" w:eastAsia="Times New Roman" w:hint="default"/>
        </w:rPr>
        <w:t>5,505.53</w:t>
      </w:r>
      <w:r>
        <w:rPr/>
        <w:t>万元，增加比例</w:t>
      </w:r>
      <w:r>
        <w:rPr>
          <w:rFonts w:ascii="Times New Roman" w:hAnsi="Times New Roman" w:cs="Times New Roman" w:eastAsia="Times New Roman" w:hint="default"/>
        </w:rPr>
        <w:t>177.67%</w:t>
      </w:r>
      <w:r>
        <w:rPr/>
        <w:t>，主要原因为：（</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spacing w:val="-2"/>
        </w:rPr>
        <w:t>年公司进行减员增效后，</w:t>
      </w:r>
      <w:r>
        <w:rPr>
          <w:rFonts w:ascii="Times New Roman" w:hAnsi="Times New Roman" w:cs="Times New Roman" w:eastAsia="Times New Roman" w:hint="default"/>
          <w:spacing w:val="-2"/>
        </w:rPr>
        <w:t>2018</w:t>
      </w:r>
      <w:r>
        <w:rPr>
          <w:spacing w:val="-2"/>
        </w:rPr>
        <w:t>年期间费用的降低；（</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年收购深圳日升和香港</w:t>
      </w:r>
      <w:r>
        <w:rPr>
          <w:rFonts w:ascii="Times New Roman" w:hAnsi="Times New Roman" w:cs="Times New Roman" w:eastAsia="Times New Roman" w:hint="default"/>
          <w:spacing w:val="-2"/>
        </w:rPr>
        <w:t>I-ACCESS</w:t>
      </w:r>
      <w:r>
        <w:rPr>
          <w:spacing w:val="-2"/>
        </w:rPr>
        <w:t>后，两者合并日至年末的净利</w:t>
      </w:r>
      <w:r>
        <w:rPr>
          <w:spacing w:val="-41"/>
        </w:rPr>
        <w:t> </w:t>
      </w:r>
      <w:r>
        <w:rPr>
          <w:spacing w:val="-41"/>
        </w:rPr>
      </w:r>
      <w:r>
        <w:rPr>
          <w:spacing w:val="21"/>
        </w:rPr>
        <w:t>润并入</w:t>
      </w:r>
      <w:r>
        <w:rPr>
          <w:spacing w:val="-5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spacing w:val="29"/>
        </w:rPr>
        <w:t>年公司合并报表范围内；（</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spacing w:val="29"/>
        </w:rPr>
        <w:t>）上年同期因公司孙公司</w:t>
      </w:r>
      <w:r>
        <w:rPr>
          <w:spacing w:val="-58"/>
        </w:rPr>
        <w:t> </w:t>
      </w:r>
      <w:r>
        <w:rPr>
          <w:rFonts w:ascii="Times New Roman" w:hAnsi="Times New Roman" w:cs="Times New Roman" w:eastAsia="Times New Roman" w:hint="default"/>
        </w:rPr>
        <w:t>iTalk</w:t>
      </w:r>
      <w:r>
        <w:rPr>
          <w:rFonts w:ascii="Times New Roman" w:hAnsi="Times New Roman" w:cs="Times New Roman" w:eastAsia="Times New Roman" w:hint="default"/>
          <w:spacing w:val="12"/>
        </w:rPr>
        <w:t> </w:t>
      </w:r>
      <w:r>
        <w:rPr>
          <w:rFonts w:ascii="Times New Roman" w:hAnsi="Times New Roman" w:cs="Times New Roman" w:eastAsia="Times New Roman" w:hint="default"/>
        </w:rPr>
        <w:t>Global</w:t>
      </w:r>
      <w:r>
        <w:rPr>
          <w:rFonts w:ascii="Times New Roman" w:hAnsi="Times New Roman" w:cs="Times New Roman" w:eastAsia="Times New Roman" w:hint="default"/>
          <w:spacing w:val="15"/>
        </w:rPr>
        <w:t> </w:t>
      </w:r>
      <w:r>
        <w:rPr>
          <w:rFonts w:ascii="Times New Roman" w:hAnsi="Times New Roman" w:cs="Times New Roman" w:eastAsia="Times New Roman" w:hint="default"/>
        </w:rPr>
        <w:t>Communications,</w:t>
      </w:r>
      <w:r>
        <w:rPr>
          <w:rFonts w:ascii="Times New Roman" w:hAnsi="Times New Roman" w:cs="Times New Roman" w:eastAsia="Times New Roman" w:hint="default"/>
          <w:spacing w:val="14"/>
        </w:rPr>
        <w:t> </w:t>
      </w:r>
      <w:r>
        <w:rPr>
          <w:rFonts w:ascii="Times New Roman" w:hAnsi="Times New Roman" w:cs="Times New Roman" w:eastAsia="Times New Roman" w:hint="default"/>
        </w:rPr>
        <w:t>Inc.</w:t>
      </w:r>
      <w:r>
        <w:rPr>
          <w:rFonts w:ascii="Times New Roman" w:hAnsi="Times New Roman" w:cs="Times New Roman" w:eastAsia="Times New Roman" w:hint="default"/>
          <w:spacing w:val="-12"/>
        </w:rPr>
        <w:t> </w:t>
      </w:r>
      <w:r>
        <w:rPr/>
        <w:t>和</w:t>
      </w:r>
      <w:r>
        <w:rPr>
          <w:spacing w:val="-58"/>
        </w:rPr>
        <w:t> </w:t>
      </w:r>
      <w:r>
        <w:rPr>
          <w:rFonts w:ascii="Times New Roman" w:hAnsi="Times New Roman" w:cs="Times New Roman" w:eastAsia="Times New Roman" w:hint="default"/>
        </w:rPr>
        <w:t>iTalkTV</w:t>
      </w:r>
      <w:r>
        <w:rPr>
          <w:rFonts w:ascii="Times New Roman" w:hAnsi="Times New Roman" w:cs="Times New Roman" w:eastAsia="Times New Roman" w:hint="default"/>
          <w:w w:val="99"/>
        </w:rPr>
        <w:t> </w:t>
      </w:r>
      <w:r>
        <w:rPr>
          <w:rFonts w:ascii="Times New Roman" w:hAnsi="Times New Roman" w:cs="Times New Roman" w:eastAsia="Times New Roman" w:hint="default"/>
        </w:rPr>
        <w:t>HONGKONGLimited.</w:t>
      </w:r>
      <w:r>
        <w:rPr/>
        <w:t>与</w:t>
      </w:r>
      <w:r>
        <w:rPr>
          <w:rFonts w:ascii="Times New Roman" w:hAnsi="Times New Roman" w:cs="Times New Roman" w:eastAsia="Times New Roman" w:hint="default"/>
        </w:rPr>
        <w:t>GUANGZHOU Media AMERICAN</w:t>
      </w:r>
      <w:r>
        <w:rPr>
          <w:rFonts w:ascii="Times New Roman" w:hAnsi="Times New Roman" w:cs="Times New Roman" w:eastAsia="Times New Roman" w:hint="default"/>
          <w:spacing w:val="-7"/>
        </w:rPr>
        <w:t> </w:t>
      </w:r>
      <w:r>
        <w:rPr>
          <w:rFonts w:ascii="Times New Roman" w:hAnsi="Times New Roman" w:cs="Times New Roman" w:eastAsia="Times New Roman" w:hint="default"/>
        </w:rPr>
        <w:t>Co.Ltd</w:t>
      </w:r>
      <w:r>
        <w:rPr/>
        <w:t>之重大诉讼确认和解及诉讼相关费用计入</w:t>
      </w:r>
      <w:r>
        <w:rPr>
          <w:rFonts w:ascii="Times New Roman" w:hAnsi="Times New Roman" w:cs="Times New Roman" w:eastAsia="Times New Roman" w:hint="default"/>
        </w:rPr>
        <w:t>2017</w:t>
      </w:r>
      <w:r>
        <w:rPr/>
        <w:t>年当年损益。</w:t>
      </w:r>
    </w:p>
    <w:p>
      <w:pPr>
        <w:pStyle w:val="BodyText"/>
        <w:spacing w:line="319" w:lineRule="auto" w:before="52"/>
        <w:ind w:right="1130" w:firstLine="360"/>
        <w:jc w:val="both"/>
      </w:pPr>
      <w:r>
        <w:rPr>
          <w:spacing w:val="-2"/>
        </w:rPr>
        <w:t>自</w:t>
      </w:r>
      <w:r>
        <w:rPr>
          <w:rFonts w:ascii="宋体" w:hAnsi="宋体" w:cs="宋体" w:eastAsia="宋体" w:hint="default"/>
          <w:spacing w:val="-2"/>
        </w:rPr>
        <w:t>2015</w:t>
      </w:r>
      <w:r>
        <w:rPr>
          <w:spacing w:val="-2"/>
        </w:rPr>
        <w:t>年开始公司业务进入调整发展期。因国际个人数据漫游资费不断进行下调，公司个人国际数据漫游业务利润空间</w:t>
      </w:r>
      <w:r>
        <w:rPr/>
        <w:t> </w:t>
      </w:r>
      <w:r>
        <w:rPr>
          <w:spacing w:val="-2"/>
        </w:rPr>
        <w:t>下降，公司改变了对国内个人用户提供数据漫游、移动通信等业务策略，利用开展个人国际数据漫游业务、</w:t>
      </w:r>
      <w:r>
        <w:rPr>
          <w:rFonts w:ascii="宋体" w:hAnsi="宋体" w:cs="宋体" w:eastAsia="宋体" w:hint="default"/>
          <w:spacing w:val="-2"/>
        </w:rPr>
        <w:t>MVNO</w:t>
      </w:r>
      <w:r>
        <w:rPr>
          <w:spacing w:val="-2"/>
        </w:rPr>
        <w:t>业务而获得</w:t>
      </w:r>
      <w:r>
        <w:rPr>
          <w:spacing w:val="-61"/>
        </w:rPr>
        <w:t> </w:t>
      </w:r>
      <w:r>
        <w:rPr/>
        <w:t>到的移动技术和服务能力，转而关注到企业移动（如企业手机）、物联网（</w:t>
      </w:r>
      <w:r>
        <w:rPr>
          <w:rFonts w:ascii="宋体" w:hAnsi="宋体" w:cs="宋体" w:eastAsia="宋体" w:hint="default"/>
        </w:rPr>
        <w:t>IoT</w:t>
      </w:r>
      <w:r>
        <w:rPr/>
        <w:t>）等企业业务方面，从而公司在国内运营、</w:t>
      </w:r>
      <w:r>
        <w:rPr>
          <w:spacing w:val="-82"/>
        </w:rPr>
        <w:t> </w:t>
      </w:r>
      <w:r>
        <w:rPr>
          <w:spacing w:val="-82"/>
        </w:rPr>
      </w:r>
      <w:r>
        <w:rPr>
          <w:spacing w:val="-5"/>
        </w:rPr>
        <w:t>技术和服务等能力完全集中在企业客户方面，进一步满足企业客户在全方位的通信需求。同时，公司秉承“一带一路”、“走</w:t>
      </w:r>
      <w:r>
        <w:rPr>
          <w:spacing w:val="-80"/>
        </w:rPr>
        <w:t> </w:t>
      </w:r>
      <w:r>
        <w:rPr>
          <w:spacing w:val="-80"/>
        </w:rPr>
      </w:r>
      <w:r>
        <w:rPr>
          <w:spacing w:val="-2"/>
        </w:rPr>
        <w:t>出去”等国家战略积极布局、构建国际通信业务。此外，公司海外互联网综合通信服务业务更为专注于建立多平台、适用于</w:t>
      </w:r>
      <w:r>
        <w:rPr>
          <w:spacing w:val="-66"/>
        </w:rPr>
        <w:t> </w:t>
      </w:r>
      <w:r>
        <w:rPr>
          <w:spacing w:val="-66"/>
        </w:rPr>
      </w:r>
      <w:r>
        <w:rPr/>
        <w:t>多终端的互联网视频内容的提供，同时大力发展北美移动通信（</w:t>
      </w:r>
      <w:r>
        <w:rPr>
          <w:rFonts w:ascii="宋体" w:hAnsi="宋体" w:cs="宋体" w:eastAsia="宋体" w:hint="default"/>
        </w:rPr>
        <w:t>MVNO</w:t>
      </w:r>
      <w:r>
        <w:rPr/>
        <w:t>）业务。</w:t>
      </w:r>
    </w:p>
    <w:p>
      <w:pPr>
        <w:pStyle w:val="BodyText"/>
        <w:spacing w:line="319" w:lineRule="auto" w:before="55"/>
        <w:ind w:right="1128" w:firstLine="360"/>
        <w:jc w:val="both"/>
      </w:pPr>
      <w:r>
        <w:rPr>
          <w:spacing w:val="-2"/>
        </w:rPr>
        <w:t>至</w:t>
      </w:r>
      <w:r>
        <w:rPr>
          <w:rFonts w:ascii="宋体" w:hAnsi="宋体" w:cs="宋体" w:eastAsia="宋体" w:hint="default"/>
          <w:spacing w:val="-2"/>
        </w:rPr>
        <w:t>2018</w:t>
      </w:r>
      <w:r>
        <w:rPr>
          <w:spacing w:val="-2"/>
        </w:rPr>
        <w:t>年末，公司原各业务线已基本调整完毕、业务策略就绪。公司调整后主要形成三大事业部（三大业务线）：企业</w:t>
      </w:r>
      <w:r>
        <w:rPr/>
        <w:t> </w:t>
      </w:r>
      <w:r>
        <w:rPr>
          <w:spacing w:val="-2"/>
        </w:rPr>
        <w:t>通信事业部、国际通信事业部和北美互联网综合服务事业部。三大事业部的设立使得各业务板块的供、产、销之间更容易协</w:t>
      </w:r>
      <w:r>
        <w:rPr>
          <w:spacing w:val="-66"/>
        </w:rPr>
        <w:t> </w:t>
      </w:r>
      <w:r>
        <w:rPr>
          <w:spacing w:val="-66"/>
        </w:rPr>
      </w:r>
      <w:r>
        <w:rPr>
          <w:spacing w:val="-2"/>
        </w:rPr>
        <w:t>调，事业部制更利于组织专业化生产和实现企业的内部协作，各事业部之间的比较和竞争也利于企业的发展和人才培养，从</w:t>
      </w:r>
      <w:r>
        <w:rPr>
          <w:spacing w:val="-66"/>
        </w:rPr>
        <w:t> </w:t>
      </w:r>
      <w:r>
        <w:rPr>
          <w:spacing w:val="-66"/>
        </w:rPr>
      </w:r>
      <w:r>
        <w:rPr/>
        <w:t>而公司进入稳定、高速发展的阶段。</w:t>
      </w:r>
    </w:p>
    <w:p>
      <w:pPr>
        <w:pStyle w:val="BodyText"/>
        <w:spacing w:line="319" w:lineRule="auto" w:before="55"/>
        <w:ind w:right="1131" w:firstLine="360"/>
        <w:jc w:val="both"/>
      </w:pPr>
      <w:r>
        <w:rPr>
          <w:spacing w:val="-2"/>
        </w:rPr>
        <w:t>报告期内，企业通信业务的已有产品如邮件、会议、直播的产品质量、业务规模和服务水平均稳步提高，继续为客户提</w:t>
      </w:r>
      <w:r>
        <w:rPr/>
        <w:t> </w:t>
      </w:r>
      <w:r>
        <w:rPr>
          <w:spacing w:val="-2"/>
        </w:rPr>
        <w:t>供“融合、创新、专业、高效”的服务。同时，通过“双师课堂”和“直播网校”的探索，完成了以视频为基础的针对教育</w:t>
      </w:r>
      <w:r>
        <w:rPr>
          <w:spacing w:val="-71"/>
        </w:rPr>
        <w:t> </w:t>
      </w:r>
      <w:r>
        <w:rPr>
          <w:spacing w:val="-71"/>
        </w:rPr>
      </w:r>
      <w:r>
        <w:rPr/>
        <w:t>行业的新产品探索，不仅在视频和教育领域迈出了重要的一步，也为今后的业务发展打下了坚实基础。</w:t>
      </w:r>
    </w:p>
    <w:p>
      <w:pPr>
        <w:pStyle w:val="BodyText"/>
        <w:spacing w:line="319" w:lineRule="auto" w:before="56"/>
        <w:ind w:right="1032" w:firstLine="360"/>
        <w:jc w:val="left"/>
      </w:pPr>
      <w:r>
        <w:rPr/>
        <w:t>报告期内，公司企业会议业务将</w:t>
      </w:r>
      <w:r>
        <w:rPr>
          <w:rFonts w:ascii="宋体" w:hAnsi="宋体" w:cs="宋体" w:eastAsia="宋体" w:hint="default"/>
        </w:rPr>
        <w:t>263</w:t>
      </w:r>
      <w:r>
        <w:rPr/>
        <w:t>电话会议、网络会议和视频会议进行了统一融合，用户只需一个</w:t>
      </w:r>
      <w:r>
        <w:rPr>
          <w:rFonts w:ascii="宋体" w:hAnsi="宋体" w:cs="宋体" w:eastAsia="宋体" w:hint="default"/>
        </w:rPr>
        <w:t>263</w:t>
      </w:r>
      <w:r>
        <w:rPr/>
        <w:t>企业会议账号， </w:t>
      </w:r>
      <w:r>
        <w:rPr>
          <w:spacing w:val="-2"/>
        </w:rPr>
        <w:t>即可召开任何所需类型的会议，实现统一用户管理、产品权限管理、会议预约和使用管理等。同时公司在企业管理需求方面</w:t>
      </w:r>
      <w:r>
        <w:rPr>
          <w:spacing w:val="-66"/>
        </w:rPr>
        <w:t> </w:t>
      </w:r>
      <w:r>
        <w:rPr>
          <w:spacing w:val="-66"/>
        </w:rPr>
      </w:r>
      <w:r>
        <w:rPr>
          <w:spacing w:val="-2"/>
        </w:rPr>
        <w:t>进行了进一步的产品优化，最大程度上提升终端用户使用便利性的同时满足企业复杂、多维度的管理需求。此外，人工会议</w:t>
      </w:r>
      <w:r>
        <w:rPr>
          <w:spacing w:val="-66"/>
        </w:rPr>
        <w:t> </w:t>
      </w:r>
      <w:r>
        <w:rPr>
          <w:spacing w:val="-66"/>
        </w:rPr>
      </w:r>
      <w:r>
        <w:rPr/>
        <w:t>服务、</w:t>
      </w:r>
      <w:r>
        <w:rPr>
          <w:rFonts w:ascii="宋体" w:hAnsi="宋体" w:cs="宋体" w:eastAsia="宋体" w:hint="default"/>
        </w:rPr>
        <w:t>263</w:t>
      </w:r>
      <w:r>
        <w:rPr/>
        <w:t>畅听会产品通过功能优化及服务能力提升，全面保障了各类客户对会议安全性及高端服务的需求。</w:t>
      </w:r>
    </w:p>
    <w:p>
      <w:pPr>
        <w:pStyle w:val="BodyText"/>
        <w:spacing w:line="319" w:lineRule="auto" w:before="55"/>
        <w:ind w:right="1027" w:firstLine="360"/>
        <w:jc w:val="left"/>
      </w:pPr>
      <w:r>
        <w:rPr>
          <w:spacing w:val="-2"/>
        </w:rPr>
        <w:t>“移动”是</w:t>
      </w:r>
      <w:r>
        <w:rPr>
          <w:rFonts w:ascii="宋体" w:hAnsi="宋体" w:cs="宋体" w:eastAsia="宋体" w:hint="default"/>
          <w:spacing w:val="-2"/>
        </w:rPr>
        <w:t>263</w:t>
      </w:r>
      <w:r>
        <w:rPr>
          <w:spacing w:val="-2"/>
        </w:rPr>
        <w:t>企业会议的重点发力之一，顺应移动互联网领域快速发展大趋势，</w:t>
      </w:r>
      <w:r>
        <w:rPr>
          <w:rFonts w:ascii="宋体" w:hAnsi="宋体" w:cs="宋体" w:eastAsia="宋体" w:hint="default"/>
          <w:spacing w:val="-2"/>
        </w:rPr>
        <w:t>263</w:t>
      </w:r>
      <w:r>
        <w:rPr>
          <w:spacing w:val="-2"/>
        </w:rPr>
        <w:t>视频会议在</w:t>
      </w:r>
      <w:r>
        <w:rPr>
          <w:rFonts w:ascii="宋体" w:hAnsi="宋体" w:cs="宋体" w:eastAsia="宋体" w:hint="default"/>
          <w:spacing w:val="-2"/>
        </w:rPr>
        <w:t>2018</w:t>
      </w:r>
      <w:r>
        <w:rPr>
          <w:spacing w:val="-2"/>
        </w:rPr>
        <w:t>年初推出视频会议</w:t>
      </w:r>
      <w:r>
        <w:rPr/>
        <w:t> </w:t>
      </w:r>
      <w:r>
        <w:rPr>
          <w:spacing w:val="-5"/>
        </w:rPr>
        <w:t>移动端</w:t>
      </w:r>
      <w:r>
        <w:rPr>
          <w:rFonts w:ascii="宋体" w:hAnsi="宋体" w:cs="宋体" w:eastAsia="宋体" w:hint="default"/>
          <w:spacing w:val="-5"/>
        </w:rPr>
        <w:t>app</w:t>
      </w:r>
      <w:r>
        <w:rPr>
          <w:spacing w:val="-5"/>
        </w:rPr>
        <w:t>，同步支持</w:t>
      </w:r>
      <w:r>
        <w:rPr>
          <w:rFonts w:ascii="宋体" w:hAnsi="宋体" w:cs="宋体" w:eastAsia="宋体" w:hint="default"/>
          <w:spacing w:val="-5"/>
        </w:rPr>
        <w:t>iOS</w:t>
      </w:r>
      <w:r>
        <w:rPr>
          <w:spacing w:val="-5"/>
        </w:rPr>
        <w:t>和</w:t>
      </w:r>
      <w:r>
        <w:rPr>
          <w:rFonts w:ascii="宋体" w:hAnsi="宋体" w:cs="宋体" w:eastAsia="宋体" w:hint="default"/>
          <w:spacing w:val="-5"/>
        </w:rPr>
        <w:t>Android</w:t>
      </w:r>
      <w:r>
        <w:rPr>
          <w:spacing w:val="-5"/>
        </w:rPr>
        <w:t>平台。用户在手机上就可以进行视频会议、观看共享内容。同时</w:t>
      </w:r>
      <w:r>
        <w:rPr>
          <w:rFonts w:ascii="宋体" w:hAnsi="宋体" w:cs="宋体" w:eastAsia="宋体" w:hint="default"/>
          <w:spacing w:val="-5"/>
        </w:rPr>
        <w:t>263</w:t>
      </w:r>
      <w:r>
        <w:rPr>
          <w:spacing w:val="-5"/>
        </w:rPr>
        <w:t>会议移动端（</w:t>
      </w:r>
      <w:r>
        <w:rPr>
          <w:rFonts w:ascii="宋体" w:hAnsi="宋体" w:cs="宋体" w:eastAsia="宋体" w:hint="default"/>
          <w:spacing w:val="-5"/>
        </w:rPr>
        <w:t>263</w:t>
      </w:r>
      <w:r>
        <w:rPr>
          <w:rFonts w:ascii="宋体" w:hAnsi="宋体" w:cs="宋体" w:eastAsia="宋体" w:hint="default"/>
          <w:spacing w:val="-45"/>
        </w:rPr>
        <w:t> </w:t>
      </w:r>
      <w:r>
        <w:rPr>
          <w:rFonts w:ascii="宋体" w:hAnsi="宋体" w:cs="宋体" w:eastAsia="宋体" w:hint="default"/>
        </w:rPr>
        <w:t>meet</w:t>
      </w:r>
      <w:r>
        <w:rPr/>
        <w:t>） </w:t>
      </w:r>
      <w:r>
        <w:rPr>
          <w:spacing w:val="-2"/>
        </w:rPr>
        <w:t>作为会议产品的移动门户，也在</w:t>
      </w:r>
      <w:r>
        <w:rPr>
          <w:rFonts w:ascii="宋体" w:hAnsi="宋体" w:cs="宋体" w:eastAsia="宋体" w:hint="default"/>
          <w:spacing w:val="-2"/>
        </w:rPr>
        <w:t>2018</w:t>
      </w:r>
      <w:r>
        <w:rPr>
          <w:spacing w:val="-2"/>
        </w:rPr>
        <w:t>年内不断完善功能，优化使用体验，满足特殊应用场景的移动接入需求，尤其对于企业</w:t>
      </w:r>
      <w:r>
        <w:rPr>
          <w:spacing w:val="-62"/>
        </w:rPr>
        <w:t> </w:t>
      </w:r>
      <w:r>
        <w:rPr>
          <w:spacing w:val="-62"/>
        </w:rPr>
      </w:r>
      <w:r>
        <w:rPr/>
        <w:t>将视频服务应用于外部客户服务和营销的环节，从便利性和用户体验方面进行提升。现在</w:t>
      </w:r>
      <w:r>
        <w:rPr>
          <w:rFonts w:ascii="宋体" w:hAnsi="宋体" w:cs="宋体" w:eastAsia="宋体" w:hint="default"/>
        </w:rPr>
        <w:t>263meet</w:t>
      </w:r>
      <w:r>
        <w:rPr/>
        <w:t>中可以查看全部类型的会</w:t>
      </w:r>
      <w:r>
        <w:rPr>
          <w:spacing w:val="-83"/>
        </w:rPr>
        <w:t> </w:t>
      </w:r>
      <w:r>
        <w:rPr>
          <w:spacing w:val="-83"/>
        </w:rPr>
      </w:r>
      <w:r>
        <w:rPr/>
        <w:t>议并且可以在</w:t>
      </w:r>
      <w:r>
        <w:rPr>
          <w:rFonts w:ascii="宋体" w:hAnsi="宋体" w:cs="宋体" w:eastAsia="宋体" w:hint="default"/>
        </w:rPr>
        <w:t>app</w:t>
      </w:r>
      <w:r>
        <w:rPr/>
        <w:t>内一键入会。</w:t>
      </w:r>
    </w:p>
    <w:p>
      <w:pPr>
        <w:pStyle w:val="BodyText"/>
        <w:spacing w:line="316" w:lineRule="auto" w:before="55"/>
        <w:ind w:right="1129" w:firstLine="360"/>
        <w:jc w:val="both"/>
      </w:pPr>
      <w:r>
        <w:rPr/>
        <w:t>“视频”是研发投入重点，采用国际领先的</w:t>
      </w:r>
      <w:r>
        <w:rPr>
          <w:rFonts w:ascii="宋体" w:hAnsi="宋体" w:cs="宋体" w:eastAsia="宋体" w:hint="default"/>
        </w:rPr>
        <w:t>H.265/VP9</w:t>
      </w:r>
      <w:r>
        <w:rPr/>
        <w:t>编解码技术，跨代提升音视频质量。同时通过</w:t>
      </w:r>
      <w:r>
        <w:rPr>
          <w:rFonts w:ascii="宋体" w:hAnsi="宋体" w:cs="宋体" w:eastAsia="宋体" w:hint="default"/>
        </w:rPr>
        <w:t>PaaS</w:t>
      </w:r>
      <w:r>
        <w:rPr/>
        <w:t>方式，让企业 可以将视频能力集成到其核心业务流程中，新一代的企业通信会基于“视频”。</w:t>
      </w:r>
      <w:r>
        <w:rPr>
          <w:rFonts w:ascii="宋体" w:hAnsi="宋体" w:cs="宋体" w:eastAsia="宋体" w:hint="default"/>
        </w:rPr>
        <w:t>2018</w:t>
      </w:r>
      <w:r>
        <w:rPr/>
        <w:t>年下半年</w:t>
      </w:r>
      <w:r>
        <w:rPr>
          <w:rFonts w:ascii="宋体" w:hAnsi="宋体" w:cs="宋体" w:eastAsia="宋体" w:hint="default"/>
        </w:rPr>
        <w:t>263</w:t>
      </w:r>
      <w:r>
        <w:rPr/>
        <w:t>开始在低成本、低功耗的</w:t>
      </w:r>
      <w:r>
        <w:rPr>
          <w:spacing w:val="-82"/>
        </w:rPr>
        <w:t> </w:t>
      </w:r>
      <w:r>
        <w:rPr>
          <w:spacing w:val="-82"/>
        </w:rPr>
      </w:r>
      <w:r>
        <w:rPr>
          <w:spacing w:val="-2"/>
        </w:rPr>
        <w:t>硬件终端研发上进行大量资源投入，并推出几款全新的“绝对低成本”硬件终端。用</w:t>
      </w:r>
      <w:r>
        <w:rPr>
          <w:rFonts w:ascii="宋体" w:hAnsi="宋体" w:cs="宋体" w:eastAsia="宋体" w:hint="default"/>
          <w:spacing w:val="-2"/>
        </w:rPr>
        <w:t>1/3</w:t>
      </w:r>
      <w:r>
        <w:rPr>
          <w:spacing w:val="-2"/>
        </w:rPr>
        <w:t>的价格，</w:t>
      </w:r>
      <w:r>
        <w:rPr>
          <w:rFonts w:ascii="宋体" w:hAnsi="宋体" w:cs="宋体" w:eastAsia="宋体" w:hint="default"/>
          <w:spacing w:val="-2"/>
        </w:rPr>
        <w:t>1/2</w:t>
      </w:r>
      <w:r>
        <w:rPr>
          <w:spacing w:val="-2"/>
        </w:rPr>
        <w:t>的带宽占用，即可实现</w:t>
      </w:r>
      <w:r>
        <w:rPr>
          <w:spacing w:val="-60"/>
        </w:rPr>
        <w:t> </w:t>
      </w:r>
      <w:r>
        <w:rPr>
          <w:spacing w:val="-60"/>
        </w:rPr>
      </w:r>
      <w:r>
        <w:rPr>
          <w:spacing w:val="-2"/>
        </w:rPr>
        <w:t>甚至超出目前市面上主流视频会议的视频效果，用技术革新，彻底打破视频会议行业常规。针对大量已购硬件视频会议系统</w:t>
      </w:r>
    </w:p>
    <w:p>
      <w:pPr>
        <w:pStyle w:val="BodyText"/>
        <w:spacing w:line="319" w:lineRule="auto" w:before="19"/>
        <w:ind w:right="1032"/>
        <w:jc w:val="left"/>
      </w:pPr>
      <w:r>
        <w:rPr/>
        <w:t>（包括宝利通、思科、华为、中兴等品牌设备厂商）的企业客户，</w:t>
      </w:r>
      <w:r>
        <w:rPr>
          <w:rFonts w:ascii="宋体" w:hAnsi="宋体" w:cs="宋体" w:eastAsia="宋体" w:hint="default"/>
        </w:rPr>
        <w:t>263</w:t>
      </w:r>
      <w:r>
        <w:rPr/>
        <w:t>视频会议从协议层进行完美的兼容，客户可以充分利</w:t>
      </w:r>
      <w:r>
        <w:rPr>
          <w:spacing w:val="-82"/>
        </w:rPr>
        <w:t> </w:t>
      </w:r>
      <w:r>
        <w:rPr>
          <w:spacing w:val="-82"/>
        </w:rPr>
      </w:r>
      <w:r>
        <w:rPr>
          <w:spacing w:val="-2"/>
        </w:rPr>
        <w:t>用已有设备，通过</w:t>
      </w:r>
      <w:r>
        <w:rPr>
          <w:rFonts w:ascii="宋体" w:hAnsi="宋体" w:cs="宋体" w:eastAsia="宋体" w:hint="default"/>
          <w:spacing w:val="-2"/>
        </w:rPr>
        <w:t>263</w:t>
      </w:r>
      <w:r>
        <w:rPr>
          <w:spacing w:val="-2"/>
        </w:rPr>
        <w:t>的云服务，即可快速、低成本的解决扩容、外网和移动接入等迫切需求，很好解决了传统视频会议</w:t>
      </w:r>
      <w:r>
        <w:rPr>
          <w:rFonts w:ascii="宋体" w:hAnsi="宋体" w:cs="宋体" w:eastAsia="宋体" w:hint="default"/>
          <w:spacing w:val="-2"/>
        </w:rPr>
        <w:t>MCU</w:t>
      </w:r>
      <w:r>
        <w:rPr>
          <w:rFonts w:ascii="宋体" w:hAnsi="宋体" w:cs="宋体" w:eastAsia="宋体" w:hint="default"/>
          <w:spacing w:val="-60"/>
        </w:rPr>
        <w:t> </w:t>
      </w:r>
      <w:r>
        <w:rPr/>
        <w:t>无法灵活扩容、使用复杂、对专线专网依赖性大等问题。</w:t>
      </w:r>
      <w:r>
        <w:rPr>
          <w:rFonts w:ascii="宋体" w:hAnsi="宋体" w:cs="宋体" w:eastAsia="宋体" w:hint="default"/>
        </w:rPr>
        <w:t>263</w:t>
      </w:r>
      <w:r>
        <w:rPr/>
        <w:t>与宝利通和华为硬件厂商签订了战略合作协议，并同硬件厂商</w:t>
      </w:r>
      <w:r>
        <w:rPr>
          <w:spacing w:val="-83"/>
        </w:rPr>
        <w:t> </w:t>
      </w:r>
      <w:r>
        <w:rPr>
          <w:spacing w:val="-83"/>
        </w:rPr>
      </w:r>
      <w:r>
        <w:rPr>
          <w:spacing w:val="-6"/>
        </w:rPr>
        <w:t>合作推出了自有品牌的硬件终端，为客户提供“云</w:t>
      </w:r>
      <w:r>
        <w:rPr>
          <w:rFonts w:ascii="宋体" w:hAnsi="宋体" w:cs="宋体" w:eastAsia="宋体" w:hint="default"/>
          <w:spacing w:val="-6"/>
        </w:rPr>
        <w:t>+</w:t>
      </w:r>
      <w:r>
        <w:rPr>
          <w:spacing w:val="-6"/>
        </w:rPr>
        <w:t>端”完整解决方案，</w:t>
      </w:r>
      <w:r>
        <w:rPr>
          <w:rFonts w:ascii="宋体" w:hAnsi="宋体" w:cs="宋体" w:eastAsia="宋体" w:hint="default"/>
          <w:spacing w:val="-6"/>
        </w:rPr>
        <w:t>263</w:t>
      </w:r>
      <w:r>
        <w:rPr>
          <w:spacing w:val="-6"/>
        </w:rPr>
        <w:t>企业通信产品线从纯软件</w:t>
      </w:r>
      <w:r>
        <w:rPr>
          <w:rFonts w:ascii="宋体" w:hAnsi="宋体" w:cs="宋体" w:eastAsia="宋体" w:hint="default"/>
          <w:spacing w:val="-6"/>
        </w:rPr>
        <w:t>SaaS</w:t>
      </w:r>
      <w:r>
        <w:rPr>
          <w:spacing w:val="-6"/>
        </w:rPr>
        <w:t>服务扩充了硬件“端”</w:t>
      </w:r>
      <w:r>
        <w:rPr>
          <w:spacing w:val="-84"/>
        </w:rPr>
        <w:t> </w:t>
      </w:r>
      <w:r>
        <w:rPr>
          <w:spacing w:val="-84"/>
        </w:rPr>
      </w:r>
      <w:r>
        <w:rPr/>
        <w:t>的能力。</w:t>
      </w:r>
    </w:p>
    <w:p>
      <w:pPr>
        <w:pStyle w:val="BodyText"/>
        <w:spacing w:line="319" w:lineRule="auto" w:before="55"/>
        <w:ind w:right="1131" w:firstLine="360"/>
        <w:jc w:val="both"/>
      </w:pPr>
      <w:r>
        <w:rPr>
          <w:spacing w:val="-2"/>
        </w:rPr>
        <w:t>报告期内，企业直播作为公司的业务重点之一稳步发展，在商用直播领域稳居第一阵营。除了在线教育、互联网金融两</w:t>
      </w:r>
      <w:r>
        <w:rPr/>
        <w:t> 个重点行业，其他医疗、保险等行业占比也越来越旺盛，直播已经真正成为了现代企业面向互联网的必备赋能工具。</w:t>
      </w:r>
    </w:p>
    <w:p>
      <w:pPr>
        <w:spacing w:after="0" w:line="31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29" w:firstLine="360"/>
        <w:jc w:val="both"/>
      </w:pPr>
      <w:r>
        <w:rPr>
          <w:rFonts w:ascii="宋体" w:hAnsi="宋体" w:cs="宋体" w:eastAsia="宋体" w:hint="default"/>
        </w:rPr>
        <w:t>263</w:t>
      </w:r>
      <w:r>
        <w:rPr/>
        <w:t>企业直播服务依托于多年的经验积累和强大的视频处理能力，为用户提供从接入到分发观看的一站式服务，保障用 </w:t>
      </w:r>
      <w:r>
        <w:rPr>
          <w:spacing w:val="-2"/>
        </w:rPr>
        <w:t>户体验到稳定流畅、低延时、高并发的直播效果。在中国及海外部署了大规模服务器集群，为全球用户提供运营商级的专属</w:t>
      </w:r>
      <w:r>
        <w:rPr>
          <w:spacing w:val="-66"/>
        </w:rPr>
        <w:t> </w:t>
      </w:r>
      <w:r>
        <w:rPr>
          <w:spacing w:val="-66"/>
        </w:rPr>
      </w:r>
      <w:r>
        <w:rPr>
          <w:spacing w:val="-2"/>
        </w:rPr>
        <w:t>互动直播服务，满足客户企业培训、在线教育、互动直播等多种</w:t>
      </w:r>
      <w:r>
        <w:rPr>
          <w:rFonts w:ascii="宋体" w:hAnsi="宋体" w:cs="宋体" w:eastAsia="宋体" w:hint="default"/>
          <w:spacing w:val="-2"/>
        </w:rPr>
        <w:t>SaaS</w:t>
      </w:r>
      <w:r>
        <w:rPr>
          <w:spacing w:val="-2"/>
        </w:rPr>
        <w:t>服务需求，在音视频处理、高并发、大容量等技术方面</w:t>
      </w:r>
      <w:r>
        <w:rPr>
          <w:spacing w:val="-64"/>
        </w:rPr>
        <w:t> </w:t>
      </w:r>
      <w:r>
        <w:rPr>
          <w:spacing w:val="-64"/>
        </w:rPr>
      </w:r>
      <w:r>
        <w:rPr/>
        <w:t>拥有硅谷技术和专业的人才，具有完全自主知识产权。目前</w:t>
      </w:r>
      <w:r>
        <w:rPr>
          <w:rFonts w:ascii="宋体" w:hAnsi="宋体" w:cs="宋体" w:eastAsia="宋体" w:hint="default"/>
        </w:rPr>
        <w:t>263</w:t>
      </w:r>
      <w:r>
        <w:rPr/>
        <w:t>企业直播服务于全球</w:t>
      </w:r>
      <w:r>
        <w:rPr>
          <w:rFonts w:ascii="宋体" w:hAnsi="宋体" w:cs="宋体" w:eastAsia="宋体" w:hint="default"/>
        </w:rPr>
        <w:t>1000</w:t>
      </w:r>
      <w:r>
        <w:rPr/>
        <w:t>多家大中型企业及知名教育培训机</w:t>
      </w:r>
      <w:r>
        <w:rPr>
          <w:spacing w:val="-82"/>
        </w:rPr>
        <w:t> </w:t>
      </w:r>
      <w:r>
        <w:rPr>
          <w:spacing w:val="-82"/>
        </w:rPr>
      </w:r>
      <w:r>
        <w:rPr/>
        <w:t>构用户，占据中国大部分市场份额，成为</w:t>
      </w:r>
      <w:r>
        <w:rPr>
          <w:rFonts w:ascii="宋体" w:hAnsi="宋体" w:cs="宋体" w:eastAsia="宋体" w:hint="default"/>
        </w:rPr>
        <w:t>IBM</w:t>
      </w:r>
      <w:r>
        <w:rPr/>
        <w:t>、华为、联想、京东、阿里巴巴、摩根汇通、新东方、尚德、广汽本田、交通</w:t>
      </w:r>
      <w:r>
        <w:rPr>
          <w:spacing w:val="-83"/>
        </w:rPr>
        <w:t> </w:t>
      </w:r>
      <w:r>
        <w:rPr>
          <w:spacing w:val="-83"/>
        </w:rPr>
      </w:r>
      <w:r>
        <w:rPr/>
        <w:t>银行、南方电网、天狮集团等众多知名企事业单位的合作伙伴。</w:t>
      </w:r>
    </w:p>
    <w:p>
      <w:pPr>
        <w:pStyle w:val="BodyText"/>
        <w:spacing w:line="319" w:lineRule="auto" w:before="55"/>
        <w:ind w:right="1129" w:firstLine="360"/>
        <w:jc w:val="both"/>
      </w:pPr>
      <w:r>
        <w:rPr/>
        <w:t>报告期内，公司依托企业直播产品及视频会议产品在教育行业的深耕和一定的品牌知名度，</w:t>
      </w:r>
      <w:r>
        <w:rPr>
          <w:rFonts w:ascii="宋体" w:hAnsi="宋体" w:cs="宋体" w:eastAsia="宋体" w:hint="default"/>
        </w:rPr>
        <w:t>2018</w:t>
      </w:r>
      <w:r>
        <w:rPr/>
        <w:t>年推出了“</w:t>
      </w:r>
      <w:r>
        <w:rPr>
          <w:rFonts w:ascii="宋体" w:hAnsi="宋体" w:cs="宋体" w:eastAsia="宋体" w:hint="default"/>
        </w:rPr>
        <w:t>263</w:t>
      </w:r>
      <w:r>
        <w:rPr/>
        <w:t>教育” </w:t>
      </w:r>
      <w:r>
        <w:rPr>
          <w:spacing w:val="-2"/>
        </w:rPr>
        <w:t>行业解决方案，从直播网校、大班课堂、小班课堂和双师课堂等四大产品全面覆盖所有远程教育的应用需求。为教育机构提</w:t>
      </w:r>
      <w:r>
        <w:rPr>
          <w:spacing w:val="-66"/>
        </w:rPr>
        <w:t> </w:t>
      </w:r>
      <w:r>
        <w:rPr>
          <w:spacing w:val="-66"/>
        </w:rPr>
      </w:r>
      <w:r>
        <w:rPr>
          <w:spacing w:val="-2"/>
        </w:rPr>
        <w:t>供“云</w:t>
      </w:r>
      <w:r>
        <w:rPr>
          <w:rFonts w:ascii="宋体" w:hAnsi="宋体" w:cs="宋体" w:eastAsia="宋体" w:hint="default"/>
          <w:spacing w:val="-2"/>
        </w:rPr>
        <w:t>+</w:t>
      </w:r>
      <w:r>
        <w:rPr>
          <w:spacing w:val="-2"/>
        </w:rPr>
        <w:t>端”一站式视频服务解决方案，具有很强的市场竞争优势。同时，</w:t>
      </w:r>
      <w:r>
        <w:rPr>
          <w:rFonts w:ascii="宋体" w:hAnsi="宋体" w:cs="宋体" w:eastAsia="宋体" w:hint="default"/>
          <w:spacing w:val="-2"/>
        </w:rPr>
        <w:t>263</w:t>
      </w:r>
      <w:r>
        <w:rPr>
          <w:spacing w:val="-2"/>
        </w:rPr>
        <w:t>视频会议与</w:t>
      </w:r>
      <w:r>
        <w:rPr>
          <w:rFonts w:ascii="宋体" w:hAnsi="宋体" w:cs="宋体" w:eastAsia="宋体" w:hint="default"/>
          <w:spacing w:val="-2"/>
        </w:rPr>
        <w:t>263</w:t>
      </w:r>
      <w:r>
        <w:rPr>
          <w:spacing w:val="-2"/>
        </w:rPr>
        <w:t>电话会议和</w:t>
      </w:r>
      <w:r>
        <w:rPr>
          <w:rFonts w:ascii="宋体" w:hAnsi="宋体" w:cs="宋体" w:eastAsia="宋体" w:hint="default"/>
          <w:spacing w:val="-2"/>
        </w:rPr>
        <w:t>263</w:t>
      </w:r>
      <w:r>
        <w:rPr>
          <w:spacing w:val="-2"/>
        </w:rPr>
        <w:t>网络直播产品无</w:t>
      </w:r>
      <w:r>
        <w:rPr>
          <w:spacing w:val="-56"/>
        </w:rPr>
        <w:t> </w:t>
      </w:r>
      <w:r>
        <w:rPr/>
        <w:t>缝整合，丰富了客户的应用场景，也很好突显了多产品融合的优势。远程教育市场将会在至少未来</w:t>
      </w:r>
      <w:r>
        <w:rPr>
          <w:rFonts w:ascii="宋体" w:hAnsi="宋体" w:cs="宋体" w:eastAsia="宋体" w:hint="default"/>
        </w:rPr>
        <w:t>5</w:t>
      </w:r>
      <w:r>
        <w:rPr/>
        <w:t>年保持迅猛增长，</w:t>
      </w:r>
      <w:r>
        <w:rPr>
          <w:rFonts w:ascii="宋体" w:hAnsi="宋体" w:cs="宋体" w:eastAsia="宋体" w:hint="default"/>
        </w:rPr>
        <w:t>263</w:t>
      </w:r>
      <w:r>
        <w:rPr>
          <w:rFonts w:ascii="宋体" w:hAnsi="宋体" w:cs="宋体" w:eastAsia="宋体" w:hint="default"/>
          <w:spacing w:val="2"/>
        </w:rPr>
        <w:t> </w:t>
      </w:r>
      <w:r>
        <w:rPr/>
        <w:t>会通过不断市场发声，巩固和建立在教育行业的领导者地位。</w:t>
      </w:r>
    </w:p>
    <w:p>
      <w:pPr>
        <w:pStyle w:val="BodyText"/>
        <w:spacing w:line="319" w:lineRule="auto" w:before="56"/>
        <w:ind w:right="1032" w:firstLine="360"/>
        <w:jc w:val="left"/>
      </w:pPr>
      <w:r>
        <w:rPr>
          <w:spacing w:val="-2"/>
        </w:rPr>
        <w:t>视频会议产品在</w:t>
      </w:r>
      <w:r>
        <w:rPr>
          <w:rFonts w:ascii="宋体" w:hAnsi="宋体" w:cs="宋体" w:eastAsia="宋体" w:hint="default"/>
          <w:spacing w:val="-2"/>
        </w:rPr>
        <w:t>2018</w:t>
      </w:r>
      <w:r>
        <w:rPr>
          <w:spacing w:val="-2"/>
        </w:rPr>
        <w:t>年继续布局教育市场，新打造的直播网校、双师课堂产品已经初见成效。在内部融合方面，电话接</w:t>
      </w:r>
      <w:r>
        <w:rPr/>
        <w:t> </w:t>
      </w:r>
      <w:r>
        <w:rPr>
          <w:spacing w:val="-2"/>
        </w:rPr>
        <w:t>入直播业务、视频会议的同时做直播发布，产品上的融合已经凸显业务竞争威力，为大型企业提供了具有完整方案服务的能</w:t>
      </w:r>
      <w:r>
        <w:rPr>
          <w:spacing w:val="-66"/>
        </w:rPr>
        <w:t> </w:t>
      </w:r>
      <w:r>
        <w:rPr>
          <w:spacing w:val="-66"/>
        </w:rPr>
      </w:r>
      <w:r>
        <w:rPr/>
        <w:t>力。“</w:t>
      </w:r>
      <w:r>
        <w:rPr>
          <w:rFonts w:ascii="宋体" w:hAnsi="宋体" w:cs="宋体" w:eastAsia="宋体" w:hint="default"/>
        </w:rPr>
        <w:t>263</w:t>
      </w:r>
      <w:r>
        <w:rPr/>
        <w:t>双师课堂”产品优化更适用授课场景视频布局模式，增加点名广播等互动功能。开发专属双师课堂管理站点，便</w:t>
      </w:r>
      <w:r>
        <w:rPr>
          <w:spacing w:val="-83"/>
        </w:rPr>
        <w:t> </w:t>
      </w:r>
      <w:r>
        <w:rPr>
          <w:spacing w:val="-83"/>
        </w:rPr>
      </w:r>
      <w:r>
        <w:rPr/>
        <w:t>于老师排课和进行课程管理。同时，</w:t>
      </w:r>
      <w:r>
        <w:rPr>
          <w:rFonts w:ascii="宋体" w:hAnsi="宋体" w:cs="宋体" w:eastAsia="宋体" w:hint="default"/>
        </w:rPr>
        <w:t>263</w:t>
      </w:r>
      <w:r>
        <w:rPr/>
        <w:t>双师课堂也交付到诸多大型企业客户的视频会议混合云部署方案中。会议节点部署</w:t>
      </w:r>
      <w:r>
        <w:rPr>
          <w:spacing w:val="-83"/>
        </w:rPr>
        <w:t> </w:t>
      </w:r>
      <w:r>
        <w:rPr>
          <w:spacing w:val="-83"/>
        </w:rPr>
      </w:r>
      <w:r>
        <w:rPr>
          <w:spacing w:val="-2"/>
        </w:rPr>
        <w:t>在企业内网，音视频媒体流不出公网，信息安全无忧，同时又能享用到“云端运维，自动升级”</w:t>
      </w:r>
      <w:r>
        <w:rPr>
          <w:rFonts w:ascii="宋体" w:hAnsi="宋体" w:cs="宋体" w:eastAsia="宋体" w:hint="default"/>
          <w:spacing w:val="-2"/>
        </w:rPr>
        <w:t>SaaS</w:t>
      </w:r>
      <w:r>
        <w:rPr>
          <w:spacing w:val="-2"/>
        </w:rPr>
        <w:t>服务的快速响应和便捷</w:t>
      </w:r>
      <w:r>
        <w:rPr>
          <w:spacing w:val="-63"/>
        </w:rPr>
        <w:t> </w:t>
      </w:r>
      <w:r>
        <w:rPr/>
        <w:t>性。丰富、开放的系统接口，让除了教育行业客户以外的更多行业客户尝试更多视频应用场景的深度集成。包括党建平台、 远程信访、企业监管等在内的“政务云”应用也在逐步被政府采纳和推广。</w:t>
      </w:r>
    </w:p>
    <w:p>
      <w:pPr>
        <w:pStyle w:val="BodyText"/>
        <w:spacing w:line="319" w:lineRule="auto" w:before="55"/>
        <w:ind w:right="1042" w:firstLine="360"/>
        <w:jc w:val="left"/>
      </w:pPr>
      <w:r>
        <w:rPr>
          <w:spacing w:val="-2"/>
        </w:rPr>
        <w:t>报告期内，公司秉承“一带一路”、“走出去”等国家战略积极布局、构建国际通信业务。公司在国际通信业务领域通</w:t>
      </w:r>
      <w:r>
        <w:rPr/>
        <w:t> </w:t>
      </w:r>
      <w:r>
        <w:rPr>
          <w:spacing w:val="-3"/>
        </w:rPr>
        <w:t>过与</w:t>
      </w:r>
      <w:r>
        <w:rPr>
          <w:rFonts w:ascii="宋体" w:hAnsi="宋体" w:cs="宋体" w:eastAsia="宋体" w:hint="default"/>
          <w:spacing w:val="-3"/>
        </w:rPr>
        <w:t>NTT</w:t>
      </w:r>
      <w:r>
        <w:rPr>
          <w:spacing w:val="-3"/>
        </w:rPr>
        <w:t>的战略合作，不仅通过设立合资公司（公司控股</w:t>
      </w:r>
      <w:r>
        <w:rPr>
          <w:rFonts w:ascii="宋体" w:hAnsi="宋体" w:cs="宋体" w:eastAsia="宋体" w:hint="default"/>
          <w:spacing w:val="-3"/>
        </w:rPr>
        <w:t>51%</w:t>
      </w:r>
      <w:r>
        <w:rPr>
          <w:spacing w:val="-3"/>
        </w:rPr>
        <w:t>）开展</w:t>
      </w:r>
      <w:r>
        <w:rPr>
          <w:rFonts w:ascii="宋体" w:hAnsi="宋体" w:cs="宋体" w:eastAsia="宋体" w:hint="default"/>
          <w:spacing w:val="-3"/>
        </w:rPr>
        <w:t>IDC</w:t>
      </w:r>
      <w:r>
        <w:rPr>
          <w:spacing w:val="-3"/>
        </w:rPr>
        <w:t>、云计算等业务，同时公司充分利用</w:t>
      </w:r>
      <w:r>
        <w:rPr>
          <w:rFonts w:ascii="宋体" w:hAnsi="宋体" w:cs="宋体" w:eastAsia="宋体" w:hint="default"/>
          <w:spacing w:val="-3"/>
        </w:rPr>
        <w:t>NTT</w:t>
      </w:r>
      <w:r>
        <w:rPr>
          <w:spacing w:val="-3"/>
        </w:rPr>
        <w:t>的品牌影响力、</w:t>
      </w:r>
      <w:r>
        <w:rPr>
          <w:spacing w:val="-82"/>
        </w:rPr>
        <w:t> </w:t>
      </w:r>
      <w:r>
        <w:rPr>
          <w:spacing w:val="-82"/>
        </w:rPr>
      </w:r>
      <w:r>
        <w:rPr/>
        <w:t>优质的客户资源及全球营销能力完成</w:t>
      </w:r>
      <w:r>
        <w:rPr>
          <w:rFonts w:ascii="宋体" w:hAnsi="宋体" w:cs="宋体" w:eastAsia="宋体" w:hint="default"/>
        </w:rPr>
        <w:t>IDC+VPN</w:t>
      </w:r>
      <w:r>
        <w:rPr/>
        <w:t>组网的产品及解决方案能力构建，放大公司自身业务规模。此外，报告期内公</w:t>
      </w:r>
      <w:r>
        <w:rPr>
          <w:spacing w:val="-84"/>
        </w:rPr>
        <w:t> </w:t>
      </w:r>
      <w:r>
        <w:rPr>
          <w:spacing w:val="-84"/>
        </w:rPr>
      </w:r>
      <w:r>
        <w:rPr/>
        <w:t>司通过并购深圳日升、香港</w:t>
      </w:r>
      <w:r>
        <w:rPr>
          <w:rFonts w:ascii="宋体" w:hAnsi="宋体" w:cs="宋体" w:eastAsia="宋体" w:hint="default"/>
        </w:rPr>
        <w:t>I-Access</w:t>
      </w:r>
      <w:r>
        <w:rPr/>
        <w:t>导入国际业务能力，提高</w:t>
      </w:r>
      <w:r>
        <w:rPr>
          <w:rFonts w:ascii="宋体" w:hAnsi="宋体" w:cs="宋体" w:eastAsia="宋体" w:hint="default"/>
        </w:rPr>
        <w:t>Inbound</w:t>
      </w:r>
      <w:r>
        <w:rPr/>
        <w:t>业务营销能效，并逐步构建</w:t>
      </w:r>
      <w:r>
        <w:rPr>
          <w:rFonts w:ascii="宋体" w:hAnsi="宋体" w:cs="宋体" w:eastAsia="宋体" w:hint="default"/>
        </w:rPr>
        <w:t>Outbound</w:t>
      </w:r>
      <w:r>
        <w:rPr/>
        <w:t>业务能力。</w:t>
      </w:r>
    </w:p>
    <w:p>
      <w:pPr>
        <w:pStyle w:val="BodyText"/>
        <w:spacing w:line="319" w:lineRule="auto" w:before="56"/>
        <w:ind w:right="0" w:firstLine="360"/>
        <w:jc w:val="left"/>
      </w:pPr>
      <w:r>
        <w:rPr/>
        <w:t>报告期内正值公司旗下北美</w:t>
      </w:r>
      <w:r>
        <w:rPr>
          <w:rFonts w:ascii="宋体" w:hAnsi="宋体" w:cs="宋体" w:eastAsia="宋体" w:hint="default"/>
        </w:rPr>
        <w:t>iTalkBB</w:t>
      </w:r>
      <w:r>
        <w:rPr/>
        <w:t>公司成立</w:t>
      </w:r>
      <w:r>
        <w:rPr>
          <w:rFonts w:ascii="宋体" w:hAnsi="宋体" w:cs="宋体" w:eastAsia="宋体" w:hint="default"/>
        </w:rPr>
        <w:t>15</w:t>
      </w:r>
      <w:r>
        <w:rPr/>
        <w:t>周年，其品牌影响力及产品活跃用户量在北美华人市场独占鳌头，是北 </w:t>
      </w:r>
      <w:r>
        <w:rPr>
          <w:spacing w:val="-3"/>
        </w:rPr>
        <w:t>美海外华人市场的领军品牌。</w:t>
      </w:r>
      <w:r>
        <w:rPr>
          <w:rFonts w:ascii="宋体" w:hAnsi="宋体" w:cs="宋体" w:eastAsia="宋体" w:hint="default"/>
          <w:spacing w:val="-3"/>
        </w:rPr>
        <w:t>2018</w:t>
      </w:r>
      <w:r>
        <w:rPr>
          <w:spacing w:val="-3"/>
        </w:rPr>
        <w:t>年对于</w:t>
      </w:r>
      <w:r>
        <w:rPr>
          <w:rFonts w:ascii="宋体" w:hAnsi="宋体" w:cs="宋体" w:eastAsia="宋体" w:hint="default"/>
          <w:spacing w:val="-3"/>
        </w:rPr>
        <w:t>iTalkBB</w:t>
      </w:r>
      <w:r>
        <w:rPr>
          <w:spacing w:val="-3"/>
        </w:rPr>
        <w:t>来说是发展的一年，</w:t>
      </w:r>
      <w:r>
        <w:rPr>
          <w:rFonts w:ascii="宋体" w:hAnsi="宋体" w:cs="宋体" w:eastAsia="宋体" w:hint="default"/>
          <w:spacing w:val="-3"/>
        </w:rPr>
        <w:t>iTalkBB</w:t>
      </w:r>
      <w:r>
        <w:rPr>
          <w:spacing w:val="-3"/>
        </w:rPr>
        <w:t>美国市场的业务组合在除家庭电话，中文电视，</w:t>
      </w:r>
      <w:r>
        <w:rPr>
          <w:spacing w:val="-72"/>
        </w:rPr>
        <w:t> </w:t>
      </w:r>
      <w:r>
        <w:rPr>
          <w:spacing w:val="-72"/>
        </w:rPr>
      </w:r>
      <w:r>
        <w:rPr/>
        <w:t>高速网络之外，更将服务内容扩展至移动手机卡业务，</w:t>
      </w:r>
      <w:r>
        <w:rPr>
          <w:rFonts w:ascii="宋体" w:hAnsi="宋体" w:cs="宋体" w:eastAsia="宋体" w:hint="default"/>
        </w:rPr>
        <w:t>VIP</w:t>
      </w:r>
      <w:r>
        <w:rPr/>
        <w:t>电子商城等多条产品线，以期给海外华人用户带来更多的价值。</w:t>
      </w:r>
    </w:p>
    <w:p>
      <w:pPr>
        <w:pStyle w:val="BodyText"/>
        <w:spacing w:line="319" w:lineRule="auto" w:before="56"/>
        <w:ind w:right="1049" w:firstLine="360"/>
        <w:jc w:val="both"/>
      </w:pPr>
      <w:r>
        <w:rPr/>
        <w:t>报告期内，公司收购的</w:t>
      </w:r>
      <w:r>
        <w:rPr>
          <w:rFonts w:ascii="宋体" w:hAnsi="宋体" w:cs="宋体" w:eastAsia="宋体" w:hint="default"/>
        </w:rPr>
        <w:t>iTalkBB Media</w:t>
      </w:r>
      <w:r>
        <w:rPr/>
        <w:t>在完善中文电视产品线盈利模式的同时，为</w:t>
      </w:r>
      <w:r>
        <w:rPr>
          <w:rFonts w:ascii="宋体" w:hAnsi="宋体" w:cs="宋体" w:eastAsia="宋体" w:hint="default"/>
        </w:rPr>
        <w:t>iTalkBB</w:t>
      </w:r>
      <w:r>
        <w:rPr/>
        <w:t>带来了百万美元左右的利润。 在积极开发本土客户的同时，其与多家</w:t>
      </w:r>
      <w:r>
        <w:rPr>
          <w:rFonts w:ascii="宋体" w:hAnsi="宋体" w:cs="宋体" w:eastAsia="宋体" w:hint="default"/>
        </w:rPr>
        <w:t>4A</w:t>
      </w:r>
      <w:r>
        <w:rPr/>
        <w:t>广告公司建立了良好的合作关系，为今后的业务发展打下了良好的基础。</w:t>
      </w:r>
    </w:p>
    <w:p>
      <w:pPr>
        <w:pStyle w:val="BodyText"/>
        <w:spacing w:line="319" w:lineRule="auto" w:before="55"/>
        <w:ind w:right="1130" w:firstLine="360"/>
        <w:jc w:val="both"/>
      </w:pPr>
      <w:r>
        <w:rPr>
          <w:rFonts w:ascii="宋体" w:hAnsi="宋体" w:cs="宋体" w:eastAsia="宋体" w:hint="default"/>
        </w:rPr>
        <w:t>iTalkBB</w:t>
      </w:r>
      <w:r>
        <w:rPr/>
        <w:t>移动手机业务正式上线标志着</w:t>
      </w:r>
      <w:r>
        <w:rPr>
          <w:rFonts w:ascii="宋体" w:hAnsi="宋体" w:cs="宋体" w:eastAsia="宋体" w:hint="default"/>
        </w:rPr>
        <w:t>iTalkBB</w:t>
      </w:r>
      <w:r>
        <w:rPr/>
        <w:t>成为真正意义上的同时为海外华人提供固话和移动手机服务的电信通讯 </w:t>
      </w:r>
      <w:r>
        <w:rPr>
          <w:spacing w:val="-2"/>
        </w:rPr>
        <w:t>运行商。拥有由美国通讯管理局颁发的</w:t>
      </w:r>
      <w:r>
        <w:rPr>
          <w:rFonts w:ascii="宋体" w:hAnsi="宋体" w:cs="宋体" w:eastAsia="宋体" w:hint="default"/>
          <w:spacing w:val="-2"/>
        </w:rPr>
        <w:t>214</w:t>
      </w:r>
      <w:r>
        <w:rPr>
          <w:spacing w:val="-2"/>
        </w:rPr>
        <w:t>执照，提升了</w:t>
      </w:r>
      <w:r>
        <w:rPr>
          <w:rFonts w:ascii="宋体" w:hAnsi="宋体" w:cs="宋体" w:eastAsia="宋体" w:hint="default"/>
          <w:spacing w:val="-2"/>
        </w:rPr>
        <w:t>iTalkBB</w:t>
      </w:r>
      <w:r>
        <w:rPr>
          <w:spacing w:val="-2"/>
        </w:rPr>
        <w:t>的整体业务价值，也加入到和</w:t>
      </w:r>
      <w:r>
        <w:rPr>
          <w:rFonts w:ascii="宋体" w:hAnsi="宋体" w:cs="宋体" w:eastAsia="宋体" w:hint="default"/>
          <w:spacing w:val="-2"/>
        </w:rPr>
        <w:t>Verizon</w:t>
      </w:r>
      <w:r>
        <w:rPr>
          <w:spacing w:val="-2"/>
        </w:rPr>
        <w:t>，</w:t>
      </w:r>
      <w:r>
        <w:rPr>
          <w:rFonts w:ascii="宋体" w:hAnsi="宋体" w:cs="宋体" w:eastAsia="宋体" w:hint="default"/>
          <w:spacing w:val="-2"/>
        </w:rPr>
        <w:t>AT</w:t>
      </w:r>
      <w:r>
        <w:rPr>
          <w:spacing w:val="-2"/>
        </w:rPr>
        <w:t>和</w:t>
      </w:r>
      <w:r>
        <w:rPr>
          <w:rFonts w:ascii="宋体" w:hAnsi="宋体" w:cs="宋体" w:eastAsia="宋体" w:hint="default"/>
          <w:spacing w:val="-2"/>
        </w:rPr>
        <w:t>T</w:t>
      </w:r>
      <w:r>
        <w:rPr>
          <w:spacing w:val="-2"/>
        </w:rPr>
        <w:t>以及</w:t>
      </w:r>
      <w:r>
        <w:rPr>
          <w:rFonts w:ascii="宋体" w:hAnsi="宋体" w:cs="宋体" w:eastAsia="宋体" w:hint="default"/>
          <w:spacing w:val="-2"/>
        </w:rPr>
        <w:t>T-Mobile</w:t>
      </w:r>
      <w:r>
        <w:rPr>
          <w:rFonts w:ascii="宋体" w:hAnsi="宋体" w:cs="宋体" w:eastAsia="宋体" w:hint="default"/>
          <w:spacing w:val="-38"/>
        </w:rPr>
        <w:t> </w:t>
      </w:r>
      <w:r>
        <w:rPr/>
        <w:t>等主流美国移动通讯运营商的竞争行列。</w:t>
      </w:r>
    </w:p>
    <w:p>
      <w:pPr>
        <w:pStyle w:val="BodyText"/>
        <w:spacing w:line="319" w:lineRule="auto" w:before="55"/>
        <w:ind w:right="1130" w:firstLine="360"/>
        <w:jc w:val="both"/>
      </w:pPr>
      <w:r>
        <w:rPr/>
        <w:t>报告期内，</w:t>
      </w:r>
      <w:r>
        <w:rPr>
          <w:rFonts w:ascii="宋体" w:hAnsi="宋体" w:cs="宋体" w:eastAsia="宋体" w:hint="default"/>
        </w:rPr>
        <w:t>iTalkBB</w:t>
      </w:r>
      <w:r>
        <w:rPr/>
        <w:t>与</w:t>
      </w:r>
      <w:r>
        <w:rPr>
          <w:rFonts w:ascii="宋体" w:hAnsi="宋体" w:cs="宋体" w:eastAsia="宋体" w:hint="default"/>
        </w:rPr>
        <w:t>NBA</w:t>
      </w:r>
      <w:r>
        <w:rPr/>
        <w:t>球队布鲁克林篮网队已连续第三年合作。</w:t>
      </w:r>
      <w:r>
        <w:rPr>
          <w:rFonts w:ascii="宋体" w:hAnsi="宋体" w:cs="宋体" w:eastAsia="宋体" w:hint="default"/>
        </w:rPr>
        <w:t>iTalkBB</w:t>
      </w:r>
      <w:r>
        <w:rPr/>
        <w:t>自成立以来一直秉承着坚持不懈、不断进取 </w:t>
      </w:r>
      <w:r>
        <w:rPr>
          <w:spacing w:val="-2"/>
        </w:rPr>
        <w:t>的体育精神。通过与篮网队合作，公司希望鼓励更多海外华人关注体育以及体育对华人年轻一代成长的影响。本次合作特别</w:t>
      </w:r>
      <w:r>
        <w:rPr>
          <w:spacing w:val="-66"/>
        </w:rPr>
        <w:t> </w:t>
      </w:r>
      <w:r>
        <w:rPr>
          <w:spacing w:val="-66"/>
        </w:rPr>
      </w:r>
      <w:r>
        <w:rPr/>
        <w:t>设立了</w:t>
      </w:r>
      <w:r>
        <w:rPr>
          <w:rFonts w:ascii="宋体" w:hAnsi="宋体" w:cs="宋体" w:eastAsia="宋体" w:hint="default"/>
        </w:rPr>
        <w:t>iTalkBB</w:t>
      </w:r>
      <w:r>
        <w:rPr/>
        <w:t>与布鲁克林篮网队联名奖学金，旨在将体育精神与文化教育相结合，伴随新一代海外华人的成长。</w:t>
      </w:r>
    </w:p>
    <w:p>
      <w:pPr>
        <w:pStyle w:val="BodyText"/>
        <w:spacing w:line="319" w:lineRule="auto" w:before="56"/>
        <w:ind w:right="1038" w:firstLine="360"/>
        <w:jc w:val="left"/>
      </w:pPr>
      <w:r>
        <w:rPr>
          <w:rFonts w:ascii="宋体" w:hAnsi="宋体" w:cs="宋体" w:eastAsia="宋体" w:hint="default"/>
          <w:spacing w:val="-2"/>
        </w:rPr>
        <w:t>iTalkBB</w:t>
      </w:r>
      <w:r>
        <w:rPr>
          <w:spacing w:val="-2"/>
        </w:rPr>
        <w:t>中文电视业务在推出</w:t>
      </w:r>
      <w:r>
        <w:rPr>
          <w:rFonts w:ascii="宋体" w:hAnsi="宋体" w:cs="宋体" w:eastAsia="宋体" w:hint="default"/>
          <w:spacing w:val="-2"/>
        </w:rPr>
        <w:t>7</w:t>
      </w:r>
      <w:r>
        <w:rPr>
          <w:spacing w:val="-2"/>
        </w:rPr>
        <w:t>年后，</w:t>
      </w:r>
      <w:r>
        <w:rPr>
          <w:rFonts w:ascii="宋体" w:hAnsi="宋体" w:cs="宋体" w:eastAsia="宋体" w:hint="default"/>
          <w:spacing w:val="-2"/>
        </w:rPr>
        <w:t>2018</w:t>
      </w:r>
      <w:r>
        <w:rPr>
          <w:spacing w:val="-2"/>
        </w:rPr>
        <w:t>年着眼于提升核心竞争力，将精力放在稳定技术平台，增加节目内容和完善服</w:t>
      </w:r>
      <w:r>
        <w:rPr/>
        <w:t> </w:t>
      </w:r>
      <w:r>
        <w:rPr>
          <w:spacing w:val="-3"/>
        </w:rPr>
        <w:t>务质量。</w:t>
      </w:r>
      <w:r>
        <w:rPr>
          <w:rFonts w:ascii="宋体" w:hAnsi="宋体" w:cs="宋体" w:eastAsia="宋体" w:hint="default"/>
          <w:spacing w:val="-3"/>
        </w:rPr>
        <w:t>2018</w:t>
      </w:r>
      <w:r>
        <w:rPr>
          <w:spacing w:val="-3"/>
        </w:rPr>
        <w:t>年，</w:t>
      </w:r>
      <w:r>
        <w:rPr>
          <w:rFonts w:ascii="宋体" w:hAnsi="宋体" w:cs="宋体" w:eastAsia="宋体" w:hint="default"/>
          <w:spacing w:val="-3"/>
        </w:rPr>
        <w:t>iTalkBB</w:t>
      </w:r>
      <w:r>
        <w:rPr>
          <w:spacing w:val="-3"/>
        </w:rPr>
        <w:t>中文电视完成了</w:t>
      </w:r>
      <w:r>
        <w:rPr>
          <w:rFonts w:ascii="宋体" w:hAnsi="宋体" w:cs="宋体" w:eastAsia="宋体" w:hint="default"/>
          <w:spacing w:val="-3"/>
        </w:rPr>
        <w:t>CDN</w:t>
      </w:r>
      <w:r>
        <w:rPr>
          <w:spacing w:val="-3"/>
        </w:rPr>
        <w:t>网络的切换，实现网络带宽运营成本减少的同时，用户的观看体验有明显提升。</w:t>
      </w:r>
      <w:r>
        <w:rPr>
          <w:spacing w:val="-79"/>
        </w:rPr>
        <w:t> </w:t>
      </w:r>
      <w:r>
        <w:rPr>
          <w:spacing w:val="-79"/>
        </w:rPr>
      </w:r>
      <w:r>
        <w:rPr/>
        <w:t>在对海外中文电视市场有足够信心的前提下，公司对现有用户的价格套餐进行了调整，单个用户收益增长。</w:t>
      </w:r>
    </w:p>
    <w:p>
      <w:pPr>
        <w:pStyle w:val="BodyText"/>
        <w:spacing w:line="319" w:lineRule="auto" w:before="55"/>
        <w:ind w:right="1129" w:firstLine="360"/>
        <w:jc w:val="both"/>
      </w:pPr>
      <w:r>
        <w:rPr/>
        <w:t>报告期内，</w:t>
      </w:r>
      <w:r>
        <w:rPr>
          <w:rFonts w:ascii="宋体" w:hAnsi="宋体" w:cs="宋体" w:eastAsia="宋体" w:hint="default"/>
        </w:rPr>
        <w:t>iTalkBB</w:t>
      </w:r>
      <w:r>
        <w:rPr/>
        <w:t>与北美第一大通信商</w:t>
      </w:r>
      <w:r>
        <w:rPr>
          <w:rFonts w:ascii="宋体" w:hAnsi="宋体" w:cs="宋体" w:eastAsia="宋体" w:hint="default"/>
        </w:rPr>
        <w:t>Verizon Fios</w:t>
      </w:r>
      <w:r>
        <w:rPr/>
        <w:t>进行合作。</w:t>
      </w:r>
      <w:r>
        <w:rPr>
          <w:spacing w:val="7"/>
        </w:rPr>
        <w:t> </w:t>
      </w:r>
      <w:r>
        <w:rPr>
          <w:rFonts w:ascii="宋体" w:hAnsi="宋体" w:cs="宋体" w:eastAsia="宋体" w:hint="default"/>
        </w:rPr>
        <w:t>Fios</w:t>
      </w:r>
      <w:r>
        <w:rPr/>
        <w:t>在销售高速家庭网络的同时，向</w:t>
      </w:r>
      <w:r>
        <w:rPr>
          <w:rFonts w:ascii="宋体" w:hAnsi="宋体" w:cs="宋体" w:eastAsia="宋体" w:hint="default"/>
        </w:rPr>
        <w:t>Verizon</w:t>
      </w:r>
      <w:r>
        <w:rPr/>
        <w:t>用户提 </w:t>
      </w:r>
      <w:r>
        <w:rPr>
          <w:spacing w:val="-2"/>
        </w:rPr>
        <w:t>供</w:t>
      </w:r>
      <w:r>
        <w:rPr>
          <w:rFonts w:ascii="宋体" w:hAnsi="宋体" w:cs="宋体" w:eastAsia="宋体" w:hint="default"/>
          <w:spacing w:val="-2"/>
        </w:rPr>
        <w:t>iTalkBB</w:t>
      </w:r>
      <w:r>
        <w:rPr>
          <w:spacing w:val="-2"/>
        </w:rPr>
        <w:t>中文电视服务，以达到双赢的目的。此活动自上线以来，为</w:t>
      </w:r>
      <w:r>
        <w:rPr>
          <w:rFonts w:ascii="宋体" w:hAnsi="宋体" w:cs="宋体" w:eastAsia="宋体" w:hint="default"/>
          <w:spacing w:val="-2"/>
        </w:rPr>
        <w:t>Verizon</w:t>
      </w:r>
      <w:r>
        <w:rPr>
          <w:spacing w:val="-2"/>
        </w:rPr>
        <w:t>带来了上千华人家庭新用户。同时，为了寻求</w:t>
      </w:r>
      <w:r>
        <w:rPr>
          <w:spacing w:val="-52"/>
        </w:rPr>
        <w:t> </w:t>
      </w:r>
      <w:r>
        <w:rPr>
          <w:spacing w:val="-52"/>
        </w:rPr>
      </w:r>
      <w:r>
        <w:rPr/>
        <w:t>用户量的突破与增长，</w:t>
      </w:r>
      <w:r>
        <w:rPr>
          <w:rFonts w:ascii="宋体" w:hAnsi="宋体" w:cs="宋体" w:eastAsia="宋体" w:hint="default"/>
        </w:rPr>
        <w:t>iTalkBB</w:t>
      </w:r>
      <w:r>
        <w:rPr/>
        <w:t>中文电视还专门为</w:t>
      </w:r>
      <w:r>
        <w:rPr>
          <w:rFonts w:ascii="宋体" w:hAnsi="宋体" w:cs="宋体" w:eastAsia="宋体" w:hint="default"/>
        </w:rPr>
        <w:t>Amazon</w:t>
      </w:r>
      <w:r>
        <w:rPr/>
        <w:t>，</w:t>
      </w:r>
      <w:r>
        <w:rPr>
          <w:rFonts w:ascii="宋体" w:hAnsi="宋体" w:cs="宋体" w:eastAsia="宋体" w:hint="default"/>
        </w:rPr>
        <w:t>eBay</w:t>
      </w:r>
      <w:r>
        <w:rPr/>
        <w:t>等多家主流电商平台量身打造了服务计划和价格套餐，以达</w:t>
      </w:r>
      <w:r>
        <w:rPr>
          <w:spacing w:val="-85"/>
        </w:rPr>
        <w:t> </w:t>
      </w:r>
      <w:r>
        <w:rPr>
          <w:spacing w:val="-85"/>
        </w:rPr>
      </w:r>
      <w:r>
        <w:rPr/>
        <w:t>到进一步扩大产品知名度和增加市场占有率的目的。</w:t>
      </w:r>
    </w:p>
    <w:p>
      <w:pPr>
        <w:spacing w:after="0" w:line="319" w:lineRule="auto"/>
        <w:jc w:val="both"/>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主营业务分析" w:id="26"/>
      <w:bookmarkEnd w:id="26"/>
      <w:r>
        <w:rPr>
          <w:b w:val="0"/>
          <w:bCs w:val="0"/>
        </w:rPr>
      </w:r>
      <w:r>
        <w:rPr/>
        <w:t>二、主营业务分析</w:t>
      </w:r>
      <w:r>
        <w:rPr>
          <w:b w:val="0"/>
          <w:bCs w:val="0"/>
        </w:rPr>
      </w:r>
    </w:p>
    <w:p>
      <w:pPr>
        <w:pStyle w:val="Heading4"/>
        <w:spacing w:line="240" w:lineRule="auto" w:before="179"/>
        <w:ind w:right="0"/>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pStyle w:val="BodyText"/>
        <w:spacing w:line="240" w:lineRule="auto" w:before="168"/>
        <w:ind w:right="0"/>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7" w:footer="979" w:top="1060" w:bottom="1160" w:left="980" w:right="0"/>
        </w:sectPr>
      </w:pPr>
    </w:p>
    <w:p>
      <w:pPr>
        <w:pStyle w:val="Heading4"/>
        <w:spacing w:line="240" w:lineRule="auto" w:before="35"/>
        <w:ind w:right="0"/>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pStyle w:val="Heading4"/>
        <w:spacing w:line="240" w:lineRule="auto" w:before="143"/>
        <w:ind w:right="0"/>
        <w:jc w:val="left"/>
        <w:rPr>
          <w:b w:val="0"/>
          <w:bCs w:val="0"/>
        </w:rPr>
      </w:pPr>
      <w:bookmarkStart w:name="（1）营业收入构成" w:id="29"/>
      <w:bookmarkEnd w:id="29"/>
      <w:r>
        <w:rPr>
          <w:b w:val="0"/>
          <w:bCs w:val="0"/>
        </w:rPr>
      </w:r>
      <w:r>
        <w:rPr>
          <w:w w:val="95"/>
        </w:rPr>
        <w:t>（</w:t>
      </w:r>
      <w:r>
        <w:rPr>
          <w:rFonts w:ascii="Times New Roman" w:hAnsi="Times New Roman" w:cs="Times New Roman" w:eastAsia="Times New Roman" w:hint="default"/>
          <w:w w:val="95"/>
        </w:rPr>
        <w:t>1</w:t>
      </w:r>
      <w:r>
        <w:rPr>
          <w:w w:val="95"/>
        </w:rPr>
        <w:t>）营业收入构成</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41"/>
        <w:ind w:left="153" w:right="0"/>
        <w:jc w:val="left"/>
      </w:pPr>
      <w:r>
        <w:rPr/>
        <w:t>单位：元</w:t>
      </w:r>
    </w:p>
    <w:p>
      <w:pPr>
        <w:spacing w:after="0" w:line="240" w:lineRule="auto"/>
        <w:jc w:val="left"/>
        <w:sectPr>
          <w:type w:val="continuous"/>
          <w:pgSz w:w="11910" w:h="16840"/>
          <w:pgMar w:top="1060" w:bottom="1160" w:left="980" w:right="0"/>
          <w:cols w:num="2" w:equalWidth="0">
            <w:col w:w="1946" w:space="6974"/>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928,733,524.63</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835,851,735.87</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11.11%</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928,733,524.63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835,851,735.87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499,394,272.04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378,778,834.71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45.32%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411,049,502.57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431,299,612.76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51.60%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18,289,750.02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25,773,288.40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541,219,328.44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420,295,870.11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50.28%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中国大陆外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387,514,196.19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415,555,865.76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49.72%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928,733,524.63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382,623,418.98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499,394,272.04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242,002,108.87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62.70%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411,049,502.57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133,582,363.35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18,289,750.02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7,038,946.76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9.28%</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541,219,328.44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279,881,533.41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中国大陆外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387,514,196.19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102,741,885.57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73.49%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9" w:right="0"/>
              <w:jc w:val="left"/>
              <w:rPr>
                <w:rFonts w:ascii="Times New Roman" w:hAnsi="Times New Roman" w:cs="Times New Roman" w:eastAsia="Times New Roman" w:hint="default"/>
                <w:sz w:val="18"/>
                <w:szCs w:val="18"/>
              </w:rPr>
            </w:pPr>
            <w:r>
              <w:rPr>
                <w:rFonts w:ascii="Times New Roman"/>
                <w:sz w:val="18"/>
              </w:rPr>
              <w:t>-6.75%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0" w:right="0"/>
              <w:jc w:val="left"/>
              <w:rPr>
                <w:rFonts w:ascii="Times New Roman" w:hAnsi="Times New Roman" w:cs="Times New Roman" w:eastAsia="Times New Roman" w:hint="default"/>
                <w:sz w:val="18"/>
                <w:szCs w:val="18"/>
              </w:rPr>
            </w:pPr>
            <w:r>
              <w:rPr>
                <w:rFonts w:ascii="Times New Roman"/>
                <w:sz w:val="18"/>
              </w:rPr>
              <w:t>-13.23%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4" w:right="0"/>
              <w:jc w:val="left"/>
              <w:rPr>
                <w:rFonts w:ascii="Times New Roman" w:hAnsi="Times New Roman" w:cs="Times New Roman" w:eastAsia="Times New Roman" w:hint="default"/>
                <w:sz w:val="18"/>
                <w:szCs w:val="18"/>
              </w:rPr>
            </w:pPr>
            <w:r>
              <w:rPr>
                <w:rFonts w:ascii="Times New Roman"/>
                <w:sz w:val="18"/>
              </w:rPr>
              <w:t>1.98%</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行业和产品分类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382,623,418.98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302,034,544.99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26.68%</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242,002,108.87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148,737,931.87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62.70%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133,582,363.35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140,986,600.65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7,038,946.76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12,310,012.47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-42.82%</w:t>
            </w:r>
          </w:p>
        </w:tc>
      </w:tr>
    </w:tbl>
    <w:p>
      <w:pPr>
        <w:pStyle w:val="BodyText"/>
        <w:spacing w:line="240" w:lineRule="auto" w:before="51"/>
        <w:ind w:right="0"/>
        <w:jc w:val="left"/>
      </w:pPr>
      <w:r>
        <w:rPr/>
        <w:t>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16" w:lineRule="auto" w:before="101"/>
        <w:ind w:right="1130" w:firstLine="360"/>
        <w:jc w:val="left"/>
      </w:pPr>
      <w:r>
        <w:rPr/>
        <w:t>迪讯</w:t>
      </w:r>
      <w:r>
        <w:rPr>
          <w:rFonts w:ascii="宋体" w:hAnsi="宋体" w:cs="宋体" w:eastAsia="宋体" w:hint="default"/>
        </w:rPr>
        <w:t>(</w:t>
      </w:r>
      <w:r>
        <w:rPr/>
        <w:t>香港</w:t>
      </w:r>
      <w:r>
        <w:rPr>
          <w:rFonts w:ascii="宋体" w:hAnsi="宋体" w:cs="宋体" w:eastAsia="宋体" w:hint="default"/>
        </w:rPr>
        <w:t>)</w:t>
      </w:r>
      <w:r>
        <w:rPr/>
        <w:t>有限公司</w:t>
      </w:r>
      <w:r>
        <w:rPr>
          <w:rFonts w:ascii="宋体" w:hAnsi="宋体" w:cs="宋体" w:eastAsia="宋体" w:hint="default"/>
        </w:rPr>
        <w:t>(</w:t>
      </w:r>
      <w:r>
        <w:rPr/>
        <w:t>英文名：</w:t>
      </w:r>
      <w:r>
        <w:rPr>
          <w:rFonts w:ascii="宋体" w:hAnsi="宋体" w:cs="宋体" w:eastAsia="宋体" w:hint="default"/>
        </w:rPr>
        <w:t>Delcom (HK)</w:t>
      </w:r>
      <w:r>
        <w:rPr>
          <w:rFonts w:ascii="宋体" w:hAnsi="宋体" w:cs="宋体" w:eastAsia="宋体" w:hint="default"/>
          <w:spacing w:val="6"/>
        </w:rPr>
        <w:t> </w:t>
      </w:r>
      <w:r>
        <w:rPr>
          <w:rFonts w:ascii="宋体" w:hAnsi="宋体" w:cs="宋体" w:eastAsia="宋体" w:hint="default"/>
        </w:rPr>
        <w:t>Limited)</w:t>
      </w:r>
      <w:r>
        <w:rPr/>
        <w:t>和前海迪迅</w:t>
      </w:r>
      <w:r>
        <w:rPr>
          <w:rFonts w:ascii="宋体" w:hAnsi="宋体" w:cs="宋体" w:eastAsia="宋体" w:hint="default"/>
        </w:rPr>
        <w:t>(</w:t>
      </w:r>
      <w:r>
        <w:rPr/>
        <w:t>深圳</w:t>
      </w:r>
      <w:r>
        <w:rPr>
          <w:rFonts w:ascii="宋体" w:hAnsi="宋体" w:cs="宋体" w:eastAsia="宋体" w:hint="default"/>
        </w:rPr>
        <w:t>)</w:t>
      </w:r>
      <w:r>
        <w:rPr/>
        <w:t>有限公司已于</w:t>
      </w:r>
      <w:r>
        <w:rPr>
          <w:rFonts w:ascii="宋体" w:hAnsi="宋体" w:cs="宋体" w:eastAsia="宋体" w:hint="default"/>
        </w:rPr>
        <w:t>2018</w:t>
      </w:r>
      <w:r>
        <w:rPr/>
        <w:t>年</w:t>
      </w:r>
      <w:r>
        <w:rPr>
          <w:rFonts w:ascii="宋体" w:hAnsi="宋体" w:cs="宋体" w:eastAsia="宋体" w:hint="default"/>
        </w:rPr>
        <w:t>12</w:t>
      </w:r>
      <w:r>
        <w:rPr/>
        <w:t>月完成注销，</w:t>
      </w:r>
      <w:r>
        <w:rPr>
          <w:color w:val="0D0D0D"/>
        </w:rPr>
        <w:t>深圳日升</w:t>
      </w:r>
      <w:r>
        <w:rPr>
          <w:color w:val="0D0D0D"/>
        </w:rPr>
        <w:t> 和</w:t>
      </w:r>
      <w:r>
        <w:rPr>
          <w:rFonts w:ascii="宋体" w:hAnsi="宋体" w:cs="宋体" w:eastAsia="宋体" w:hint="default"/>
          <w:color w:val="0D0D0D"/>
        </w:rPr>
        <w:t>I-Access</w:t>
      </w:r>
      <w:r>
        <w:rPr>
          <w:color w:val="0D0D0D"/>
        </w:rPr>
        <w:t>于</w:t>
      </w:r>
      <w:r>
        <w:rPr>
          <w:rFonts w:ascii="宋体" w:hAnsi="宋体" w:cs="宋体" w:eastAsia="宋体" w:hint="default"/>
          <w:color w:val="0D0D0D"/>
        </w:rPr>
        <w:t>2018</w:t>
      </w:r>
      <w:r>
        <w:rPr>
          <w:color w:val="0D0D0D"/>
        </w:rPr>
        <w:t>年收购，</w:t>
      </w:r>
      <w:r>
        <w:rPr>
          <w:rFonts w:ascii="宋体" w:hAnsi="宋体" w:cs="宋体" w:eastAsia="宋体" w:hint="default"/>
          <w:color w:val="0D0D0D"/>
        </w:rPr>
        <w:t>iTalkBB VIP</w:t>
      </w:r>
      <w:r>
        <w:rPr>
          <w:color w:val="0D0D0D"/>
        </w:rPr>
        <w:t>于</w:t>
      </w:r>
      <w:r>
        <w:rPr>
          <w:rFonts w:ascii="宋体" w:hAnsi="宋体" w:cs="宋体" w:eastAsia="宋体" w:hint="default"/>
          <w:color w:val="0D0D0D"/>
        </w:rPr>
        <w:t>2018</w:t>
      </w:r>
      <w:r>
        <w:rPr>
          <w:color w:val="0D0D0D"/>
        </w:rPr>
        <w:t>投资设立。</w:t>
      </w:r>
      <w:r>
        <w:rPr/>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86,002,768.07</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9.26%</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32,131,947.6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26,575,082.64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11,210,808.13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8,305,896.11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7,779,033.59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0.84%</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86,002,768.07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9.26%</w:t>
            </w:r>
          </w:p>
        </w:tc>
      </w:tr>
    </w:tbl>
    <w:p>
      <w:pPr>
        <w:pStyle w:val="BodyText"/>
        <w:spacing w:line="240" w:lineRule="auto" w:before="51"/>
        <w:ind w:right="0"/>
        <w:jc w:val="left"/>
      </w:pPr>
      <w:r>
        <w:rPr/>
        <w:t>主要客户其他情况说明</w:t>
      </w:r>
    </w:p>
    <w:p>
      <w:pPr>
        <w:pStyle w:val="BodyText"/>
        <w:spacing w:line="340" w:lineRule="auto" w:before="116"/>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55484404.9</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19.07%</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13,648,126.55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12,140,820.21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11,281,487.15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10,077,344.02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8,336,626.97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55,484,404.9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19.07%</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4"/>
        <w:spacing w:line="240" w:lineRule="auto" w:before="35"/>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67" w:right="0"/>
              <w:jc w:val="left"/>
              <w:rPr>
                <w:rFonts w:ascii="Times New Roman" w:hAnsi="Times New Roman" w:cs="Times New Roman" w:eastAsia="Times New Roman" w:hint="default"/>
                <w:sz w:val="18"/>
                <w:szCs w:val="18"/>
              </w:rPr>
            </w:pPr>
            <w:r>
              <w:rPr>
                <w:rFonts w:ascii="Times New Roman"/>
                <w:sz w:val="18"/>
              </w:rPr>
              <w:t>177,903,581.98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206,646,035.60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67" w:right="0"/>
              <w:jc w:val="left"/>
              <w:rPr>
                <w:rFonts w:ascii="Times New Roman" w:hAnsi="Times New Roman" w:cs="Times New Roman" w:eastAsia="Times New Roman" w:hint="default"/>
                <w:sz w:val="18"/>
                <w:szCs w:val="18"/>
              </w:rPr>
            </w:pPr>
            <w:r>
              <w:rPr>
                <w:rFonts w:ascii="Times New Roman"/>
                <w:sz w:val="18"/>
              </w:rPr>
              <w:t>161,162,499.40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162,844,563.87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2" w:right="0"/>
              <w:jc w:val="left"/>
              <w:rPr>
                <w:rFonts w:ascii="Times New Roman" w:hAnsi="Times New Roman" w:cs="Times New Roman" w:eastAsia="Times New Roman" w:hint="default"/>
                <w:sz w:val="18"/>
                <w:szCs w:val="18"/>
              </w:rPr>
            </w:pPr>
            <w:r>
              <w:rPr>
                <w:rFonts w:ascii="Times New Roman"/>
                <w:sz w:val="18"/>
              </w:rPr>
              <w:t>-16,432,247.47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-13,441,997.69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-22.25%</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主要系上年汇兑损益损失金额较大 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67" w:right="0"/>
              <w:jc w:val="left"/>
              <w:rPr>
                <w:rFonts w:ascii="Times New Roman" w:hAnsi="Times New Roman" w:cs="Times New Roman" w:eastAsia="Times New Roman" w:hint="default"/>
                <w:sz w:val="18"/>
                <w:szCs w:val="18"/>
              </w:rPr>
            </w:pPr>
            <w:r>
              <w:rPr>
                <w:rFonts w:ascii="Times New Roman"/>
                <w:sz w:val="18"/>
              </w:rPr>
              <w:t>135,265,671.88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160,402,201.00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-15.67%</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本公司注重技术研发、不断积累提升通信业务技术能力。报告期内公司结合业务发展目标，整体减员增效的同时，保持</w:t>
      </w:r>
    </w:p>
    <w:p>
      <w:pPr>
        <w:pStyle w:val="BodyText"/>
        <w:spacing w:line="340" w:lineRule="auto" w:before="2"/>
        <w:ind w:right="3722"/>
        <w:jc w:val="left"/>
      </w:pPr>
      <w:r>
        <w:rPr/>
        <w:t>研发上一定规模的投入，主要投入到网络直播、海外</w:t>
      </w:r>
      <w:r>
        <w:rPr>
          <w:rFonts w:ascii="Times New Roman" w:hAnsi="Times New Roman" w:cs="Times New Roman" w:eastAsia="Times New Roman" w:hint="default"/>
        </w:rPr>
        <w:t>MVNO</w:t>
      </w:r>
      <w:r>
        <w:rPr/>
        <w:t>、企业手机、物联网等方面。 公司研发投入情况</w:t>
      </w:r>
    </w:p>
    <w:p>
      <w:pPr>
        <w:spacing w:line="240" w:lineRule="auto" w:before="3"/>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137,091,118.29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160,402,201.00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1,825,446.41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w:t>
            </w:r>
          </w:p>
        </w:tc>
      </w:tr>
    </w:tbl>
    <w:p>
      <w:pPr>
        <w:pStyle w:val="BodyText"/>
        <w:spacing w:line="240" w:lineRule="auto" w:before="51"/>
        <w:ind w:right="0"/>
        <w:jc w:val="left"/>
      </w:pPr>
      <w:r>
        <w:rPr/>
        <w:t>研发投入总额占营业收入的比重较上年发生显著变化的原因</w:t>
      </w:r>
    </w:p>
    <w:p>
      <w:pPr>
        <w:pStyle w:val="BodyText"/>
        <w:spacing w:line="340" w:lineRule="auto" w:before="11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976,868,305.77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924,864,767.72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849,372,635.85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783,514,786.96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127,495,669.92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141,349,980.76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812,251,095.55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525,794,280.54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1,079,757,571.39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947,633,646.45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-267,506,475.84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-421,839,365.91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36.59%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20,154,114.17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98,366,950.08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-774,114.17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-59,136,950.08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98.69%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-135,281,046.23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-350,228,725.15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61.37%</w:t>
            </w:r>
          </w:p>
        </w:tc>
      </w:tr>
    </w:tbl>
    <w:p>
      <w:pPr>
        <w:pStyle w:val="BodyText"/>
        <w:spacing w:line="240" w:lineRule="auto" w:before="51"/>
        <w:ind w:right="0"/>
        <w:jc w:val="left"/>
      </w:pPr>
      <w:r>
        <w:rPr/>
        <w:t>相关数据同比发生重大变动的主要影响因素说明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t>经营活动产生的现金流量净额减少的主要原因为：上年同期移动收回联通款项较大，本报告期收回金额较小所致。</w:t>
      </w:r>
    </w:p>
    <w:p>
      <w:pPr>
        <w:pStyle w:val="BodyText"/>
        <w:spacing w:line="304" w:lineRule="auto" w:before="63"/>
        <w:ind w:right="1122"/>
        <w:jc w:val="left"/>
      </w:pPr>
      <w:r>
        <w:rPr>
          <w:rFonts w:ascii="Times New Roman" w:hAnsi="Times New Roman" w:cs="Times New Roman" w:eastAsia="Times New Roman" w:hint="default"/>
        </w:rPr>
        <w:t>2)</w:t>
      </w:r>
      <w:r>
        <w:rPr/>
        <w:t>投资活动产生的现金流量净额增加的主要原因为：</w:t>
      </w:r>
      <w:r>
        <w:rPr>
          <w:rFonts w:ascii="Times New Roman" w:hAnsi="Times New Roman" w:cs="Times New Roman" w:eastAsia="Times New Roman" w:hint="default"/>
        </w:rPr>
        <w:t>1.</w:t>
      </w:r>
      <w:r>
        <w:rPr/>
        <w:t>依协议安排，本期支付的展动股权转让款少于上年同期；</w:t>
      </w:r>
      <w:r>
        <w:rPr>
          <w:rFonts w:ascii="Times New Roman" w:hAnsi="Times New Roman" w:cs="Times New Roman" w:eastAsia="Times New Roman" w:hint="default"/>
        </w:rPr>
        <w:t>2.</w:t>
      </w:r>
      <w:r>
        <w:rPr/>
        <w:t>上年同期</w:t>
      </w:r>
      <w:r>
        <w:rPr>
          <w:w w:val="99"/>
        </w:rPr>
        <w:t> </w:t>
      </w:r>
      <w:r>
        <w:rPr/>
        <w:t>支付上海奈盛投资款</w:t>
      </w:r>
      <w:r>
        <w:rPr>
          <w:rFonts w:ascii="Times New Roman" w:hAnsi="Times New Roman" w:cs="Times New Roman" w:eastAsia="Times New Roman" w:hint="default"/>
        </w:rPr>
        <w:t>9,125</w:t>
      </w:r>
      <w:r>
        <w:rPr/>
        <w:t>万元；</w:t>
      </w:r>
      <w:r>
        <w:rPr>
          <w:rFonts w:ascii="Times New Roman" w:hAnsi="Times New Roman" w:cs="Times New Roman" w:eastAsia="Times New Roman" w:hint="default"/>
        </w:rPr>
        <w:t>3.</w:t>
      </w:r>
      <w:r>
        <w:rPr/>
        <w:t>本期理财产品增加导致收益增加；</w:t>
      </w:r>
      <w:r>
        <w:rPr>
          <w:rFonts w:ascii="Times New Roman" w:hAnsi="Times New Roman" w:cs="Times New Roman" w:eastAsia="Times New Roman" w:hint="default"/>
        </w:rPr>
        <w:t>4.</w:t>
      </w:r>
      <w:r>
        <w:rPr/>
        <w:t>本期收到朝歌、首都在线和致远互联分红款</w:t>
      </w:r>
      <w:r>
        <w:rPr>
          <w:rFonts w:ascii="Times New Roman" w:hAnsi="Times New Roman" w:cs="Times New Roman" w:eastAsia="Times New Roman" w:hint="default"/>
        </w:rPr>
        <w:t>405.91</w:t>
      </w:r>
      <w:r>
        <w:rPr/>
        <w:t>万</w:t>
      </w:r>
      <w:r>
        <w:rPr>
          <w:w w:val="99"/>
        </w:rPr>
        <w:t> </w:t>
      </w:r>
      <w:r>
        <w:rPr/>
        <w:t>元。</w:t>
      </w:r>
      <w:r>
        <w:rPr>
          <w:w w:val="99"/>
        </w:rPr>
        <w:t> </w:t>
      </w:r>
      <w:r>
        <w:rPr>
          <w:rFonts w:ascii="Times New Roman" w:hAnsi="Times New Roman" w:cs="Times New Roman" w:eastAsia="Times New Roman" w:hint="default"/>
          <w:spacing w:val="-1"/>
        </w:rPr>
        <w:t>3)</w:t>
      </w:r>
      <w:r>
        <w:rPr>
          <w:spacing w:val="-1"/>
        </w:rPr>
        <w:t>筹资活动产生的现金流量净额增加的主要原因为：</w:t>
      </w:r>
      <w:r>
        <w:rPr>
          <w:rFonts w:ascii="Times New Roman" w:hAnsi="Times New Roman" w:cs="Times New Roman" w:eastAsia="Times New Roman" w:hint="default"/>
          <w:spacing w:val="-1"/>
        </w:rPr>
        <w:t>1.</w:t>
      </w:r>
      <w:r>
        <w:rPr>
          <w:spacing w:val="-1"/>
        </w:rPr>
        <w:t>本期发行限制性股票收到的款项比上年同期增加</w:t>
      </w:r>
      <w:r>
        <w:rPr>
          <w:rFonts w:ascii="Times New Roman" w:hAnsi="Times New Roman" w:cs="Times New Roman" w:eastAsia="Times New Roman" w:hint="default"/>
          <w:spacing w:val="-1"/>
        </w:rPr>
        <w:t>.2.</w:t>
      </w:r>
      <w:r>
        <w:rPr>
          <w:spacing w:val="-1"/>
        </w:rPr>
        <w:t>上年同期支付限制</w:t>
      </w:r>
      <w:r>
        <w:rPr>
          <w:spacing w:val="-42"/>
        </w:rPr>
        <w:t> </w:t>
      </w:r>
      <w:r>
        <w:rPr>
          <w:spacing w:val="-42"/>
        </w:rPr>
      </w:r>
      <w:r>
        <w:rPr/>
        <w:t>性股票回购款。</w:t>
      </w:r>
    </w:p>
    <w:p>
      <w:pPr>
        <w:pStyle w:val="BodyText"/>
        <w:spacing w:line="240" w:lineRule="auto" w:before="68"/>
        <w:ind w:right="0"/>
        <w:jc w:val="left"/>
      </w:pPr>
      <w:r>
        <w:rPr/>
        <w:t>报告期内公司经营活动产生的现金净流量与本年度净利润存在重大差异的原因说明</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报告期内本公司实现净利润</w:t>
      </w:r>
      <w:r>
        <w:rPr>
          <w:rFonts w:ascii="Times New Roman" w:hAnsi="Times New Roman" w:cs="Times New Roman" w:eastAsia="Times New Roman" w:hint="default"/>
          <w:spacing w:val="-2"/>
        </w:rPr>
        <w:t>7,435.04</w:t>
      </w:r>
      <w:r>
        <w:rPr>
          <w:spacing w:val="-2"/>
        </w:rPr>
        <w:t>万元，经营性活动产生的现金流量净额为</w:t>
      </w:r>
      <w:r>
        <w:rPr>
          <w:rFonts w:ascii="Times New Roman" w:hAnsi="Times New Roman" w:cs="Times New Roman" w:eastAsia="Times New Roman" w:hint="default"/>
          <w:spacing w:val="-2"/>
        </w:rPr>
        <w:t>12,749.57</w:t>
      </w:r>
      <w:r>
        <w:rPr>
          <w:spacing w:val="-2"/>
        </w:rPr>
        <w:t>万元，主要差异原因：固定资产折旧、</w:t>
      </w:r>
      <w:r>
        <w:rPr>
          <w:spacing w:val="-48"/>
        </w:rPr>
        <w:t> </w:t>
      </w:r>
      <w:r>
        <w:rPr>
          <w:spacing w:val="-48"/>
        </w:rPr>
      </w:r>
      <w:r>
        <w:rPr/>
        <w:t>无形资产摊销及长期待摊费用摊销合计</w:t>
      </w:r>
      <w:r>
        <w:rPr>
          <w:rFonts w:ascii="Times New Roman" w:hAnsi="Times New Roman" w:cs="Times New Roman" w:eastAsia="Times New Roman" w:hint="default"/>
        </w:rPr>
        <w:t>9,085.05</w:t>
      </w:r>
      <w:r>
        <w:rPr/>
        <w:t>万元，应付项目减少</w:t>
      </w:r>
      <w:r>
        <w:rPr>
          <w:rFonts w:ascii="Times New Roman" w:hAnsi="Times New Roman" w:cs="Times New Roman" w:eastAsia="Times New Roman" w:hint="default"/>
        </w:rPr>
        <w:t>2,751.61</w:t>
      </w:r>
      <w:r>
        <w:rPr/>
        <w:t>万元。</w:t>
      </w:r>
    </w:p>
    <w:p>
      <w:pPr>
        <w:spacing w:line="240" w:lineRule="auto" w:before="7"/>
        <w:rPr>
          <w:rFonts w:ascii="宋体" w:hAnsi="宋体" w:cs="宋体" w:eastAsia="宋体" w:hint="default"/>
          <w:sz w:val="14"/>
          <w:szCs w:val="14"/>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6"/>
        <w:rPr>
          <w:rFonts w:ascii="宋体" w:hAnsi="宋体" w:cs="宋体" w:eastAsia="宋体" w:hint="default"/>
          <w:b/>
          <w:bCs/>
          <w:sz w:val="18"/>
          <w:szCs w:val="18"/>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73"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7,888,327.80</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8.87%</w:t>
            </w:r>
          </w:p>
        </w:tc>
        <w:tc>
          <w:tcPr>
            <w:tcW w:w="2254" w:type="dxa"/>
            <w:vMerge w:val="restart"/>
            <w:tcBorders>
              <w:top w:val="single" w:sz="4" w:space="0" w:color="000000"/>
              <w:left w:val="single" w:sz="4" w:space="0" w:color="000000"/>
              <w:right w:val="single" w:sz="4" w:space="0" w:color="000000"/>
            </w:tcBorders>
          </w:tcPr>
          <w:p>
            <w:pPr>
              <w:pStyle w:val="TableParagraph"/>
              <w:spacing w:line="312"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购买理财产品取得的收益 </w:t>
            </w:r>
            <w:r>
              <w:rPr>
                <w:rFonts w:ascii="Times New Roman" w:hAnsi="Times New Roman" w:cs="Times New Roman" w:eastAsia="Times New Roman" w:hint="default"/>
                <w:sz w:val="18"/>
                <w:szCs w:val="18"/>
              </w:rPr>
              <w:t>501.64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万元，取得朝歌科技 和首都在线和致远互联分红 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405.91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473"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5,948,530.69</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6.69%</w:t>
            </w:r>
          </w:p>
        </w:tc>
        <w:tc>
          <w:tcPr>
            <w:tcW w:w="2254"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本公司计提了应收款项的坏 账损失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594.48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1,689,229.73</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w:t>
            </w:r>
          </w:p>
        </w:tc>
        <w:tc>
          <w:tcPr>
            <w:tcW w:w="2254"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本公司收到与日常经营无关 的政府补助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3"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317"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2,615,300.09</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2.94%</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主要系非流动资产报废损失</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239.57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万元和捐赠支出</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26"/>
        <w:gridCol w:w="901"/>
        <w:gridCol w:w="1196"/>
        <w:gridCol w:w="1063"/>
        <w:gridCol w:w="798"/>
        <w:gridCol w:w="2918"/>
      </w:tblGrid>
      <w:tr>
        <w:trPr>
          <w:trHeight w:val="38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326"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65" w:right="8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326" w:type="dxa"/>
            <w:vMerge/>
            <w:tcBorders>
              <w:left w:val="single" w:sz="4" w:space="0" w:color="000000"/>
              <w:bottom w:val="nil" w:sz="6" w:space="0" w:color="auto"/>
              <w:right w:val="single" w:sz="4" w:space="0" w:color="000000"/>
            </w:tcBorders>
            <w:shd w:val="clear" w:color="auto" w:fill="D2D2D2"/>
          </w:tcPr>
          <w:p>
            <w:pPr/>
          </w:p>
        </w:tc>
        <w:tc>
          <w:tcPr>
            <w:tcW w:w="9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615,713,457.25</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24.25%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751,119,359.88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31.61%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-7.36%</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2"/>
              <w:ind w:left="22" w:right="59"/>
              <w:jc w:val="left"/>
              <w:rPr>
                <w:rFonts w:ascii="宋体" w:hAnsi="宋体" w:cs="宋体" w:eastAsia="宋体" w:hint="default"/>
                <w:sz w:val="18"/>
                <w:szCs w:val="18"/>
              </w:rPr>
            </w:pPr>
            <w:r>
              <w:rPr>
                <w:rFonts w:ascii="宋体" w:hAnsi="宋体" w:cs="宋体" w:eastAsia="宋体" w:hint="default"/>
                <w:sz w:val="18"/>
                <w:szCs w:val="18"/>
              </w:rPr>
              <w:t>主要系本报告期支付深圳日升股权 转让款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I-ACCESS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 权转让款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6"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6"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78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130,235,999.76</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5.13%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63,520,153.46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2.67%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2.46%</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2"/>
              <w:ind w:left="22" w:right="542"/>
              <w:jc w:val="left"/>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本报告期深圳日升和 </w:t>
            </w:r>
            <w:r>
              <w:rPr>
                <w:rFonts w:ascii="Times New Roman" w:hAnsi="Times New Roman" w:cs="Times New Roman" w:eastAsia="Times New Roman" w:hint="default"/>
                <w:sz w:val="18"/>
                <w:szCs w:val="18"/>
              </w:rPr>
              <w:t>I-ACCESS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纳入合并范围增加</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3,439.13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本报告期应收联通</w:t>
            </w:r>
          </w:p>
          <w:p>
            <w:pPr>
              <w:pStyle w:val="TableParagraph"/>
              <w:spacing w:line="300" w:lineRule="auto" w:before="63"/>
              <w:ind w:left="22" w:right="48"/>
              <w:jc w:val="left"/>
              <w:rPr>
                <w:rFonts w:ascii="宋体" w:hAnsi="宋体" w:cs="宋体" w:eastAsia="宋体" w:hint="default"/>
                <w:sz w:val="18"/>
                <w:szCs w:val="18"/>
              </w:rPr>
            </w:pPr>
            <w:r>
              <w:rPr>
                <w:rFonts w:ascii="宋体" w:hAnsi="宋体" w:cs="宋体" w:eastAsia="宋体" w:hint="default"/>
                <w:sz w:val="18"/>
                <w:szCs w:val="18"/>
              </w:rPr>
              <w:t>款项增加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2,044.13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本报告期 电话会议业务量增长使应收增加</w:t>
            </w:r>
          </w:p>
          <w:p>
            <w:pPr>
              <w:pStyle w:val="TableParagraph"/>
              <w:spacing w:line="240" w:lineRule="auto" w:before="3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839.41 </w:t>
            </w:r>
            <w:r>
              <w:rPr>
                <w:rFonts w:ascii="宋体" w:hAnsi="宋体" w:cs="宋体" w:eastAsia="宋体" w:hint="default"/>
                <w:sz w:val="18"/>
                <w:szCs w:val="18"/>
              </w:rPr>
              <w:t>万元。</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6"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78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6"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3,974,402.28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5,190,251.26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39,387,802.33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38,334,275.96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22,597,655.24</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0.89%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3,680,726.88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0.15%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0.74%</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主要系本报告期对苏州龙遨投资</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6"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6"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152,689,452.45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171,552,704.77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617,683.78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1,627,878.41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318"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9" w:space="0" w:color="D2D2D2"/>
              <w:right w:val="single" w:sz="4" w:space="0" w:color="000000"/>
            </w:tcBorders>
          </w:tcPr>
          <w:p>
            <w:pP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19,800,000.00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0.83%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-0.83%</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主要系上年同期偿还宁波银行借款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万及民生银行借款</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980.00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 元。</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6"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6"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6" w:type="dxa"/>
            <w:tcBorders>
              <w:top w:val="single" w:sz="4" w:space="0" w:color="000000"/>
              <w:left w:val="single" w:sz="13" w:space="0" w:color="D2D2D2"/>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1,105,950,681.29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793,578,221.52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主要系本报告期并购</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I-ACCESS</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产生 商誉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29,864.01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万元，并购深圳日升</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产生商誉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688.85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135,031,590.09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162,209,943.97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主要系本报告期末银行理财产品减 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2,072.00 </w:t>
            </w:r>
            <w:r>
              <w:rPr>
                <w:rFonts w:ascii="宋体" w:hAnsi="宋体" w:cs="宋体" w:eastAsia="宋体" w:hint="default"/>
                <w:sz w:val="18"/>
                <w:szCs w:val="18"/>
              </w:rPr>
              <w:t>万元。</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4"/>
        <w:spacing w:line="240" w:lineRule="auto" w:before="3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95"/>
        <w:gridCol w:w="1435"/>
        <w:gridCol w:w="1270"/>
        <w:gridCol w:w="1418"/>
        <w:gridCol w:w="992"/>
        <w:gridCol w:w="1134"/>
        <w:gridCol w:w="836"/>
        <w:gridCol w:w="1290"/>
      </w:tblGrid>
      <w:tr>
        <w:trPr>
          <w:trHeight w:val="161" w:hRule="exact"/>
        </w:trPr>
        <w:tc>
          <w:tcPr>
            <w:tcW w:w="13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66" w:right="9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63" w:right="73"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1" w:right="38" w:hanging="270"/>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71" w:right="111" w:hanging="361"/>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8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35" w:right="49" w:hanging="180"/>
              <w:jc w:val="left"/>
              <w:rPr>
                <w:rFonts w:ascii="宋体" w:hAnsi="宋体" w:cs="宋体" w:eastAsia="宋体" w:hint="default"/>
                <w:sz w:val="18"/>
                <w:szCs w:val="18"/>
              </w:rPr>
            </w:pPr>
            <w:r>
              <w:rPr>
                <w:rFonts w:ascii="宋体" w:hAnsi="宋体" w:cs="宋体" w:eastAsia="宋体" w:hint="default"/>
                <w:sz w:val="18"/>
                <w:szCs w:val="18"/>
              </w:rPr>
              <w:t>本期出售 金额</w:t>
            </w:r>
          </w:p>
        </w:tc>
        <w:tc>
          <w:tcPr>
            <w:tcW w:w="129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3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70"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836" w:type="dxa"/>
            <w:vMerge/>
            <w:tcBorders>
              <w:left w:val="single" w:sz="4" w:space="0" w:color="000000"/>
              <w:right w:val="single" w:sz="4" w:space="0" w:color="000000"/>
            </w:tcBorders>
            <w:shd w:val="clear" w:color="auto" w:fill="D2D2D2"/>
          </w:tcPr>
          <w:p>
            <w:pPr/>
          </w:p>
        </w:tc>
        <w:tc>
          <w:tcPr>
            <w:tcW w:w="12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6" w:hRule="exact"/>
        </w:trPr>
        <w:tc>
          <w:tcPr>
            <w:tcW w:w="13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0"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836" w:type="dxa"/>
            <w:vMerge/>
            <w:tcBorders>
              <w:left w:val="single" w:sz="4" w:space="0" w:color="000000"/>
              <w:bottom w:val="single" w:sz="4" w:space="0" w:color="000000"/>
              <w:right w:val="single" w:sz="4" w:space="0" w:color="000000"/>
            </w:tcBorders>
            <w:shd w:val="clear" w:color="auto" w:fill="D2D2D2"/>
          </w:tcPr>
          <w:p>
            <w:pPr/>
          </w:p>
        </w:tc>
        <w:tc>
          <w:tcPr>
            <w:tcW w:w="129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76"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 资产</w:t>
            </w:r>
          </w:p>
        </w:tc>
        <w:tc>
          <w:tcPr>
            <w:tcW w:w="1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80,982,479.42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-22,932,479.42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33,192,370.00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4,200,000.00</w:t>
            </w:r>
          </w:p>
        </w:tc>
        <w:tc>
          <w:tcPr>
            <w:tcW w:w="836"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62,250,000.00</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80,982,479.42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-22,932,479.42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33,192,370.00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4,200,000.00</w:t>
            </w:r>
          </w:p>
        </w:tc>
        <w:tc>
          <w:tcPr>
            <w:tcW w:w="836"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62,250,000.00</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80,982,479.42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-22,932,479.42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33,192,370.00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4,200,000.00</w:t>
            </w:r>
          </w:p>
        </w:tc>
        <w:tc>
          <w:tcPr>
            <w:tcW w:w="836"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62,250,000.00</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报告期内公司主要资产计量属性是否发生重大变化</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截止本报告期末，货币资金余额中含各项保证金合计</w:t>
      </w:r>
      <w:r>
        <w:rPr>
          <w:rFonts w:ascii="Times New Roman" w:hAnsi="Times New Roman" w:cs="Times New Roman" w:eastAsia="Times New Roman" w:hint="default"/>
        </w:rPr>
        <w:t>28.86</w:t>
      </w:r>
      <w:r>
        <w:rPr/>
        <w:t>万元，使用受到限制。</w:t>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5" w:right="0"/>
              <w:jc w:val="left"/>
              <w:rPr>
                <w:rFonts w:ascii="Times New Roman" w:hAnsi="Times New Roman" w:cs="Times New Roman" w:eastAsia="Times New Roman" w:hint="default"/>
                <w:sz w:val="18"/>
                <w:szCs w:val="18"/>
              </w:rPr>
            </w:pPr>
            <w:r>
              <w:rPr>
                <w:rFonts w:ascii="Times New Roman"/>
                <w:sz w:val="18"/>
              </w:rPr>
              <w:t>1,079,757,571.39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947,633,646.45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3"/>
          <w:szCs w:val="23"/>
        </w:rPr>
      </w:pPr>
    </w:p>
    <w:p>
      <w:pPr>
        <w:pStyle w:val="Heading4"/>
        <w:spacing w:line="240" w:lineRule="auto"/>
        <w:ind w:left="140"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w w:val="95"/>
        </w:rPr>
        <w:t>2</w:t>
      </w:r>
      <w:r>
        <w:rPr>
          <w:w w:val="95"/>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5"/>
        <w:ind w:left="0" w:right="136"/>
        <w:jc w:val="right"/>
      </w:pPr>
      <w:r>
        <w:rPr/>
        <w:br w:type="column"/>
      </w:r>
      <w:r>
        <w:rPr/>
        <w:t>二六三网络通信股份有限公司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pStyle w:val="BodyText"/>
        <w:spacing w:line="240" w:lineRule="auto"/>
        <w:ind w:left="0" w:right="136"/>
        <w:jc w:val="right"/>
      </w:pPr>
      <w:r>
        <w:rPr/>
        <w:pict>
          <v:group style="position:absolute;margin-left:70.5pt;margin-top:-49.928272pt;width:701pt;height:.1pt;mso-position-horizontal-relative:page;mso-position-vertical-relative:paragraph;z-index:1144" coordorigin="1410,-999" coordsize="14020,2">
            <v:shape style="position:absolute;left:1410;top:-999;width:14020;height:2" coordorigin="1410,-999" coordsize="14020,0" path="m1410,-999l15430,-999e" filled="false" stroked="true" strokeweight=".72pt" strokecolor="#000000">
              <v:path arrowok="t"/>
            </v:shape>
            <w10:wrap type="none"/>
          </v:group>
        </w:pict>
      </w:r>
      <w:r>
        <w:rPr/>
        <w:pict>
          <v:group style="position:absolute;margin-left:471.160004pt;margin-top:84.431732pt;width:54.15pt;height:23.4pt;mso-position-horizontal-relative:page;mso-position-vertical-relative:paragraph;z-index:-1004080" coordorigin="9423,1689" coordsize="1083,468">
            <v:shape style="position:absolute;left:9423;top:1689;width:1083;height:468" coordorigin="9423,1689" coordsize="1083,468" path="m9423,2157l10506,2157,10506,1689,9423,1689,9423,2157xe" filled="true" fillcolor="#ffffff" stroked="false">
              <v:path arrowok="t"/>
              <v:fill type="solid"/>
            </v:shape>
            <w10:wrap type="none"/>
          </v:group>
        </w:pict>
      </w:r>
      <w:r>
        <w:rPr/>
        <w:t>单位：元</w:t>
      </w:r>
    </w:p>
    <w:p>
      <w:pPr>
        <w:spacing w:after="0" w:line="240" w:lineRule="auto"/>
        <w:jc w:val="right"/>
        <w:sectPr>
          <w:headerReference w:type="default" r:id="rId12"/>
          <w:footerReference w:type="default" r:id="rId13"/>
          <w:pgSz w:w="16840" w:h="11910" w:orient="landscape"/>
          <w:pgMar w:header="0" w:footer="0" w:top="800" w:bottom="0" w:left="1300" w:right="1300"/>
          <w:cols w:num="2" w:equalWidth="0">
            <w:col w:w="3827" w:space="6082"/>
            <w:col w:w="4331"/>
          </w:cols>
        </w:sectPr>
      </w:pPr>
    </w:p>
    <w:p>
      <w:pPr>
        <w:spacing w:line="240" w:lineRule="auto" w:before="1"/>
        <w:rPr>
          <w:rFonts w:ascii="宋体" w:hAnsi="宋体" w:cs="宋体" w:eastAsia="宋体" w:hint="default"/>
          <w:sz w:val="8"/>
          <w:szCs w:val="8"/>
        </w:rPr>
      </w:pPr>
      <w:r>
        <w:rPr/>
        <w:pict>
          <v:group style="position:absolute;margin-left:471.160004pt;margin-top:256.899994pt;width:54.15pt;height:23.4pt;mso-position-horizontal-relative:page;mso-position-vertical-relative:page;z-index:-1004056" coordorigin="9423,5138" coordsize="1083,468">
            <v:shape style="position:absolute;left:9423;top:5138;width:1083;height:468" coordorigin="9423,5138" coordsize="1083,468" path="m9423,5606l10506,5606,10506,5138,9423,5138,9423,5606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649"/>
        <w:gridCol w:w="698"/>
        <w:gridCol w:w="406"/>
        <w:gridCol w:w="1184"/>
        <w:gridCol w:w="726"/>
        <w:gridCol w:w="404"/>
        <w:gridCol w:w="684"/>
        <w:gridCol w:w="493"/>
        <w:gridCol w:w="698"/>
        <w:gridCol w:w="1062"/>
        <w:gridCol w:w="1092"/>
        <w:gridCol w:w="1108"/>
        <w:gridCol w:w="404"/>
        <w:gridCol w:w="768"/>
        <w:gridCol w:w="2637"/>
      </w:tblGrid>
      <w:tr>
        <w:trPr>
          <w:trHeight w:val="1338"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被投资公司名称</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4" w:right="72"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7" w:right="107"/>
              <w:jc w:val="both"/>
              <w:rPr>
                <w:rFonts w:ascii="宋体" w:hAnsi="宋体" w:cs="宋体" w:eastAsia="宋体" w:hint="default"/>
                <w:sz w:val="18"/>
                <w:szCs w:val="18"/>
              </w:rPr>
            </w:pPr>
            <w:r>
              <w:rPr>
                <w:rFonts w:ascii="宋体" w:hAnsi="宋体" w:cs="宋体" w:eastAsia="宋体" w:hint="default"/>
                <w:sz w:val="18"/>
                <w:szCs w:val="18"/>
              </w:rPr>
              <w:t>投 资 方 式</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7" w:right="86"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8" w:right="104"/>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 w:right="60"/>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截至资产负 债表日的进 展情况</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59" w:right="96" w:hanging="360"/>
              <w:jc w:val="left"/>
              <w:rPr>
                <w:rFonts w:ascii="宋体" w:hAnsi="宋体" w:cs="宋体" w:eastAsia="宋体" w:hint="default"/>
                <w:sz w:val="18"/>
                <w:szCs w:val="18"/>
              </w:rPr>
            </w:pPr>
            <w:r>
              <w:rPr>
                <w:rFonts w:ascii="宋体" w:hAnsi="宋体" w:cs="宋体" w:eastAsia="宋体" w:hint="default"/>
                <w:sz w:val="18"/>
                <w:szCs w:val="18"/>
              </w:rPr>
              <w:t>本期投资盈 亏</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6" w:right="107"/>
              <w:jc w:val="both"/>
              <w:rPr>
                <w:rFonts w:ascii="宋体" w:hAnsi="宋体" w:cs="宋体" w:eastAsia="宋体" w:hint="default"/>
                <w:sz w:val="18"/>
                <w:szCs w:val="18"/>
              </w:rPr>
            </w:pPr>
            <w:r>
              <w:rPr>
                <w:rFonts w:ascii="宋体" w:hAnsi="宋体" w:cs="宋体" w:eastAsia="宋体" w:hint="default"/>
                <w:sz w:val="18"/>
                <w:szCs w:val="18"/>
              </w:rPr>
              <w:t>是 否 涉 诉</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8" w:right="10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2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1338"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74"/>
              <w:jc w:val="left"/>
              <w:rPr>
                <w:rFonts w:ascii="宋体" w:hAnsi="宋体" w:cs="宋体" w:eastAsia="宋体" w:hint="default"/>
                <w:sz w:val="18"/>
                <w:szCs w:val="18"/>
              </w:rPr>
            </w:pPr>
            <w:r>
              <w:rPr>
                <w:rFonts w:ascii="宋体" w:hAnsi="宋体" w:cs="宋体" w:eastAsia="宋体" w:hint="default"/>
                <w:sz w:val="18"/>
                <w:szCs w:val="18"/>
              </w:rPr>
              <w:t>深圳市日升科技有 限公司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增值通 </w:t>
            </w:r>
            <w:r>
              <w:rPr>
                <w:rFonts w:ascii="宋体" w:hAnsi="宋体" w:cs="宋体" w:eastAsia="宋体" w:hint="default"/>
                <w:spacing w:val="-16"/>
                <w:w w:val="99"/>
                <w:sz w:val="18"/>
                <w:szCs w:val="18"/>
              </w:rPr>
              <w:t>信、</w:t>
            </w:r>
            <w:r>
              <w:rPr>
                <w:rFonts w:ascii="Times New Roman" w:hAnsi="Times New Roman" w:cs="Times New Roman" w:eastAsia="Times New Roman" w:hint="default"/>
                <w:spacing w:val="-16"/>
                <w:w w:val="99"/>
                <w:sz w:val="18"/>
                <w:szCs w:val="18"/>
              </w:rPr>
              <w:t>VPN</w:t>
            </w:r>
            <w:r>
              <w:rPr>
                <w:rFonts w:ascii="Times New Roman" w:hAnsi="Times New Roman" w:cs="Times New Roman" w:eastAsia="Times New Roman" w:hint="default"/>
                <w:sz w:val="18"/>
                <w:szCs w:val="18"/>
              </w:rPr>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91"/>
              <w:jc w:val="left"/>
              <w:rPr>
                <w:rFonts w:ascii="宋体" w:hAnsi="宋体" w:cs="宋体" w:eastAsia="宋体" w:hint="default"/>
                <w:sz w:val="18"/>
                <w:szCs w:val="18"/>
              </w:rPr>
            </w:pPr>
            <w:r>
              <w:rPr>
                <w:rFonts w:ascii="宋体" w:hAnsi="宋体" w:cs="宋体" w:eastAsia="宋体" w:hint="default"/>
                <w:sz w:val="18"/>
                <w:szCs w:val="18"/>
              </w:rPr>
              <w:t>收 购</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88"/>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9"/>
              <w:jc w:val="left"/>
              <w:rPr>
                <w:rFonts w:ascii="宋体" w:hAnsi="宋体" w:cs="宋体" w:eastAsia="宋体" w:hint="default"/>
                <w:sz w:val="18"/>
                <w:szCs w:val="18"/>
              </w:rPr>
            </w:pPr>
            <w:r>
              <w:rPr>
                <w:rFonts w:ascii="宋体" w:hAnsi="宋体" w:cs="宋体" w:eastAsia="宋体" w:hint="default"/>
                <w:sz w:val="18"/>
                <w:szCs w:val="18"/>
              </w:rPr>
              <w:t>自然人 股东</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8"/>
              <w:jc w:val="right"/>
              <w:rPr>
                <w:rFonts w:ascii="Times New Roman" w:hAnsi="Times New Roman" w:cs="Times New Roman" w:eastAsia="Times New Roman" w:hint="default"/>
                <w:sz w:val="18"/>
                <w:szCs w:val="18"/>
              </w:rPr>
            </w:pPr>
            <w:r>
              <w:rPr>
                <w:rFonts w:ascii="Times New Roman"/>
                <w:w w:val="95"/>
                <w:sz w:val="18"/>
              </w:rPr>
              <w:t>N/A</w:t>
            </w:r>
            <w:r>
              <w:rPr>
                <w:rFonts w:ascii="Times New Roman"/>
                <w:sz w:val="18"/>
              </w:rPr>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增值通 </w:t>
            </w:r>
            <w:r>
              <w:rPr>
                <w:rFonts w:ascii="宋体" w:hAnsi="宋体" w:cs="宋体" w:eastAsia="宋体" w:hint="default"/>
                <w:spacing w:val="-17"/>
                <w:w w:val="99"/>
                <w:sz w:val="18"/>
                <w:szCs w:val="18"/>
              </w:rPr>
              <w:t>信、</w:t>
            </w:r>
            <w:r>
              <w:rPr>
                <w:rFonts w:ascii="Times New Roman" w:hAnsi="Times New Roman" w:cs="Times New Roman" w:eastAsia="Times New Roman" w:hint="default"/>
                <w:spacing w:val="-17"/>
                <w:w w:val="99"/>
                <w:sz w:val="18"/>
                <w:szCs w:val="18"/>
              </w:rPr>
              <w:t>VPN</w:t>
            </w:r>
            <w:r>
              <w:rPr>
                <w:rFonts w:ascii="Times New Roman" w:hAnsi="Times New Roman" w:cs="Times New Roman" w:eastAsia="Times New Roman" w:hint="default"/>
                <w:sz w:val="18"/>
                <w:szCs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9"/>
              <w:jc w:val="both"/>
              <w:rPr>
                <w:rFonts w:ascii="宋体" w:hAnsi="宋体" w:cs="宋体" w:eastAsia="宋体" w:hint="default"/>
                <w:sz w:val="18"/>
                <w:szCs w:val="18"/>
              </w:rPr>
            </w:pPr>
            <w:r>
              <w:rPr>
                <w:rFonts w:ascii="宋体" w:hAnsi="宋体" w:cs="宋体" w:eastAsia="宋体" w:hint="default"/>
                <w:sz w:val="18"/>
                <w:szCs w:val="18"/>
              </w:rPr>
              <w:t>股权已过户 对价已全部 支付</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6"/>
              <w:ind w:left="55" w:right="0"/>
              <w:jc w:val="left"/>
              <w:rPr>
                <w:rFonts w:ascii="Times New Roman" w:hAnsi="Times New Roman" w:cs="Times New Roman" w:eastAsia="Times New Roman" w:hint="default"/>
                <w:sz w:val="18"/>
                <w:szCs w:val="18"/>
              </w:rPr>
            </w:pPr>
            <w:r>
              <w:rPr>
                <w:rFonts w:ascii="Times New Roman"/>
                <w:sz w:val="18"/>
              </w:rPr>
              <w:t>-4,880,900.00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2,052,274.82</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否</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8"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2" w:right="310"/>
              <w:jc w:val="left"/>
              <w:rPr>
                <w:rFonts w:ascii="Times New Roman" w:hAnsi="Times New Roman" w:cs="Times New Roman" w:eastAsia="Times New Roman" w:hint="default"/>
                <w:sz w:val="18"/>
                <w:szCs w:val="18"/>
              </w:rPr>
            </w:pPr>
            <w:r>
              <w:rPr>
                <w:rFonts w:ascii="Times New Roman"/>
                <w:sz w:val="18"/>
              </w:rPr>
              <w:t>I-Access</w:t>
            </w:r>
            <w:r>
              <w:rPr>
                <w:rFonts w:ascii="Times New Roman"/>
                <w:spacing w:val="-4"/>
                <w:sz w:val="18"/>
              </w:rPr>
              <w:t> </w:t>
            </w:r>
            <w:r>
              <w:rPr>
                <w:rFonts w:ascii="Times New Roman"/>
                <w:sz w:val="18"/>
              </w:rPr>
              <w:t>Network</w:t>
            </w:r>
            <w:r>
              <w:rPr>
                <w:rFonts w:ascii="Times New Roman"/>
                <w:sz w:val="18"/>
              </w:rPr>
              <w:t> Limited</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增值通 </w:t>
            </w:r>
            <w:r>
              <w:rPr>
                <w:rFonts w:ascii="宋体" w:hAnsi="宋体" w:cs="宋体" w:eastAsia="宋体" w:hint="default"/>
                <w:spacing w:val="-16"/>
                <w:w w:val="99"/>
                <w:sz w:val="18"/>
                <w:szCs w:val="18"/>
              </w:rPr>
              <w:t>信、</w:t>
            </w:r>
            <w:r>
              <w:rPr>
                <w:rFonts w:ascii="Times New Roman" w:hAnsi="Times New Roman" w:cs="Times New Roman" w:eastAsia="Times New Roman" w:hint="default"/>
                <w:spacing w:val="-16"/>
                <w:w w:val="99"/>
                <w:sz w:val="18"/>
                <w:szCs w:val="18"/>
              </w:rPr>
              <w:t>VPN</w:t>
            </w:r>
            <w:r>
              <w:rPr>
                <w:rFonts w:ascii="Times New Roman" w:hAnsi="Times New Roman" w:cs="Times New Roman" w:eastAsia="Times New Roman" w:hint="default"/>
                <w:sz w:val="18"/>
                <w:szCs w:val="18"/>
              </w:rPr>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91"/>
              <w:jc w:val="left"/>
              <w:rPr>
                <w:rFonts w:ascii="宋体" w:hAnsi="宋体" w:cs="宋体" w:eastAsia="宋体" w:hint="default"/>
                <w:sz w:val="18"/>
                <w:szCs w:val="18"/>
              </w:rPr>
            </w:pPr>
            <w:r>
              <w:rPr>
                <w:rFonts w:ascii="宋体" w:hAnsi="宋体" w:cs="宋体" w:eastAsia="宋体" w:hint="default"/>
                <w:sz w:val="18"/>
                <w:szCs w:val="18"/>
              </w:rPr>
              <w:t>收 购</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310,000,000.00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8"/>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9"/>
              <w:jc w:val="left"/>
              <w:rPr>
                <w:rFonts w:ascii="宋体" w:hAnsi="宋体" w:cs="宋体" w:eastAsia="宋体" w:hint="default"/>
                <w:sz w:val="18"/>
                <w:szCs w:val="18"/>
              </w:rPr>
            </w:pPr>
            <w:r>
              <w:rPr>
                <w:rFonts w:ascii="宋体" w:hAnsi="宋体" w:cs="宋体" w:eastAsia="宋体" w:hint="default"/>
                <w:sz w:val="18"/>
                <w:szCs w:val="18"/>
              </w:rPr>
              <w:t>自然人 股东</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8"/>
              <w:jc w:val="right"/>
              <w:rPr>
                <w:rFonts w:ascii="Times New Roman" w:hAnsi="Times New Roman" w:cs="Times New Roman" w:eastAsia="Times New Roman" w:hint="default"/>
                <w:sz w:val="18"/>
                <w:szCs w:val="18"/>
              </w:rPr>
            </w:pPr>
            <w:r>
              <w:rPr>
                <w:rFonts w:ascii="Times New Roman"/>
                <w:w w:val="95"/>
                <w:sz w:val="18"/>
              </w:rPr>
              <w:t>N/A</w:t>
            </w:r>
            <w:r>
              <w:rPr>
                <w:rFonts w:ascii="Times New Roman"/>
                <w:sz w:val="18"/>
              </w:rPr>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增值通 </w:t>
            </w:r>
            <w:r>
              <w:rPr>
                <w:rFonts w:ascii="宋体" w:hAnsi="宋体" w:cs="宋体" w:eastAsia="宋体" w:hint="default"/>
                <w:spacing w:val="-17"/>
                <w:w w:val="99"/>
                <w:sz w:val="18"/>
                <w:szCs w:val="18"/>
              </w:rPr>
              <w:t>信、</w:t>
            </w:r>
            <w:r>
              <w:rPr>
                <w:rFonts w:ascii="Times New Roman" w:hAnsi="Times New Roman" w:cs="Times New Roman" w:eastAsia="Times New Roman" w:hint="default"/>
                <w:spacing w:val="-17"/>
                <w:w w:val="99"/>
                <w:sz w:val="18"/>
                <w:szCs w:val="18"/>
              </w:rPr>
              <w:t>VPN</w:t>
            </w:r>
            <w:r>
              <w:rPr>
                <w:rFonts w:ascii="Times New Roman" w:hAnsi="Times New Roman" w:cs="Times New Roman" w:eastAsia="Times New Roman" w:hint="default"/>
                <w:sz w:val="18"/>
                <w:szCs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9"/>
              <w:jc w:val="both"/>
              <w:rPr>
                <w:rFonts w:ascii="宋体" w:hAnsi="宋体" w:cs="宋体" w:eastAsia="宋体" w:hint="default"/>
                <w:sz w:val="18"/>
                <w:szCs w:val="18"/>
              </w:rPr>
            </w:pPr>
            <w:r>
              <w:rPr>
                <w:rFonts w:ascii="宋体" w:hAnsi="宋体" w:cs="宋体" w:eastAsia="宋体" w:hint="default"/>
                <w:sz w:val="18"/>
                <w:szCs w:val="18"/>
              </w:rPr>
              <w:t>股权已过户 对价已部分 支付</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6"/>
              <w:ind w:left="25" w:right="0"/>
              <w:jc w:val="left"/>
              <w:rPr>
                <w:rFonts w:ascii="Times New Roman" w:hAnsi="Times New Roman" w:cs="Times New Roman" w:eastAsia="Times New Roman" w:hint="default"/>
                <w:sz w:val="18"/>
                <w:szCs w:val="18"/>
              </w:rPr>
            </w:pPr>
            <w:r>
              <w:rPr>
                <w:rFonts w:ascii="Times New Roman"/>
                <w:sz w:val="18"/>
              </w:rPr>
              <w:t>26,716,937.47</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28,211,905.04</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否</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巨潮资讯网上的《关于公司全资 </w:t>
            </w:r>
            <w:r>
              <w:rPr>
                <w:rFonts w:ascii="宋体" w:hAnsi="宋体" w:cs="宋体" w:eastAsia="宋体" w:hint="default"/>
                <w:spacing w:val="-8"/>
                <w:sz w:val="18"/>
                <w:szCs w:val="18"/>
              </w:rPr>
              <w:t>子公司对外投资的公告》（公告编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2018-052</w:t>
            </w:r>
            <w:r>
              <w:rPr>
                <w:rFonts w:ascii="宋体" w:hAnsi="宋体" w:cs="宋体" w:eastAsia="宋体" w:hint="default"/>
                <w:sz w:val="18"/>
                <w:szCs w:val="18"/>
              </w:rPr>
              <w:t>）</w:t>
            </w:r>
          </w:p>
        </w:tc>
      </w:tr>
      <w:tr>
        <w:trPr>
          <w:trHeight w:val="1338"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4"/>
              <w:jc w:val="both"/>
              <w:rPr>
                <w:rFonts w:ascii="Times New Roman" w:hAnsi="Times New Roman" w:cs="Times New Roman" w:eastAsia="Times New Roman" w:hint="default"/>
                <w:sz w:val="18"/>
                <w:szCs w:val="18"/>
              </w:rPr>
            </w:pPr>
            <w:r>
              <w:rPr>
                <w:rFonts w:ascii="宋体" w:hAnsi="宋体" w:cs="宋体" w:eastAsia="宋体" w:hint="default"/>
                <w:sz w:val="18"/>
                <w:szCs w:val="18"/>
              </w:rPr>
              <w:t>苏州龙遨泛人工智 能高科技投资中心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05"/>
              <w:jc w:val="right"/>
              <w:rPr>
                <w:rFonts w:ascii="宋体" w:hAnsi="宋体" w:cs="宋体" w:eastAsia="宋体" w:hint="default"/>
                <w:sz w:val="18"/>
                <w:szCs w:val="18"/>
              </w:rPr>
            </w:pPr>
            <w:r>
              <w:rPr>
                <w:rFonts w:ascii="宋体" w:hAnsi="宋体" w:cs="宋体" w:eastAsia="宋体" w:hint="default"/>
                <w:sz w:val="18"/>
                <w:szCs w:val="18"/>
              </w:rPr>
              <w:t>投资</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91"/>
              <w:jc w:val="left"/>
              <w:rPr>
                <w:rFonts w:ascii="宋体" w:hAnsi="宋体" w:cs="宋体" w:eastAsia="宋体" w:hint="default"/>
                <w:sz w:val="18"/>
                <w:szCs w:val="18"/>
              </w:rPr>
            </w:pPr>
            <w:r>
              <w:rPr>
                <w:rFonts w:ascii="宋体" w:hAnsi="宋体" w:cs="宋体" w:eastAsia="宋体" w:hint="default"/>
                <w:sz w:val="18"/>
                <w:szCs w:val="18"/>
              </w:rPr>
              <w:t>新 设</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8"/>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9"/>
              <w:jc w:val="both"/>
              <w:rPr>
                <w:rFonts w:ascii="宋体" w:hAnsi="宋体" w:cs="宋体" w:eastAsia="宋体" w:hint="default"/>
                <w:sz w:val="18"/>
                <w:szCs w:val="18"/>
              </w:rPr>
            </w:pPr>
            <w:r>
              <w:rPr>
                <w:rFonts w:ascii="宋体" w:hAnsi="宋体" w:cs="宋体" w:eastAsia="宋体" w:hint="default"/>
                <w:sz w:val="18"/>
                <w:szCs w:val="18"/>
              </w:rPr>
              <w:t>法人股 东及合 伙企业</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8"/>
              <w:jc w:val="right"/>
              <w:rPr>
                <w:rFonts w:ascii="Times New Roman" w:hAnsi="Times New Roman" w:cs="Times New Roman" w:eastAsia="Times New Roman" w:hint="default"/>
                <w:sz w:val="18"/>
                <w:szCs w:val="18"/>
              </w:rPr>
            </w:pPr>
            <w:r>
              <w:rPr>
                <w:rFonts w:ascii="Times New Roman"/>
                <w:w w:val="95"/>
                <w:sz w:val="18"/>
              </w:rPr>
              <w:t>N/A</w:t>
            </w:r>
            <w:r>
              <w:rPr>
                <w:rFonts w:ascii="Times New Roman"/>
                <w:sz w:val="18"/>
              </w:rPr>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05"/>
              <w:jc w:val="right"/>
              <w:rPr>
                <w:rFonts w:ascii="宋体" w:hAnsi="宋体" w:cs="宋体" w:eastAsia="宋体" w:hint="default"/>
                <w:sz w:val="18"/>
                <w:szCs w:val="18"/>
              </w:rPr>
            </w:pPr>
            <w:r>
              <w:rPr>
                <w:rFonts w:ascii="宋体" w:hAnsi="宋体" w:cs="宋体" w:eastAsia="宋体" w:hint="default"/>
                <w:sz w:val="18"/>
                <w:szCs w:val="18"/>
              </w:rPr>
              <w:t>投资</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9"/>
              <w:jc w:val="both"/>
              <w:rPr>
                <w:rFonts w:ascii="宋体" w:hAnsi="宋体" w:cs="宋体" w:eastAsia="宋体" w:hint="default"/>
                <w:sz w:val="18"/>
                <w:szCs w:val="18"/>
              </w:rPr>
            </w:pPr>
            <w:r>
              <w:rPr>
                <w:rFonts w:ascii="宋体" w:hAnsi="宋体" w:cs="宋体" w:eastAsia="宋体" w:hint="default"/>
                <w:sz w:val="18"/>
                <w:szCs w:val="18"/>
              </w:rPr>
              <w:t>权益份额已 登记，实缴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-1,186,941.30</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否</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4"/>
                <w:sz w:val="18"/>
                <w:szCs w:val="18"/>
              </w:rPr>
              <w:t>巨潮资讯网上的《</w:t>
            </w:r>
            <w:r>
              <w:rPr>
                <w:rFonts w:ascii="宋体" w:hAnsi="宋体" w:cs="宋体" w:eastAsia="宋体" w:hint="default"/>
                <w:spacing w:val="2"/>
                <w:sz w:val="18"/>
                <w:szCs w:val="18"/>
              </w:rPr>
              <w:t> </w:t>
            </w:r>
            <w:r>
              <w:rPr>
                <w:rFonts w:ascii="宋体" w:hAnsi="宋体" w:cs="宋体" w:eastAsia="宋体" w:hint="default"/>
                <w:sz w:val="18"/>
                <w:szCs w:val="18"/>
              </w:rPr>
              <w:t>关于参与投资</w:t>
            </w:r>
            <w:r>
              <w:rPr>
                <w:rFonts w:ascii="宋体" w:hAnsi="宋体" w:cs="宋体" w:eastAsia="宋体" w:hint="default"/>
                <w:sz w:val="18"/>
                <w:szCs w:val="18"/>
              </w:rPr>
              <w:t> </w:t>
            </w:r>
            <w:r>
              <w:rPr>
                <w:rFonts w:ascii="宋体" w:hAnsi="宋体" w:cs="宋体" w:eastAsia="宋体" w:hint="default"/>
                <w:spacing w:val="-7"/>
                <w:sz w:val="18"/>
                <w:szCs w:val="18"/>
              </w:rPr>
              <w:t>设立投资基金的公告》（公告编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2018-044</w:t>
            </w:r>
            <w:r>
              <w:rPr>
                <w:rFonts w:ascii="宋体" w:hAnsi="宋体" w:cs="宋体" w:eastAsia="宋体" w:hint="default"/>
                <w:sz w:val="18"/>
                <w:szCs w:val="18"/>
              </w:rPr>
              <w:t>）</w:t>
            </w:r>
          </w:p>
        </w:tc>
      </w:tr>
      <w:tr>
        <w:trPr>
          <w:trHeight w:val="402"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2"/>
              <w:jc w:val="right"/>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380,000,000.00</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0"/>
              <w:jc w:val="right"/>
              <w:rPr>
                <w:rFonts w:ascii="Times New Roman" w:hAnsi="Times New Roman" w:cs="Times New Roman" w:eastAsia="Times New Roman" w:hint="default"/>
                <w:sz w:val="18"/>
                <w:szCs w:val="18"/>
              </w:rPr>
            </w:pPr>
            <w:r>
              <w:rPr>
                <w:rFonts w:ascii="Times New Roman"/>
                <w:sz w:val="18"/>
              </w:rPr>
              <w:t>--</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3"/>
              <w:jc w:val="right"/>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21,836,037.47</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29,077,238.56</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37"/>
              <w:jc w:val="right"/>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40" w:right="3908"/>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0" w:right="39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76"/>
        <w:ind w:left="6445" w:right="7072" w:firstLine="0"/>
        <w:jc w:val="center"/>
        <w:rPr>
          <w:rFonts w:ascii="Times New Roman" w:hAnsi="Times New Roman" w:cs="Times New Roman" w:eastAsia="Times New Roman" w:hint="default"/>
          <w:sz w:val="18"/>
          <w:szCs w:val="18"/>
        </w:rPr>
      </w:pPr>
      <w:r>
        <w:rPr>
          <w:rFonts w:ascii="Times New Roman"/>
          <w:b/>
          <w:sz w:val="18"/>
        </w:rPr>
        <w:t>21 </w:t>
      </w:r>
      <w:r>
        <w:rPr>
          <w:rFonts w:ascii="Times New Roman"/>
          <w:sz w:val="18"/>
        </w:rPr>
        <w:t>/</w:t>
      </w:r>
      <w:r>
        <w:rPr>
          <w:rFonts w:ascii="Times New Roman"/>
          <w:spacing w:val="1"/>
          <w:sz w:val="18"/>
        </w:rPr>
        <w:t> </w:t>
      </w:r>
      <w:r>
        <w:rPr>
          <w:rFonts w:ascii="Times New Roman"/>
          <w:b/>
          <w:sz w:val="18"/>
        </w:rPr>
        <w:t>178</w:t>
      </w:r>
      <w:r>
        <w:rPr>
          <w:rFonts w:ascii="Times New Roman"/>
          <w:sz w:val="18"/>
        </w:rPr>
      </w:r>
    </w:p>
    <w:p>
      <w:pPr>
        <w:spacing w:line="240" w:lineRule="auto" w:before="0"/>
        <w:rPr>
          <w:rFonts w:ascii="Times New Roman" w:hAnsi="Times New Roman" w:cs="Times New Roman" w:eastAsia="Times New Roman" w:hint="default"/>
          <w:b/>
          <w:bCs/>
          <w:sz w:val="20"/>
          <w:szCs w:val="20"/>
        </w:rPr>
      </w:pPr>
    </w:p>
    <w:p>
      <w:pPr>
        <w:spacing w:line="240" w:lineRule="auto" w:before="3"/>
        <w:rPr>
          <w:rFonts w:ascii="Times New Roman" w:hAnsi="Times New Roman" w:cs="Times New Roman" w:eastAsia="Times New Roman" w:hint="default"/>
          <w:b/>
          <w:bCs/>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3" name="image1.jpeg" descr=""/>
            <wp:cNvGraphicFramePr>
              <a:graphicFrameLocks noChangeAspect="1"/>
            </wp:cNvGraphicFramePr>
            <a:graphic>
              <a:graphicData uri="http://schemas.openxmlformats.org/drawingml/2006/picture">
                <pic:pic>
                  <pic:nvPicPr>
                    <pic:cNvPr id="4"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300"/>
        </w:sectPr>
      </w:pPr>
    </w:p>
    <w:p>
      <w:pPr>
        <w:spacing w:line="240" w:lineRule="auto" w:before="2"/>
        <w:rPr>
          <w:rFonts w:ascii="Times New Roman" w:hAnsi="Times New Roman" w:cs="Times New Roman" w:eastAsia="Times New Roman" w:hint="default"/>
          <w:b/>
          <w:bCs/>
          <w:sz w:val="28"/>
          <w:szCs w:val="28"/>
        </w:rPr>
      </w:pPr>
    </w:p>
    <w:p>
      <w:pPr>
        <w:pStyle w:val="Heading4"/>
        <w:spacing w:line="240" w:lineRule="auto" w:before="35"/>
        <w:ind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1"/>
        <w:gridCol w:w="1112"/>
        <w:gridCol w:w="1498"/>
        <w:gridCol w:w="1731"/>
        <w:gridCol w:w="1244"/>
        <w:gridCol w:w="922"/>
        <w:gridCol w:w="1067"/>
        <w:gridCol w:w="1092"/>
        <w:gridCol w:w="500"/>
      </w:tblGrid>
      <w:tr>
        <w:trPr>
          <w:trHeight w:val="714" w:hRule="exact"/>
        </w:trPr>
        <w:tc>
          <w:tcPr>
            <w:tcW w:w="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4" w:right="64"/>
              <w:jc w:val="left"/>
              <w:rPr>
                <w:rFonts w:ascii="宋体" w:hAnsi="宋体" w:cs="宋体" w:eastAsia="宋体" w:hint="default"/>
                <w:sz w:val="18"/>
                <w:szCs w:val="18"/>
              </w:rPr>
            </w:pPr>
            <w:r>
              <w:rPr>
                <w:rFonts w:ascii="宋体" w:hAnsi="宋体" w:cs="宋体" w:eastAsia="宋体" w:hint="default"/>
                <w:sz w:val="18"/>
                <w:szCs w:val="18"/>
              </w:rPr>
              <w:t>资产 类别</w:t>
            </w:r>
          </w:p>
        </w:tc>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0" w:right="101"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62" w:right="23"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0" w:right="48" w:hanging="450"/>
              <w:jc w:val="left"/>
              <w:rPr>
                <w:rFonts w:ascii="宋体" w:hAnsi="宋体" w:cs="宋体" w:eastAsia="宋体" w:hint="default"/>
                <w:sz w:val="18"/>
                <w:szCs w:val="18"/>
              </w:rPr>
            </w:pPr>
            <w:r>
              <w:rPr>
                <w:rFonts w:ascii="宋体" w:hAnsi="宋体" w:cs="宋体" w:eastAsia="宋体" w:hint="default"/>
                <w:sz w:val="18"/>
                <w:szCs w:val="18"/>
              </w:rPr>
              <w:t>计入权益的累计公允 价值变动</w:t>
            </w:r>
          </w:p>
        </w:tc>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7"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5" w:right="94"/>
              <w:jc w:val="left"/>
              <w:rPr>
                <w:rFonts w:ascii="宋体" w:hAnsi="宋体" w:cs="宋体" w:eastAsia="宋体" w:hint="default"/>
                <w:sz w:val="18"/>
                <w:szCs w:val="18"/>
              </w:rPr>
            </w:pPr>
            <w:r>
              <w:rPr>
                <w:rFonts w:ascii="宋体" w:hAnsi="宋体" w:cs="宋体" w:eastAsia="宋体" w:hint="default"/>
                <w:sz w:val="18"/>
                <w:szCs w:val="18"/>
              </w:rPr>
              <w:t>报告期内 售出金额</w:t>
            </w: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7"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4" w:right="65"/>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714" w:hRule="exact"/>
        </w:trPr>
        <w:tc>
          <w:tcPr>
            <w:tcW w:w="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3"/>
              <w:jc w:val="center"/>
              <w:rPr>
                <w:rFonts w:ascii="宋体" w:hAnsi="宋体" w:cs="宋体" w:eastAsia="宋体" w:hint="default"/>
                <w:sz w:val="18"/>
                <w:szCs w:val="18"/>
              </w:rPr>
            </w:pPr>
            <w:r>
              <w:rPr>
                <w:rFonts w:ascii="宋体" w:hAnsi="宋体" w:cs="宋体" w:eastAsia="宋体" w:hint="default"/>
                <w:sz w:val="18"/>
                <w:szCs w:val="18"/>
              </w:rPr>
              <w:t>其他</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29,057,630.00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-22,932,479.42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33,192,370.00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4,200,000.00</w:t>
            </w:r>
          </w:p>
        </w:tc>
        <w:tc>
          <w:tcPr>
            <w:tcW w:w="922"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4,814,262.42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62,250,000.00</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402" w:hRule="exact"/>
        </w:trPr>
        <w:tc>
          <w:tcPr>
            <w:tcW w:w="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3"/>
              <w:jc w:val="center"/>
              <w:rPr>
                <w:rFonts w:ascii="宋体" w:hAnsi="宋体" w:cs="宋体" w:eastAsia="宋体" w:hint="default"/>
                <w:sz w:val="18"/>
                <w:szCs w:val="18"/>
              </w:rPr>
            </w:pPr>
            <w:r>
              <w:rPr>
                <w:rFonts w:ascii="宋体" w:hAnsi="宋体" w:cs="宋体" w:eastAsia="宋体" w:hint="default"/>
                <w:sz w:val="18"/>
                <w:szCs w:val="18"/>
              </w:rPr>
              <w:t>合计</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29,057,630.00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-22,932,479.42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33,192,370.00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4" w:right="0"/>
              <w:jc w:val="left"/>
              <w:rPr>
                <w:rFonts w:ascii="Times New Roman" w:hAnsi="Times New Roman" w:cs="Times New Roman" w:eastAsia="Times New Roman" w:hint="default"/>
                <w:sz w:val="18"/>
                <w:szCs w:val="18"/>
              </w:rPr>
            </w:pPr>
            <w:r>
              <w:rPr>
                <w:rFonts w:ascii="Times New Roman"/>
                <w:sz w:val="18"/>
              </w:rPr>
              <w:t>0.00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4,814,262.42</w:t>
            </w:r>
          </w:p>
        </w:tc>
        <w:tc>
          <w:tcPr>
            <w:tcW w:w="10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62,250,000.00</w:t>
            </w:r>
          </w:p>
        </w:tc>
        <w:tc>
          <w:tcPr>
            <w:tcW w:w="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pict>
          <v:group style="position:absolute;margin-left:491.76001pt;margin-top:89.541725pt;width:43pt;height:39pt;mso-position-horizontal-relative:page;mso-position-vertical-relative:paragraph;z-index:-1004032" coordorigin="9835,1791" coordsize="860,780">
            <v:shape style="position:absolute;left:9835;top:1791;width:860;height:780" coordorigin="9835,1791" coordsize="860,780" path="m9835,2571l10694,2571,10694,1791,9835,1791,9835,2571xe" filled="true" fillcolor="#ffffff" stroked="false">
              <v:path arrowok="t"/>
              <v:fill type="solid"/>
            </v:shape>
            <w10:wrap type="none"/>
          </v:group>
        </w:pict>
      </w: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962"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85"/>
              <w:jc w:val="center"/>
              <w:rPr>
                <w:rFonts w:ascii="宋体" w:hAnsi="宋体" w:cs="宋体" w:eastAsia="宋体" w:hint="default"/>
                <w:sz w:val="18"/>
                <w:szCs w:val="18"/>
              </w:rPr>
            </w:pPr>
            <w:r>
              <w:rPr>
                <w:rFonts w:ascii="宋体" w:hAnsi="宋体" w:cs="宋体" w:eastAsia="宋体" w:hint="default"/>
                <w:sz w:val="18"/>
                <w:szCs w:val="18"/>
              </w:rPr>
              <w:t>公开发行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76,523.31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17,669.67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41,695.88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41,214.32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银行专户 活期存储 购买银行 结构性存 款及银行 理财产品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37,084.86</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76,523.31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17,669.67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41,695.88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52.27%</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41,214.32</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37,084.86</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日，报告期投入募集资金为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17,669.67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万元，已累计投入金额为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41,695.88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footerReference w:type="default" r:id="rId15"/>
          <w:pgSz w:w="11910" w:h="16840"/>
          <w:pgMar w:footer="979" w:header="0" w:top="1060" w:bottom="1160" w:left="980" w:right="0"/>
          <w:pgNumType w:start="22"/>
        </w:sectPr>
      </w:pPr>
    </w:p>
    <w:p>
      <w:pPr>
        <w:spacing w:line="240" w:lineRule="auto" w:before="10"/>
        <w:rPr>
          <w:rFonts w:ascii="宋体" w:hAnsi="宋体" w:cs="宋体" w:eastAsia="宋体" w:hint="default"/>
          <w:sz w:val="24"/>
          <w:szCs w:val="24"/>
        </w:rPr>
      </w:pPr>
    </w:p>
    <w:p>
      <w:pPr>
        <w:pStyle w:val="Heading4"/>
        <w:spacing w:line="240" w:lineRule="auto" w:before="35"/>
        <w:ind w:left="254" w:right="1042"/>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5"/>
        <w:rPr>
          <w:rFonts w:ascii="宋体" w:hAnsi="宋体" w:cs="宋体" w:eastAsia="宋体" w:hint="default"/>
          <w:b/>
          <w:bCs/>
          <w:sz w:val="9"/>
          <w:szCs w:val="9"/>
        </w:rPr>
      </w:pPr>
    </w:p>
    <w:p>
      <w:pPr>
        <w:pStyle w:val="BodyText"/>
        <w:spacing w:line="240" w:lineRule="auto" w:before="44"/>
        <w:ind w:left="254" w:right="10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476"/>
        <w:gridCol w:w="715"/>
        <w:gridCol w:w="818"/>
        <w:gridCol w:w="930"/>
        <w:gridCol w:w="924"/>
        <w:gridCol w:w="1042"/>
        <w:gridCol w:w="1040"/>
        <w:gridCol w:w="824"/>
        <w:gridCol w:w="937"/>
        <w:gridCol w:w="494"/>
        <w:gridCol w:w="864"/>
      </w:tblGrid>
      <w:tr>
        <w:trPr>
          <w:trHeight w:val="1338"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92" w:right="102" w:hanging="90"/>
              <w:jc w:val="left"/>
              <w:rPr>
                <w:rFonts w:ascii="宋体" w:hAnsi="宋体" w:cs="宋体" w:eastAsia="宋体" w:hint="default"/>
                <w:sz w:val="18"/>
                <w:szCs w:val="18"/>
              </w:rPr>
            </w:pPr>
            <w:r>
              <w:rPr>
                <w:rFonts w:ascii="宋体" w:hAnsi="宋体" w:cs="宋体" w:eastAsia="宋体" w:hint="default"/>
                <w:sz w:val="18"/>
                <w:szCs w:val="18"/>
              </w:rPr>
              <w:t>承诺投资项目和 超募资金投向</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51" w:right="53"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4" w:right="4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3" w:right="84" w:firstLine="1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6" w:right="96"/>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64"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8" w:lineRule="auto"/>
              <w:ind w:left="50" w:right="48" w:hanging="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 w:right="46"/>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60"/>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 w:right="66"/>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100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企业云统一通信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10,696.39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536.74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10,696.39</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-796.49</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全球华人移动通 信业务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42,500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4,949.49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82.93</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4,949.49</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-205.93</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收购上海奈盛通 信科技有限公司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股权项目</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18"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-1,216.91</w:t>
            </w:r>
            <w:r>
              <w:rPr>
                <w:rFonts w:ascii="Times New Roman"/>
                <w:sz w:val="18"/>
              </w:rPr>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1"/>
              <w:ind w:left="22" w:right="54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收购香港 </w:t>
            </w:r>
            <w:r>
              <w:rPr>
                <w:rFonts w:ascii="Times New Roman" w:hAnsi="Times New Roman" w:cs="Times New Roman" w:eastAsia="Times New Roman" w:hint="default"/>
                <w:sz w:val="18"/>
                <w:szCs w:val="18"/>
              </w:rPr>
              <w:t>I-ACCESS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NETWORK</w:t>
            </w:r>
          </w:p>
          <w:p>
            <w:pPr>
              <w:pStyle w:val="TableParagraph"/>
              <w:spacing w:line="22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权项目</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18"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17,050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17,050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2,821.19</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4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承诺投资项目小 计</w:t>
            </w:r>
          </w:p>
        </w:tc>
        <w:tc>
          <w:tcPr>
            <w:tcW w:w="7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4" w:right="0"/>
              <w:jc w:val="left"/>
              <w:rPr>
                <w:rFonts w:ascii="Times New Roman" w:hAnsi="Times New Roman" w:cs="Times New Roman" w:eastAsia="Times New Roman" w:hint="default"/>
                <w:sz w:val="18"/>
                <w:szCs w:val="18"/>
              </w:rPr>
            </w:pPr>
            <w:r>
              <w:rPr>
                <w:rFonts w:ascii="Times New Roman"/>
                <w:sz w:val="18"/>
              </w:rPr>
              <w:t>76,500</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55,645.88</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17,669.67</w:t>
            </w:r>
          </w:p>
        </w:tc>
        <w:tc>
          <w:tcPr>
            <w:tcW w:w="1042"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41,695.88</w:t>
            </w:r>
          </w:p>
        </w:tc>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7" w:type="dxa"/>
            <w:vMerge w:val="restart"/>
            <w:tcBorders>
              <w:top w:val="single" w:sz="4" w:space="0" w:color="000000"/>
              <w:left w:val="single" w:sz="10" w:space="0" w:color="D2D2D2"/>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2" w:right="0"/>
              <w:jc w:val="left"/>
              <w:rPr>
                <w:rFonts w:ascii="Times New Roman" w:hAnsi="Times New Roman" w:cs="Times New Roman" w:eastAsia="Times New Roman" w:hint="default"/>
                <w:sz w:val="18"/>
                <w:szCs w:val="18"/>
              </w:rPr>
            </w:pPr>
            <w:r>
              <w:rPr>
                <w:rFonts w:ascii="Times New Roman"/>
                <w:sz w:val="18"/>
              </w:rPr>
              <w:t>601.86</w:t>
            </w:r>
          </w:p>
        </w:tc>
        <w:tc>
          <w:tcPr>
            <w:tcW w:w="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6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476" w:type="dxa"/>
            <w:vMerge/>
            <w:tcBorders>
              <w:left w:val="single" w:sz="4" w:space="0" w:color="000000"/>
              <w:right w:val="single" w:sz="4" w:space="0" w:color="000000"/>
            </w:tcBorders>
            <w:shd w:val="clear" w:color="auto" w:fill="D2D2D2"/>
          </w:tcPr>
          <w:p>
            <w:pPr/>
          </w:p>
        </w:tc>
        <w:tc>
          <w:tcPr>
            <w:tcW w:w="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818" w:type="dxa"/>
            <w:vMerge/>
            <w:tcBorders>
              <w:left w:val="single" w:sz="9" w:space="0" w:color="D2D2D2"/>
              <w:right w:val="single" w:sz="4" w:space="0" w:color="000000"/>
            </w:tcBorders>
          </w:tcPr>
          <w:p>
            <w:pPr/>
          </w:p>
        </w:tc>
        <w:tc>
          <w:tcPr>
            <w:tcW w:w="930"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c>
          <w:tcPr>
            <w:tcW w:w="1042" w:type="dxa"/>
            <w:vMerge/>
            <w:tcBorders>
              <w:left w:val="single" w:sz="4" w:space="0" w:color="000000"/>
              <w:right w:val="single" w:sz="9" w:space="0" w:color="D2D2D2"/>
            </w:tcBorders>
          </w:tcPr>
          <w:p>
            <w:pPr/>
          </w:p>
        </w:tc>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7" w:type="dxa"/>
            <w:vMerge/>
            <w:tcBorders>
              <w:left w:val="single" w:sz="10" w:space="0" w:color="D2D2D2"/>
              <w:right w:val="single" w:sz="9" w:space="0" w:color="D2D2D2"/>
            </w:tcBorders>
          </w:tcPr>
          <w:p>
            <w:pPr/>
          </w:p>
        </w:tc>
        <w:tc>
          <w:tcPr>
            <w:tcW w:w="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80"/>
              <w:jc w:val="right"/>
              <w:rPr>
                <w:rFonts w:ascii="Times New Roman" w:hAnsi="Times New Roman" w:cs="Times New Roman" w:eastAsia="Times New Roman" w:hint="default"/>
                <w:sz w:val="18"/>
                <w:szCs w:val="18"/>
              </w:rPr>
            </w:pPr>
            <w:r>
              <w:rPr>
                <w:rFonts w:ascii="Times New Roman"/>
                <w:sz w:val="18"/>
              </w:rPr>
              <w:t>--</w:t>
            </w:r>
          </w:p>
        </w:tc>
        <w:tc>
          <w:tcPr>
            <w:tcW w:w="8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66"/>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476" w:type="dxa"/>
            <w:vMerge/>
            <w:tcBorders>
              <w:left w:val="single" w:sz="4" w:space="0" w:color="000000"/>
              <w:bottom w:val="single" w:sz="4" w:space="0" w:color="000000"/>
              <w:right w:val="single" w:sz="4" w:space="0" w:color="000000"/>
            </w:tcBorders>
            <w:shd w:val="clear" w:color="auto" w:fill="D2D2D2"/>
          </w:tcPr>
          <w:p>
            <w:pPr/>
          </w:p>
        </w:tc>
        <w:tc>
          <w:tcPr>
            <w:tcW w:w="7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8" w:type="dxa"/>
            <w:vMerge/>
            <w:tcBorders>
              <w:left w:val="single" w:sz="9" w:space="0" w:color="D2D2D2"/>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1042" w:type="dxa"/>
            <w:vMerge/>
            <w:tcBorders>
              <w:left w:val="single" w:sz="4" w:space="0" w:color="000000"/>
              <w:bottom w:val="single" w:sz="4" w:space="0" w:color="000000"/>
              <w:right w:val="single" w:sz="9" w:space="0" w:color="D2D2D2"/>
            </w:tcBorders>
          </w:tcPr>
          <w:p>
            <w:pPr/>
          </w:p>
        </w:tc>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7" w:type="dxa"/>
            <w:vMerge/>
            <w:tcBorders>
              <w:left w:val="single" w:sz="10" w:space="0" w:color="D2D2D2"/>
              <w:bottom w:val="single" w:sz="4" w:space="0" w:color="000000"/>
              <w:right w:val="single" w:sz="9" w:space="0" w:color="D2D2D2"/>
            </w:tcBorders>
          </w:tcPr>
          <w:p>
            <w:pPr/>
          </w:p>
        </w:tc>
        <w:tc>
          <w:tcPr>
            <w:tcW w:w="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86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100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1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8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76,500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55,645.88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17,669.67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41,695.88</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601.86</w:t>
            </w:r>
          </w:p>
        </w:tc>
        <w:tc>
          <w:tcPr>
            <w:tcW w:w="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0"/>
              <w:jc w:val="right"/>
              <w:rPr>
                <w:rFonts w:ascii="Times New Roman" w:hAnsi="Times New Roman" w:cs="Times New Roman" w:eastAsia="Times New Roman" w:hint="default"/>
                <w:sz w:val="18"/>
                <w:szCs w:val="18"/>
              </w:rPr>
            </w:pPr>
            <w:r>
              <w:rPr>
                <w:rFonts w:ascii="Times New Roman"/>
                <w:sz w:val="18"/>
              </w:rPr>
              <w:t>--</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66"/>
              <w:jc w:val="right"/>
              <w:rPr>
                <w:rFonts w:ascii="Times New Roman" w:hAnsi="Times New Roman" w:cs="Times New Roman" w:eastAsia="Times New Roman" w:hint="default"/>
                <w:sz w:val="18"/>
                <w:szCs w:val="18"/>
              </w:rPr>
            </w:pPr>
            <w:r>
              <w:rPr>
                <w:rFonts w:ascii="Times New Roman"/>
                <w:sz w:val="18"/>
              </w:rPr>
              <w:t>--</w:t>
            </w:r>
          </w:p>
        </w:tc>
      </w:tr>
      <w:tr>
        <w:trPr>
          <w:trHeight w:val="1721" w:hRule="exact"/>
        </w:trPr>
        <w:tc>
          <w:tcPr>
            <w:tcW w:w="1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89" w:type="dxa"/>
            <w:gridSpan w:val="10"/>
            <w:vMerge w:val="restart"/>
            <w:tcBorders>
              <w:top w:val="single" w:sz="4" w:space="0" w:color="000000"/>
              <w:left w:val="single" w:sz="9" w:space="0" w:color="D2D2D2"/>
              <w:right w:val="single" w:sz="4" w:space="0" w:color="000000"/>
            </w:tcBorders>
          </w:tcPr>
          <w:p>
            <w:pPr>
              <w:pStyle w:val="TableParagraph"/>
              <w:spacing w:line="302" w:lineRule="auto" w:before="51"/>
              <w:ind w:left="16"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、企业云统一通信：截至项目终止日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30 </w:t>
            </w:r>
            <w:r>
              <w:rPr>
                <w:rFonts w:ascii="宋体" w:hAnsi="宋体" w:cs="宋体" w:eastAsia="宋体" w:hint="default"/>
                <w:sz w:val="18"/>
                <w:szCs w:val="18"/>
              </w:rPr>
              <w:t>日，累计投资损失为人民币 </w:t>
            </w:r>
            <w:r>
              <w:rPr>
                <w:rFonts w:ascii="Times New Roman" w:hAnsi="Times New Roman" w:cs="Times New Roman" w:eastAsia="Times New Roman" w:hint="default"/>
                <w:sz w:val="18"/>
                <w:szCs w:val="18"/>
              </w:rPr>
              <w:t>6,835.43</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万元，项目效 </w:t>
            </w:r>
            <w:r>
              <w:rPr>
                <w:rFonts w:ascii="宋体" w:hAnsi="宋体" w:cs="宋体" w:eastAsia="宋体" w:hint="default"/>
                <w:spacing w:val="-2"/>
                <w:sz w:val="18"/>
                <w:szCs w:val="18"/>
              </w:rPr>
              <w:t>益较预期差的原因如下：（</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）工信部出于整治电信诈骗及骚扰电话的目的调整了语音业务平台外呼和话务透</w:t>
            </w:r>
            <w:r>
              <w:rPr>
                <w:rFonts w:ascii="宋体" w:hAnsi="宋体" w:cs="宋体" w:eastAsia="宋体" w:hint="default"/>
                <w:spacing w:val="-84"/>
                <w:sz w:val="18"/>
                <w:szCs w:val="18"/>
              </w:rPr>
              <w:t> </w:t>
            </w:r>
            <w:r>
              <w:rPr>
                <w:rFonts w:ascii="宋体" w:hAnsi="宋体" w:cs="宋体" w:eastAsia="宋体" w:hint="default"/>
                <w:sz w:val="18"/>
                <w:szCs w:val="18"/>
              </w:rPr>
              <w:t>传的管理政策，导致基础运营商不再提供话务透传服务，这对基础通信服务的业务模式和收入模式带来了重 </w:t>
            </w:r>
            <w:r>
              <w:rPr>
                <w:rFonts w:ascii="宋体" w:hAnsi="宋体" w:cs="宋体" w:eastAsia="宋体" w:hint="default"/>
                <w:spacing w:val="-2"/>
                <w:sz w:val="18"/>
                <w:szCs w:val="18"/>
              </w:rPr>
              <w:t>大影响。（</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）随着近年来物联网技术的不断发展，企业客户对于语音、宽带接入等基础通信服务的关注度有</w:t>
            </w:r>
            <w:r>
              <w:rPr>
                <w:rFonts w:ascii="宋体" w:hAnsi="宋体" w:cs="宋体" w:eastAsia="宋体" w:hint="default"/>
                <w:spacing w:val="-84"/>
                <w:sz w:val="18"/>
                <w:szCs w:val="18"/>
              </w:rPr>
              <w:t> </w:t>
            </w:r>
            <w:r>
              <w:rPr>
                <w:rFonts w:ascii="宋体" w:hAnsi="宋体" w:cs="宋体" w:eastAsia="宋体" w:hint="default"/>
                <w:spacing w:val="-4"/>
                <w:w w:val="99"/>
                <w:sz w:val="18"/>
                <w:szCs w:val="18"/>
              </w:rPr>
              <w:t>所下降，转而更加关注能够直接为企业带来革命性变化的工业互联网、物联网等方面。（</w:t>
            </w:r>
            <w:r>
              <w:rPr>
                <w:rFonts w:ascii="Times New Roman" w:hAnsi="Times New Roman" w:cs="Times New Roman" w:eastAsia="Times New Roman" w:hint="default"/>
                <w:spacing w:val="-4"/>
                <w:w w:val="99"/>
                <w:sz w:val="18"/>
                <w:szCs w:val="18"/>
              </w:rPr>
              <w:t>3</w:t>
            </w:r>
            <w:r>
              <w:rPr>
                <w:rFonts w:ascii="宋体" w:hAnsi="宋体" w:cs="宋体" w:eastAsia="宋体" w:hint="default"/>
                <w:spacing w:val="-4"/>
                <w:w w:val="99"/>
                <w:sz w:val="18"/>
                <w:szCs w:val="18"/>
              </w:rPr>
              <w:t>）</w:t>
            </w:r>
            <w:r>
              <w:rPr>
                <w:rFonts w:ascii="Times New Roman" w:hAnsi="Times New Roman" w:cs="Times New Roman" w:eastAsia="Times New Roman" w:hint="default"/>
                <w:spacing w:val="-4"/>
                <w:w w:val="99"/>
                <w:sz w:val="18"/>
                <w:szCs w:val="18"/>
              </w:rPr>
              <w:t>5G</w:t>
            </w:r>
            <w:r>
              <w:rPr>
                <w:rFonts w:ascii="Times New Roman" w:hAnsi="Times New Roman" w:cs="Times New Roman" w:eastAsia="Times New Roman" w:hint="default"/>
                <w:spacing w:val="17"/>
                <w:w w:val="99"/>
                <w:sz w:val="18"/>
                <w:szCs w:val="18"/>
              </w:rPr>
              <w:t> </w:t>
            </w:r>
            <w:r>
              <w:rPr>
                <w:rFonts w:ascii="宋体" w:hAnsi="宋体" w:cs="宋体" w:eastAsia="宋体" w:hint="default"/>
                <w:sz w:val="18"/>
                <w:szCs w:val="18"/>
              </w:rPr>
              <w:t>技术的快速发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展超过了预期，</w:t>
            </w:r>
            <w:r>
              <w:rPr>
                <w:rFonts w:ascii="Times New Roman" w:hAnsi="Times New Roman" w:cs="Times New Roman" w:eastAsia="Times New Roman" w:hint="default"/>
                <w:spacing w:val="-4"/>
                <w:sz w:val="18"/>
                <w:szCs w:val="18"/>
              </w:rPr>
              <w:t>5G</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时代的到来将会给通信领域带来根本性的改变，为企业提供的基础通信服务内容也必将随 </w:t>
            </w:r>
            <w:r>
              <w:rPr>
                <w:rFonts w:ascii="宋体" w:hAnsi="宋体" w:cs="宋体" w:eastAsia="宋体" w:hint="default"/>
                <w:spacing w:val="-1"/>
                <w:sz w:val="18"/>
                <w:szCs w:val="18"/>
              </w:rPr>
              <w:t>之发生变化，技术迭代的加快造成继续投入实施该项目将会得不偿失。</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、全球华人移动通信业务：截至项目</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终止日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30  </w:t>
            </w:r>
            <w:r>
              <w:rPr>
                <w:rFonts w:ascii="宋体" w:hAnsi="宋体" w:cs="宋体" w:eastAsia="宋体" w:hint="default"/>
                <w:sz w:val="18"/>
                <w:szCs w:val="18"/>
              </w:rPr>
              <w:t>日，累计投资损失为人民币 </w:t>
            </w:r>
            <w:r>
              <w:rPr>
                <w:rFonts w:ascii="Times New Roman" w:hAnsi="Times New Roman" w:cs="Times New Roman" w:eastAsia="Times New Roman" w:hint="default"/>
                <w:sz w:val="18"/>
                <w:szCs w:val="18"/>
              </w:rPr>
              <w:t>7,123.31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万元，项目效益较预期差的原因如下：全球</w:t>
            </w:r>
          </w:p>
          <w:p>
            <w:pPr>
              <w:pStyle w:val="TableParagraph"/>
              <w:spacing w:line="240" w:lineRule="auto" w:before="11"/>
              <w:ind w:left="16" w:right="0"/>
              <w:jc w:val="left"/>
              <w:rPr>
                <w:rFonts w:ascii="宋体" w:hAnsi="宋体" w:cs="宋体" w:eastAsia="宋体" w:hint="default"/>
                <w:sz w:val="18"/>
                <w:szCs w:val="18"/>
              </w:rPr>
            </w:pPr>
            <w:r>
              <w:rPr>
                <w:rFonts w:ascii="宋体" w:hAnsi="宋体" w:cs="宋体" w:eastAsia="宋体" w:hint="default"/>
                <w:sz w:val="18"/>
                <w:szCs w:val="18"/>
              </w:rPr>
              <w:t>华人移动通信服务项目的效益是建立在基础运营商国际数据漫游资费较高的前提下，近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年来国内基础运营</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商的国际数据漫游资费不断进行下调，特别是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年资费下调力度加大，使得公司国际数据漫游业务丧失</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了原有的利润空间。</w:t>
            </w:r>
            <w:r>
              <w:rPr>
                <w:rFonts w:ascii="Times New Roman" w:hAnsi="Times New Roman" w:cs="Times New Roman" w:eastAsia="Times New Roman" w:hint="default"/>
                <w:sz w:val="18"/>
                <w:szCs w:val="18"/>
              </w:rPr>
              <w:t>3</w:t>
            </w:r>
            <w:r>
              <w:rPr>
                <w:rFonts w:ascii="宋体" w:hAnsi="宋体" w:cs="宋体" w:eastAsia="宋体" w:hint="default"/>
                <w:sz w:val="18"/>
                <w:szCs w:val="18"/>
              </w:rPr>
              <w:t>、收购上海奈盛通信科技有限公司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股权项目：截至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日，累计投资</w:t>
            </w:r>
          </w:p>
          <w:p>
            <w:pPr>
              <w:pStyle w:val="TableParagraph"/>
              <w:spacing w:line="319" w:lineRule="auto" w:before="64"/>
              <w:ind w:left="16" w:right="20"/>
              <w:jc w:val="left"/>
              <w:rPr>
                <w:rFonts w:ascii="宋体" w:hAnsi="宋体" w:cs="宋体" w:eastAsia="宋体" w:hint="default"/>
                <w:sz w:val="18"/>
                <w:szCs w:val="18"/>
              </w:rPr>
            </w:pPr>
            <w:r>
              <w:rPr>
                <w:rFonts w:ascii="宋体" w:hAnsi="宋体" w:cs="宋体" w:eastAsia="宋体" w:hint="default"/>
                <w:sz w:val="18"/>
                <w:szCs w:val="18"/>
              </w:rPr>
              <w:t>损失为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2,244.18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万元，项目效益较预期差的原因如下：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由于行业主管部门对于申请主体中有外资成分的情况审核较为严苛，原计划</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年底获得</w:t>
            </w:r>
            <w:r>
              <w:rPr>
                <w:rFonts w:ascii="宋体" w:hAnsi="宋体" w:cs="宋体" w:eastAsia="宋体" w:hint="default"/>
                <w:spacing w:val="-41"/>
                <w:sz w:val="18"/>
                <w:szCs w:val="18"/>
              </w:rPr>
              <w:t> </w:t>
            </w:r>
            <w:r>
              <w:rPr>
                <w:rFonts w:ascii="Times New Roman" w:hAnsi="Times New Roman" w:cs="Times New Roman" w:eastAsia="Times New Roman" w:hint="default"/>
                <w:w w:val="99"/>
                <w:sz w:val="18"/>
                <w:szCs w:val="18"/>
              </w:rPr>
              <w:t>IDC</w:t>
            </w:r>
            <w:r>
              <w:rPr>
                <w:rFonts w:ascii="Times New Roman" w:hAnsi="Times New Roman" w:cs="Times New Roman" w:eastAsia="Times New Roman" w:hint="default"/>
                <w:spacing w:val="4"/>
                <w:w w:val="99"/>
                <w:sz w:val="18"/>
                <w:szCs w:val="18"/>
              </w:rPr>
              <w:t> </w:t>
            </w:r>
            <w:r>
              <w:rPr>
                <w:rFonts w:ascii="宋体" w:hAnsi="宋体" w:cs="宋体" w:eastAsia="宋体" w:hint="default"/>
                <w:sz w:val="18"/>
                <w:szCs w:val="18"/>
              </w:rPr>
              <w:t>牌照的设想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未能实现。直至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月下旬，上海奈盛公司才获得</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牌照，比预计迟延了半年的时间，造成上海奈盛</w:t>
            </w:r>
          </w:p>
          <w:p>
            <w:pPr>
              <w:pStyle w:val="TableParagraph"/>
              <w:spacing w:line="246" w:lineRule="exact"/>
              <w:ind w:left="16" w:right="0"/>
              <w:jc w:val="left"/>
              <w:rPr>
                <w:rFonts w:ascii="宋体" w:hAnsi="宋体" w:cs="宋体" w:eastAsia="宋体" w:hint="default"/>
                <w:sz w:val="18"/>
                <w:szCs w:val="18"/>
              </w:rPr>
            </w:pPr>
            <w:r>
              <w:rPr>
                <w:rFonts w:ascii="宋体" w:hAnsi="宋体" w:cs="宋体" w:eastAsia="宋体" w:hint="default"/>
                <w:sz w:val="18"/>
                <w:szCs w:val="18"/>
              </w:rPr>
              <w:t>公司正式开展业务时间的延后，使得投资效益未达到预期。</w:t>
            </w:r>
            <w:r>
              <w:rPr>
                <w:rFonts w:ascii="Times New Roman" w:hAnsi="Times New Roman" w:cs="Times New Roman" w:eastAsia="Times New Roman" w:hint="default"/>
                <w:sz w:val="18"/>
                <w:szCs w:val="18"/>
              </w:rPr>
              <w:t>(2)IDC </w:t>
            </w:r>
            <w:r>
              <w:rPr>
                <w:rFonts w:ascii="宋体" w:hAnsi="宋体" w:cs="宋体" w:eastAsia="宋体" w:hint="default"/>
                <w:sz w:val="18"/>
                <w:szCs w:val="18"/>
              </w:rPr>
              <w:t>业务特点决定了其固定成本高占比的成本</w:t>
            </w:r>
          </w:p>
        </w:tc>
      </w:tr>
      <w:tr>
        <w:trPr>
          <w:trHeight w:val="1328" w:hRule="exact"/>
        </w:trPr>
        <w:tc>
          <w:tcPr>
            <w:tcW w:w="14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未达到计划进度 或预计收益的情 </w:t>
            </w:r>
            <w:r>
              <w:rPr>
                <w:rFonts w:ascii="宋体" w:hAnsi="宋体" w:cs="宋体" w:eastAsia="宋体" w:hint="default"/>
                <w:spacing w:val="-3"/>
                <w:sz w:val="18"/>
                <w:szCs w:val="18"/>
              </w:rPr>
              <w:t>况和原因（分具体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项目）</w:t>
            </w:r>
          </w:p>
        </w:tc>
        <w:tc>
          <w:tcPr>
            <w:tcW w:w="8589" w:type="dxa"/>
            <w:gridSpan w:val="10"/>
            <w:vMerge/>
            <w:tcBorders>
              <w:left w:val="single" w:sz="9" w:space="0" w:color="D2D2D2"/>
              <w:right w:val="single" w:sz="4" w:space="0" w:color="000000"/>
            </w:tcBorders>
          </w:tcPr>
          <w:p>
            <w:pPr/>
          </w:p>
        </w:tc>
      </w:tr>
      <w:tr>
        <w:trPr>
          <w:trHeight w:val="1721" w:hRule="exact"/>
        </w:trPr>
        <w:tc>
          <w:tcPr>
            <w:tcW w:w="1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89" w:type="dxa"/>
            <w:gridSpan w:val="10"/>
            <w:vMerge/>
            <w:tcBorders>
              <w:left w:val="single" w:sz="9" w:space="0" w:color="D2D2D2"/>
              <w:bottom w:val="single" w:sz="4" w:space="0" w:color="000000"/>
              <w:right w:val="single" w:sz="4" w:space="0" w:color="000000"/>
            </w:tcBorders>
          </w:tcPr>
          <w:p>
            <w:pPr/>
          </w:p>
        </w:tc>
      </w:tr>
    </w:tbl>
    <w:p>
      <w:pPr>
        <w:spacing w:after="0"/>
        <w:sectPr>
          <w:pgSz w:w="11910" w:h="16840"/>
          <w:pgMar w:header="0" w:footer="979" w:top="1060" w:bottom="1160" w:left="8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476"/>
        <w:gridCol w:w="8590"/>
      </w:tblGrid>
      <w:tr>
        <w:trPr>
          <w:trHeight w:val="362"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构成，且公司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业务定位于向高端跨国企业客户提供服务，因此存在签约及入驻周期较长的特点。</w:t>
            </w:r>
          </w:p>
        </w:tc>
      </w:tr>
      <w:tr>
        <w:trPr>
          <w:trHeight w:val="3210"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81"/>
              <w:jc w:val="both"/>
              <w:rPr>
                <w:rFonts w:ascii="宋体" w:hAnsi="宋体" w:cs="宋体" w:eastAsia="宋体" w:hint="default"/>
                <w:sz w:val="18"/>
                <w:szCs w:val="18"/>
              </w:rPr>
            </w:pPr>
            <w:r>
              <w:rPr>
                <w:rFonts w:ascii="宋体" w:hAnsi="宋体" w:cs="宋体" w:eastAsia="宋体" w:hint="default"/>
                <w:sz w:val="18"/>
                <w:szCs w:val="18"/>
              </w:rPr>
              <w:t>项目可行性发生 重大变化的情况 说明</w:t>
            </w:r>
          </w:p>
        </w:tc>
        <w:tc>
          <w:tcPr>
            <w:tcW w:w="859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8"/>
              <w:jc w:val="left"/>
              <w:rPr>
                <w:rFonts w:ascii="宋体" w:hAnsi="宋体" w:cs="宋体" w:eastAsia="宋体" w:hint="default"/>
                <w:sz w:val="18"/>
                <w:szCs w:val="18"/>
              </w:rPr>
            </w:pPr>
            <w:r>
              <w:rPr>
                <w:rFonts w:ascii="Times New Roman" w:hAnsi="Times New Roman" w:cs="Times New Roman" w:eastAsia="Times New Roman" w:hint="default"/>
                <w:spacing w:val="-2"/>
                <w:w w:val="100"/>
                <w:sz w:val="18"/>
                <w:szCs w:val="18"/>
              </w:rPr>
              <w:t>1</w:t>
            </w:r>
            <w:r>
              <w:rPr>
                <w:rFonts w:ascii="宋体" w:hAnsi="宋体" w:cs="宋体" w:eastAsia="宋体" w:hint="default"/>
                <w:spacing w:val="-2"/>
                <w:w w:val="100"/>
                <w:sz w:val="18"/>
                <w:szCs w:val="18"/>
              </w:rPr>
              <w:t>、基于如下方面原因，公司判断</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企业云统一通信</w:t>
            </w:r>
            <w:r>
              <w:rPr>
                <w:rFonts w:ascii="宋体" w:hAnsi="宋体" w:cs="宋体" w:eastAsia="宋体" w:hint="default"/>
                <w:spacing w:val="26"/>
                <w:w w:val="100"/>
                <w:sz w:val="18"/>
                <w:szCs w:val="18"/>
              </w:rPr>
              <w:t> </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项目可行性发生重大变动，将该项目予以终止。（</w:t>
            </w:r>
            <w:r>
              <w:rPr>
                <w:rFonts w:ascii="Times New Roman" w:hAnsi="Times New Roman" w:cs="Times New Roman" w:eastAsia="Times New Roman" w:hint="default"/>
                <w:spacing w:val="-6"/>
                <w:w w:val="100"/>
                <w:sz w:val="18"/>
                <w:szCs w:val="18"/>
              </w:rPr>
              <w:t>1</w:t>
            </w:r>
            <w:r>
              <w:rPr>
                <w:rFonts w:ascii="宋体" w:hAnsi="宋体" w:cs="宋体" w:eastAsia="宋体" w:hint="default"/>
                <w:spacing w:val="-6"/>
                <w:w w:val="100"/>
                <w:sz w:val="18"/>
                <w:szCs w:val="18"/>
              </w:rPr>
              <w:t>）工信</w:t>
            </w:r>
            <w:r>
              <w:rPr>
                <w:rFonts w:ascii="宋体" w:hAnsi="宋体" w:cs="宋体" w:eastAsia="宋体" w:hint="default"/>
                <w:spacing w:val="-86"/>
                <w:w w:val="100"/>
                <w:sz w:val="18"/>
                <w:szCs w:val="18"/>
              </w:rPr>
              <w:t> </w:t>
            </w:r>
            <w:r>
              <w:rPr>
                <w:rFonts w:ascii="宋体" w:hAnsi="宋体" w:cs="宋体" w:eastAsia="宋体" w:hint="default"/>
                <w:spacing w:val="-86"/>
                <w:w w:val="100"/>
                <w:sz w:val="18"/>
                <w:szCs w:val="18"/>
              </w:rPr>
            </w:r>
            <w:r>
              <w:rPr>
                <w:rFonts w:ascii="宋体" w:hAnsi="宋体" w:cs="宋体" w:eastAsia="宋体" w:hint="default"/>
                <w:sz w:val="18"/>
                <w:szCs w:val="18"/>
              </w:rPr>
              <w:t>部出于整治电信诈骗及骚扰电话的目的调整了语音业务平台外呼和话务透传的管理政策，导致基础运营商不 </w:t>
            </w:r>
            <w:r>
              <w:rPr>
                <w:rFonts w:ascii="宋体" w:hAnsi="宋体" w:cs="宋体" w:eastAsia="宋体" w:hint="default"/>
                <w:spacing w:val="-2"/>
                <w:sz w:val="18"/>
                <w:szCs w:val="18"/>
              </w:rPr>
              <w:t>再提供话务透传服务，这对基础通信服务的业务模式和收入模式带来了重大影响。（</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）随着近年来物联网技</w:t>
            </w:r>
            <w:r>
              <w:rPr>
                <w:rFonts w:ascii="宋体" w:hAnsi="宋体" w:cs="宋体" w:eastAsia="宋体" w:hint="default"/>
                <w:spacing w:val="-84"/>
                <w:sz w:val="18"/>
                <w:szCs w:val="18"/>
              </w:rPr>
              <w:t> </w:t>
            </w:r>
            <w:r>
              <w:rPr>
                <w:rFonts w:ascii="宋体" w:hAnsi="宋体" w:cs="宋体" w:eastAsia="宋体" w:hint="default"/>
                <w:sz w:val="18"/>
                <w:szCs w:val="18"/>
              </w:rPr>
              <w:t>术的不断发展，企业客户对于语音、宽带接入等基础通信服务的关注度有所下降，转而更加关注能够直接为 </w:t>
            </w:r>
            <w:r>
              <w:rPr>
                <w:rFonts w:ascii="宋体" w:hAnsi="宋体" w:cs="宋体" w:eastAsia="宋体" w:hint="default"/>
                <w:spacing w:val="-4"/>
                <w:w w:val="99"/>
                <w:sz w:val="18"/>
                <w:szCs w:val="18"/>
              </w:rPr>
              <w:t>企业带来革命性变化的工业互联网、物联网等方面。（</w:t>
            </w:r>
            <w:r>
              <w:rPr>
                <w:rFonts w:ascii="Times New Roman" w:hAnsi="Times New Roman" w:cs="Times New Roman" w:eastAsia="Times New Roman" w:hint="default"/>
                <w:spacing w:val="-4"/>
                <w:w w:val="99"/>
                <w:sz w:val="18"/>
                <w:szCs w:val="18"/>
              </w:rPr>
              <w:t>3</w:t>
            </w:r>
            <w:r>
              <w:rPr>
                <w:rFonts w:ascii="宋体" w:hAnsi="宋体" w:cs="宋体" w:eastAsia="宋体" w:hint="default"/>
                <w:spacing w:val="-4"/>
                <w:w w:val="99"/>
                <w:sz w:val="18"/>
                <w:szCs w:val="18"/>
              </w:rPr>
              <w:t>）</w:t>
            </w:r>
            <w:r>
              <w:rPr>
                <w:rFonts w:ascii="Times New Roman" w:hAnsi="Times New Roman" w:cs="Times New Roman" w:eastAsia="Times New Roman" w:hint="default"/>
                <w:spacing w:val="-4"/>
                <w:w w:val="99"/>
                <w:sz w:val="18"/>
                <w:szCs w:val="18"/>
              </w:rPr>
              <w:t>5G</w:t>
            </w:r>
            <w:r>
              <w:rPr>
                <w:rFonts w:ascii="Times New Roman" w:hAnsi="Times New Roman" w:cs="Times New Roman" w:eastAsia="Times New Roman" w:hint="default"/>
                <w:spacing w:val="12"/>
                <w:w w:val="99"/>
                <w:sz w:val="18"/>
                <w:szCs w:val="18"/>
              </w:rPr>
              <w:t> </w:t>
            </w:r>
            <w:r>
              <w:rPr>
                <w:rFonts w:ascii="宋体" w:hAnsi="宋体" w:cs="宋体" w:eastAsia="宋体" w:hint="default"/>
                <w:spacing w:val="-1"/>
                <w:w w:val="99"/>
                <w:sz w:val="18"/>
                <w:szCs w:val="18"/>
              </w:rPr>
              <w:t>技术的快速发展超过了预期，</w:t>
            </w:r>
            <w:r>
              <w:rPr>
                <w:rFonts w:ascii="Times New Roman" w:hAnsi="Times New Roman" w:cs="Times New Roman" w:eastAsia="Times New Roman" w:hint="default"/>
                <w:spacing w:val="-1"/>
                <w:w w:val="99"/>
                <w:sz w:val="18"/>
                <w:szCs w:val="18"/>
              </w:rPr>
              <w:t>5G</w:t>
            </w:r>
            <w:r>
              <w:rPr>
                <w:rFonts w:ascii="Times New Roman" w:hAnsi="Times New Roman" w:cs="Times New Roman" w:eastAsia="Times New Roman" w:hint="default"/>
                <w:spacing w:val="12"/>
                <w:w w:val="99"/>
                <w:sz w:val="18"/>
                <w:szCs w:val="18"/>
              </w:rPr>
              <w:t> </w:t>
            </w:r>
            <w:r>
              <w:rPr>
                <w:rFonts w:ascii="宋体" w:hAnsi="宋体" w:cs="宋体" w:eastAsia="宋体" w:hint="default"/>
                <w:sz w:val="18"/>
                <w:szCs w:val="18"/>
              </w:rPr>
              <w:t>时代的到来将</w:t>
            </w:r>
            <w:r>
              <w:rPr>
                <w:rFonts w:ascii="宋体" w:hAnsi="宋体" w:cs="宋体" w:eastAsia="宋体" w:hint="default"/>
                <w:spacing w:val="-88"/>
                <w:sz w:val="18"/>
                <w:szCs w:val="18"/>
              </w:rPr>
              <w:t> </w:t>
            </w:r>
            <w:r>
              <w:rPr>
                <w:rFonts w:ascii="宋体" w:hAnsi="宋体" w:cs="宋体" w:eastAsia="宋体" w:hint="default"/>
                <w:sz w:val="18"/>
                <w:szCs w:val="18"/>
              </w:rPr>
              <w:t>会给通信领域带来根本性的改变，为企业提供的基础通信服务内容也必将随之发生变化，技术迭代的加快造 </w:t>
            </w:r>
            <w:r>
              <w:rPr>
                <w:rFonts w:ascii="宋体" w:hAnsi="宋体" w:cs="宋体" w:eastAsia="宋体" w:hint="default"/>
                <w:spacing w:val="-1"/>
                <w:sz w:val="18"/>
                <w:szCs w:val="18"/>
              </w:rPr>
              <w:t>成继续投入实施该项目将会得不偿失。</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、基于以下原因，公司判断“全球华人移动通信业务”项目可行性发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生重大变动，予以终止。全球华人移动通信服务项目的效益是建立在基础运营商国际数据漫游资费较高的前 提下，近 </w:t>
            </w:r>
            <w:r>
              <w:rPr>
                <w:rFonts w:ascii="Times New Roman" w:hAnsi="Times New Roman" w:cs="Times New Roman" w:eastAsia="Times New Roman" w:hint="default"/>
                <w:sz w:val="18"/>
                <w:szCs w:val="18"/>
              </w:rPr>
              <w:t>3 </w:t>
            </w:r>
            <w:r>
              <w:rPr>
                <w:rFonts w:ascii="宋体" w:hAnsi="宋体" w:cs="宋体" w:eastAsia="宋体" w:hint="default"/>
                <w:sz w:val="18"/>
                <w:szCs w:val="18"/>
              </w:rPr>
              <w:t>年来国内基础运营商的国际数据漫游资费不断进行下调，特别是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年资费下调力度加大，考 虑到该项目丧失了原有的利润空间，公司判断其可行性发生重大变动，予以终止。</w:t>
            </w:r>
          </w:p>
        </w:tc>
      </w:tr>
      <w:tr>
        <w:trPr>
          <w:trHeight w:val="1026"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
              <w:jc w:val="left"/>
              <w:rPr>
                <w:rFonts w:ascii="宋体" w:hAnsi="宋体" w:cs="宋体" w:eastAsia="宋体" w:hint="default"/>
                <w:sz w:val="18"/>
                <w:szCs w:val="18"/>
              </w:rPr>
            </w:pPr>
            <w:r>
              <w:rPr>
                <w:rFonts w:ascii="宋体" w:hAnsi="宋体" w:cs="宋体" w:eastAsia="宋体" w:hint="default"/>
                <w:sz w:val="18"/>
                <w:szCs w:val="18"/>
              </w:rPr>
              <w:t>超募资金的金额、 用途及使用进展 情况</w:t>
            </w:r>
          </w:p>
        </w:tc>
        <w:tc>
          <w:tcPr>
            <w:tcW w:w="8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4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2" w:right="181"/>
              <w:jc w:val="both"/>
              <w:rPr>
                <w:rFonts w:ascii="宋体" w:hAnsi="宋体" w:cs="宋体" w:eastAsia="宋体" w:hint="default"/>
                <w:sz w:val="18"/>
                <w:szCs w:val="18"/>
              </w:rPr>
            </w:pPr>
            <w:r>
              <w:rPr>
                <w:rFonts w:ascii="宋体" w:hAnsi="宋体" w:cs="宋体" w:eastAsia="宋体" w:hint="default"/>
                <w:sz w:val="18"/>
                <w:szCs w:val="18"/>
              </w:rPr>
              <w:t>募集资金投资项 目实施地点变更 情况</w:t>
            </w:r>
          </w:p>
        </w:tc>
        <w:tc>
          <w:tcPr>
            <w:tcW w:w="8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476" w:type="dxa"/>
            <w:vMerge/>
            <w:tcBorders>
              <w:left w:val="single" w:sz="4" w:space="0" w:color="000000"/>
              <w:right w:val="single" w:sz="4" w:space="0" w:color="000000"/>
            </w:tcBorders>
            <w:shd w:val="clear" w:color="auto" w:fill="D2D2D2"/>
          </w:tcPr>
          <w:p>
            <w:pPr/>
          </w:p>
        </w:tc>
        <w:tc>
          <w:tcPr>
            <w:tcW w:w="8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714" w:hRule="exact"/>
        </w:trPr>
        <w:tc>
          <w:tcPr>
            <w:tcW w:w="1476" w:type="dxa"/>
            <w:vMerge/>
            <w:tcBorders>
              <w:left w:val="single" w:sz="4" w:space="0" w:color="000000"/>
              <w:bottom w:val="single" w:sz="4" w:space="0" w:color="000000"/>
              <w:right w:val="single" w:sz="4" w:space="0" w:color="000000"/>
            </w:tcBorders>
            <w:shd w:val="clear" w:color="auto" w:fill="D2D2D2"/>
          </w:tcPr>
          <w:p>
            <w:pPr/>
          </w:p>
        </w:tc>
        <w:tc>
          <w:tcPr>
            <w:tcW w:w="85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于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日，本公司发布了关于公司募集资金投资项目增加实施主体的公告，将上海二六三通信 有限公司增加为企业云统一通信项目的实施主体，因此增加了上海为募集资金投资项目实施地点。</w:t>
            </w:r>
          </w:p>
        </w:tc>
      </w:tr>
      <w:tr>
        <w:trPr>
          <w:trHeight w:val="1206"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41"/>
              <w:ind w:left="22" w:right="181"/>
              <w:jc w:val="both"/>
              <w:rPr>
                <w:rFonts w:ascii="宋体" w:hAnsi="宋体" w:cs="宋体" w:eastAsia="宋体" w:hint="default"/>
                <w:sz w:val="18"/>
                <w:szCs w:val="18"/>
              </w:rPr>
            </w:pPr>
            <w:r>
              <w:rPr>
                <w:rFonts w:ascii="宋体" w:hAnsi="宋体" w:cs="宋体" w:eastAsia="宋体" w:hint="default"/>
                <w:sz w:val="18"/>
                <w:szCs w:val="18"/>
              </w:rPr>
              <w:t>募集资金投资项 目实施方式调整 情况</w:t>
            </w:r>
          </w:p>
        </w:tc>
        <w:tc>
          <w:tcPr>
            <w:tcW w:w="8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4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19" w:lineRule="auto"/>
              <w:ind w:left="22" w:right="181"/>
              <w:jc w:val="both"/>
              <w:rPr>
                <w:rFonts w:ascii="宋体" w:hAnsi="宋体" w:cs="宋体" w:eastAsia="宋体" w:hint="default"/>
                <w:sz w:val="18"/>
                <w:szCs w:val="18"/>
              </w:rPr>
            </w:pPr>
            <w:r>
              <w:rPr>
                <w:rFonts w:ascii="宋体" w:hAnsi="宋体" w:cs="宋体" w:eastAsia="宋体" w:hint="default"/>
                <w:sz w:val="18"/>
                <w:szCs w:val="18"/>
              </w:rPr>
              <w:t>募集资金投资项 目先期投入及置 换情况</w:t>
            </w:r>
          </w:p>
        </w:tc>
        <w:tc>
          <w:tcPr>
            <w:tcW w:w="8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86" w:hRule="exact"/>
        </w:trPr>
        <w:tc>
          <w:tcPr>
            <w:tcW w:w="1476" w:type="dxa"/>
            <w:vMerge/>
            <w:tcBorders>
              <w:left w:val="single" w:sz="4" w:space="0" w:color="000000"/>
              <w:bottom w:val="single" w:sz="4" w:space="0" w:color="000000"/>
              <w:right w:val="single" w:sz="4" w:space="0" w:color="000000"/>
            </w:tcBorders>
            <w:shd w:val="clear" w:color="auto" w:fill="D2D2D2"/>
          </w:tcPr>
          <w:p>
            <w:pPr/>
          </w:p>
        </w:tc>
        <w:tc>
          <w:tcPr>
            <w:tcW w:w="85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经公司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19 </w:t>
            </w:r>
            <w:r>
              <w:rPr>
                <w:rFonts w:ascii="宋体" w:hAnsi="宋体" w:cs="宋体" w:eastAsia="宋体" w:hint="default"/>
                <w:sz w:val="18"/>
                <w:szCs w:val="18"/>
              </w:rPr>
              <w:t>日第四届董事会第二十九次会议决议</w:t>
            </w:r>
            <w:r>
              <w:rPr>
                <w:rFonts w:ascii="Times New Roman" w:hAnsi="Times New Roman" w:cs="Times New Roman" w:eastAsia="Times New Roman" w:hint="default"/>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2015-022)</w:t>
            </w:r>
            <w:r>
              <w:rPr>
                <w:rFonts w:ascii="宋体" w:hAnsi="宋体" w:cs="宋体" w:eastAsia="宋体" w:hint="default"/>
                <w:sz w:val="18"/>
                <w:szCs w:val="18"/>
              </w:rPr>
              <w:t>：在非公开发行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股股 票募集资金到位前，公司将根据项目进度的实际需要以自筹资金先行投入，并在募集资金到位之后按照相关 </w:t>
            </w:r>
            <w:r>
              <w:rPr>
                <w:rFonts w:ascii="宋体" w:hAnsi="宋体" w:cs="宋体" w:eastAsia="宋体" w:hint="default"/>
                <w:spacing w:val="-5"/>
                <w:sz w:val="18"/>
                <w:szCs w:val="18"/>
              </w:rPr>
              <w:t>法规规定的程序予以置换。其中：（</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）截至</w:t>
            </w:r>
            <w:r>
              <w:rPr>
                <w:rFonts w:ascii="宋体" w:hAnsi="宋体" w:cs="宋体" w:eastAsia="宋体" w:hint="default"/>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01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日，全球华人移动通信业务以自有资金先行</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投入的金额为人民币 </w:t>
            </w:r>
            <w:r>
              <w:rPr>
                <w:rFonts w:ascii="Times New Roman" w:hAnsi="Times New Roman" w:cs="Times New Roman" w:eastAsia="Times New Roman" w:hint="default"/>
                <w:sz w:val="18"/>
                <w:szCs w:val="18"/>
              </w:rPr>
              <w:t>1,021.</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4  </w:t>
            </w:r>
            <w:r>
              <w:rPr>
                <w:rFonts w:ascii="宋体" w:hAnsi="宋体" w:cs="宋体" w:eastAsia="宋体" w:hint="default"/>
                <w:sz w:val="18"/>
                <w:szCs w:val="18"/>
              </w:rPr>
              <w:t>万元</w:t>
            </w:r>
            <w:r>
              <w:rPr>
                <w:rFonts w:ascii="宋体" w:hAnsi="宋体" w:cs="宋体" w:eastAsia="宋体" w:hint="default"/>
                <w:spacing w:val="-96"/>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截至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01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宋体" w:hAnsi="宋体" w:cs="宋体" w:eastAsia="宋体" w:hint="default"/>
                <w:spacing w:val="-6"/>
                <w:sz w:val="18"/>
                <w:szCs w:val="18"/>
              </w:rPr>
              <w:t>，</w:t>
            </w:r>
            <w:r>
              <w:rPr>
                <w:rFonts w:ascii="宋体" w:hAnsi="宋体" w:cs="宋体" w:eastAsia="宋体" w:hint="default"/>
                <w:sz w:val="18"/>
                <w:szCs w:val="18"/>
              </w:rPr>
              <w:t>企业云统一通信以自有资金先行投入</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的金额为人民币 </w:t>
            </w:r>
            <w:r>
              <w:rPr>
                <w:rFonts w:ascii="Times New Roman" w:hAnsi="Times New Roman" w:cs="Times New Roman" w:eastAsia="Times New Roman" w:hint="default"/>
                <w:sz w:val="18"/>
                <w:szCs w:val="18"/>
              </w:rPr>
              <w:t>2,238.47  </w:t>
            </w:r>
            <w:r>
              <w:rPr>
                <w:rFonts w:ascii="宋体" w:hAnsi="宋体" w:cs="宋体" w:eastAsia="宋体" w:hint="default"/>
                <w:sz w:val="18"/>
                <w:szCs w:val="18"/>
              </w:rPr>
              <w:t>万元；经公司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日第五届董事会第二十次会议批准，上述项目投</w:t>
            </w:r>
          </w:p>
          <w:p>
            <w:pPr>
              <w:pStyle w:val="TableParagraph"/>
              <w:spacing w:line="300" w:lineRule="auto" w:before="63"/>
              <w:ind w:left="23" w:right="65"/>
              <w:jc w:val="both"/>
              <w:rPr>
                <w:rFonts w:ascii="宋体" w:hAnsi="宋体" w:cs="宋体" w:eastAsia="宋体" w:hint="default"/>
                <w:sz w:val="18"/>
                <w:szCs w:val="18"/>
              </w:rPr>
            </w:pPr>
            <w:r>
              <w:rPr>
                <w:rFonts w:ascii="宋体" w:hAnsi="宋体" w:cs="宋体" w:eastAsia="宋体" w:hint="default"/>
                <w:sz w:val="18"/>
                <w:szCs w:val="18"/>
              </w:rPr>
              <w:t>入的自有资金用募集资金予以置换；该事项已经大华会计师事务所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于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日出 具的大华核字</w:t>
            </w:r>
            <w:r>
              <w:rPr>
                <w:rFonts w:ascii="Times New Roman" w:hAnsi="Times New Roman" w:cs="Times New Roman" w:eastAsia="Times New Roman" w:hint="default"/>
                <w:sz w:val="18"/>
                <w:szCs w:val="18"/>
              </w:rPr>
              <w:t>[2016]001271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号《二六三网络通信股份有限公司以自筹资金先投入募集资金投资项目的鉴证报 告》予以鉴证。</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日，上述累计支出已经置换入自有资金账户。</w:t>
            </w:r>
          </w:p>
        </w:tc>
      </w:tr>
      <w:tr>
        <w:trPr>
          <w:trHeight w:val="1026"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1"/>
              <w:jc w:val="both"/>
              <w:rPr>
                <w:rFonts w:ascii="宋体" w:hAnsi="宋体" w:cs="宋体" w:eastAsia="宋体" w:hint="default"/>
                <w:sz w:val="18"/>
                <w:szCs w:val="18"/>
              </w:rPr>
            </w:pPr>
            <w:r>
              <w:rPr>
                <w:rFonts w:ascii="宋体" w:hAnsi="宋体" w:cs="宋体" w:eastAsia="宋体" w:hint="default"/>
                <w:sz w:val="18"/>
                <w:szCs w:val="18"/>
              </w:rPr>
              <w:t>用闲置募集资金 暂时补充流动资 金情况</w:t>
            </w:r>
          </w:p>
        </w:tc>
        <w:tc>
          <w:tcPr>
            <w:tcW w:w="8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1"/>
              <w:jc w:val="both"/>
              <w:rPr>
                <w:rFonts w:ascii="宋体" w:hAnsi="宋体" w:cs="宋体" w:eastAsia="宋体" w:hint="default"/>
                <w:sz w:val="18"/>
                <w:szCs w:val="18"/>
              </w:rPr>
            </w:pPr>
            <w:r>
              <w:rPr>
                <w:rFonts w:ascii="宋体" w:hAnsi="宋体" w:cs="宋体" w:eastAsia="宋体" w:hint="default"/>
                <w:sz w:val="18"/>
                <w:szCs w:val="18"/>
              </w:rPr>
              <w:t>项目实施出现募 集资金结余的金 额及原因</w:t>
            </w:r>
          </w:p>
        </w:tc>
        <w:tc>
          <w:tcPr>
            <w:tcW w:w="8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419"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181"/>
              <w:jc w:val="left"/>
              <w:rPr>
                <w:rFonts w:ascii="宋体" w:hAnsi="宋体" w:cs="宋体" w:eastAsia="宋体" w:hint="default"/>
                <w:sz w:val="18"/>
                <w:szCs w:val="18"/>
              </w:rPr>
            </w:pPr>
            <w:r>
              <w:rPr>
                <w:rFonts w:ascii="宋体" w:hAnsi="宋体" w:cs="宋体" w:eastAsia="宋体" w:hint="default"/>
                <w:sz w:val="18"/>
                <w:szCs w:val="18"/>
              </w:rPr>
              <w:t>尚未使用的募集 资金用途及去向</w:t>
            </w:r>
          </w:p>
        </w:tc>
        <w:tc>
          <w:tcPr>
            <w:tcW w:w="8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尚未使用的募集资金主要用于以下用途：</w:t>
            </w: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万元用于购买结构性存款，具体包括：</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日，公司使用闲置募集资金向上海浦东发展银行股份有限公司认购共计人民币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13,000.00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的结构性存款，利率为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4.10%</w:t>
            </w:r>
            <w:r>
              <w:rPr>
                <w:rFonts w:ascii="宋体" w:hAnsi="宋体" w:cs="宋体" w:eastAsia="宋体" w:hint="default"/>
                <w:sz w:val="18"/>
                <w:szCs w:val="18"/>
              </w:rPr>
              <w:t>，到期日为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0" w:footer="979" w:top="1060" w:bottom="1160" w:left="8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247" w:type="dxa"/>
        <w:tblLayout w:type="fixed"/>
        <w:tblCellMar>
          <w:top w:w="0" w:type="dxa"/>
          <w:left w:w="0" w:type="dxa"/>
          <w:bottom w:w="0" w:type="dxa"/>
          <w:right w:w="0" w:type="dxa"/>
        </w:tblCellMar>
        <w:tblLook w:val="01E0"/>
      </w:tblPr>
      <w:tblGrid>
        <w:gridCol w:w="1476"/>
        <w:gridCol w:w="8590"/>
      </w:tblGrid>
      <w:tr>
        <w:trPr>
          <w:trHeight w:val="4035"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日，公司使用闲置募集资金向上海浦东发展银行股份有限公司认购共计人民币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的结构性存款，利率为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4.25%</w:t>
            </w:r>
            <w:r>
              <w:rPr>
                <w:rFonts w:ascii="宋体" w:hAnsi="宋体" w:cs="宋体" w:eastAsia="宋体" w:hint="default"/>
                <w:sz w:val="18"/>
                <w:szCs w:val="18"/>
              </w:rPr>
              <w:t>，到期日为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p>
            <w:pPr>
              <w:pStyle w:val="TableParagraph"/>
              <w:spacing w:line="240" w:lineRule="auto" w:before="10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日，公司使用闲置募集资金向上海浦东发展银行股份有限公司认购共计人民币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的结构性存款，利率为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4.20%</w:t>
            </w:r>
            <w:r>
              <w:rPr>
                <w:rFonts w:ascii="宋体" w:hAnsi="宋体" w:cs="宋体" w:eastAsia="宋体" w:hint="default"/>
                <w:sz w:val="18"/>
                <w:szCs w:val="18"/>
              </w:rPr>
              <w:t>，到期日为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7,192.00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万元用于购买银行理财产品，具体包括：</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日，公司使用闲置募集资金向上海浦东发展银行股份有限公司认购人民币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552.00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万元的结构</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性理财产品，截至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日该理财产品尚未收回。</w:t>
            </w:r>
          </w:p>
          <w:p>
            <w:pPr>
              <w:pStyle w:val="TableParagraph"/>
              <w:spacing w:line="240" w:lineRule="auto" w:before="10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日，公司使用闲置募集资金向上海浦东发展银行股份有限公司认购人民币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万元的结构</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性理财产品，截至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日该理财产品尚未收回。</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日，公司使用闲置募集资金向中国民生银行股份有限公司认购人民币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万元的结构性</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理财产品，截至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日该理财产品尚未收回。</w:t>
            </w:r>
          </w:p>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）其余未使用的募集资金人民币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223,150.09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元存放于公司的募集资金专户中。</w:t>
            </w:r>
          </w:p>
        </w:tc>
      </w:tr>
      <w:tr>
        <w:trPr>
          <w:trHeight w:val="1026"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1"/>
              <w:jc w:val="both"/>
              <w:rPr>
                <w:rFonts w:ascii="宋体" w:hAnsi="宋体" w:cs="宋体" w:eastAsia="宋体" w:hint="default"/>
                <w:sz w:val="18"/>
                <w:szCs w:val="18"/>
              </w:rPr>
            </w:pPr>
            <w:r>
              <w:rPr>
                <w:rFonts w:ascii="宋体" w:hAnsi="宋体" w:cs="宋体" w:eastAsia="宋体" w:hint="default"/>
                <w:sz w:val="18"/>
                <w:szCs w:val="18"/>
              </w:rPr>
              <w:t>募集资金使用及 披露中存在的问 题或其他情况</w:t>
            </w:r>
          </w:p>
        </w:tc>
        <w:tc>
          <w:tcPr>
            <w:tcW w:w="8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Times New Roman" w:hAnsi="Times New Roman" w:cs="Times New Roman" w:eastAsia="Times New Roman" w:hint="default"/>
          <w:sz w:val="6"/>
          <w:szCs w:val="6"/>
        </w:rPr>
      </w:pPr>
    </w:p>
    <w:p>
      <w:pPr>
        <w:pStyle w:val="Heading4"/>
        <w:spacing w:line="240" w:lineRule="auto" w:before="35"/>
        <w:ind w:left="394" w:right="0"/>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39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before="44"/>
        <w:ind w:left="0" w:right="1136"/>
        <w:jc w:val="right"/>
      </w:pPr>
      <w:r>
        <w:rPr/>
        <w:pict>
          <v:shape style="position:absolute;margin-left:42.240002pt;margin-top:-299.608307pt;width:493.5pt;height:379.8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42"/>
                    <w:gridCol w:w="958"/>
                    <w:gridCol w:w="956"/>
                    <w:gridCol w:w="959"/>
                    <w:gridCol w:w="956"/>
                    <w:gridCol w:w="956"/>
                    <w:gridCol w:w="956"/>
                    <w:gridCol w:w="957"/>
                    <w:gridCol w:w="958"/>
                    <w:gridCol w:w="956"/>
                  </w:tblGrid>
                  <w:tr>
                    <w:trPr>
                      <w:trHeight w:val="1338" w:hRule="exact"/>
                    </w:trPr>
                    <w:tc>
                      <w:tcPr>
                        <w:tcW w:w="1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变更后的项目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8"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12"/>
                          <w:jc w:val="both"/>
                          <w:rPr>
                            <w:rFonts w:ascii="宋体" w:hAnsi="宋体" w:cs="宋体" w:eastAsia="宋体" w:hint="default"/>
                            <w:sz w:val="18"/>
                            <w:szCs w:val="18"/>
                          </w:rPr>
                        </w:pPr>
                        <w:r>
                          <w:rPr>
                            <w:rFonts w:ascii="宋体" w:hAnsi="宋体" w:cs="宋体" w:eastAsia="宋体" w:hint="default"/>
                            <w:sz w:val="18"/>
                            <w:szCs w:val="18"/>
                          </w:rPr>
                          <w:t>收购上海奈盛 通信科技有限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 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3"/>
                          <w:jc w:val="left"/>
                          <w:rPr>
                            <w:rFonts w:ascii="宋体" w:hAnsi="宋体" w:cs="宋体" w:eastAsia="宋体" w:hint="default"/>
                            <w:sz w:val="18"/>
                            <w:szCs w:val="18"/>
                          </w:rPr>
                        </w:pPr>
                        <w:r>
                          <w:rPr>
                            <w:rFonts w:ascii="宋体" w:hAnsi="宋体" w:cs="宋体" w:eastAsia="宋体" w:hint="default"/>
                            <w:sz w:val="18"/>
                            <w:szCs w:val="18"/>
                          </w:rPr>
                          <w:t>企业云统一 通信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-1,216.91</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收购香港</w:t>
                        </w:r>
                      </w:p>
                      <w:p>
                        <w:pPr>
                          <w:pStyle w:val="TableParagraph"/>
                          <w:spacing w:line="362" w:lineRule="auto" w:before="115"/>
                          <w:ind w:left="24" w:right="307"/>
                          <w:jc w:val="left"/>
                          <w:rPr>
                            <w:rFonts w:ascii="Times New Roman" w:hAnsi="Times New Roman" w:cs="Times New Roman" w:eastAsia="Times New Roman" w:hint="default"/>
                            <w:sz w:val="18"/>
                            <w:szCs w:val="18"/>
                          </w:rPr>
                        </w:pPr>
                        <w:r>
                          <w:rPr>
                            <w:rFonts w:ascii="Times New Roman"/>
                            <w:sz w:val="18"/>
                          </w:rPr>
                          <w:t>I-ACCESS</w:t>
                        </w:r>
                        <w:r>
                          <w:rPr>
                            <w:rFonts w:ascii="Times New Roman"/>
                            <w:w w:val="99"/>
                            <w:sz w:val="18"/>
                          </w:rPr>
                          <w:t> </w:t>
                        </w:r>
                        <w:r>
                          <w:rPr>
                            <w:rFonts w:ascii="Times New Roman"/>
                            <w:sz w:val="18"/>
                          </w:rPr>
                          <w:t>NETWORK</w:t>
                        </w:r>
                        <w:r>
                          <w:rPr>
                            <w:rFonts w:ascii="Times New Roman"/>
                            <w:w w:val="99"/>
                            <w:sz w:val="18"/>
                          </w:rPr>
                          <w:t> </w:t>
                        </w:r>
                        <w:r>
                          <w:rPr>
                            <w:rFonts w:ascii="Times New Roman"/>
                            <w:sz w:val="18"/>
                          </w:rPr>
                          <w:t>LIMITED</w:t>
                        </w:r>
                      </w:p>
                      <w:p>
                        <w:pPr>
                          <w:pStyle w:val="TableParagraph"/>
                          <w:spacing w:line="214"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2" w:right="23"/>
                          <w:jc w:val="left"/>
                          <w:rPr>
                            <w:rFonts w:ascii="宋体" w:hAnsi="宋体" w:cs="宋体" w:eastAsia="宋体" w:hint="default"/>
                            <w:sz w:val="18"/>
                            <w:szCs w:val="18"/>
                          </w:rPr>
                        </w:pPr>
                        <w:r>
                          <w:rPr>
                            <w:rFonts w:ascii="宋体" w:hAnsi="宋体" w:cs="宋体" w:eastAsia="宋体" w:hint="default"/>
                            <w:sz w:val="18"/>
                            <w:szCs w:val="18"/>
                          </w:rPr>
                          <w:t>企业云统一 通信</w:t>
                        </w:r>
                        <w:r>
                          <w:rPr>
                            <w:rFonts w:ascii="Times New Roman" w:hAnsi="Times New Roman" w:cs="Times New Roman" w:eastAsia="Times New Roman" w:hint="default"/>
                            <w:sz w:val="18"/>
                            <w:szCs w:val="18"/>
                          </w:rPr>
                          <w:t>/</w:t>
                        </w:r>
                        <w:r>
                          <w:rPr>
                            <w:rFonts w:ascii="宋体" w:hAnsi="宋体" w:cs="宋体" w:eastAsia="宋体" w:hint="default"/>
                            <w:sz w:val="18"/>
                            <w:szCs w:val="18"/>
                          </w:rPr>
                          <w:t>全球 华人移</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17,050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17,050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2,821.19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17,050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26,050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1,604.28</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2859" w:hRule="exact"/>
                    </w:trPr>
                    <w:tc>
                      <w:tcPr>
                        <w:tcW w:w="31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9" w:lineRule="auto"/>
                          <w:ind w:left="24" w:right="60"/>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变更原因、决策程序及信息披露情况说 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、为提高募集资金使用效率和投资回报，考虑到客户需求变化、技术方案调整，以 及公司并购进展等因素，公司将原募投项目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企业云统一通信</w:t>
                        </w:r>
                        <w:r>
                          <w:rPr>
                            <w:rFonts w:ascii="Times New Roman" w:hAnsi="Times New Roman" w:cs="Times New Roman" w:eastAsia="Times New Roman" w:hint="default"/>
                            <w:sz w:val="18"/>
                            <w:szCs w:val="18"/>
                          </w:rPr>
                          <w:t>”</w:t>
                        </w:r>
                        <w:r>
                          <w:rPr>
                            <w:rFonts w:ascii="宋体" w:hAnsi="宋体" w:cs="宋体" w:eastAsia="宋体" w:hint="default"/>
                            <w:sz w:val="18"/>
                            <w:szCs w:val="18"/>
                          </w:rPr>
                          <w:t>投资金额由总计人民币 </w:t>
                        </w:r>
                        <w:r>
                          <w:rPr>
                            <w:rFonts w:ascii="Times New Roman" w:hAnsi="Times New Roman" w:cs="Times New Roman" w:eastAsia="Times New Roman" w:hint="default"/>
                            <w:sz w:val="18"/>
                            <w:szCs w:val="18"/>
                          </w:rPr>
                          <w:t>34,000.00 </w:t>
                        </w:r>
                        <w:r>
                          <w:rPr>
                            <w:rFonts w:ascii="宋体" w:hAnsi="宋体" w:cs="宋体" w:eastAsia="宋体" w:hint="default"/>
                            <w:sz w:val="18"/>
                            <w:szCs w:val="18"/>
                          </w:rPr>
                          <w:t>万元变更为总计人民币 </w:t>
                        </w:r>
                        <w:r>
                          <w:rPr>
                            <w:rFonts w:ascii="Times New Roman" w:hAnsi="Times New Roman" w:cs="Times New Roman" w:eastAsia="Times New Roman" w:hint="default"/>
                            <w:sz w:val="18"/>
                            <w:szCs w:val="18"/>
                          </w:rPr>
                          <w:t>25,000.00 </w:t>
                        </w:r>
                        <w:r>
                          <w:rPr>
                            <w:rFonts w:ascii="宋体" w:hAnsi="宋体" w:cs="宋体" w:eastAsia="宋体" w:hint="default"/>
                            <w:sz w:val="18"/>
                            <w:szCs w:val="18"/>
                          </w:rPr>
                          <w:t>万元。变更的募集资金人民币</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9,000.00 </w:t>
                        </w:r>
                        <w:r>
                          <w:rPr>
                            <w:rFonts w:ascii="宋体" w:hAnsi="宋体" w:cs="宋体" w:eastAsia="宋体" w:hint="default"/>
                            <w:sz w:val="18"/>
                            <w:szCs w:val="18"/>
                          </w:rPr>
                          <w:t>万元拟用于收购上海奈盛</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股权，从而与</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NTT</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COM</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Asia</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合资成立中外合 </w:t>
                        </w:r>
                        <w:r>
                          <w:rPr>
                            <w:rFonts w:ascii="宋体" w:hAnsi="宋体" w:cs="宋体" w:eastAsia="宋体" w:hint="default"/>
                            <w:spacing w:val="-5"/>
                            <w:sz w:val="18"/>
                            <w:szCs w:val="18"/>
                          </w:rPr>
                          <w:t>资公司，收购价格为人民币 </w:t>
                        </w:r>
                        <w:r>
                          <w:rPr>
                            <w:rFonts w:ascii="Times New Roman" w:hAnsi="Times New Roman" w:cs="Times New Roman" w:eastAsia="Times New Roman" w:hint="default"/>
                            <w:sz w:val="18"/>
                            <w:szCs w:val="18"/>
                          </w:rPr>
                          <w:t>9,125.00 </w:t>
                        </w:r>
                        <w:r>
                          <w:rPr>
                            <w:rFonts w:ascii="宋体" w:hAnsi="宋体" w:cs="宋体" w:eastAsia="宋体" w:hint="default"/>
                            <w:spacing w:val="-4"/>
                            <w:sz w:val="18"/>
                            <w:szCs w:val="18"/>
                          </w:rPr>
                          <w:t>万元，计划使用募集资金人民币 </w:t>
                        </w:r>
                        <w:r>
                          <w:rPr>
                            <w:rFonts w:ascii="Times New Roman" w:hAnsi="Times New Roman" w:cs="Times New Roman" w:eastAsia="Times New Roman" w:hint="default"/>
                            <w:sz w:val="18"/>
                            <w:szCs w:val="18"/>
                          </w:rPr>
                          <w:t>9,000.00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 其余资金拟由公司以自有资金支付。通过收购上海奈盛</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51%</w:t>
                        </w:r>
                        <w:r>
                          <w:rPr>
                            <w:rFonts w:ascii="宋体" w:hAnsi="宋体" w:cs="宋体" w:eastAsia="宋体" w:hint="default"/>
                            <w:spacing w:val="-3"/>
                            <w:sz w:val="18"/>
                            <w:szCs w:val="18"/>
                          </w:rPr>
                          <w:t>股权成立合资公司，公司</w:t>
                        </w:r>
                        <w:r>
                          <w:rPr>
                            <w:rFonts w:ascii="宋体" w:hAnsi="宋体" w:cs="宋体" w:eastAsia="宋体" w:hint="default"/>
                            <w:sz w:val="18"/>
                            <w:szCs w:val="18"/>
                          </w:rPr>
                          <w:t> 可进入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云计算服务领域，有利于公司在企业通信领域的整体布局和增加公司企 业通信业务对全球大客户开发的广度和深度，同时为公司与 </w:t>
                        </w:r>
                        <w:r>
                          <w:rPr>
                            <w:rFonts w:ascii="Times New Roman" w:hAnsi="Times New Roman" w:cs="Times New Roman" w:eastAsia="Times New Roman" w:hint="default"/>
                            <w:sz w:val="18"/>
                            <w:szCs w:val="18"/>
                          </w:rPr>
                          <w:t>NTT COM Asia</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z w:val="18"/>
                            <w:szCs w:val="18"/>
                          </w:rPr>
                          <w:t> </w:t>
                        </w:r>
                        <w:r>
                          <w:rPr>
                            <w:rFonts w:ascii="宋体" w:hAnsi="宋体" w:cs="宋体" w:eastAsia="宋体" w:hint="default"/>
                            <w:sz w:val="18"/>
                            <w:szCs w:val="18"/>
                          </w:rPr>
                          <w:t>所在的 </w:t>
                        </w:r>
                        <w:r>
                          <w:rPr>
                            <w:rFonts w:ascii="Times New Roman" w:hAnsi="Times New Roman" w:cs="Times New Roman" w:eastAsia="Times New Roman" w:hint="default"/>
                            <w:sz w:val="18"/>
                            <w:szCs w:val="18"/>
                          </w:rPr>
                          <w:t>NTT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日本电报电话公司</w:t>
                        </w:r>
                        <w:r>
                          <w:rPr>
                            <w:rFonts w:ascii="Times New Roman" w:hAnsi="Times New Roman" w:cs="Times New Roman" w:eastAsia="Times New Roman" w:hint="default"/>
                            <w:sz w:val="18"/>
                            <w:szCs w:val="18"/>
                          </w:rPr>
                          <w:t>)</w:t>
                        </w:r>
                        <w:r>
                          <w:rPr>
                            <w:rFonts w:ascii="宋体" w:hAnsi="宋体" w:cs="宋体" w:eastAsia="宋体" w:hint="default"/>
                            <w:sz w:val="18"/>
                            <w:szCs w:val="18"/>
                          </w:rPr>
                          <w:t>在其他通信业务领域开展进一步的战略合作打</w:t>
                        </w:r>
                      </w:p>
                    </w:tc>
                  </w:tr>
                </w:tbl>
                <w:p>
                  <w:pPr/>
                </w:p>
              </w:txbxContent>
            </v:textbox>
            <w10:wrap type="none"/>
          </v:shape>
        </w:pict>
      </w:r>
      <w:r>
        <w:rPr/>
        <w:t>，</w:t>
      </w:r>
    </w:p>
    <w:p>
      <w:pPr>
        <w:spacing w:after="0" w:line="240" w:lineRule="auto"/>
        <w:jc w:val="right"/>
        <w:sectPr>
          <w:pgSz w:w="11910" w:h="16840"/>
          <w:pgMar w:header="0" w:footer="979" w:top="1060" w:bottom="1160" w:left="74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3156"/>
        <w:gridCol w:w="6699"/>
      </w:tblGrid>
      <w:tr>
        <w:trPr>
          <w:trHeight w:val="5979" w:hRule="exact"/>
        </w:trPr>
        <w:tc>
          <w:tcPr>
            <w:tcW w:w="31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3"/>
              <w:jc w:val="left"/>
              <w:rPr>
                <w:rFonts w:ascii="Times New Roman" w:hAnsi="Times New Roman" w:cs="Times New Roman" w:eastAsia="Times New Roman" w:hint="default"/>
                <w:sz w:val="18"/>
                <w:szCs w:val="18"/>
              </w:rPr>
            </w:pPr>
            <w:r>
              <w:rPr>
                <w:rFonts w:ascii="宋体" w:hAnsi="宋体" w:cs="宋体" w:eastAsia="宋体" w:hint="default"/>
                <w:sz w:val="18"/>
                <w:szCs w:val="18"/>
              </w:rPr>
              <w:t>下基础。本次募投项目变更事项已经公司第五届董事会第十五次会议、第五届监事会 第十次会议、</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年第二次临时股东大会审议通过，履行了必要的审批程序，符合 中国证券监督管理委员会、深圳证券交易所关于上市公司募集资金使用的有关规定。 同时，保荐机构亦对本次变更募投项目事项发表了意见，认为本次变更募投项目是公 司根据市场形势的变化和未来发展战略需要而做出的调整，有利于提高公司募集资金 使用效率，提高公司长期效益，符合公司和全体股东利益，不存在损害公司和中小股 东合法利益的情况，保荐机构对公司就本次变更募投项目的事项无异议。</w:t>
            </w:r>
            <w:r>
              <w:rPr>
                <w:rFonts w:ascii="Times New Roman" w:hAnsi="Times New Roman" w:cs="Times New Roman" w:eastAsia="Times New Roman" w:hint="default"/>
                <w:sz w:val="18"/>
                <w:szCs w:val="18"/>
              </w:rPr>
              <w:t>2</w:t>
            </w:r>
            <w:r>
              <w:rPr>
                <w:rFonts w:ascii="宋体" w:hAnsi="宋体" w:cs="宋体" w:eastAsia="宋体" w:hint="default"/>
                <w:sz w:val="18"/>
                <w:szCs w:val="18"/>
              </w:rPr>
              <w:t>、为了完 善整体战略布局和业务线、与既有业务产生协同效应，公司将原募投项目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企业云统 </w:t>
            </w:r>
            <w:r>
              <w:rPr>
                <w:rFonts w:ascii="宋体" w:hAnsi="宋体" w:cs="宋体" w:eastAsia="宋体" w:hint="default"/>
                <w:spacing w:val="-3"/>
                <w:sz w:val="18"/>
                <w:szCs w:val="18"/>
              </w:rPr>
              <w:t>一通信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全球华人移动通信业务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终止后结余资金中的 </w:t>
            </w:r>
            <w:r>
              <w:rPr>
                <w:rFonts w:ascii="Times New Roman" w:hAnsi="Times New Roman" w:cs="Times New Roman" w:eastAsia="Times New Roman" w:hint="default"/>
                <w:sz w:val="18"/>
                <w:szCs w:val="18"/>
              </w:rPr>
              <w:t>31,000.00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万元用于收购香港 </w:t>
            </w:r>
            <w:r>
              <w:rPr>
                <w:rFonts w:ascii="Times New Roman" w:hAnsi="Times New Roman" w:cs="Times New Roman" w:eastAsia="Times New Roman" w:hint="default"/>
                <w:sz w:val="18"/>
                <w:szCs w:val="18"/>
              </w:rPr>
              <w:t>I-ACCESS NETWORK LIMITED 100%</w:t>
            </w:r>
            <w:r>
              <w:rPr>
                <w:rFonts w:ascii="宋体" w:hAnsi="宋体" w:cs="宋体" w:eastAsia="宋体" w:hint="default"/>
                <w:sz w:val="18"/>
                <w:szCs w:val="18"/>
              </w:rPr>
              <w:t>股权，收购价格为人民币 </w:t>
            </w:r>
            <w:r>
              <w:rPr>
                <w:rFonts w:ascii="Times New Roman" w:hAnsi="Times New Roman" w:cs="Times New Roman" w:eastAsia="Times New Roman" w:hint="default"/>
                <w:sz w:val="18"/>
                <w:szCs w:val="18"/>
              </w:rPr>
              <w:t>31,000.00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万元，计 划使用募集资金人民币</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31,000.00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日，公司已支付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w:t>
            </w:r>
          </w:p>
          <w:p>
            <w:pPr>
              <w:pStyle w:val="TableParagraph"/>
              <w:spacing w:line="312" w:lineRule="auto" w:before="5"/>
              <w:ind w:left="23" w:right="21"/>
              <w:jc w:val="left"/>
              <w:rPr>
                <w:rFonts w:ascii="宋体" w:hAnsi="宋体" w:cs="宋体" w:eastAsia="宋体" w:hint="default"/>
                <w:sz w:val="18"/>
                <w:szCs w:val="18"/>
              </w:rPr>
            </w:pPr>
            <w:r>
              <w:rPr>
                <w:rFonts w:ascii="宋体" w:hAnsi="宋体" w:cs="宋体" w:eastAsia="宋体" w:hint="default"/>
                <w:sz w:val="18"/>
                <w:szCs w:val="18"/>
              </w:rPr>
              <w:t>的股权转让款人民币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17,050.00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万元。本次募投项目变更事项已经公司第五届董事会 第三十七次会议、第五届监事会第二十六次会议、</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年第二次临时股东大会审议 </w:t>
            </w:r>
            <w:r>
              <w:rPr>
                <w:rFonts w:ascii="宋体" w:hAnsi="宋体" w:cs="宋体" w:eastAsia="宋体" w:hint="default"/>
                <w:spacing w:val="-1"/>
                <w:sz w:val="18"/>
                <w:szCs w:val="18"/>
              </w:rPr>
              <w:t>通过，履行了必要的审批程序，符合中国证券监督管理委员会、深圳证券交易所关于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上市公司募集资金使用的有关规定。同时，保荐机构亦对本次变更募投项目事项发表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了意见，认为本次变更募投项目是公司根据市场形势的变化和未来发展战略需要而做</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出的调整，有利于提高公司募集资金使用效率，提高公司长期效益，符合公司和全体</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股东利益，不存在损害公司和中小股东合法利益的情况，保荐机构对公司就本次变更</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募投项目的事项无异议。</w:t>
            </w:r>
          </w:p>
        </w:tc>
      </w:tr>
      <w:tr>
        <w:trPr>
          <w:trHeight w:val="2002" w:hRule="exact"/>
        </w:trPr>
        <w:tc>
          <w:tcPr>
            <w:tcW w:w="3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319" w:lineRule="auto"/>
              <w:ind w:left="23" w:right="60"/>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未达到计划进度或预计收益的情况和原 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收购上海奈盛通信科技有限公司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股权项目：截至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日，累计确认</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投资损失为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2,244.18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万元，项目效益较预期差的原因如下：</w:t>
            </w:r>
          </w:p>
          <w:p>
            <w:pPr>
              <w:pStyle w:val="TableParagraph"/>
              <w:spacing w:line="307" w:lineRule="auto" w:before="102"/>
              <w:ind w:left="23" w:right="21"/>
              <w:jc w:val="both"/>
              <w:rPr>
                <w:rFonts w:ascii="宋体" w:hAnsi="宋体" w:cs="宋体" w:eastAsia="宋体" w:hint="default"/>
                <w:sz w:val="18"/>
                <w:szCs w:val="18"/>
              </w:rPr>
            </w:pPr>
            <w:r>
              <w:rPr>
                <w:rFonts w:ascii="宋体" w:hAnsi="宋体" w:cs="宋体" w:eastAsia="宋体" w:hint="default"/>
                <w:sz w:val="18"/>
                <w:szCs w:val="18"/>
              </w:rPr>
              <w:t>由于行业主管部门对于申请主体中有外资成分的情况审核较为严苛，原计划</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底获得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牌照的设想未能实现。直至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月下旬，上海奈盛公司才获得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w w:val="99"/>
                <w:sz w:val="18"/>
                <w:szCs w:val="18"/>
              </w:rPr>
              <w:t> </w:t>
            </w:r>
            <w:r>
              <w:rPr>
                <w:rFonts w:ascii="宋体" w:hAnsi="宋体" w:cs="宋体" w:eastAsia="宋体" w:hint="default"/>
                <w:spacing w:val="-1"/>
                <w:sz w:val="18"/>
                <w:szCs w:val="18"/>
              </w:rPr>
              <w:t>牌照，比预计迟延了半年的时间，造成上海奈盛公司正式开展业务时间的延后，使得</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投资效益未达到预期。</w:t>
            </w:r>
          </w:p>
        </w:tc>
      </w:tr>
      <w:tr>
        <w:trPr>
          <w:trHeight w:val="714" w:hRule="exact"/>
        </w:trPr>
        <w:tc>
          <w:tcPr>
            <w:tcW w:w="3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60"/>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 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Heading2"/>
        <w:spacing w:line="240" w:lineRule="auto" w:before="83"/>
        <w:ind w:left="394" w:right="0"/>
        <w:jc w:val="left"/>
        <w:rPr>
          <w:b w:val="0"/>
          <w:bCs w:val="0"/>
        </w:rPr>
      </w:pPr>
      <w:bookmarkStart w:name="六、重大资产和股权出售" w:id="54"/>
      <w:bookmarkEnd w:id="54"/>
      <w:r>
        <w:rPr>
          <w:b w:val="0"/>
          <w:bCs w:val="0"/>
        </w:rPr>
      </w:r>
      <w:r>
        <w:rPr/>
        <w:t>六、重大资产和股权出售</w:t>
      </w:r>
      <w:r>
        <w:rPr>
          <w:b w:val="0"/>
          <w:bCs w:val="0"/>
        </w:rPr>
      </w:r>
    </w:p>
    <w:p>
      <w:pPr>
        <w:pStyle w:val="Heading4"/>
        <w:spacing w:line="240" w:lineRule="auto" w:before="142"/>
        <w:ind w:left="394" w:right="0"/>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pStyle w:val="BodyText"/>
        <w:spacing w:line="340" w:lineRule="auto" w:before="168"/>
        <w:ind w:left="394"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pStyle w:val="Heading4"/>
        <w:spacing w:line="240" w:lineRule="auto" w:before="94"/>
        <w:ind w:left="394" w:right="0"/>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39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2"/>
        <w:spacing w:line="240" w:lineRule="auto" w:before="133"/>
        <w:ind w:left="394" w:right="0"/>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7"/>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0" w:footer="979" w:top="1060" w:bottom="1160" w:left="740" w:right="0"/>
        </w:sectPr>
      </w:pPr>
    </w:p>
    <w:p>
      <w:pPr>
        <w:pStyle w:val="BodyText"/>
        <w:spacing w:line="240" w:lineRule="auto" w:before="44"/>
        <w:ind w:left="39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394"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393" w:right="0"/>
        <w:jc w:val="left"/>
      </w:pPr>
      <w:r>
        <w:rPr/>
        <w:t>单位：元</w:t>
      </w:r>
    </w:p>
    <w:p>
      <w:pPr>
        <w:spacing w:after="0" w:line="240" w:lineRule="auto"/>
        <w:jc w:val="left"/>
        <w:sectPr>
          <w:type w:val="continuous"/>
          <w:pgSz w:w="11910" w:h="16840"/>
          <w:pgMar w:top="1060" w:bottom="1160" w:left="740" w:right="0"/>
          <w:cols w:num="2" w:equalWidth="0">
            <w:col w:w="5089" w:space="3830"/>
            <w:col w:w="2251"/>
          </w:cols>
        </w:sectPr>
      </w:pPr>
    </w:p>
    <w:p>
      <w:pPr>
        <w:spacing w:line="240" w:lineRule="auto" w:before="13"/>
        <w:rPr>
          <w:rFonts w:ascii="宋体" w:hAnsi="宋体" w:cs="宋体" w:eastAsia="宋体" w:hint="default"/>
          <w:sz w:val="7"/>
          <w:szCs w:val="7"/>
        </w:rPr>
      </w:pPr>
    </w:p>
    <w:tbl>
      <w:tblPr>
        <w:tblW w:w="0" w:type="auto"/>
        <w:jc w:val="left"/>
        <w:tblInd w:w="389" w:type="dxa"/>
        <w:tblLayout w:type="fixed"/>
        <w:tblCellMar>
          <w:top w:w="0" w:type="dxa"/>
          <w:left w:w="0" w:type="dxa"/>
          <w:bottom w:w="0" w:type="dxa"/>
          <w:right w:w="0" w:type="dxa"/>
        </w:tblCellMar>
        <w:tblLook w:val="01E0"/>
      </w:tblPr>
      <w:tblGrid>
        <w:gridCol w:w="1593"/>
        <w:gridCol w:w="575"/>
        <w:gridCol w:w="848"/>
        <w:gridCol w:w="806"/>
        <w:gridCol w:w="1181"/>
        <w:gridCol w:w="1182"/>
        <w:gridCol w:w="1181"/>
        <w:gridCol w:w="1151"/>
        <w:gridCol w:w="1151"/>
      </w:tblGrid>
      <w:tr>
        <w:trPr>
          <w:trHeight w:val="71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 w:right="101"/>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净利润</w:t>
            </w:r>
          </w:p>
        </w:tc>
      </w:tr>
    </w:tbl>
    <w:p>
      <w:pPr>
        <w:spacing w:after="0" w:line="240" w:lineRule="auto"/>
        <w:jc w:val="left"/>
        <w:rPr>
          <w:rFonts w:ascii="宋体" w:hAnsi="宋体" w:cs="宋体" w:eastAsia="宋体" w:hint="default"/>
          <w:sz w:val="18"/>
          <w:szCs w:val="18"/>
        </w:rPr>
        <w:sectPr>
          <w:type w:val="continuous"/>
          <w:pgSz w:w="11910" w:h="16840"/>
          <w:pgMar w:top="1060" w:bottom="1160" w:left="740" w:right="0"/>
        </w:sectPr>
      </w:pPr>
    </w:p>
    <w:p>
      <w:pPr>
        <w:spacing w:line="240" w:lineRule="auto" w:before="6"/>
        <w:rPr>
          <w:rFonts w:ascii="宋体" w:hAnsi="宋体" w:cs="宋体" w:eastAsia="宋体" w:hint="default"/>
          <w:sz w:val="28"/>
          <w:szCs w:val="28"/>
        </w:rPr>
      </w:pPr>
    </w:p>
    <w:tbl>
      <w:tblPr>
        <w:tblW w:w="0" w:type="auto"/>
        <w:jc w:val="left"/>
        <w:tblInd w:w="249" w:type="dxa"/>
        <w:tblLayout w:type="fixed"/>
        <w:tblCellMar>
          <w:top w:w="0" w:type="dxa"/>
          <w:left w:w="0" w:type="dxa"/>
          <w:bottom w:w="0" w:type="dxa"/>
          <w:right w:w="0" w:type="dxa"/>
        </w:tblCellMar>
        <w:tblLook w:val="01E0"/>
      </w:tblPr>
      <w:tblGrid>
        <w:gridCol w:w="1593"/>
        <w:gridCol w:w="575"/>
        <w:gridCol w:w="848"/>
        <w:gridCol w:w="806"/>
        <w:gridCol w:w="1181"/>
        <w:gridCol w:w="1182"/>
        <w:gridCol w:w="1181"/>
        <w:gridCol w:w="1151"/>
        <w:gridCol w:w="1151"/>
      </w:tblGrid>
      <w:tr>
        <w:trPr>
          <w:trHeight w:val="714"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8"/>
              <w:jc w:val="left"/>
              <w:rPr>
                <w:rFonts w:ascii="宋体" w:hAnsi="宋体" w:cs="宋体" w:eastAsia="宋体" w:hint="default"/>
                <w:sz w:val="18"/>
                <w:szCs w:val="18"/>
              </w:rPr>
            </w:pPr>
            <w:r>
              <w:rPr>
                <w:rFonts w:ascii="宋体" w:hAnsi="宋体" w:cs="宋体" w:eastAsia="宋体" w:hint="default"/>
                <w:sz w:val="18"/>
                <w:szCs w:val="18"/>
              </w:rPr>
              <w:t>北京二六三企业通 信有限公司</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0"/>
              <w:jc w:val="left"/>
              <w:rPr>
                <w:rFonts w:ascii="宋体" w:hAnsi="宋体" w:cs="宋体" w:eastAsia="宋体" w:hint="default"/>
                <w:sz w:val="18"/>
                <w:szCs w:val="18"/>
              </w:rPr>
            </w:pPr>
            <w:r>
              <w:rPr>
                <w:rFonts w:ascii="宋体" w:hAnsi="宋体" w:cs="宋体" w:eastAsia="宋体" w:hint="default"/>
                <w:sz w:val="18"/>
                <w:szCs w:val="18"/>
              </w:rPr>
              <w:t>子公 司</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云通 信</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503,706,076.93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204,550,519.57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314,808,910.83</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51,231,017.35</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44,881,313.65</w:t>
            </w:r>
          </w:p>
        </w:tc>
      </w:tr>
      <w:tr>
        <w:trPr>
          <w:trHeight w:val="714"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8"/>
              <w:jc w:val="left"/>
              <w:rPr>
                <w:rFonts w:ascii="宋体" w:hAnsi="宋体" w:cs="宋体" w:eastAsia="宋体" w:hint="default"/>
                <w:sz w:val="18"/>
                <w:szCs w:val="18"/>
              </w:rPr>
            </w:pPr>
            <w:r>
              <w:rPr>
                <w:rFonts w:ascii="宋体" w:hAnsi="宋体" w:cs="宋体" w:eastAsia="宋体" w:hint="default"/>
                <w:sz w:val="18"/>
                <w:szCs w:val="18"/>
              </w:rPr>
              <w:t>北京二六三网络科 技有限公司</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0"/>
              <w:jc w:val="left"/>
              <w:rPr>
                <w:rFonts w:ascii="宋体" w:hAnsi="宋体" w:cs="宋体" w:eastAsia="宋体" w:hint="default"/>
                <w:sz w:val="18"/>
                <w:szCs w:val="18"/>
              </w:rPr>
            </w:pPr>
            <w:r>
              <w:rPr>
                <w:rFonts w:ascii="宋体" w:hAnsi="宋体" w:cs="宋体" w:eastAsia="宋体" w:hint="default"/>
                <w:sz w:val="18"/>
                <w:szCs w:val="18"/>
              </w:rPr>
              <w:t>子公 司</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51"/>
              <w:ind w:left="22" w:right="27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VoIP</w:t>
            </w:r>
            <w:r>
              <w:rPr>
                <w:rFonts w:ascii="宋体" w:hAnsi="宋体" w:cs="宋体" w:eastAsia="宋体" w:hint="default"/>
                <w:spacing w:val="-5"/>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IPTV</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825,043,524.66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716,692,266.55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387,622,258.36</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56,126,520.93</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51,080,823.10</w:t>
            </w:r>
          </w:p>
        </w:tc>
      </w:tr>
      <w:tr>
        <w:trPr>
          <w:trHeight w:val="714"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8"/>
              <w:jc w:val="left"/>
              <w:rPr>
                <w:rFonts w:ascii="宋体" w:hAnsi="宋体" w:cs="宋体" w:eastAsia="宋体" w:hint="default"/>
                <w:sz w:val="18"/>
                <w:szCs w:val="18"/>
              </w:rPr>
            </w:pPr>
            <w:r>
              <w:rPr>
                <w:rFonts w:ascii="宋体" w:hAnsi="宋体" w:cs="宋体" w:eastAsia="宋体" w:hint="default"/>
                <w:sz w:val="18"/>
                <w:szCs w:val="18"/>
              </w:rPr>
              <w:t>上海二六三通信有 限公司</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0"/>
              <w:jc w:val="left"/>
              <w:rPr>
                <w:rFonts w:ascii="宋体" w:hAnsi="宋体" w:cs="宋体" w:eastAsia="宋体" w:hint="default"/>
                <w:sz w:val="18"/>
                <w:szCs w:val="18"/>
              </w:rPr>
            </w:pPr>
            <w:r>
              <w:rPr>
                <w:rFonts w:ascii="宋体" w:hAnsi="宋体" w:cs="宋体" w:eastAsia="宋体" w:hint="default"/>
                <w:sz w:val="18"/>
                <w:szCs w:val="18"/>
              </w:rPr>
              <w:t>子公 司</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9"/>
                <w:sz w:val="18"/>
                <w:szCs w:val="18"/>
              </w:rPr>
              <w:t>VPN</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IDC</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630,821,607.94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309,716,468.22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193,473,115.68</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-14,417,510.38</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-5,223,665.47</w:t>
            </w:r>
          </w:p>
        </w:tc>
      </w:tr>
      <w:tr>
        <w:trPr>
          <w:trHeight w:val="714"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8"/>
              <w:jc w:val="left"/>
              <w:rPr>
                <w:rFonts w:ascii="宋体" w:hAnsi="宋体" w:cs="宋体" w:eastAsia="宋体" w:hint="default"/>
                <w:sz w:val="18"/>
                <w:szCs w:val="18"/>
              </w:rPr>
            </w:pPr>
            <w:r>
              <w:rPr>
                <w:rFonts w:ascii="宋体" w:hAnsi="宋体" w:cs="宋体" w:eastAsia="宋体" w:hint="default"/>
                <w:sz w:val="18"/>
                <w:szCs w:val="18"/>
              </w:rPr>
              <w:t>广州二六三移动通 信有限公司</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0"/>
              <w:jc w:val="left"/>
              <w:rPr>
                <w:rFonts w:ascii="宋体" w:hAnsi="宋体" w:cs="宋体" w:eastAsia="宋体" w:hint="default"/>
                <w:sz w:val="18"/>
                <w:szCs w:val="18"/>
              </w:rPr>
            </w:pPr>
            <w:r>
              <w:rPr>
                <w:rFonts w:ascii="宋体" w:hAnsi="宋体" w:cs="宋体" w:eastAsia="宋体" w:hint="default"/>
                <w:sz w:val="18"/>
                <w:szCs w:val="18"/>
              </w:rPr>
              <w:t>子公 司</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MVNO</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169,902,286.68</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132,766,312.05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50,979,807.59</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-10,724,352.72</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-12,368,639.72</w:t>
            </w:r>
          </w:p>
        </w:tc>
      </w:tr>
    </w:tbl>
    <w:p>
      <w:pPr>
        <w:pStyle w:val="BodyText"/>
        <w:spacing w:line="240" w:lineRule="auto" w:before="51"/>
        <w:ind w:left="254" w:right="1042"/>
        <w:jc w:val="left"/>
      </w:pPr>
      <w:r>
        <w:rPr/>
        <w:t>报告期内取得和处置子公司的情况</w:t>
      </w:r>
    </w:p>
    <w:p>
      <w:pPr>
        <w:pStyle w:val="BodyText"/>
        <w:spacing w:line="240" w:lineRule="auto" w:before="117"/>
        <w:ind w:left="254" w:right="10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3404"/>
        <w:gridCol w:w="2835"/>
        <w:gridCol w:w="3544"/>
      </w:tblGrid>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2"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6"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深圳市日升科技有限公司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购买日至期末，深圳日升产生营业收入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5,390.83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273.30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71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I-Access Network</w:t>
            </w:r>
            <w:r>
              <w:rPr>
                <w:rFonts w:ascii="Times New Roman"/>
                <w:spacing w:val="-5"/>
                <w:sz w:val="18"/>
              </w:rPr>
              <w:t> </w:t>
            </w:r>
            <w:r>
              <w:rPr>
                <w:rFonts w:ascii="Times New Roman"/>
                <w:sz w:val="18"/>
              </w:rPr>
              <w:t>Limited</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购买日至期末，</w:t>
            </w:r>
            <w:r>
              <w:rPr>
                <w:rFonts w:ascii="Times New Roman" w:hAnsi="Times New Roman" w:cs="Times New Roman" w:eastAsia="Times New Roman" w:hint="default"/>
                <w:sz w:val="18"/>
                <w:szCs w:val="18"/>
              </w:rPr>
              <w:t>I-ACCESS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产生营业收入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5,719,994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1,728.59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71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iTalkBB </w:t>
            </w:r>
            <w:r>
              <w:rPr>
                <w:rFonts w:ascii="Times New Roman"/>
                <w:spacing w:val="-6"/>
                <w:sz w:val="18"/>
              </w:rPr>
              <w:t>VIP,</w:t>
            </w:r>
            <w:r>
              <w:rPr>
                <w:rFonts w:ascii="Times New Roman"/>
                <w:spacing w:val="-17"/>
                <w:sz w:val="18"/>
              </w:rPr>
              <w:t> </w:t>
            </w:r>
            <w:r>
              <w:rPr>
                <w:rFonts w:ascii="Times New Roman"/>
                <w:sz w:val="18"/>
              </w:rPr>
              <w:t>Inc.</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投资设立至期末，</w:t>
            </w:r>
            <w:r>
              <w:rPr>
                <w:rFonts w:ascii="Times New Roman" w:hAnsi="Times New Roman" w:cs="Times New Roman" w:eastAsia="Times New Roman" w:hint="default"/>
                <w:sz w:val="18"/>
                <w:szCs w:val="18"/>
              </w:rPr>
              <w:t>iTalkBB</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VIP</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产生营业收入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迪讯</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(Delcom (HK)</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Limited)</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9"/>
              <w:jc w:val="left"/>
              <w:rPr>
                <w:rFonts w:ascii="宋体" w:hAnsi="宋体" w:cs="宋体" w:eastAsia="宋体" w:hint="default"/>
                <w:sz w:val="18"/>
                <w:szCs w:val="18"/>
              </w:rPr>
            </w:pPr>
            <w:r>
              <w:rPr>
                <w:rFonts w:ascii="宋体" w:hAnsi="宋体" w:cs="宋体" w:eastAsia="宋体" w:hint="default"/>
                <w:sz w:val="18"/>
                <w:szCs w:val="18"/>
              </w:rPr>
              <w:t>注销迪迅香港，相关的其他综合收益转入投 资损失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10.41 </w:t>
            </w:r>
            <w:r>
              <w:rPr>
                <w:rFonts w:ascii="宋体" w:hAnsi="宋体" w:cs="宋体" w:eastAsia="宋体" w:hint="default"/>
                <w:sz w:val="18"/>
                <w:szCs w:val="18"/>
              </w:rPr>
              <w:t>万元。</w:t>
            </w:r>
          </w:p>
        </w:tc>
      </w:tr>
      <w:tr>
        <w:trPr>
          <w:trHeight w:val="40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前海迪迅</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无影响</w:t>
            </w:r>
          </w:p>
        </w:tc>
      </w:tr>
    </w:tbl>
    <w:p>
      <w:pPr>
        <w:pStyle w:val="BodyText"/>
        <w:spacing w:line="240" w:lineRule="auto" w:before="51"/>
        <w:ind w:left="254" w:right="1042"/>
        <w:jc w:val="left"/>
      </w:pPr>
      <w:r>
        <w:rPr/>
        <w:t>主要控股参股公司情况说明</w:t>
      </w:r>
    </w:p>
    <w:p>
      <w:pPr>
        <w:pStyle w:val="BodyText"/>
        <w:spacing w:line="309" w:lineRule="auto" w:before="115"/>
        <w:ind w:left="254" w:right="1042"/>
        <w:jc w:val="left"/>
        <w:rPr>
          <w:rFonts w:ascii="MS Gothic" w:hAnsi="MS Gothic" w:cs="MS Gothic" w:eastAsia="MS Gothic" w:hint="default"/>
        </w:rPr>
      </w:pPr>
      <w:r>
        <w:rPr>
          <w:spacing w:val="-1"/>
        </w:rPr>
        <w:t>北京二六三企业通信有限公司本年净利润较上年增加</w:t>
      </w:r>
      <w:r>
        <w:rPr>
          <w:rFonts w:ascii="Times New Roman" w:hAnsi="Times New Roman" w:cs="Times New Roman" w:eastAsia="Times New Roman" w:hint="default"/>
          <w:spacing w:val="-1"/>
        </w:rPr>
        <w:t>47.45%</w:t>
      </w:r>
      <w:r>
        <w:rPr>
          <w:spacing w:val="-1"/>
        </w:rPr>
        <w:t>，主要系本报告期企业会议业务增长及减员增效费用减少所致。</w:t>
      </w:r>
      <w:r>
        <w:rPr>
          <w:spacing w:val="-43"/>
        </w:rPr>
        <w:t> </w:t>
      </w:r>
      <w:r>
        <w:rPr>
          <w:spacing w:val="-43"/>
        </w:rPr>
      </w:r>
      <w:r>
        <w:rPr/>
        <w:t>北京二六三网络科技有限公司本年净利润较上年增加</w:t>
      </w:r>
      <w:r>
        <w:rPr>
          <w:rFonts w:ascii="Times New Roman" w:hAnsi="Times New Roman" w:cs="Times New Roman" w:eastAsia="Times New Roman" w:hint="default"/>
        </w:rPr>
        <w:t>41.40%</w:t>
      </w:r>
      <w:r>
        <w:rPr/>
        <w:t>，主要系本报告期成本控制导致毛利率增加、上年同期诉讼和 解费及律师费较大，同时减员增效费用减少所致。 上海二六三通信有限公司本年净利润较上年增加</w:t>
      </w:r>
      <w:r>
        <w:rPr>
          <w:rFonts w:ascii="Times New Roman" w:hAnsi="Times New Roman" w:cs="Times New Roman" w:eastAsia="Times New Roman" w:hint="default"/>
        </w:rPr>
        <w:t>82.77%</w:t>
      </w:r>
      <w:r>
        <w:rPr/>
        <w:t>，主要系本报告期收购深圳日升和</w:t>
      </w:r>
      <w:r>
        <w:rPr>
          <w:rFonts w:ascii="Times New Roman" w:hAnsi="Times New Roman" w:cs="Times New Roman" w:eastAsia="Times New Roman" w:hint="default"/>
        </w:rPr>
        <w:t>I-ACCESS</w:t>
      </w:r>
      <w:r>
        <w:rPr/>
        <w:t>产生的净利润</w:t>
      </w:r>
      <w:r>
        <w:rPr>
          <w:rFonts w:ascii="Times New Roman" w:hAnsi="Times New Roman" w:cs="Times New Roman" w:eastAsia="Times New Roman" w:hint="default"/>
        </w:rPr>
        <w:t>2,005.05 </w:t>
      </w:r>
      <w:r>
        <w:rPr/>
        <w:t>万元及减员增效所致。 </w:t>
      </w:r>
      <w:r>
        <w:rPr>
          <w:spacing w:val="-2"/>
        </w:rPr>
        <w:t>广州二六三移动通信有限公司本年净利润较上年增加</w:t>
      </w:r>
      <w:r>
        <w:rPr>
          <w:rFonts w:ascii="宋体" w:hAnsi="宋体" w:cs="宋体" w:eastAsia="宋体" w:hint="default"/>
          <w:spacing w:val="-2"/>
        </w:rPr>
        <w:t>28.98%</w:t>
      </w:r>
      <w:r>
        <w:rPr>
          <w:spacing w:val="-2"/>
        </w:rPr>
        <w:t>，主要系本报告期成本控制导致毛利率增加、同时减员增效费用</w:t>
      </w:r>
      <w:r>
        <w:rPr>
          <w:spacing w:val="-58"/>
        </w:rPr>
        <w:t> </w:t>
      </w:r>
      <w:r>
        <w:rPr>
          <w:spacing w:val="-58"/>
        </w:rPr>
      </w:r>
      <w:r>
        <w:rPr/>
        <w:t>减少所致。</w:t>
      </w:r>
      <w:r>
        <w:rPr>
          <w:rFonts w:ascii="MS Gothic" w:hAnsi="MS Gothic" w:cs="MS Gothic" w:eastAsia="MS Gothic" w:hint="default"/>
        </w:rPr>
        <w:t>｡</w:t>
      </w:r>
    </w:p>
    <w:p>
      <w:pPr>
        <w:spacing w:line="240" w:lineRule="auto" w:before="2"/>
        <w:rPr>
          <w:rFonts w:ascii="MS Gothic" w:hAnsi="MS Gothic" w:cs="MS Gothic" w:eastAsia="MS Gothic" w:hint="default"/>
          <w:sz w:val="21"/>
          <w:szCs w:val="21"/>
        </w:rPr>
      </w:pPr>
    </w:p>
    <w:p>
      <w:pPr>
        <w:pStyle w:val="Heading2"/>
        <w:spacing w:line="240" w:lineRule="auto"/>
        <w:ind w:left="254" w:right="1042"/>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54" w:right="10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left="254" w:right="1042"/>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54" w:right="1042"/>
        <w:jc w:val="left"/>
      </w:pPr>
      <w:r>
        <w:rPr>
          <w:rFonts w:ascii="Times New Roman" w:hAnsi="Times New Roman" w:cs="Times New Roman" w:eastAsia="Times New Roman" w:hint="default"/>
        </w:rPr>
        <w:t>1</w:t>
      </w:r>
      <w:r>
        <w:rPr/>
        <w:t>、行业发展趋势</w:t>
      </w:r>
    </w:p>
    <w:p>
      <w:pPr>
        <w:pStyle w:val="BodyText"/>
        <w:spacing w:line="240" w:lineRule="auto" w:before="103"/>
        <w:ind w:left="614" w:right="1042"/>
        <w:jc w:val="left"/>
      </w:pPr>
      <w:r>
        <w:rPr/>
        <w:t>随着</w:t>
      </w:r>
      <w:r>
        <w:rPr>
          <w:spacing w:val="-46"/>
        </w:rPr>
        <w:t> </w:t>
      </w:r>
      <w:r>
        <w:rPr>
          <w:rFonts w:ascii="Times New Roman" w:hAnsi="Times New Roman" w:cs="Times New Roman" w:eastAsia="Times New Roman" w:hint="default"/>
        </w:rPr>
        <w:t>5G</w:t>
      </w:r>
      <w:r>
        <w:rPr>
          <w:rFonts w:ascii="Times New Roman" w:hAnsi="Times New Roman" w:cs="Times New Roman" w:eastAsia="Times New Roman" w:hint="default"/>
          <w:spacing w:val="-1"/>
        </w:rPr>
        <w:t> </w:t>
      </w:r>
      <w:r>
        <w:rPr/>
        <w:t>网络的商业化部署的临近，</w:t>
      </w:r>
      <w:r>
        <w:rPr>
          <w:rFonts w:ascii="Times New Roman" w:hAnsi="Times New Roman" w:cs="Times New Roman" w:eastAsia="Times New Roman" w:hint="default"/>
        </w:rPr>
        <w:t>5G</w:t>
      </w:r>
      <w:r>
        <w:rPr>
          <w:rFonts w:ascii="Times New Roman" w:hAnsi="Times New Roman" w:cs="Times New Roman" w:eastAsia="Times New Roman" w:hint="default"/>
          <w:spacing w:val="-1"/>
        </w:rPr>
        <w:t> </w:t>
      </w:r>
      <w:r>
        <w:rPr/>
        <w:t>通信时代即将到来。</w:t>
      </w:r>
    </w:p>
    <w:p>
      <w:pPr>
        <w:pStyle w:val="BodyText"/>
        <w:spacing w:line="300" w:lineRule="auto" w:before="101"/>
        <w:ind w:left="254" w:right="1130" w:firstLine="360"/>
        <w:jc w:val="both"/>
      </w:pPr>
      <w:r>
        <w:rPr>
          <w:rFonts w:ascii="Times New Roman" w:hAnsi="Times New Roman" w:cs="Times New Roman" w:eastAsia="Times New Roman" w:hint="default"/>
        </w:rPr>
        <w:t>5G </w:t>
      </w:r>
      <w:r>
        <w:rPr/>
        <w:t>移动互联网将具有更高的网络带宽、更可靠的网络连接和更低的网络时延，</w:t>
      </w:r>
      <w:r>
        <w:rPr>
          <w:rFonts w:ascii="Times New Roman" w:hAnsi="Times New Roman" w:cs="Times New Roman" w:eastAsia="Times New Roman" w:hint="default"/>
        </w:rPr>
        <w:t>5G </w:t>
      </w:r>
      <w:r>
        <w:rPr/>
        <w:t>移动通信的速率将达到数百</w:t>
      </w:r>
      <w:r>
        <w:rPr>
          <w:spacing w:val="-43"/>
        </w:rPr>
        <w:t> </w:t>
      </w:r>
      <w:r>
        <w:rPr>
          <w:rFonts w:ascii="Times New Roman" w:hAnsi="Times New Roman" w:cs="Times New Roman" w:eastAsia="Times New Roman" w:hint="default"/>
        </w:rPr>
        <w:t>Mbps~</w:t>
      </w:r>
      <w:r>
        <w:rPr>
          <w:rFonts w:ascii="Times New Roman" w:hAnsi="Times New Roman" w:cs="Times New Roman" w:eastAsia="Times New Roman" w:hint="default"/>
          <w:w w:val="99"/>
        </w:rPr>
        <w:t> </w:t>
      </w:r>
      <w:r>
        <w:rPr/>
        <w:t>数</w:t>
      </w:r>
      <w:r>
        <w:rPr>
          <w:spacing w:val="-33"/>
        </w:rPr>
        <w:t> </w:t>
      </w:r>
      <w:r>
        <w:rPr>
          <w:rFonts w:ascii="Times New Roman" w:hAnsi="Times New Roman" w:cs="Times New Roman" w:eastAsia="Times New Roman" w:hint="default"/>
        </w:rPr>
        <w:t>Gbps</w:t>
      </w:r>
      <w:r>
        <w:rPr/>
        <w:t>，是目前</w:t>
      </w:r>
      <w:r>
        <w:rPr>
          <w:spacing w:val="-33"/>
        </w:rPr>
        <w:t> </w:t>
      </w:r>
      <w:r>
        <w:rPr>
          <w:rFonts w:ascii="Times New Roman" w:hAnsi="Times New Roman" w:cs="Times New Roman" w:eastAsia="Times New Roman" w:hint="default"/>
        </w:rPr>
        <w:t>4G</w:t>
      </w:r>
      <w:r>
        <w:rPr>
          <w:rFonts w:ascii="Times New Roman" w:hAnsi="Times New Roman" w:cs="Times New Roman" w:eastAsia="Times New Roman" w:hint="default"/>
          <w:spacing w:val="12"/>
        </w:rPr>
        <w:t> </w:t>
      </w:r>
      <w:r>
        <w:rPr/>
        <w:t>网络的</w:t>
      </w:r>
      <w:r>
        <w:rPr>
          <w:spacing w:val="-33"/>
        </w:rPr>
        <w:t> </w:t>
      </w:r>
      <w:r>
        <w:rPr>
          <w:rFonts w:ascii="Times New Roman" w:hAnsi="Times New Roman" w:cs="Times New Roman" w:eastAsia="Times New Roman" w:hint="default"/>
        </w:rPr>
        <w:t>10~100</w:t>
      </w:r>
      <w:r>
        <w:rPr>
          <w:rFonts w:ascii="Times New Roman" w:hAnsi="Times New Roman" w:cs="Times New Roman" w:eastAsia="Times New Roman" w:hint="default"/>
          <w:spacing w:val="12"/>
        </w:rPr>
        <w:t> </w:t>
      </w:r>
      <w:r>
        <w:rPr/>
        <w:t>倍，端到端的时延将低至</w:t>
      </w:r>
      <w:r>
        <w:rPr>
          <w:spacing w:val="-32"/>
        </w:rPr>
        <w:t> </w:t>
      </w:r>
      <w:r>
        <w:rPr>
          <w:rFonts w:ascii="Times New Roman" w:hAnsi="Times New Roman" w:cs="Times New Roman" w:eastAsia="Times New Roman" w:hint="default"/>
        </w:rPr>
        <w:t>1~20ms</w:t>
      </w:r>
      <w:r>
        <w:rPr/>
        <w:t>，不仅在现有的通信应用场景下能带来更好的用户体 </w:t>
      </w:r>
      <w:r>
        <w:rPr>
          <w:spacing w:val="-5"/>
          <w:w w:val="99"/>
        </w:rPr>
        <w:t>验，而且为物联网、车联网、工业自动化（机器人）、人工智能（</w:t>
      </w:r>
      <w:r>
        <w:rPr>
          <w:rFonts w:ascii="Times New Roman" w:hAnsi="Times New Roman" w:cs="Times New Roman" w:eastAsia="Times New Roman" w:hint="default"/>
          <w:spacing w:val="-5"/>
          <w:w w:val="99"/>
        </w:rPr>
        <w:t>AI</w:t>
      </w:r>
      <w:r>
        <w:rPr>
          <w:spacing w:val="-5"/>
          <w:w w:val="99"/>
        </w:rPr>
        <w:t>）、虚拟现实（</w:t>
      </w:r>
      <w:r>
        <w:rPr>
          <w:rFonts w:ascii="Times New Roman" w:hAnsi="Times New Roman" w:cs="Times New Roman" w:eastAsia="Times New Roman" w:hint="default"/>
          <w:spacing w:val="-5"/>
          <w:w w:val="99"/>
        </w:rPr>
        <w:t>VR</w:t>
      </w:r>
      <w:r>
        <w:rPr>
          <w:spacing w:val="-5"/>
          <w:w w:val="99"/>
        </w:rPr>
        <w:t>）、增强现实（</w:t>
      </w:r>
      <w:r>
        <w:rPr>
          <w:rFonts w:ascii="Times New Roman" w:hAnsi="Times New Roman" w:cs="Times New Roman" w:eastAsia="Times New Roman" w:hint="default"/>
          <w:spacing w:val="-5"/>
          <w:w w:val="99"/>
        </w:rPr>
        <w:t>AR</w:t>
      </w:r>
      <w:r>
        <w:rPr>
          <w:spacing w:val="-5"/>
          <w:w w:val="99"/>
        </w:rPr>
        <w:t>）等新兴领域的高</w:t>
      </w:r>
      <w:r>
        <w:rPr>
          <w:spacing w:val="-44"/>
          <w:w w:val="99"/>
        </w:rPr>
        <w:t> </w:t>
      </w:r>
      <w:r>
        <w:rPr>
          <w:spacing w:val="-44"/>
          <w:w w:val="99"/>
        </w:rPr>
      </w:r>
      <w:r>
        <w:rPr/>
        <w:t>科技应用场景提供强大的网络支持。</w:t>
      </w:r>
    </w:p>
    <w:p>
      <w:pPr>
        <w:spacing w:after="0" w:line="300" w:lineRule="auto"/>
        <w:jc w:val="both"/>
        <w:sectPr>
          <w:pgSz w:w="11910" w:h="16840"/>
          <w:pgMar w:header="0" w:footer="979" w:top="1060" w:bottom="1160" w:left="880" w:right="0"/>
        </w:sectPr>
      </w:pPr>
    </w:p>
    <w:p>
      <w:pPr>
        <w:spacing w:line="240" w:lineRule="auto" w:before="12"/>
        <w:rPr>
          <w:rFonts w:ascii="宋体" w:hAnsi="宋体" w:cs="宋体" w:eastAsia="宋体" w:hint="default"/>
          <w:sz w:val="25"/>
          <w:szCs w:val="25"/>
        </w:rPr>
      </w:pPr>
    </w:p>
    <w:p>
      <w:pPr>
        <w:pStyle w:val="BodyText"/>
        <w:spacing w:line="300" w:lineRule="auto" w:before="44"/>
        <w:ind w:right="1116" w:firstLine="360"/>
        <w:jc w:val="left"/>
      </w:pPr>
      <w:r>
        <w:rPr>
          <w:rFonts w:ascii="Times New Roman" w:hAnsi="Times New Roman" w:cs="Times New Roman" w:eastAsia="Times New Roman" w:hint="default"/>
        </w:rPr>
        <w:t>5G</w:t>
      </w:r>
      <w:r>
        <w:rPr>
          <w:rFonts w:ascii="Times New Roman" w:hAnsi="Times New Roman" w:cs="Times New Roman" w:eastAsia="Times New Roman" w:hint="default"/>
          <w:spacing w:val="4"/>
        </w:rPr>
        <w:t> </w:t>
      </w:r>
      <w:r>
        <w:rPr/>
        <w:t>移动互联网可以实现多路高清甚至超高清视频和</w:t>
      </w:r>
      <w:r>
        <w:rPr>
          <w:spacing w:val="-41"/>
        </w:rPr>
        <w:t> </w:t>
      </w:r>
      <w:r>
        <w:rPr>
          <w:rFonts w:ascii="Times New Roman" w:hAnsi="Times New Roman" w:cs="Times New Roman" w:eastAsia="Times New Roman" w:hint="default"/>
        </w:rPr>
        <w:t>3D</w:t>
      </w:r>
      <w:r>
        <w:rPr>
          <w:rFonts w:ascii="Times New Roman" w:hAnsi="Times New Roman" w:cs="Times New Roman" w:eastAsia="Times New Roman" w:hint="default"/>
          <w:spacing w:val="3"/>
        </w:rPr>
        <w:t> </w:t>
      </w:r>
      <w:r>
        <w:rPr/>
        <w:t>视频的传输，将显著提高现有企业会议</w:t>
      </w:r>
      <w:r>
        <w:rPr>
          <w:rFonts w:ascii="Times New Roman" w:hAnsi="Times New Roman" w:cs="Times New Roman" w:eastAsia="Times New Roman" w:hint="default"/>
        </w:rPr>
        <w:t>/</w:t>
      </w:r>
      <w:r>
        <w:rPr/>
        <w:t>视频直播业务的场景显 </w:t>
      </w:r>
      <w:r>
        <w:rPr>
          <w:w w:val="99"/>
        </w:rPr>
        <w:t>示和交互能力等用户体验，极大地推动企业会议</w:t>
      </w:r>
      <w:r>
        <w:rPr>
          <w:rFonts w:ascii="Times New Roman" w:hAnsi="Times New Roman" w:cs="Times New Roman" w:eastAsia="Times New Roman" w:hint="default"/>
          <w:w w:val="99"/>
        </w:rPr>
        <w:t>/</w:t>
      </w:r>
      <w:r>
        <w:rPr>
          <w:w w:val="99"/>
        </w:rPr>
        <w:t>视频直播业务的快速增长；</w:t>
      </w:r>
      <w:r>
        <w:rPr>
          <w:rFonts w:ascii="Times New Roman" w:hAnsi="Times New Roman" w:cs="Times New Roman" w:eastAsia="Times New Roman" w:hint="default"/>
          <w:w w:val="99"/>
        </w:rPr>
        <w:t>5G</w:t>
      </w:r>
      <w:r>
        <w:rPr>
          <w:rFonts w:ascii="Times New Roman" w:hAnsi="Times New Roman" w:cs="Times New Roman" w:eastAsia="Times New Roman" w:hint="default"/>
          <w:spacing w:val="8"/>
          <w:w w:val="99"/>
        </w:rPr>
        <w:t> </w:t>
      </w:r>
      <w:r>
        <w:rPr>
          <w:spacing w:val="-14"/>
          <w:w w:val="99"/>
        </w:rPr>
        <w:t>技术与虚拟现实（</w:t>
      </w:r>
      <w:r>
        <w:rPr>
          <w:rFonts w:ascii="Times New Roman" w:hAnsi="Times New Roman" w:cs="Times New Roman" w:eastAsia="Times New Roman" w:hint="default"/>
          <w:spacing w:val="-14"/>
          <w:w w:val="99"/>
        </w:rPr>
        <w:t>VR</w:t>
      </w:r>
      <w:r>
        <w:rPr>
          <w:spacing w:val="-14"/>
          <w:w w:val="99"/>
        </w:rPr>
        <w:t>）、增强现实（</w:t>
      </w:r>
      <w:r>
        <w:rPr>
          <w:rFonts w:ascii="Times New Roman" w:hAnsi="Times New Roman" w:cs="Times New Roman" w:eastAsia="Times New Roman" w:hint="default"/>
          <w:spacing w:val="-14"/>
          <w:w w:val="99"/>
        </w:rPr>
        <w:t>AR</w:t>
      </w:r>
      <w:r>
        <w:rPr>
          <w:spacing w:val="-14"/>
          <w:w w:val="99"/>
        </w:rPr>
        <w:t>）、</w:t>
      </w:r>
      <w:r>
        <w:rPr>
          <w:spacing w:val="-77"/>
          <w:w w:val="99"/>
        </w:rPr>
        <w:t> </w:t>
      </w:r>
      <w:r>
        <w:rPr/>
        <w:t>人工智能（</w:t>
      </w:r>
      <w:r>
        <w:rPr>
          <w:rFonts w:ascii="Times New Roman" w:hAnsi="Times New Roman" w:cs="Times New Roman" w:eastAsia="Times New Roman" w:hint="default"/>
        </w:rPr>
        <w:t>AI</w:t>
      </w:r>
      <w:r>
        <w:rPr/>
        <w:t>）等技术结合，更将带来新的革命性交互方式，可实现如虚拟会场、虚拟教室、虚拟诊疗室、协同办公、协</w:t>
      </w:r>
      <w:r>
        <w:rPr>
          <w:spacing w:val="-19"/>
        </w:rPr>
        <w:t> </w:t>
      </w:r>
      <w:r>
        <w:rPr>
          <w:spacing w:val="-19"/>
        </w:rPr>
      </w:r>
      <w:r>
        <w:rPr/>
        <w:t>同设计、协同手术等全新的应用场景，将会极大地拓展企业会议</w:t>
      </w:r>
      <w:r>
        <w:rPr>
          <w:rFonts w:ascii="Times New Roman" w:hAnsi="Times New Roman" w:cs="Times New Roman" w:eastAsia="Times New Roman" w:hint="default"/>
        </w:rPr>
        <w:t>/</w:t>
      </w:r>
      <w:r>
        <w:rPr/>
        <w:t>视频直播业务的应用领域。</w:t>
      </w:r>
    </w:p>
    <w:p>
      <w:pPr>
        <w:pStyle w:val="BodyText"/>
        <w:spacing w:line="309" w:lineRule="auto" w:before="51"/>
        <w:ind w:right="1132" w:firstLine="360"/>
        <w:jc w:val="both"/>
      </w:pPr>
      <w:r>
        <w:rPr>
          <w:rFonts w:ascii="Times New Roman" w:hAnsi="Times New Roman" w:cs="Times New Roman" w:eastAsia="Times New Roman" w:hint="default"/>
        </w:rPr>
        <w:t>5G</w:t>
      </w:r>
      <w:r>
        <w:rPr>
          <w:rFonts w:ascii="Times New Roman" w:hAnsi="Times New Roman" w:cs="Times New Roman" w:eastAsia="Times New Roman" w:hint="default"/>
          <w:spacing w:val="2"/>
        </w:rPr>
        <w:t> </w:t>
      </w:r>
      <w:r>
        <w:rPr/>
        <w:t>技术与人工智能（</w:t>
      </w:r>
      <w:r>
        <w:rPr>
          <w:rFonts w:ascii="Times New Roman" w:hAnsi="Times New Roman" w:cs="Times New Roman" w:eastAsia="Times New Roman" w:hint="default"/>
        </w:rPr>
        <w:t>AI</w:t>
      </w:r>
      <w:r>
        <w:rPr/>
        <w:t>）技术相结合，可以实现智能家居领域中的智能安防，通过对摄像头拍摄到的视频图像以及各 </w:t>
      </w:r>
      <w:r>
        <w:rPr>
          <w:spacing w:val="-2"/>
        </w:rPr>
        <w:t>种传感器采集到的数据进行智能识别和分析，即可实时准确地判断出家中是否有陌生人闯入，抑或只是来了一只猫或一只鸽</w:t>
      </w:r>
      <w:r>
        <w:rPr>
          <w:spacing w:val="-64"/>
        </w:rPr>
        <w:t> </w:t>
      </w:r>
      <w:r>
        <w:rPr>
          <w:spacing w:val="-64"/>
        </w:rPr>
      </w:r>
      <w:r>
        <w:rPr/>
        <w:t>子，大大降低误报率，提高报警准确度。</w:t>
      </w:r>
    </w:p>
    <w:p>
      <w:pPr>
        <w:pStyle w:val="BodyText"/>
        <w:spacing w:line="319" w:lineRule="auto" w:before="64"/>
        <w:ind w:right="1032" w:firstLine="360"/>
        <w:jc w:val="left"/>
      </w:pPr>
      <w:r>
        <w:rPr>
          <w:spacing w:val="-2"/>
        </w:rPr>
        <w:t>随着改革开放和“一带一路”战略实施的不断深入，更多的外国企业进入中国市场，越来越多的中国企业“走出去”，</w:t>
      </w:r>
      <w:r>
        <w:rPr/>
        <w:t> </w:t>
      </w:r>
      <w:r>
        <w:rPr>
          <w:spacing w:val="-2"/>
        </w:rPr>
        <w:t>带来了大量的国际通信业务实际需求。来华经营的外国企业在国内设立经营主体或分支机构，除在本地网络通信环境、数据</w:t>
      </w:r>
      <w:r>
        <w:rPr>
          <w:spacing w:val="-66"/>
        </w:rPr>
        <w:t> </w:t>
      </w:r>
      <w:r>
        <w:rPr>
          <w:spacing w:val="-66"/>
        </w:rPr>
      </w:r>
      <w:r>
        <w:rPr/>
        <w:t>中心托管等本地通信服务需求之外，其与企业总部、区域总部、全球各分支机构之间必然存在大量跨境语音、数据、会议、 </w:t>
      </w:r>
      <w:r>
        <w:rPr>
          <w:spacing w:val="-2"/>
        </w:rPr>
        <w:t>视频等国际通信需求。“走出去”的中国企业除了在人员、办公等方面有国际（跨境）通信需求之外，在设备管理、物流管</w:t>
      </w:r>
      <w:r>
        <w:rPr>
          <w:spacing w:val="-65"/>
        </w:rPr>
        <w:t> </w:t>
      </w:r>
      <w:r>
        <w:rPr>
          <w:spacing w:val="-65"/>
        </w:rPr>
      </w:r>
      <w:r>
        <w:rPr/>
        <w:t>理等方面也存在国际（跨境）物联网方面的需求。国际（跨境）通信市场将会迎来一个快速增长的阶段。</w:t>
      </w:r>
    </w:p>
    <w:p>
      <w:pPr>
        <w:pStyle w:val="BodyText"/>
        <w:spacing w:line="307" w:lineRule="auto" w:before="55"/>
        <w:ind w:right="1131" w:firstLine="36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年工信部开展了跨境数据通信业务专项清理规范工作，进一步明确了跨境数据通信业务的资质要求、主体资格和 合规服务方式，并对违规自建国际通信设施、违规租售国际专线</w:t>
      </w:r>
      <w:r>
        <w:rPr>
          <w:rFonts w:ascii="Times New Roman" w:hAnsi="Times New Roman" w:cs="Times New Roman" w:eastAsia="Times New Roman" w:hint="default"/>
        </w:rPr>
        <w:t>/</w:t>
      </w:r>
      <w:r>
        <w:rPr/>
        <w:t>国际带宽资源等市场行为进行了核查清理。为了更好地落</w:t>
      </w:r>
      <w:r>
        <w:rPr>
          <w:spacing w:val="-47"/>
        </w:rPr>
        <w:t> </w:t>
      </w:r>
      <w:r>
        <w:rPr>
          <w:spacing w:val="-47"/>
        </w:rPr>
      </w:r>
      <w:r>
        <w:rPr/>
        <w:t>实监管政策要求、维护市场秩序、促进多方合作共赢，由中国信息通信研究院牵头，联合</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家基础电信企业、</w:t>
      </w:r>
      <w:r>
        <w:rPr>
          <w:rFonts w:ascii="Times New Roman" w:hAnsi="Times New Roman" w:cs="Times New Roman" w:eastAsia="Times New Roman" w:hint="default"/>
        </w:rPr>
        <w:t>IP-VPN</w:t>
      </w:r>
      <w:r>
        <w:rPr>
          <w:rFonts w:ascii="Times New Roman" w:hAnsi="Times New Roman" w:cs="Times New Roman" w:eastAsia="Times New Roman" w:hint="default"/>
          <w:spacing w:val="3"/>
        </w:rPr>
        <w:t> </w:t>
      </w:r>
      <w:r>
        <w:rPr/>
        <w:t>等相 </w:t>
      </w:r>
      <w:r>
        <w:rPr>
          <w:spacing w:val="-2"/>
        </w:rPr>
        <w:t>关业务经营者共同成立了“中国跨境数据通信产业联盟”，并签署行业自律公约，推动行业自律，规范有序发展。二六三公</w:t>
      </w:r>
      <w:r>
        <w:rPr>
          <w:spacing w:val="-64"/>
        </w:rPr>
        <w:t> </w:t>
      </w:r>
      <w:r>
        <w:rPr>
          <w:spacing w:val="-64"/>
        </w:rPr>
      </w:r>
      <w:r>
        <w:rPr>
          <w:spacing w:val="-2"/>
        </w:rPr>
        <w:t>司作为首批正式成员加入了该联盟。通过此次专项清理规范工作，违规自建、违规租售等“灰色经营地带”将得到彻底的治</w:t>
      </w:r>
      <w:r>
        <w:rPr>
          <w:spacing w:val="-66"/>
        </w:rPr>
        <w:t> </w:t>
      </w:r>
      <w:r>
        <w:rPr>
          <w:spacing w:val="-66"/>
        </w:rPr>
      </w:r>
      <w:r>
        <w:rPr/>
        <w:t>理，合法合规经营将成为主流，跨境数据通信市场将会更加规范、健康地成长。</w:t>
      </w:r>
    </w:p>
    <w:p>
      <w:pPr>
        <w:pStyle w:val="BodyText"/>
        <w:spacing w:line="338" w:lineRule="auto" w:before="65"/>
        <w:ind w:left="514" w:right="1118" w:hanging="360"/>
        <w:jc w:val="left"/>
      </w:pPr>
      <w:r>
        <w:rPr>
          <w:rFonts w:ascii="Times New Roman" w:hAnsi="Times New Roman" w:cs="Times New Roman" w:eastAsia="Times New Roman" w:hint="default"/>
        </w:rPr>
        <w:t>2</w:t>
      </w:r>
      <w:r>
        <w:rPr/>
        <w:t>、公司发展战略 </w:t>
      </w:r>
      <w:r>
        <w:rPr>
          <w:spacing w:val="-2"/>
        </w:rPr>
        <w:t>公司致力于运用互联网技术和转售方式为客户提供通信服务。在企业客户市场，公司在企业通信和协同办公领域为国内</w:t>
      </w:r>
    </w:p>
    <w:p>
      <w:pPr>
        <w:pStyle w:val="BodyText"/>
        <w:spacing w:line="307" w:lineRule="auto" w:before="2"/>
        <w:ind w:right="1129"/>
        <w:jc w:val="both"/>
      </w:pPr>
      <w:r>
        <w:rPr/>
        <w:t>各类企业客户提供企业级</w:t>
      </w:r>
      <w:r>
        <w:rPr>
          <w:spacing w:val="-48"/>
        </w:rPr>
        <w:t> </w:t>
      </w:r>
      <w:r>
        <w:rPr>
          <w:rFonts w:ascii="Times New Roman" w:hAnsi="Times New Roman" w:cs="Times New Roman" w:eastAsia="Times New Roman" w:hint="default"/>
        </w:rPr>
        <w:t>SaaS</w:t>
      </w:r>
      <w:r>
        <w:rPr>
          <w:rFonts w:ascii="Times New Roman" w:hAnsi="Times New Roman" w:cs="Times New Roman" w:eastAsia="Times New Roman" w:hint="default"/>
          <w:spacing w:val="-3"/>
        </w:rPr>
        <w:t> </w:t>
      </w:r>
      <w:r>
        <w:rPr/>
        <w:t>服务，致力于成为中国领先的企业通信服务商和企业</w:t>
      </w:r>
      <w:r>
        <w:rPr>
          <w:spacing w:val="-48"/>
        </w:rPr>
        <w:t> </w:t>
      </w:r>
      <w:r>
        <w:rPr>
          <w:rFonts w:ascii="Times New Roman" w:hAnsi="Times New Roman" w:cs="Times New Roman" w:eastAsia="Times New Roman" w:hint="default"/>
        </w:rPr>
        <w:t>SaaS</w:t>
      </w:r>
      <w:r>
        <w:rPr>
          <w:rFonts w:ascii="Times New Roman" w:hAnsi="Times New Roman" w:cs="Times New Roman" w:eastAsia="Times New Roman" w:hint="default"/>
          <w:spacing w:val="-3"/>
        </w:rPr>
        <w:t> </w:t>
      </w:r>
      <w:r>
        <w:rPr>
          <w:spacing w:val="-5"/>
        </w:rPr>
        <w:t>服务商。同时，公司借助国家“一</w:t>
      </w:r>
      <w:r>
        <w:rPr/>
        <w:t> </w:t>
      </w:r>
      <w:r>
        <w:rPr>
          <w:spacing w:val="-2"/>
        </w:rPr>
        <w:t>带一路”和“走出去”战略、积极开展企业国际化通信服务，向企业用户提供国际跨境通信服务和境外本地通信服务。在个</w:t>
      </w:r>
      <w:r>
        <w:rPr>
          <w:spacing w:val="-68"/>
        </w:rPr>
        <w:t> </w:t>
      </w:r>
      <w:r>
        <w:rPr>
          <w:spacing w:val="-68"/>
        </w:rPr>
      </w:r>
      <w:r>
        <w:rPr>
          <w:spacing w:val="-2"/>
          <w:w w:val="99"/>
        </w:rPr>
        <w:t>人客户市场，公司主要为北美华人提供多平台、多终端的视频内容服务以及虚拟移动通信服务（</w:t>
      </w:r>
      <w:r>
        <w:rPr>
          <w:rFonts w:ascii="Times New Roman" w:hAnsi="Times New Roman" w:cs="Times New Roman" w:eastAsia="Times New Roman" w:hint="default"/>
          <w:spacing w:val="-2"/>
          <w:w w:val="99"/>
        </w:rPr>
        <w:t>MVNO</w:t>
      </w:r>
      <w:r>
        <w:rPr>
          <w:spacing w:val="-2"/>
          <w:w w:val="99"/>
        </w:rPr>
        <w:t>），致力于成为北美</w:t>
      </w:r>
      <w:r>
        <w:rPr>
          <w:spacing w:val="-72"/>
          <w:w w:val="99"/>
        </w:rPr>
        <w:t> </w:t>
      </w:r>
      <w:r>
        <w:rPr>
          <w:spacing w:val="-72"/>
          <w:w w:val="99"/>
        </w:rPr>
      </w:r>
      <w:r>
        <w:rPr/>
        <w:t>地区的互联网综合服务商。</w:t>
      </w:r>
    </w:p>
    <w:p>
      <w:pPr>
        <w:pStyle w:val="BodyText"/>
        <w:spacing w:line="240" w:lineRule="auto" w:before="65"/>
        <w:ind w:right="0"/>
        <w:jc w:val="both"/>
      </w:pPr>
      <w:r>
        <w:rPr>
          <w:rFonts w:ascii="Times New Roman" w:hAnsi="Times New Roman" w:cs="Times New Roman" w:eastAsia="Times New Roman" w:hint="default"/>
        </w:rPr>
        <w:t>3</w:t>
      </w:r>
      <w:r>
        <w:rPr/>
        <w:t>、公司</w:t>
      </w:r>
      <w:r>
        <w:rPr>
          <w:spacing w:val="-46"/>
        </w:rPr>
        <w:t> </w:t>
      </w:r>
      <w:r>
        <w:rPr>
          <w:rFonts w:ascii="Times New Roman" w:hAnsi="Times New Roman" w:cs="Times New Roman" w:eastAsia="Times New Roman" w:hint="default"/>
        </w:rPr>
        <w:t>2019 </w:t>
      </w:r>
      <w:r>
        <w:rPr/>
        <w:t>年经营计划</w:t>
      </w:r>
    </w:p>
    <w:p>
      <w:pPr>
        <w:pStyle w:val="BodyText"/>
        <w:spacing w:line="312" w:lineRule="auto" w:before="101"/>
        <w:ind w:right="1130" w:firstLine="36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25"/>
        </w:rPr>
        <w:t> </w:t>
      </w:r>
      <w:r>
        <w:rPr/>
        <w:t>年公司将进一步夯实既有业务巩固三大业务产品线，借助</w:t>
      </w:r>
      <w:r>
        <w:rPr>
          <w:spacing w:val="-70"/>
        </w:rPr>
        <w:t> </w:t>
      </w:r>
      <w:r>
        <w:rPr>
          <w:rFonts w:ascii="Times New Roman" w:hAnsi="Times New Roman" w:cs="Times New Roman" w:eastAsia="Times New Roman" w:hint="default"/>
        </w:rPr>
        <w:t>5G</w:t>
      </w:r>
      <w:r>
        <w:rPr>
          <w:rFonts w:ascii="Times New Roman" w:hAnsi="Times New Roman" w:cs="Times New Roman" w:eastAsia="Times New Roman" w:hint="default"/>
          <w:spacing w:val="-25"/>
        </w:rPr>
        <w:t> </w:t>
      </w:r>
      <w:r>
        <w:rPr/>
        <w:t>技术的发展和公司的移动通信能力，聚焦企业视频通 </w:t>
      </w:r>
      <w:r>
        <w:rPr>
          <w:spacing w:val="-5"/>
        </w:rPr>
        <w:t>信等领域；积极顺应国家“一带一路”、“走出去”战略，开展与国际运营商的战略合作，深入挖掘企业国际化通信需求，完</w:t>
      </w:r>
      <w:r>
        <w:rPr>
          <w:spacing w:val="-84"/>
        </w:rPr>
        <w:t> </w:t>
      </w:r>
      <w:r>
        <w:rPr>
          <w:spacing w:val="-84"/>
        </w:rPr>
      </w:r>
      <w:r>
        <w:rPr>
          <w:spacing w:val="-2"/>
        </w:rPr>
        <w:t>善企业跨境通信服务及海外本地通信服务业务。在北美地区，加速华语视频内容在多平台、多终端为海外华人提供服务架构</w:t>
      </w:r>
      <w:r>
        <w:rPr>
          <w:spacing w:val="-66"/>
        </w:rPr>
        <w:t> </w:t>
      </w:r>
      <w:r>
        <w:rPr>
          <w:spacing w:val="-66"/>
        </w:rPr>
      </w:r>
      <w:r>
        <w:rPr/>
        <w:t>的实现，继续拓展北美海外华人移动通信的用户规模。根据公司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月公示的股权激励计划的业绩考核指标，公司</w:t>
      </w:r>
    </w:p>
    <w:p>
      <w:pPr>
        <w:pStyle w:val="BodyText"/>
        <w:spacing w:line="240" w:lineRule="auto" w:before="4"/>
        <w:ind w:right="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年预计实现归属于母公司净利润不少于</w:t>
      </w:r>
      <w:r>
        <w:rPr>
          <w:spacing w:val="-46"/>
        </w:rPr>
        <w:t> </w:t>
      </w:r>
      <w:r>
        <w:rPr>
          <w:rFonts w:ascii="Times New Roman" w:hAnsi="Times New Roman" w:cs="Times New Roman" w:eastAsia="Times New Roman" w:hint="default"/>
        </w:rPr>
        <w:t>16,200 </w:t>
      </w:r>
      <w:r>
        <w:rPr/>
        <w:t>万元。</w:t>
      </w:r>
    </w:p>
    <w:p>
      <w:pPr>
        <w:pStyle w:val="BodyText"/>
        <w:spacing w:line="240" w:lineRule="auto" w:before="103"/>
        <w:ind w:right="0"/>
        <w:jc w:val="both"/>
      </w:pPr>
      <w:r>
        <w:rPr/>
        <w:t>（</w:t>
      </w:r>
      <w:r>
        <w:rPr>
          <w:rFonts w:ascii="Times New Roman" w:hAnsi="Times New Roman" w:cs="Times New Roman" w:eastAsia="Times New Roman" w:hint="default"/>
        </w:rPr>
        <w:t>1</w:t>
      </w:r>
      <w:r>
        <w:rPr/>
        <w:t>）企业通信业务</w:t>
      </w:r>
    </w:p>
    <w:p>
      <w:pPr>
        <w:pStyle w:val="BodyText"/>
        <w:spacing w:line="312" w:lineRule="auto" w:before="101"/>
        <w:ind w:right="1131" w:firstLine="360"/>
        <w:jc w:val="both"/>
      </w:pPr>
      <w:r>
        <w:rPr>
          <w:spacing w:val="-2"/>
        </w:rPr>
        <w:t>①公司将围绕着“视频、智能、移动、安全”的产品战略，从产品创新，客户驱动，数据运营三个方面发力，加大产品</w:t>
      </w:r>
      <w:r>
        <w:rPr/>
        <w:t> </w:t>
      </w:r>
      <w:r>
        <w:rPr>
          <w:spacing w:val="-2"/>
        </w:rPr>
        <w:t>研发投入力度，不遗余力的提升产品质量，建立以客户为中心的企业文化，推出行业化解决方案，充分发挥数据在业务运营</w:t>
      </w:r>
      <w:r>
        <w:rPr>
          <w:spacing w:val="-66"/>
        </w:rPr>
        <w:t> </w:t>
      </w:r>
      <w:r>
        <w:rPr>
          <w:spacing w:val="-66"/>
        </w:rPr>
      </w:r>
      <w:r>
        <w:rPr/>
        <w:t>和客户服务中的引导作用，实现个性化服务和精准营销，不断完善和打造</w:t>
      </w:r>
      <w:r>
        <w:rPr>
          <w:spacing w:val="-60"/>
        </w:rPr>
        <w:t> </w:t>
      </w:r>
      <w:r>
        <w:rPr>
          <w:rFonts w:ascii="Times New Roman" w:hAnsi="Times New Roman" w:cs="Times New Roman" w:eastAsia="Times New Roman" w:hint="default"/>
        </w:rPr>
        <w:t>263</w:t>
      </w:r>
      <w:r>
        <w:rPr>
          <w:rFonts w:ascii="Times New Roman" w:hAnsi="Times New Roman" w:cs="Times New Roman" w:eastAsia="Times New Roman" w:hint="default"/>
          <w:spacing w:val="-16"/>
        </w:rPr>
        <w:t> </w:t>
      </w:r>
      <w:r>
        <w:rPr>
          <w:spacing w:val="-3"/>
        </w:rPr>
        <w:t>云通信平台，让</w:t>
      </w:r>
      <w:r>
        <w:rPr>
          <w:spacing w:val="-61"/>
        </w:rPr>
        <w:t> </w:t>
      </w:r>
      <w:r>
        <w:rPr>
          <w:rFonts w:ascii="Times New Roman" w:hAnsi="Times New Roman" w:cs="Times New Roman" w:eastAsia="Times New Roman" w:hint="default"/>
        </w:rPr>
        <w:t>263</w:t>
      </w:r>
      <w:r>
        <w:rPr>
          <w:rFonts w:ascii="Times New Roman" w:hAnsi="Times New Roman" w:cs="Times New Roman" w:eastAsia="Times New Roman" w:hint="default"/>
          <w:spacing w:val="-16"/>
        </w:rPr>
        <w:t> </w:t>
      </w:r>
      <w:r>
        <w:rPr/>
        <w:t>云通信真正成为“连接价 值，赋能生态”的企业互联网通信专家。</w:t>
      </w:r>
    </w:p>
    <w:p>
      <w:pPr>
        <w:pStyle w:val="BodyText"/>
        <w:spacing w:line="300" w:lineRule="auto" w:before="61"/>
        <w:ind w:right="1033" w:firstLine="360"/>
        <w:jc w:val="left"/>
      </w:pPr>
      <w:r>
        <w:rPr/>
        <w:t>②</w:t>
      </w:r>
      <w:r>
        <w:rPr>
          <w:rFonts w:ascii="Times New Roman" w:hAnsi="Times New Roman" w:cs="Times New Roman" w:eastAsia="Times New Roman" w:hint="default"/>
        </w:rPr>
        <w:t>263</w:t>
      </w:r>
      <w:r>
        <w:rPr>
          <w:rFonts w:ascii="Times New Roman" w:hAnsi="Times New Roman" w:cs="Times New Roman" w:eastAsia="Times New Roman" w:hint="default"/>
          <w:spacing w:val="-5"/>
        </w:rPr>
        <w:t> </w:t>
      </w:r>
      <w:r>
        <w:rPr/>
        <w:t>云通信将在“视频</w:t>
      </w:r>
      <w:r>
        <w:rPr>
          <w:rFonts w:ascii="Times New Roman" w:hAnsi="Times New Roman" w:cs="Times New Roman" w:eastAsia="Times New Roman" w:hint="default"/>
        </w:rPr>
        <w:t>+</w:t>
      </w:r>
      <w:r>
        <w:rPr/>
        <w:t>”战略引导下完成“</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个平台</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种能力</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个产品”的全方位布局，以此来奠定整个</w:t>
      </w:r>
      <w:r>
        <w:rPr>
          <w:spacing w:val="-50"/>
        </w:rPr>
        <w:t> </w:t>
      </w:r>
      <w:r>
        <w:rPr>
          <w:rFonts w:ascii="Times New Roman" w:hAnsi="Times New Roman" w:cs="Times New Roman" w:eastAsia="Times New Roman" w:hint="default"/>
        </w:rPr>
        <w:t>263</w:t>
      </w:r>
      <w:r>
        <w:rPr>
          <w:rFonts w:ascii="Times New Roman" w:hAnsi="Times New Roman" w:cs="Times New Roman" w:eastAsia="Times New Roman" w:hint="default"/>
          <w:spacing w:val="-4"/>
        </w:rPr>
        <w:t> </w:t>
      </w:r>
      <w:r>
        <w:rPr/>
        <w:t>云通 </w:t>
      </w:r>
      <w:r>
        <w:rPr>
          <w:spacing w:val="-3"/>
        </w:rPr>
        <w:t>信的产品构架和基础。一个平台，是指</w:t>
      </w:r>
      <w:r>
        <w:rPr>
          <w:spacing w:val="-38"/>
        </w:rPr>
        <w:t> </w:t>
      </w:r>
      <w:r>
        <w:rPr>
          <w:rFonts w:ascii="Times New Roman" w:hAnsi="Times New Roman" w:cs="Times New Roman" w:eastAsia="Times New Roman" w:hint="default"/>
        </w:rPr>
        <w:t>263</w:t>
      </w:r>
      <w:r>
        <w:rPr>
          <w:rFonts w:ascii="Times New Roman" w:hAnsi="Times New Roman" w:cs="Times New Roman" w:eastAsia="Times New Roman" w:hint="default"/>
          <w:spacing w:val="7"/>
        </w:rPr>
        <w:t> </w:t>
      </w:r>
      <w:r>
        <w:rPr>
          <w:spacing w:val="-4"/>
        </w:rPr>
        <w:t>云通信。两种能力，指公司具有视频能力、移动能力。三个产品，是指企业邮箱、</w:t>
      </w:r>
      <w:r>
        <w:rPr>
          <w:spacing w:val="-88"/>
        </w:rPr>
        <w:t> </w:t>
      </w:r>
      <w:r>
        <w:rPr>
          <w:spacing w:val="-88"/>
        </w:rPr>
      </w:r>
      <w:r>
        <w:rPr/>
        <w:t>企业会议和企业直播。公司需要能够实现以新产品、新客户为代表的收入规模化。</w:t>
      </w:r>
    </w:p>
    <w:p>
      <w:pPr>
        <w:pStyle w:val="BodyText"/>
        <w:spacing w:line="319" w:lineRule="auto" w:before="71"/>
        <w:ind w:right="1043" w:firstLine="360"/>
        <w:jc w:val="both"/>
      </w:pPr>
      <w:r>
        <w:rPr>
          <w:spacing w:val="-4"/>
        </w:rPr>
        <w:t>③以客户导向为驱动力，全面持续优化服务，打造顾问式销售和专业的服务，一切以客户为中心，重塑客户驱动的文化。</w:t>
      </w:r>
      <w:r>
        <w:rPr/>
        <w:t> 在提升普遍服务的基础上，重点打造</w:t>
      </w:r>
      <w:r>
        <w:rPr>
          <w:spacing w:val="-46"/>
        </w:rPr>
        <w:t> </w:t>
      </w:r>
      <w:r>
        <w:rPr>
          <w:rFonts w:ascii="Times New Roman" w:hAnsi="Times New Roman" w:cs="Times New Roman" w:eastAsia="Times New Roman" w:hint="default"/>
        </w:rPr>
        <w:t>263 </w:t>
      </w:r>
      <w:r>
        <w:rPr/>
        <w:t>品牌服务团队，为高价值客户提供多方位的服务能力。</w:t>
      </w:r>
    </w:p>
    <w:p>
      <w:pPr>
        <w:pStyle w:val="BodyText"/>
        <w:spacing w:line="240" w:lineRule="auto" w:before="36"/>
        <w:ind w:right="0"/>
        <w:jc w:val="both"/>
      </w:pPr>
      <w:r>
        <w:rPr/>
        <w:t>（</w:t>
      </w:r>
      <w:r>
        <w:rPr>
          <w:rFonts w:ascii="Times New Roman" w:hAnsi="Times New Roman" w:cs="Times New Roman" w:eastAsia="Times New Roman" w:hint="default"/>
        </w:rPr>
        <w:t>2</w:t>
      </w:r>
      <w:r>
        <w:rPr/>
        <w:t>）国际通信业务</w:t>
      </w:r>
    </w:p>
    <w:p>
      <w:pPr>
        <w:pStyle w:val="BodyText"/>
        <w:spacing w:line="302" w:lineRule="auto" w:before="101"/>
        <w:ind w:right="1132" w:firstLine="360"/>
        <w:jc w:val="both"/>
      </w:pPr>
      <w:r>
        <w:rPr/>
        <w:t>①进一步放大与</w:t>
      </w:r>
      <w:r>
        <w:rPr>
          <w:spacing w:val="-37"/>
        </w:rPr>
        <w:t> </w:t>
      </w:r>
      <w:r>
        <w:rPr>
          <w:rFonts w:ascii="Times New Roman" w:hAnsi="Times New Roman" w:cs="Times New Roman" w:eastAsia="Times New Roman" w:hint="default"/>
        </w:rPr>
        <w:t>NTT</w:t>
      </w:r>
      <w:r>
        <w:rPr>
          <w:rFonts w:ascii="Times New Roman" w:hAnsi="Times New Roman" w:cs="Times New Roman" w:eastAsia="Times New Roman" w:hint="default"/>
          <w:spacing w:val="8"/>
        </w:rPr>
        <w:t> </w:t>
      </w:r>
      <w:r>
        <w:rPr/>
        <w:t>的合作，在</w:t>
      </w:r>
      <w:r>
        <w:rPr>
          <w:spacing w:val="-37"/>
        </w:rPr>
        <w:t> </w:t>
      </w:r>
      <w:r>
        <w:rPr>
          <w:rFonts w:ascii="Times New Roman" w:hAnsi="Times New Roman" w:cs="Times New Roman" w:eastAsia="Times New Roman" w:hint="default"/>
        </w:rPr>
        <w:t>IDC</w:t>
      </w:r>
      <w:r>
        <w:rPr>
          <w:rFonts w:ascii="Times New Roman" w:hAnsi="Times New Roman" w:cs="Times New Roman" w:eastAsia="Times New Roman" w:hint="default"/>
          <w:spacing w:val="7"/>
        </w:rPr>
        <w:t> </w:t>
      </w:r>
      <w:r>
        <w:rPr/>
        <w:t>及</w:t>
      </w:r>
      <w:r>
        <w:rPr>
          <w:spacing w:val="-37"/>
        </w:rPr>
        <w:t> </w:t>
      </w:r>
      <w:r>
        <w:rPr>
          <w:rFonts w:ascii="Times New Roman" w:hAnsi="Times New Roman" w:cs="Times New Roman" w:eastAsia="Times New Roman" w:hint="default"/>
        </w:rPr>
        <w:t>VPN</w:t>
      </w:r>
      <w:r>
        <w:rPr>
          <w:rFonts w:ascii="Times New Roman" w:hAnsi="Times New Roman" w:cs="Times New Roman" w:eastAsia="Times New Roman" w:hint="default"/>
          <w:spacing w:val="7"/>
        </w:rPr>
        <w:t> </w:t>
      </w:r>
      <w:r>
        <w:rPr/>
        <w:t>网络产品上拓展</w:t>
      </w:r>
      <w:r>
        <w:rPr>
          <w:spacing w:val="-37"/>
        </w:rPr>
        <w:t> </w:t>
      </w:r>
      <w:r>
        <w:rPr>
          <w:rFonts w:ascii="Times New Roman" w:hAnsi="Times New Roman" w:cs="Times New Roman" w:eastAsia="Times New Roman" w:hint="default"/>
        </w:rPr>
        <w:t>NTT</w:t>
      </w:r>
      <w:r>
        <w:rPr>
          <w:rFonts w:ascii="Times New Roman" w:hAnsi="Times New Roman" w:cs="Times New Roman" w:eastAsia="Times New Roman" w:hint="default"/>
          <w:spacing w:val="8"/>
        </w:rPr>
        <w:t> </w:t>
      </w:r>
      <w:r>
        <w:rPr/>
        <w:t>海外销售渠道，同时通过与</w:t>
      </w:r>
      <w:r>
        <w:rPr>
          <w:spacing w:val="-37"/>
        </w:rPr>
        <w:t> </w:t>
      </w:r>
      <w:r>
        <w:rPr>
          <w:rFonts w:ascii="Times New Roman" w:hAnsi="Times New Roman" w:cs="Times New Roman" w:eastAsia="Times New Roman" w:hint="default"/>
        </w:rPr>
        <w:t>NTT</w:t>
      </w:r>
      <w:r>
        <w:rPr>
          <w:rFonts w:ascii="Times New Roman" w:hAnsi="Times New Roman" w:cs="Times New Roman" w:eastAsia="Times New Roman" w:hint="default"/>
          <w:spacing w:val="7"/>
        </w:rPr>
        <w:t> </w:t>
      </w:r>
      <w:r>
        <w:rPr/>
        <w:t>的合作，进一步 提高产品及服务能力，确保提供符合高端客户品质要求的产品及服务。</w:t>
      </w:r>
    </w:p>
    <w:p>
      <w:pPr>
        <w:spacing w:after="0" w:line="302" w:lineRule="auto"/>
        <w:jc w:val="both"/>
        <w:sectPr>
          <w:pgSz w:w="11910" w:h="16840"/>
          <w:pgMar w:header="0"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028"/>
        <w:jc w:val="left"/>
      </w:pPr>
      <w:r>
        <w:rPr/>
        <w:t>②拓展国际跨境通信业务</w:t>
      </w:r>
      <w:r>
        <w:rPr>
          <w:spacing w:val="-52"/>
        </w:rPr>
        <w:t> </w:t>
      </w:r>
      <w:r>
        <w:rPr>
          <w:rFonts w:ascii="Times New Roman" w:hAnsi="Times New Roman" w:cs="Times New Roman" w:eastAsia="Times New Roman" w:hint="default"/>
        </w:rPr>
        <w:t>Inbound</w:t>
      </w:r>
      <w:r>
        <w:rPr>
          <w:rFonts w:ascii="Times New Roman" w:hAnsi="Times New Roman" w:cs="Times New Roman" w:eastAsia="Times New Roman" w:hint="default"/>
          <w:spacing w:val="-7"/>
        </w:rPr>
        <w:t> </w:t>
      </w:r>
      <w:r>
        <w:rPr>
          <w:spacing w:val="-4"/>
        </w:rPr>
        <w:t>合作渠道，加速</w:t>
      </w:r>
      <w:r>
        <w:rPr>
          <w:spacing w:val="-52"/>
        </w:rPr>
        <w:t> </w:t>
      </w:r>
      <w:r>
        <w:rPr>
          <w:rFonts w:ascii="Times New Roman" w:hAnsi="Times New Roman" w:cs="Times New Roman" w:eastAsia="Times New Roman" w:hint="default"/>
        </w:rPr>
        <w:t>Outbound</w:t>
      </w:r>
      <w:r>
        <w:rPr>
          <w:rFonts w:ascii="Times New Roman" w:hAnsi="Times New Roman" w:cs="Times New Roman" w:eastAsia="Times New Roman" w:hint="default"/>
          <w:spacing w:val="-7"/>
        </w:rPr>
        <w:t> </w:t>
      </w:r>
      <w:r>
        <w:rPr/>
        <w:t>业务的能力构建，实现重点国家及地区的国际业务能力的构建， 建立</w:t>
      </w:r>
      <w:r>
        <w:rPr>
          <w:spacing w:val="-46"/>
        </w:rPr>
        <w:t> </w:t>
      </w:r>
      <w:r>
        <w:rPr>
          <w:rFonts w:ascii="Times New Roman" w:hAnsi="Times New Roman" w:cs="Times New Roman" w:eastAsia="Times New Roman" w:hint="default"/>
        </w:rPr>
        <w:t>Outbound</w:t>
      </w:r>
      <w:r>
        <w:rPr>
          <w:rFonts w:ascii="Times New Roman" w:hAnsi="Times New Roman" w:cs="Times New Roman" w:eastAsia="Times New Roman" w:hint="default"/>
          <w:spacing w:val="1"/>
        </w:rPr>
        <w:t> </w:t>
      </w:r>
      <w:r>
        <w:rPr/>
        <w:t>业务“直销</w:t>
      </w:r>
      <w:r>
        <w:rPr>
          <w:rFonts w:ascii="Times New Roman" w:hAnsi="Times New Roman" w:cs="Times New Roman" w:eastAsia="Times New Roman" w:hint="default"/>
        </w:rPr>
        <w:t>+</w:t>
      </w:r>
      <w:r>
        <w:rPr/>
        <w:t>渠道”销售体系，打造服务于国内企业“走出去”的跨境及海外本地通信需求实现的能力。</w:t>
      </w:r>
    </w:p>
    <w:p>
      <w:pPr>
        <w:pStyle w:val="BodyText"/>
        <w:spacing w:line="240" w:lineRule="auto" w:before="50"/>
        <w:ind w:right="0"/>
        <w:jc w:val="both"/>
      </w:pPr>
      <w:r>
        <w:rPr/>
        <w:t>（</w:t>
      </w:r>
      <w:r>
        <w:rPr>
          <w:rFonts w:ascii="Times New Roman" w:hAnsi="Times New Roman" w:cs="Times New Roman" w:eastAsia="Times New Roman" w:hint="default"/>
        </w:rPr>
        <w:t>3</w:t>
      </w:r>
      <w:r>
        <w:rPr/>
        <w:t>）北美华人互联网综合服务</w:t>
      </w:r>
    </w:p>
    <w:p>
      <w:pPr>
        <w:pStyle w:val="BodyText"/>
        <w:spacing w:line="307" w:lineRule="auto" w:before="102"/>
        <w:ind w:right="1030" w:firstLine="360"/>
        <w:jc w:val="left"/>
      </w:pPr>
      <w:r>
        <w:rPr>
          <w:spacing w:val="-4"/>
        </w:rPr>
        <w:t>①中文电视将加大力度获取优质热门的华语电视节目，并加强市场宣传和用户互动，让</w:t>
      </w:r>
      <w:r>
        <w:rPr>
          <w:spacing w:val="-40"/>
        </w:rPr>
        <w:t> </w:t>
      </w:r>
      <w:r>
        <w:rPr>
          <w:rFonts w:ascii="Times New Roman" w:hAnsi="Times New Roman" w:cs="Times New Roman" w:eastAsia="Times New Roman" w:hint="default"/>
          <w:spacing w:val="-2"/>
        </w:rPr>
        <w:t>iTalkBB</w:t>
      </w:r>
      <w:r>
        <w:rPr>
          <w:rFonts w:ascii="Times New Roman" w:hAnsi="Times New Roman" w:cs="Times New Roman" w:eastAsia="Times New Roman" w:hint="default"/>
          <w:spacing w:val="4"/>
        </w:rPr>
        <w:t> </w:t>
      </w:r>
      <w:r>
        <w:rPr>
          <w:spacing w:val="-1"/>
        </w:rPr>
        <w:t>中文电视在北美市场上，</w:t>
      </w:r>
      <w:r>
        <w:rPr/>
        <w:t> 成为最受海外华人认可和喜爱的中文电视平台。此外，公司通过与</w:t>
      </w:r>
      <w:r>
        <w:rPr>
          <w:spacing w:val="-43"/>
        </w:rPr>
        <w:t> </w:t>
      </w:r>
      <w:r>
        <w:rPr>
          <w:rFonts w:ascii="Times New Roman" w:hAnsi="Times New Roman" w:cs="Times New Roman" w:eastAsia="Times New Roman" w:hint="default"/>
          <w:spacing w:val="-4"/>
        </w:rPr>
        <w:t>YouTube</w:t>
      </w:r>
      <w:r>
        <w:rPr>
          <w:rFonts w:ascii="Times New Roman" w:hAnsi="Times New Roman" w:cs="Times New Roman" w:eastAsia="Times New Roman" w:hint="default"/>
          <w:spacing w:val="2"/>
        </w:rPr>
        <w:t> </w:t>
      </w:r>
      <w:r>
        <w:rPr/>
        <w:t>的合作及自行开发</w:t>
      </w:r>
      <w:r>
        <w:rPr>
          <w:spacing w:val="-43"/>
        </w:rPr>
        <w:t> </w:t>
      </w:r>
      <w:r>
        <w:rPr>
          <w:rFonts w:ascii="Times New Roman" w:hAnsi="Times New Roman" w:cs="Times New Roman" w:eastAsia="Times New Roman" w:hint="default"/>
        </w:rPr>
        <w:t>APP</w:t>
      </w:r>
      <w:r>
        <w:rPr>
          <w:rFonts w:ascii="Times New Roman" w:hAnsi="Times New Roman" w:cs="Times New Roman" w:eastAsia="Times New Roman" w:hint="default"/>
          <w:spacing w:val="2"/>
        </w:rPr>
        <w:t> </w:t>
      </w:r>
      <w:r>
        <w:rPr/>
        <w:t>等实现多平台、多终端 </w:t>
      </w:r>
      <w:r>
        <w:rPr>
          <w:spacing w:val="-2"/>
        </w:rPr>
        <w:t>的视频播放。同时，公司还将尝试引入韩语内容、英文内容、纪录片、音频、本地节目等全新节目类型，以丰富用户观看体</w:t>
      </w:r>
      <w:r>
        <w:rPr>
          <w:spacing w:val="-72"/>
        </w:rPr>
        <w:t> </w:t>
      </w:r>
      <w:r>
        <w:rPr>
          <w:spacing w:val="-72"/>
        </w:rPr>
      </w:r>
      <w:r>
        <w:rPr/>
        <w:t>验，增加产品的海外优势和竞争力。</w:t>
      </w:r>
    </w:p>
    <w:p>
      <w:pPr>
        <w:pStyle w:val="BodyText"/>
        <w:spacing w:line="300" w:lineRule="auto" w:before="64"/>
        <w:ind w:right="1024" w:firstLine="360"/>
        <w:jc w:val="left"/>
      </w:pPr>
      <w:r>
        <w:rPr/>
        <w:t>②加拿大市场将全新推出手机</w:t>
      </w:r>
      <w:r>
        <w:rPr>
          <w:spacing w:val="-62"/>
        </w:rPr>
        <w:t> </w:t>
      </w:r>
      <w:r>
        <w:rPr>
          <w:rFonts w:ascii="Times New Roman" w:hAnsi="Times New Roman" w:cs="Times New Roman" w:eastAsia="Times New Roman" w:hint="default"/>
          <w:spacing w:val="-1"/>
          <w:w w:val="99"/>
        </w:rPr>
        <w:t>APP--Mobile</w:t>
      </w:r>
      <w:r>
        <w:rPr>
          <w:rFonts w:ascii="Times New Roman" w:hAnsi="Times New Roman" w:cs="Times New Roman" w:eastAsia="Times New Roman" w:hint="default"/>
          <w:spacing w:val="4"/>
          <w:w w:val="99"/>
        </w:rPr>
        <w:t> </w:t>
      </w:r>
      <w:r>
        <w:rPr>
          <w:rFonts w:ascii="Times New Roman" w:hAnsi="Times New Roman" w:cs="Times New Roman" w:eastAsia="Times New Roman" w:hint="default"/>
          <w:spacing w:val="-8"/>
          <w:w w:val="99"/>
        </w:rPr>
        <w:t>Plus</w:t>
      </w:r>
      <w:r>
        <w:rPr>
          <w:spacing w:val="-8"/>
          <w:w w:val="99"/>
        </w:rPr>
        <w:t>。加拿大用户在购买本地运营商数据包后，开通</w:t>
      </w:r>
      <w:r>
        <w:rPr>
          <w:spacing w:val="-62"/>
          <w:w w:val="99"/>
        </w:rPr>
        <w:t> </w:t>
      </w:r>
      <w:r>
        <w:rPr>
          <w:rFonts w:ascii="Times New Roman" w:hAnsi="Times New Roman" w:cs="Times New Roman" w:eastAsia="Times New Roman" w:hint="default"/>
        </w:rPr>
        <w:t>Mobile</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13"/>
          <w:w w:val="99"/>
        </w:rPr>
        <w:t>Plus</w:t>
      </w:r>
      <w:r>
        <w:rPr>
          <w:spacing w:val="-13"/>
          <w:w w:val="99"/>
        </w:rPr>
        <w:t>，利用</w:t>
      </w:r>
      <w:r>
        <w:rPr>
          <w:spacing w:val="-62"/>
          <w:w w:val="99"/>
        </w:rPr>
        <w:t> </w:t>
      </w:r>
      <w:r>
        <w:rPr>
          <w:rFonts w:ascii="Times New Roman" w:hAnsi="Times New Roman" w:cs="Times New Roman" w:eastAsia="Times New Roman" w:hint="default"/>
          <w:spacing w:val="-2"/>
        </w:rPr>
        <w:t>iTalkBB</w:t>
      </w:r>
      <w:r>
        <w:rPr>
          <w:rFonts w:ascii="Times New Roman" w:hAnsi="Times New Roman" w:cs="Times New Roman" w:eastAsia="Times New Roman" w:hint="default"/>
        </w:rPr>
        <w:t> </w:t>
      </w:r>
      <w:r>
        <w:rPr/>
        <w:t>提供的</w:t>
      </w:r>
      <w:r>
        <w:rPr>
          <w:spacing w:val="-46"/>
        </w:rPr>
        <w:t> </w:t>
      </w:r>
      <w:r>
        <w:rPr>
          <w:rFonts w:ascii="Times New Roman" w:hAnsi="Times New Roman" w:cs="Times New Roman" w:eastAsia="Times New Roman" w:hint="default"/>
        </w:rPr>
        <w:t>DID</w:t>
      </w:r>
      <w:r>
        <w:rPr>
          <w:rFonts w:ascii="Times New Roman" w:hAnsi="Times New Roman" w:cs="Times New Roman" w:eastAsia="Times New Roman" w:hint="default"/>
          <w:spacing w:val="-1"/>
        </w:rPr>
        <w:t> </w:t>
      </w:r>
      <w:r>
        <w:rPr>
          <w:spacing w:val="-5"/>
        </w:rPr>
        <w:t>号码，实现语音通话，短信收发等功能，组合成一款经济手机计划，组合后手机计划月费为市场同类产品的</w:t>
      </w:r>
      <w:r>
        <w:rPr>
          <w:spacing w:val="-45"/>
        </w:rPr>
        <w:t> </w:t>
      </w:r>
      <w:r>
        <w:rPr>
          <w:rFonts w:ascii="Times New Roman" w:hAnsi="Times New Roman" w:cs="Times New Roman" w:eastAsia="Times New Roman" w:hint="default"/>
        </w:rPr>
        <w:t>50%</w:t>
      </w:r>
      <w:r>
        <w:rPr/>
        <w:t>， 以迎合当地市场华人不同等级的消费习惯，为加拿大华人提供更经济便利的移动通信解决方案。</w:t>
      </w:r>
    </w:p>
    <w:p>
      <w:pPr>
        <w:pStyle w:val="BodyText"/>
        <w:spacing w:line="240" w:lineRule="auto" w:before="70"/>
        <w:ind w:left="514" w:right="0"/>
        <w:jc w:val="left"/>
        <w:rPr>
          <w:rFonts w:ascii="Times New Roman" w:hAnsi="Times New Roman" w:cs="Times New Roman" w:eastAsia="Times New Roman" w:hint="default"/>
        </w:rPr>
      </w:pPr>
      <w:r>
        <w:rPr/>
        <w:t>③在进一步开发</w:t>
      </w:r>
      <w:r>
        <w:rPr>
          <w:spacing w:val="-44"/>
        </w:rPr>
        <w:t> </w:t>
      </w:r>
      <w:r>
        <w:rPr>
          <w:rFonts w:ascii="Times New Roman" w:hAnsi="Times New Roman" w:cs="Times New Roman" w:eastAsia="Times New Roman" w:hint="default"/>
          <w:spacing w:val="-3"/>
        </w:rPr>
        <w:t>iTalkBB</w:t>
      </w:r>
      <w:r>
        <w:rPr>
          <w:rFonts w:ascii="Times New Roman" w:hAnsi="Times New Roman" w:cs="Times New Roman" w:eastAsia="Times New Roman" w:hint="default"/>
        </w:rPr>
        <w:t> </w:t>
      </w:r>
      <w:r>
        <w:rPr/>
        <w:t>北美市场家庭电话的利润空间，进一步增加</w:t>
      </w:r>
      <w:r>
        <w:rPr>
          <w:spacing w:val="-44"/>
        </w:rPr>
        <w:t> </w:t>
      </w:r>
      <w:r>
        <w:rPr>
          <w:rFonts w:ascii="Times New Roman" w:hAnsi="Times New Roman" w:cs="Times New Roman" w:eastAsia="Times New Roman" w:hint="default"/>
        </w:rPr>
        <w:t>iTalkBB </w:t>
      </w:r>
      <w:r>
        <w:rPr/>
        <w:t>中文电视用户规模，大规模扩大</w:t>
      </w:r>
      <w:r>
        <w:rPr>
          <w:spacing w:val="-44"/>
        </w:rPr>
        <w:t> </w:t>
      </w:r>
      <w:r>
        <w:rPr>
          <w:rFonts w:ascii="Times New Roman" w:hAnsi="Times New Roman" w:cs="Times New Roman" w:eastAsia="Times New Roman" w:hint="default"/>
        </w:rPr>
        <w:t>iTalkBB</w:t>
      </w:r>
    </w:p>
    <w:p>
      <w:pPr>
        <w:pStyle w:val="BodyText"/>
        <w:spacing w:line="240" w:lineRule="auto" w:before="64"/>
        <w:ind w:right="0"/>
        <w:jc w:val="both"/>
      </w:pPr>
      <w:r>
        <w:rPr/>
        <w:t>美国手机业务的基础上，推出</w:t>
      </w:r>
      <w:r>
        <w:rPr>
          <w:spacing w:val="-53"/>
        </w:rPr>
        <w:t> </w:t>
      </w:r>
      <w:r>
        <w:rPr>
          <w:rFonts w:ascii="Times New Roman" w:hAnsi="Times New Roman" w:cs="Times New Roman" w:eastAsia="Times New Roman" w:hint="default"/>
        </w:rPr>
        <w:t>iTalkBB</w:t>
      </w:r>
      <w:r>
        <w:rPr>
          <w:rFonts w:ascii="Times New Roman" w:hAnsi="Times New Roman" w:cs="Times New Roman" w:eastAsia="Times New Roman" w:hint="default"/>
          <w:spacing w:val="-8"/>
        </w:rPr>
        <w:t> </w:t>
      </w:r>
      <w:r>
        <w:rPr/>
        <w:t>家庭安防产品，为</w:t>
      </w:r>
      <w:r>
        <w:rPr>
          <w:spacing w:val="-53"/>
        </w:rPr>
        <w:t> </w:t>
      </w:r>
      <w:r>
        <w:rPr>
          <w:rFonts w:ascii="Times New Roman" w:hAnsi="Times New Roman" w:cs="Times New Roman" w:eastAsia="Times New Roman" w:hint="default"/>
        </w:rPr>
        <w:t>iTalkBB</w:t>
      </w:r>
      <w:r>
        <w:rPr>
          <w:rFonts w:ascii="Times New Roman" w:hAnsi="Times New Roman" w:cs="Times New Roman" w:eastAsia="Times New Roman" w:hint="default"/>
          <w:spacing w:val="-8"/>
        </w:rPr>
        <w:t> </w:t>
      </w:r>
      <w:r>
        <w:rPr/>
        <w:t>扩大新产品线和增加新的市场方向。</w:t>
      </w:r>
    </w:p>
    <w:p>
      <w:pPr>
        <w:pStyle w:val="BodyText"/>
        <w:spacing w:line="240" w:lineRule="auto" w:before="103"/>
        <w:ind w:right="0"/>
        <w:jc w:val="both"/>
      </w:pPr>
      <w:r>
        <w:rPr>
          <w:rFonts w:ascii="Times New Roman" w:hAnsi="Times New Roman" w:cs="Times New Roman" w:eastAsia="Times New Roman" w:hint="default"/>
        </w:rPr>
        <w:t>4</w:t>
      </w:r>
      <w:r>
        <w:rPr/>
        <w:t>、风险及应对</w:t>
      </w:r>
    </w:p>
    <w:p>
      <w:pPr>
        <w:pStyle w:val="BodyText"/>
        <w:spacing w:line="324" w:lineRule="auto" w:before="102"/>
        <w:ind w:right="0" w:firstLine="360"/>
        <w:jc w:val="left"/>
      </w:pPr>
      <w:r>
        <w:rPr/>
        <w:t>（</w:t>
      </w:r>
      <w:r>
        <w:rPr>
          <w:rFonts w:ascii="Times New Roman" w:hAnsi="Times New Roman" w:cs="Times New Roman" w:eastAsia="Times New Roman" w:hint="default"/>
        </w:rPr>
        <w:t>1</w:t>
      </w:r>
      <w:r>
        <w:rPr/>
        <w:t>）技术发展带来的技术革新风险 </w:t>
      </w:r>
      <w:r>
        <w:rPr>
          <w:spacing w:val="-2"/>
        </w:rPr>
        <w:t>通信技术、信息技术的快速发展，带来用户需求的快速变化，通信行业新技术、新产品、新模式、新服务不断涌现，如果公</w:t>
      </w:r>
      <w:r>
        <w:rPr>
          <w:spacing w:val="-72"/>
        </w:rPr>
        <w:t> </w:t>
      </w:r>
      <w:r>
        <w:rPr>
          <w:spacing w:val="-72"/>
        </w:rPr>
      </w:r>
      <w:r>
        <w:rPr>
          <w:spacing w:val="-2"/>
        </w:rPr>
        <w:t>司不能跟随信息通信技术的革新、适应市场需求的变化，优化、提升、丰富公司的产品和服务，将会使公司在竞争中处于不</w:t>
      </w:r>
      <w:r>
        <w:rPr>
          <w:spacing w:val="-66"/>
        </w:rPr>
        <w:t> </w:t>
      </w:r>
      <w:r>
        <w:rPr>
          <w:spacing w:val="-66"/>
        </w:rPr>
      </w:r>
      <w:r>
        <w:rPr>
          <w:spacing w:val="-4"/>
        </w:rPr>
        <w:t>利地位。公司将立足企业通信市场、华人跨境通信市场以及其他潜在市场，紧密关注信息通信技术变化引致的用户需求变化，</w:t>
      </w:r>
      <w:r>
        <w:rPr>
          <w:spacing w:val="-44"/>
        </w:rPr>
        <w:t> </w:t>
      </w:r>
      <w:r>
        <w:rPr>
          <w:spacing w:val="-44"/>
        </w:rPr>
      </w:r>
      <w:r>
        <w:rPr/>
        <w:t>不断推出新的通信服务产品，满足企业、个人的通信需求，促进公司业务成长。</w:t>
      </w:r>
    </w:p>
    <w:p>
      <w:pPr>
        <w:pStyle w:val="BodyText"/>
        <w:spacing w:line="321" w:lineRule="auto" w:before="54"/>
        <w:ind w:right="0" w:firstLine="360"/>
        <w:jc w:val="left"/>
      </w:pPr>
      <w:r>
        <w:rPr/>
        <w:t>（</w:t>
      </w:r>
      <w:r>
        <w:rPr>
          <w:rFonts w:ascii="Times New Roman" w:hAnsi="Times New Roman" w:cs="Times New Roman" w:eastAsia="Times New Roman" w:hint="default"/>
        </w:rPr>
        <w:t>2</w:t>
      </w:r>
      <w:r>
        <w:rPr/>
        <w:t>）集团化经营下的管理控制风险 </w:t>
      </w:r>
      <w:r>
        <w:rPr>
          <w:spacing w:val="-2"/>
        </w:rPr>
        <w:t>公司已经发展为一家跨国经营的集团化企业，集团总部和三大事业部（企业通信、国际通信和海外个人通信）的架构已经形</w:t>
      </w:r>
      <w:r>
        <w:rPr>
          <w:spacing w:val="-66"/>
        </w:rPr>
        <w:t> </w:t>
      </w:r>
      <w:r>
        <w:rPr>
          <w:spacing w:val="-66"/>
        </w:rPr>
      </w:r>
      <w:r>
        <w:rPr>
          <w:spacing w:val="-2"/>
        </w:rPr>
        <w:t>成，经营地域覆盖中国、美国、加拿大、澳大利亚、新加坡、香港等国家或地区，业务种类繁多且仍在不断增加，公司规模</w:t>
      </w:r>
      <w:r>
        <w:rPr>
          <w:spacing w:val="-67"/>
        </w:rPr>
        <w:t> </w:t>
      </w:r>
      <w:r>
        <w:rPr>
          <w:spacing w:val="-67"/>
        </w:rPr>
      </w:r>
      <w:r>
        <w:rPr>
          <w:spacing w:val="-2"/>
        </w:rPr>
        <w:t>迅速扩张和跨国集团化经营对公司的管理能力提出了更高的要求，公司的管理控制水平将可能影响公司的整体运营效率和业</w:t>
      </w:r>
      <w:r>
        <w:rPr>
          <w:spacing w:val="-64"/>
        </w:rPr>
        <w:t> </w:t>
      </w:r>
      <w:r>
        <w:rPr>
          <w:spacing w:val="-64"/>
        </w:rPr>
      </w:r>
      <w:r>
        <w:rPr>
          <w:spacing w:val="-2"/>
        </w:rPr>
        <w:t>务持续发展。今年公司将继续强化和改善绩效考核管理，将管理层、员工个人利益与公司业绩成长紧密捆绑，激发管理层和</w:t>
      </w:r>
      <w:r>
        <w:rPr>
          <w:spacing w:val="-66"/>
        </w:rPr>
        <w:t> </w:t>
      </w:r>
      <w:r>
        <w:rPr>
          <w:spacing w:val="-66"/>
        </w:rPr>
      </w:r>
      <w:r>
        <w:rPr/>
        <w:t>员工工作热情，提升公司整体运作效率，促进公司业务持续成长。</w:t>
      </w:r>
    </w:p>
    <w:p>
      <w:pPr>
        <w:pStyle w:val="BodyText"/>
        <w:spacing w:line="324" w:lineRule="auto" w:before="55"/>
        <w:ind w:right="1118" w:firstLine="360"/>
        <w:jc w:val="left"/>
      </w:pPr>
      <w:r>
        <w:rPr/>
        <w:t>（</w:t>
      </w:r>
      <w:r>
        <w:rPr>
          <w:rFonts w:ascii="Times New Roman" w:hAnsi="Times New Roman" w:cs="Times New Roman" w:eastAsia="Times New Roman" w:hint="default"/>
        </w:rPr>
        <w:t>3</w:t>
      </w:r>
      <w:r>
        <w:rPr/>
        <w:t>）募投项目实施风险 </w:t>
      </w:r>
      <w:r>
        <w:rPr>
          <w:spacing w:val="-2"/>
        </w:rPr>
        <w:t>公司在确定投资本次各募集资金投资项目之前对项目必要性和可行性已经进行了充分论证，但相关结论均是基于当时的市场</w:t>
      </w:r>
      <w:r>
        <w:rPr>
          <w:spacing w:val="-64"/>
        </w:rPr>
        <w:t> </w:t>
      </w:r>
      <w:r>
        <w:rPr>
          <w:spacing w:val="-64"/>
        </w:rPr>
      </w:r>
      <w:r>
        <w:rPr>
          <w:spacing w:val="-2"/>
        </w:rPr>
        <w:t>环境、竞争状况、技术发展状况等条件做出的。由于通信市场技术革新等因素的影响，市场情况具有较大不确定性，项目存</w:t>
      </w:r>
      <w:r>
        <w:rPr>
          <w:spacing w:val="-66"/>
        </w:rPr>
        <w:t> </w:t>
      </w:r>
      <w:r>
        <w:rPr>
          <w:spacing w:val="-66"/>
        </w:rPr>
      </w:r>
      <w:r>
        <w:rPr>
          <w:spacing w:val="-2"/>
        </w:rPr>
        <w:t>在不能达到预期的收入和利润目标的风险。公司将密切关注市场变化，积极组织和调配公司资源，大力推进募集资金投资项</w:t>
      </w:r>
      <w:r>
        <w:rPr>
          <w:spacing w:val="-66"/>
        </w:rPr>
        <w:t> </w:t>
      </w:r>
      <w:r>
        <w:rPr>
          <w:spacing w:val="-66"/>
        </w:rPr>
      </w:r>
      <w:r>
        <w:rPr/>
        <w:t>目的开展。</w:t>
      </w:r>
    </w:p>
    <w:p>
      <w:pPr>
        <w:pStyle w:val="BodyText"/>
        <w:spacing w:line="324" w:lineRule="auto" w:before="53"/>
        <w:ind w:right="1118" w:firstLine="360"/>
        <w:jc w:val="left"/>
      </w:pPr>
      <w:r>
        <w:rPr/>
        <w:t>（</w:t>
      </w:r>
      <w:r>
        <w:rPr>
          <w:rFonts w:ascii="Times New Roman" w:hAnsi="Times New Roman" w:cs="Times New Roman" w:eastAsia="Times New Roman" w:hint="default"/>
        </w:rPr>
        <w:t>4</w:t>
      </w:r>
      <w:r>
        <w:rPr/>
        <w:t>）汇率变动风险 </w:t>
      </w:r>
      <w:r>
        <w:rPr>
          <w:spacing w:val="-2"/>
        </w:rPr>
        <w:t>公司海外业务收入占公司整体收入比重较大，公司有美元、加币、澳元等外币结算的收入和各项开支，各币种之间汇率的大</w:t>
      </w:r>
      <w:r>
        <w:rPr>
          <w:spacing w:val="-66"/>
        </w:rPr>
        <w:t> </w:t>
      </w:r>
      <w:r>
        <w:rPr>
          <w:spacing w:val="-66"/>
        </w:rPr>
      </w:r>
      <w:r>
        <w:rPr>
          <w:spacing w:val="-2"/>
        </w:rPr>
        <w:t>幅波动有可能对公司经营业绩造成影响。公司将密切关注相关币种的汇率波动，采取可能的措施规避汇率波动造成的不利影</w:t>
      </w:r>
      <w:r>
        <w:rPr>
          <w:spacing w:val="-64"/>
        </w:rPr>
        <w:t> </w:t>
      </w:r>
      <w:r>
        <w:rPr>
          <w:spacing w:val="-64"/>
        </w:rPr>
      </w:r>
      <w:r>
        <w:rPr/>
        <w:t>响。</w:t>
      </w:r>
    </w:p>
    <w:p>
      <w:pPr>
        <w:pStyle w:val="BodyText"/>
        <w:spacing w:line="240" w:lineRule="auto" w:before="54"/>
        <w:ind w:left="514" w:right="0"/>
        <w:jc w:val="left"/>
      </w:pPr>
      <w:r>
        <w:rPr/>
        <w:t>（</w:t>
      </w:r>
      <w:r>
        <w:rPr>
          <w:rFonts w:ascii="Times New Roman" w:hAnsi="Times New Roman" w:cs="Times New Roman" w:eastAsia="Times New Roman" w:hint="default"/>
        </w:rPr>
        <w:t>5</w:t>
      </w:r>
      <w:r>
        <w:rPr/>
        <w:t>）商誉减值风险</w:t>
      </w:r>
    </w:p>
    <w:p>
      <w:pPr>
        <w:pStyle w:val="BodyText"/>
        <w:spacing w:line="309" w:lineRule="auto" w:before="101"/>
        <w:ind w:right="1132"/>
        <w:jc w:val="both"/>
      </w:pPr>
      <w:r>
        <w:rPr/>
        <w:t>截至报告期末，公司商誉账面原值扣除累计减值准备后的净值为人民币 </w:t>
      </w:r>
      <w:r>
        <w:rPr>
          <w:rFonts w:ascii="Times New Roman" w:hAnsi="Times New Roman" w:cs="Times New Roman" w:eastAsia="Times New Roman" w:hint="default"/>
        </w:rPr>
        <w:t>110,595.07</w:t>
      </w:r>
      <w:r>
        <w:rPr>
          <w:rFonts w:ascii="Times New Roman" w:hAnsi="Times New Roman" w:cs="Times New Roman" w:eastAsia="Times New Roman" w:hint="default"/>
          <w:spacing w:val="2"/>
        </w:rPr>
        <w:t> </w:t>
      </w:r>
      <w:r>
        <w:rPr/>
        <w:t>万元，对财务报表整体具有重要性。由 </w:t>
      </w:r>
      <w:r>
        <w:rPr>
          <w:spacing w:val="-2"/>
        </w:rPr>
        <w:t>于公司所在通信行业属于高速发展、不断变化的行业，业务发展的不确定性可能引发减值的风险。公司除紧密关注信息通信</w:t>
      </w:r>
      <w:r>
        <w:rPr>
          <w:spacing w:val="-65"/>
        </w:rPr>
        <w:t> </w:t>
      </w:r>
      <w:r>
        <w:rPr>
          <w:spacing w:val="-65"/>
        </w:rPr>
      </w:r>
      <w:r>
        <w:rPr/>
        <w:t>技术变化及市场变化外，每年年末及时进行商誉减值测试，如有减值迹象则及时进行预报。</w:t>
      </w:r>
    </w:p>
    <w:p>
      <w:pPr>
        <w:spacing w:line="240" w:lineRule="auto" w:before="0"/>
        <w:rPr>
          <w:rFonts w:ascii="宋体" w:hAnsi="宋体" w:cs="宋体" w:eastAsia="宋体" w:hint="default"/>
          <w:sz w:val="21"/>
          <w:szCs w:val="21"/>
        </w:rPr>
      </w:pPr>
    </w:p>
    <w:p>
      <w:pPr>
        <w:pStyle w:val="Heading2"/>
        <w:spacing w:line="240" w:lineRule="auto"/>
        <w:ind w:right="0"/>
        <w:jc w:val="both"/>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深交所互动易投资者关系</w:t>
            </w:r>
            <w:r>
              <w:rPr>
                <w:rFonts w:ascii="Times New Roman" w:hAnsi="Times New Roman" w:cs="Times New Roman" w:eastAsia="Times New Roman" w:hint="default"/>
                <w:sz w:val="18"/>
                <w:szCs w:val="18"/>
              </w:rPr>
              <w:t>"</w:t>
            </w:r>
            <w:r>
              <w:rPr>
                <w:rFonts w:ascii="宋体" w:hAnsi="宋体" w:cs="宋体" w:eastAsia="宋体" w:hint="default"/>
                <w:sz w:val="18"/>
                <w:szCs w:val="18"/>
              </w:rPr>
              <w:t>二六三：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日投资者关系活动记录 表</w:t>
            </w:r>
            <w:r>
              <w:rPr>
                <w:rFonts w:ascii="Times New Roman" w:hAnsi="Times New Roman" w:cs="Times New Roman" w:eastAsia="Times New Roman" w:hint="default"/>
                <w:sz w:val="18"/>
                <w:szCs w:val="18"/>
              </w:rPr>
              <w:t>"</w:t>
            </w:r>
          </w:p>
        </w:tc>
      </w:tr>
    </w:tbl>
    <w:p>
      <w:pPr>
        <w:spacing w:after="0" w:line="300" w:lineRule="auto"/>
        <w:jc w:val="lef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3583"/>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pStyle w:val="BodyText"/>
        <w:spacing w:line="316" w:lineRule="auto"/>
        <w:ind w:right="1031"/>
        <w:jc w:val="left"/>
      </w:pPr>
      <w:r>
        <w:rPr/>
        <w:t>经德勤华永会计师事务所</w:t>
      </w:r>
      <w:r>
        <w:rPr>
          <w:rFonts w:ascii="宋体" w:hAnsi="宋体" w:cs="宋体" w:eastAsia="宋体" w:hint="default"/>
        </w:rPr>
        <w:t>(</w:t>
      </w:r>
      <w:r>
        <w:rPr/>
        <w:t>特殊普通合伙</w:t>
      </w:r>
      <w:r>
        <w:rPr>
          <w:rFonts w:ascii="宋体" w:hAnsi="宋体" w:cs="宋体" w:eastAsia="宋体" w:hint="default"/>
        </w:rPr>
        <w:t>)</w:t>
      </w:r>
      <w:r>
        <w:rPr/>
        <w:t>审计，公司</w:t>
      </w:r>
      <w:r>
        <w:rPr>
          <w:rFonts w:ascii="宋体" w:hAnsi="宋体" w:cs="宋体" w:eastAsia="宋体" w:hint="default"/>
        </w:rPr>
        <w:t>2018</w:t>
      </w:r>
      <w:r>
        <w:rPr/>
        <w:t>年度归属于上市公司股东的净利润为</w:t>
      </w:r>
      <w:r>
        <w:rPr>
          <w:rFonts w:ascii="宋体" w:hAnsi="宋体" w:cs="宋体" w:eastAsia="宋体" w:hint="default"/>
        </w:rPr>
        <w:t>86,042,223.02</w:t>
      </w:r>
      <w:r>
        <w:rPr/>
        <w:t>元，截止</w:t>
      </w:r>
      <w:r>
        <w:rPr>
          <w:rFonts w:ascii="宋体" w:hAnsi="宋体" w:cs="宋体" w:eastAsia="宋体" w:hint="default"/>
        </w:rPr>
        <w:t>2018 </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w:t>
      </w:r>
      <w:r>
        <w:rPr/>
        <w:t>公司母公司未分配利润为</w:t>
      </w:r>
      <w:r>
        <w:rPr>
          <w:rFonts w:ascii="宋体" w:hAnsi="宋体" w:cs="宋体" w:eastAsia="宋体" w:hint="default"/>
        </w:rPr>
        <w:t>91,228,769.17</w:t>
      </w:r>
      <w:r>
        <w:rPr/>
        <w:t>元，资本公积余额</w:t>
      </w:r>
      <w:r>
        <w:rPr>
          <w:spacing w:val="1"/>
        </w:rPr>
        <w:t> </w:t>
      </w:r>
      <w:r>
        <w:rPr>
          <w:rFonts w:ascii="宋体" w:hAnsi="宋体" w:cs="宋体" w:eastAsia="宋体" w:hint="default"/>
          <w:spacing w:val="-3"/>
        </w:rPr>
        <w:t>872,278,990.98</w:t>
      </w:r>
      <w:r>
        <w:rPr>
          <w:spacing w:val="-3"/>
        </w:rPr>
        <w:t>元。依据《公司法》、《公司章程》</w:t>
      </w:r>
      <w:r>
        <w:rPr/>
        <w:t> 的规定，</w:t>
      </w:r>
      <w:r>
        <w:rPr>
          <w:rFonts w:ascii="宋体" w:hAnsi="宋体" w:cs="宋体" w:eastAsia="宋体" w:hint="default"/>
        </w:rPr>
        <w:t>2018</w:t>
      </w:r>
      <w:r>
        <w:rPr/>
        <w:t>年利润分配及资本公积转增股本方案：以公司截止到</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日的总股本</w:t>
      </w:r>
      <w:r>
        <w:rPr>
          <w:rFonts w:ascii="宋体" w:hAnsi="宋体" w:cs="宋体" w:eastAsia="宋体" w:hint="default"/>
        </w:rPr>
        <w:t>794,980,220</w:t>
      </w:r>
      <w:r>
        <w:rPr/>
        <w:t>股为基数，向全体 股东每</w:t>
      </w:r>
      <w:r>
        <w:rPr>
          <w:rFonts w:ascii="宋体" w:hAnsi="宋体" w:cs="宋体" w:eastAsia="宋体" w:hint="default"/>
        </w:rPr>
        <w:t>10</w:t>
      </w:r>
      <w:r>
        <w:rPr/>
        <w:t>股派发现金红利</w:t>
      </w:r>
      <w:r>
        <w:rPr>
          <w:rFonts w:ascii="宋体" w:hAnsi="宋体" w:cs="宋体" w:eastAsia="宋体" w:hint="default"/>
        </w:rPr>
        <w:t>1.00</w:t>
      </w:r>
      <w:r>
        <w:rPr/>
        <w:t>元人民币（含税），合计派发现金红利总额为</w:t>
      </w:r>
      <w:r>
        <w:rPr>
          <w:rFonts w:ascii="宋体" w:hAnsi="宋体" w:cs="宋体" w:eastAsia="宋体" w:hint="default"/>
        </w:rPr>
        <w:t>79,498,022</w:t>
      </w:r>
      <w:r>
        <w:rPr/>
        <w:t>元</w:t>
      </w:r>
      <w:r>
        <w:rPr>
          <w:rFonts w:ascii="宋体" w:hAnsi="宋体" w:cs="宋体" w:eastAsia="宋体" w:hint="default"/>
        </w:rPr>
        <w:t>,</w:t>
      </w:r>
      <w:r>
        <w:rPr>
          <w:rFonts w:ascii="宋体" w:hAnsi="宋体" w:cs="宋体" w:eastAsia="宋体" w:hint="default"/>
          <w:spacing w:val="-19"/>
        </w:rPr>
        <w:t> </w:t>
      </w:r>
      <w:r>
        <w:rPr>
          <w:spacing w:val="-3"/>
        </w:rPr>
        <w:t>送红股</w:t>
      </w:r>
      <w:r>
        <w:rPr>
          <w:rFonts w:ascii="宋体" w:hAnsi="宋体" w:cs="宋体" w:eastAsia="宋体" w:hint="default"/>
          <w:spacing w:val="-3"/>
        </w:rPr>
        <w:t>0</w:t>
      </w:r>
      <w:r>
        <w:rPr>
          <w:spacing w:val="-3"/>
        </w:rPr>
        <w:t>股（含税）</w:t>
      </w:r>
      <w:r>
        <w:rPr>
          <w:rFonts w:ascii="宋体" w:hAnsi="宋体" w:cs="宋体" w:eastAsia="宋体" w:hint="default"/>
          <w:spacing w:val="-3"/>
        </w:rPr>
        <w:t>,</w:t>
      </w:r>
      <w:r>
        <w:rPr>
          <w:spacing w:val="-3"/>
        </w:rPr>
        <w:t>以资本公积</w:t>
      </w:r>
      <w:r>
        <w:rPr/>
        <w:t> 向全体股东每</w:t>
      </w:r>
      <w:r>
        <w:rPr>
          <w:rFonts w:ascii="宋体" w:hAnsi="宋体" w:cs="宋体" w:eastAsia="宋体" w:hint="default"/>
        </w:rPr>
        <w:t>10 </w:t>
      </w:r>
      <w:r>
        <w:rPr/>
        <w:t>股转增</w:t>
      </w:r>
      <w:r>
        <w:rPr>
          <w:rFonts w:ascii="宋体" w:hAnsi="宋体" w:cs="宋体" w:eastAsia="宋体" w:hint="default"/>
        </w:rPr>
        <w:t>7</w:t>
      </w:r>
      <w:r>
        <w:rPr/>
        <w:t>股</w:t>
      </w:r>
      <w:r>
        <w:rPr>
          <w:rFonts w:ascii="宋体" w:hAnsi="宋体" w:cs="宋体" w:eastAsia="宋体" w:hint="default"/>
        </w:rPr>
        <w:t>, </w:t>
      </w:r>
      <w:r>
        <w:rPr>
          <w:spacing w:val="-2"/>
        </w:rPr>
        <w:t>剩余未分配利润结转下一年度。自董事会审议利润分配预案后至实施利润分配方案的股权登记</w:t>
      </w:r>
      <w:r>
        <w:rPr/>
        <w:t> </w:t>
      </w:r>
      <w:r>
        <w:rPr>
          <w:spacing w:val="-2"/>
        </w:rPr>
        <w:t>日期间，若公司总股本因限制性股票激励计划和股票期权激励计划发生变动的，依照未来实施分配方案时股权登记日的总股</w:t>
      </w:r>
      <w:r>
        <w:rPr>
          <w:spacing w:val="-64"/>
        </w:rPr>
        <w:t> </w:t>
      </w:r>
      <w:r>
        <w:rPr>
          <w:spacing w:val="-64"/>
        </w:rPr>
      </w:r>
      <w:r>
        <w:rPr/>
        <w:t>本为基数实施，并保持上述分配比例不变对总额进行调整。</w:t>
      </w:r>
    </w:p>
    <w:p>
      <w:pPr>
        <w:spacing w:line="240" w:lineRule="auto" w:before="7"/>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314" w:lineRule="auto" w:before="51"/>
        <w:ind w:right="2747"/>
        <w:jc w:val="left"/>
      </w:pPr>
      <w:r>
        <w:rPr/>
        <w:t>公司近</w:t>
      </w:r>
      <w:r>
        <w:rPr>
          <w:spacing w:val="-31"/>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spacing w:val="-3"/>
        </w:rPr>
        <w:t>年（包括本报告期）的普通股股利分配方案（预案）、资本公积金转增股本方案（预案）情况</w:t>
      </w:r>
      <w:r>
        <w:rPr>
          <w:spacing w:val="-88"/>
        </w:rPr>
        <w:t> </w:t>
      </w:r>
      <w:r>
        <w:rPr>
          <w:spacing w:val="-88"/>
        </w:rPr>
      </w:r>
      <w:r>
        <w:rPr>
          <w:rFonts w:ascii="Times New Roman" w:hAnsi="Times New Roman" w:cs="Times New Roman" w:eastAsia="Times New Roman" w:hint="default"/>
        </w:rPr>
        <w:t>1.2016</w:t>
      </w:r>
      <w:r>
        <w:rPr/>
        <w:t>年利润分配及资本公积转增股本方案： 公司本年度不派发现金红利，不送红股，不以公积金转增股本。 </w:t>
      </w:r>
      <w:r>
        <w:rPr>
          <w:rFonts w:ascii="Times New Roman" w:hAnsi="Times New Roman" w:cs="Times New Roman" w:eastAsia="Times New Roman" w:hint="default"/>
        </w:rPr>
        <w:t>2.2017</w:t>
      </w:r>
      <w:r>
        <w:rPr/>
        <w:t>年利润分配及资本公积转增股本方案： 公司本年度不派发现金红利，不送红股，不以公积金转增股本。 </w:t>
      </w:r>
      <w:r>
        <w:rPr>
          <w:rFonts w:ascii="Times New Roman" w:hAnsi="Times New Roman" w:cs="Times New Roman" w:eastAsia="Times New Roman" w:hint="default"/>
        </w:rPr>
        <w:t>3.2018</w:t>
      </w:r>
      <w:r>
        <w:rPr/>
        <w:t>年利润分配及资本公积转增股本方案：</w:t>
      </w:r>
    </w:p>
    <w:p>
      <w:pPr>
        <w:pStyle w:val="BodyText"/>
        <w:spacing w:line="307" w:lineRule="auto" w:before="1"/>
        <w:ind w:right="1032"/>
        <w:jc w:val="left"/>
      </w:pPr>
      <w:r>
        <w:rPr/>
        <w:t>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日的公司总股本</w:t>
      </w:r>
      <w:r>
        <w:rPr>
          <w:rFonts w:ascii="Times New Roman" w:hAnsi="Times New Roman" w:cs="Times New Roman" w:eastAsia="Times New Roman" w:hint="default"/>
        </w:rPr>
        <w:t>794,980,220</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w:t>
      </w:r>
      <w:r>
        <w:rPr/>
        <w:t>元（含税），送红股</w:t>
      </w:r>
      <w:r>
        <w:rPr>
          <w:rFonts w:ascii="Times New Roman" w:hAnsi="Times New Roman" w:cs="Times New Roman" w:eastAsia="Times New Roman" w:hint="default"/>
        </w:rPr>
        <w:t>0</w:t>
      </w:r>
      <w:r>
        <w:rPr/>
        <w:t>股（含税）， 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股。自董事会审议利润分配预案后至实施利润分配方案的股权登记日期间，若公司总股 </w:t>
      </w:r>
      <w:r>
        <w:rPr>
          <w:spacing w:val="-2"/>
        </w:rPr>
        <w:t>本因限制性股票激励计划和股票期权激励计划发生变动的，依照未来实施分配方案时股权登记日的总股本为基数实施，并保</w:t>
      </w:r>
      <w:r>
        <w:rPr>
          <w:spacing w:val="-64"/>
        </w:rPr>
        <w:t> </w:t>
      </w:r>
      <w:r>
        <w:rPr>
          <w:spacing w:val="-64"/>
        </w:rPr>
      </w:r>
      <w:r>
        <w:rPr/>
        <w:t>持上述分配比例不变对总额进行调整。</w:t>
      </w:r>
    </w:p>
    <w:p>
      <w:pPr>
        <w:spacing w:after="0" w:line="307" w:lineRule="auto"/>
        <w:jc w:val="left"/>
        <w:sectPr>
          <w:pgSz w:w="11910" w:h="16840"/>
          <w:pgMar w:header="0" w:footer="979" w:top="1060" w:bottom="1160" w:left="980" w:right="0"/>
        </w:sectPr>
      </w:pPr>
    </w:p>
    <w:p>
      <w:pPr>
        <w:spacing w:line="240" w:lineRule="auto" w:before="0"/>
        <w:rPr>
          <w:rFonts w:ascii="宋体" w:hAnsi="宋体" w:cs="宋体" w:eastAsia="宋体" w:hint="default"/>
          <w:sz w:val="29"/>
          <w:szCs w:val="29"/>
        </w:rPr>
      </w:pPr>
    </w:p>
    <w:p>
      <w:pPr>
        <w:pStyle w:val="BodyText"/>
        <w:spacing w:line="240" w:lineRule="auto" w:before="44"/>
        <w:ind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94"/>
        <w:gridCol w:w="1134"/>
        <w:gridCol w:w="1460"/>
        <w:gridCol w:w="1197"/>
        <w:gridCol w:w="1196"/>
        <w:gridCol w:w="1185"/>
        <w:gridCol w:w="1207"/>
        <w:gridCol w:w="1184"/>
      </w:tblGrid>
      <w:tr>
        <w:trPr>
          <w:trHeight w:val="161" w:hRule="exact"/>
        </w:trPr>
        <w:tc>
          <w:tcPr>
            <w:tcW w:w="994"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460"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312" w:hRule="exact"/>
        </w:trPr>
        <w:tc>
          <w:tcPr>
            <w:tcW w:w="99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460" w:type="dxa"/>
            <w:vMerge/>
            <w:tcBorders>
              <w:left w:val="single" w:sz="4" w:space="0" w:color="000000"/>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2" w:right="52"/>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99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46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94" w:right="95"/>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52"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99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460"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994"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460"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34" w:type="dxa"/>
            <w:vMerge/>
            <w:tcBorders>
              <w:left w:val="single" w:sz="4" w:space="0" w:color="000000"/>
              <w:right w:val="single" w:sz="4" w:space="0" w:color="000000"/>
            </w:tcBorders>
            <w:shd w:val="clear" w:color="auto" w:fill="D2D2D2"/>
          </w:tcPr>
          <w:p>
            <w:pPr/>
          </w:p>
        </w:tc>
        <w:tc>
          <w:tcPr>
            <w:tcW w:w="1460"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994" w:type="dxa"/>
            <w:vMerge w:val="restart"/>
            <w:tcBorders>
              <w:top w:val="nil" w:sz="6" w:space="0" w:color="auto"/>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460"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994"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460"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99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460"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12" w:hRule="exact"/>
        </w:trPr>
        <w:tc>
          <w:tcPr>
            <w:tcW w:w="99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460"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79,498,022.00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86,042,223.02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79,498,022.00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92.39%</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30,986,896.11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-378,266,158.07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情况" w:id="65"/>
      <w:bookmarkEnd w:id="65"/>
      <w:r>
        <w:rPr>
          <w:b w:val="0"/>
          <w:bCs w:val="0"/>
        </w:rPr>
      </w:r>
      <w:r>
        <w:rPr/>
        <w:t>二、本报告期利润分配及资本公积金转增股本预案情况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44"/>
        <w:ind w:left="0" w:right="1141"/>
        <w:jc w:val="right"/>
      </w:pPr>
      <w:r>
        <w:rPr/>
        <w:pict>
          <v:shape style="position:absolute;margin-left:56.459999pt;margin-top:-271.288269pt;width:479.2pt;height:382.7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84"/>
                    <w:gridCol w:w="5784"/>
                  </w:tblGrid>
                  <w:tr>
                    <w:trPr>
                      <w:trHeight w:val="403"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794,980,220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79,498,022.00</w:t>
                        </w:r>
                      </w:p>
                    </w:tc>
                  </w:tr>
                  <w:tr>
                    <w:trPr>
                      <w:trHeight w:val="402" w:hRule="exact"/>
                    </w:trPr>
                    <w:tc>
                      <w:tcPr>
                        <w:tcW w:w="37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4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8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79,498,022</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91,228,769.17</w:t>
                        </w:r>
                      </w:p>
                    </w:tc>
                  </w:tr>
                  <w:tr>
                    <w:trPr>
                      <w:trHeight w:val="714"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507"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4" w:lineRule="auto" w:before="11"/>
                          <w:ind w:left="22" w:right="23"/>
                          <w:jc w:val="left"/>
                          <w:rPr>
                            <w:rFonts w:ascii="宋体" w:hAnsi="宋体" w:cs="宋体" w:eastAsia="宋体" w:hint="default"/>
                            <w:sz w:val="18"/>
                            <w:szCs w:val="18"/>
                          </w:rPr>
                        </w:pPr>
                        <w:r>
                          <w:rPr>
                            <w:rFonts w:ascii="宋体" w:hAnsi="宋体" w:cs="宋体" w:eastAsia="宋体" w:hint="default"/>
                            <w:spacing w:val="-2"/>
                            <w:sz w:val="18"/>
                            <w:szCs w:val="18"/>
                          </w:rPr>
                          <w:t>根据德勤华永会计师事务所（特殊普通合伙）出具的《审计报告》，截至</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日，公司母公司资本公积金余额</w:t>
                        </w:r>
                        <w:r>
                          <w:rPr>
                            <w:rFonts w:ascii="宋体" w:hAnsi="宋体" w:cs="宋体" w:eastAsia="宋体" w:hint="default"/>
                            <w:spacing w:val="-68"/>
                            <w:sz w:val="18"/>
                            <w:szCs w:val="18"/>
                          </w:rPr>
                          <w:t> </w:t>
                        </w:r>
                        <w:r>
                          <w:rPr>
                            <w:rFonts w:ascii="Times New Roman" w:hAnsi="Times New Roman" w:cs="Times New Roman" w:eastAsia="Times New Roman" w:hint="default"/>
                            <w:spacing w:val="-5"/>
                            <w:sz w:val="18"/>
                            <w:szCs w:val="18"/>
                          </w:rPr>
                          <w:t>872,278,990.98</w:t>
                        </w:r>
                        <w:r>
                          <w:rPr>
                            <w:rFonts w:ascii="宋体" w:hAnsi="宋体" w:cs="宋体" w:eastAsia="宋体" w:hint="default"/>
                            <w:spacing w:val="-5"/>
                            <w:sz w:val="18"/>
                            <w:szCs w:val="18"/>
                          </w:rPr>
                          <w:t>元，未分配利润为</w:t>
                        </w:r>
                        <w:r>
                          <w:rPr>
                            <w:rFonts w:ascii="Times New Roman" w:hAnsi="Times New Roman" w:cs="Times New Roman" w:eastAsia="Times New Roman" w:hint="default"/>
                            <w:spacing w:val="-5"/>
                            <w:sz w:val="18"/>
                            <w:szCs w:val="18"/>
                          </w:rPr>
                          <w:t>91,228,769.17</w:t>
                        </w:r>
                        <w:r>
                          <w:rPr>
                            <w:rFonts w:ascii="宋体" w:hAnsi="宋体" w:cs="宋体" w:eastAsia="宋体" w:hint="default"/>
                            <w:spacing w:val="-5"/>
                            <w:sz w:val="18"/>
                            <w:szCs w:val="18"/>
                          </w:rPr>
                          <w:t>元。鉴于公司发展战略及未来业务发展的需要，依据《公司法》、《公司章程</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的规定，在兼顾股东的合理投资回报和公司中远期发展规划相结合的基础上，现提出如下分配预案：以公司现有股本 </w:t>
                        </w:r>
                        <w:r>
                          <w:rPr>
                            <w:rFonts w:ascii="Times New Roman" w:hAnsi="Times New Roman" w:cs="Times New Roman" w:eastAsia="Times New Roman" w:hint="default"/>
                            <w:spacing w:val="-4"/>
                            <w:sz w:val="18"/>
                            <w:szCs w:val="18"/>
                          </w:rPr>
                          <w:t>794,980,220</w:t>
                        </w:r>
                        <w:r>
                          <w:rPr>
                            <w:rFonts w:ascii="宋体" w:hAnsi="宋体" w:cs="宋体" w:eastAsia="宋体" w:hint="default"/>
                            <w:spacing w:val="-4"/>
                            <w:sz w:val="18"/>
                            <w:szCs w:val="18"/>
                          </w:rPr>
                          <w:t>股作为基数，每</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股派发现金红利</w:t>
                        </w:r>
                        <w:r>
                          <w:rPr>
                            <w:rFonts w:ascii="Times New Roman" w:hAnsi="Times New Roman" w:cs="Times New Roman" w:eastAsia="Times New Roman" w:hint="default"/>
                            <w:spacing w:val="-4"/>
                            <w:sz w:val="18"/>
                            <w:szCs w:val="18"/>
                          </w:rPr>
                          <w:t>1.00</w:t>
                        </w:r>
                        <w:r>
                          <w:rPr>
                            <w:rFonts w:ascii="宋体" w:hAnsi="宋体" w:cs="宋体" w:eastAsia="宋体" w:hint="default"/>
                            <w:spacing w:val="-4"/>
                            <w:sz w:val="18"/>
                            <w:szCs w:val="18"/>
                          </w:rPr>
                          <w:t>元（含税），合计派发现金红利总额为</w:t>
                        </w:r>
                        <w:r>
                          <w:rPr>
                            <w:rFonts w:ascii="Times New Roman" w:hAnsi="Times New Roman" w:cs="Times New Roman" w:eastAsia="Times New Roman" w:hint="default"/>
                            <w:spacing w:val="-4"/>
                            <w:sz w:val="18"/>
                            <w:szCs w:val="18"/>
                          </w:rPr>
                          <w:t>79,498,022</w:t>
                        </w:r>
                        <w:r>
                          <w:rPr>
                            <w:rFonts w:ascii="宋体" w:hAnsi="宋体" w:cs="宋体" w:eastAsia="宋体" w:hint="default"/>
                            <w:spacing w:val="-4"/>
                            <w:sz w:val="18"/>
                            <w:szCs w:val="18"/>
                          </w:rPr>
                          <w:t>元，送红股</w:t>
                        </w:r>
                        <w:r>
                          <w:rPr>
                            <w:rFonts w:ascii="Times New Roman" w:hAnsi="Times New Roman" w:cs="Times New Roman" w:eastAsia="Times New Roman" w:hint="default"/>
                            <w:spacing w:val="-4"/>
                            <w:sz w:val="18"/>
                            <w:szCs w:val="18"/>
                          </w:rPr>
                          <w:t>0</w:t>
                        </w:r>
                        <w:r>
                          <w:rPr>
                            <w:rFonts w:ascii="宋体" w:hAnsi="宋体" w:cs="宋体" w:eastAsia="宋体" w:hint="default"/>
                            <w:spacing w:val="-4"/>
                            <w:sz w:val="18"/>
                            <w:szCs w:val="18"/>
                          </w:rPr>
                          <w:t>股（含税）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以资本公积向全体股东每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7</w:t>
                        </w:r>
                        <w:r>
                          <w:rPr>
                            <w:rFonts w:ascii="宋体" w:hAnsi="宋体" w:cs="宋体" w:eastAsia="宋体" w:hint="default"/>
                            <w:sz w:val="18"/>
                            <w:szCs w:val="18"/>
                          </w:rPr>
                          <w:t>股，剩余未分配利润结转下一年度分配。自董事会审议利润分配预案后至实施利润分 </w:t>
                        </w:r>
                        <w:r>
                          <w:rPr>
                            <w:rFonts w:ascii="宋体" w:hAnsi="宋体" w:cs="宋体" w:eastAsia="宋体" w:hint="default"/>
                            <w:spacing w:val="-1"/>
                            <w:sz w:val="18"/>
                            <w:szCs w:val="18"/>
                          </w:rPr>
                          <w:t>配方案的股权登记日期间，若公司总股本因限制性股票激励计划和股票期权激励计划发生变动的，依照未来实施分配方案</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时股权登记日的总股本为基数实施，并保持上述分配比例不变对总额进行调整。此议案尚需提交公司</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年度股东大会审</w:t>
                        </w:r>
                        <w:r>
                          <w:rPr>
                            <w:rFonts w:ascii="宋体" w:hAnsi="宋体" w:cs="宋体" w:eastAsia="宋体" w:hint="default"/>
                            <w:spacing w:val="-64"/>
                            <w:sz w:val="18"/>
                            <w:szCs w:val="18"/>
                          </w:rPr>
                          <w:t> </w:t>
                        </w:r>
                        <w:r>
                          <w:rPr>
                            <w:rFonts w:ascii="宋体" w:hAnsi="宋体" w:cs="宋体" w:eastAsia="宋体" w:hint="default"/>
                            <w:sz w:val="18"/>
                            <w:szCs w:val="18"/>
                          </w:rPr>
                          <w:t>议。</w:t>
                        </w:r>
                      </w:p>
                    </w:tc>
                  </w:tr>
                </w:tbl>
                <w:p>
                  <w:pPr/>
                </w:p>
              </w:txbxContent>
            </v:textbox>
            <w10:wrap type="none"/>
          </v:shape>
        </w:pict>
      </w:r>
      <w:r>
        <w:rPr/>
        <w:t>》</w:t>
      </w:r>
    </w:p>
    <w:p>
      <w:pPr>
        <w:spacing w:line="240" w:lineRule="auto" w:before="4"/>
        <w:rPr>
          <w:rFonts w:ascii="宋体" w:hAnsi="宋体" w:cs="宋体" w:eastAsia="宋体" w:hint="default"/>
          <w:sz w:val="26"/>
          <w:szCs w:val="26"/>
        </w:rPr>
      </w:pPr>
    </w:p>
    <w:p>
      <w:pPr>
        <w:pStyle w:val="BodyText"/>
        <w:spacing w:line="240" w:lineRule="auto" w:before="44"/>
        <w:ind w:left="0" w:right="1139"/>
        <w:jc w:val="right"/>
      </w:pPr>
      <w:r>
        <w:rPr/>
        <w:t>，</w:t>
      </w:r>
    </w:p>
    <w:p>
      <w:pPr>
        <w:spacing w:after="0" w:line="240" w:lineRule="auto"/>
        <w:jc w:val="right"/>
        <w:sectPr>
          <w:pgSz w:w="11910" w:h="16840"/>
          <w:pgMar w:header="0" w:footer="979" w:top="1060" w:bottom="1160" w:left="980" w:right="0"/>
        </w:sectPr>
      </w:pPr>
    </w:p>
    <w:p>
      <w:pPr>
        <w:spacing w:line="240" w:lineRule="auto" w:before="9"/>
        <w:rPr>
          <w:rFonts w:ascii="宋体" w:hAnsi="宋体" w:cs="宋体" w:eastAsia="宋体" w:hint="default"/>
          <w:sz w:val="23"/>
          <w:szCs w:val="23"/>
        </w:rPr>
      </w:pPr>
      <w:r>
        <w:rPr/>
        <w:pict>
          <v:shape style="position:absolute;margin-left:123.080002pt;margin-top:685.899963pt;width:82.3pt;height:78.05pt;mso-position-horizontal-relative:page;mso-position-vertical-relative:page;z-index:-1003960" type="#_x0000_t202" filled="false" stroked="false">
            <v:textbox inset="0,0,0,0">
              <w:txbxContent>
                <w:p>
                  <w:pPr>
                    <w:spacing w:line="240" w:lineRule="auto" w:before="9"/>
                    <w:rPr>
                      <w:rFonts w:ascii="宋体" w:hAnsi="宋体" w:cs="宋体" w:eastAsia="宋体" w:hint="default"/>
                      <w:sz w:val="21"/>
                      <w:szCs w:val="21"/>
                    </w:rPr>
                  </w:pPr>
                </w:p>
                <w:p>
                  <w:pPr>
                    <w:pStyle w:val="BodyText"/>
                    <w:spacing w:line="240" w:lineRule="auto"/>
                    <w:ind w:left="0" w:right="0"/>
                    <w:jc w:val="left"/>
                  </w:pPr>
                  <w:r>
                    <w:rPr/>
                    <w:t>孙文超、</w:t>
                  </w:r>
                </w:p>
              </w:txbxContent>
            </v:textbox>
            <w10:wrap type="none"/>
          </v:shape>
        </w:pict>
      </w:r>
      <w:r>
        <w:rPr/>
        <w:pict>
          <v:group style="position:absolute;margin-left:156.199997pt;margin-top:685.899963pt;width:49.15pt;height:78.05pt;mso-position-horizontal-relative:page;mso-position-vertical-relative:page;z-index:-1003936" coordorigin="3124,13718" coordsize="983,1561">
            <v:shape style="position:absolute;left:3124;top:13718;width:983;height:1561" coordorigin="3124,13718" coordsize="983,1561" path="m3124,15278l4107,15278,4107,13718,3124,13718,3124,15278xe" filled="true" fillcolor="#ffffff" stroked="false">
              <v:path arrowok="t"/>
              <v:fill type="solid"/>
            </v:shape>
            <w10:wrap type="none"/>
          </v:group>
        </w:pict>
      </w:r>
    </w:p>
    <w:p>
      <w:pPr>
        <w:pStyle w:val="Heading2"/>
        <w:spacing w:line="240" w:lineRule="auto" w:before="26"/>
        <w:ind w:left="394" w:right="0"/>
        <w:jc w:val="left"/>
        <w:rPr>
          <w:b w:val="0"/>
          <w:bCs w:val="0"/>
        </w:rPr>
      </w:pPr>
      <w:bookmarkStart w:name="三、承诺事项履行情况" w:id="66"/>
      <w:bookmarkEnd w:id="66"/>
      <w:r>
        <w:rPr>
          <w:b w:val="0"/>
          <w:bCs w:val="0"/>
        </w:rPr>
      </w:r>
      <w:r>
        <w:rPr/>
        <w:t>三、承诺事项履行情况</w:t>
      </w:r>
      <w:r>
        <w:rPr>
          <w:b w:val="0"/>
          <w:bCs w:val="0"/>
        </w:rPr>
      </w:r>
    </w:p>
    <w:p>
      <w:pPr>
        <w:pStyle w:val="Heading4"/>
        <w:spacing w:line="259" w:lineRule="auto" w:before="142"/>
        <w:ind w:left="394" w:right="0"/>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pStyle w:val="BodyText"/>
        <w:spacing w:line="240" w:lineRule="auto" w:before="167"/>
        <w:ind w:left="39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1278"/>
        <w:gridCol w:w="991"/>
        <w:gridCol w:w="992"/>
        <w:gridCol w:w="3969"/>
        <w:gridCol w:w="852"/>
        <w:gridCol w:w="850"/>
        <w:gridCol w:w="1276"/>
      </w:tblGrid>
      <w:tr>
        <w:trPr>
          <w:trHeight w:val="402" w:hRule="exact"/>
        </w:trPr>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991"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9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969" w:hRule="exact"/>
        </w:trPr>
        <w:tc>
          <w:tcPr>
            <w:tcW w:w="127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叶庆荣</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39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2" w:lineRule="auto"/>
              <w:ind w:left="22" w:right="21"/>
              <w:jc w:val="left"/>
              <w:rPr>
                <w:rFonts w:ascii="宋体" w:hAnsi="宋体" w:cs="宋体" w:eastAsia="宋体" w:hint="default"/>
                <w:sz w:val="18"/>
                <w:szCs w:val="18"/>
              </w:rPr>
            </w:pPr>
            <w:r>
              <w:rPr>
                <w:rFonts w:ascii="宋体" w:hAnsi="宋体" w:cs="宋体" w:eastAsia="宋体" w:hint="default"/>
                <w:sz w:val="18"/>
                <w:szCs w:val="18"/>
              </w:rPr>
              <w:t>转让方叶庆荣承诺其同时负责日升科技与目标公 </w:t>
            </w:r>
            <w:r>
              <w:rPr>
                <w:rFonts w:ascii="宋体" w:hAnsi="宋体" w:cs="宋体" w:eastAsia="宋体" w:hint="default"/>
                <w:spacing w:val="-7"/>
                <w:sz w:val="18"/>
                <w:szCs w:val="18"/>
              </w:rPr>
              <w:t>司（香港</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I-ACCESS)</w:t>
            </w:r>
            <w:r>
              <w:rPr>
                <w:rFonts w:ascii="宋体" w:hAnsi="宋体" w:cs="宋体" w:eastAsia="宋体" w:hint="default"/>
                <w:sz w:val="18"/>
                <w:szCs w:val="18"/>
              </w:rPr>
              <w:t>业务经营，可使日升科技与目</w:t>
            </w:r>
            <w:r>
              <w:rPr>
                <w:rFonts w:ascii="宋体" w:hAnsi="宋体" w:cs="宋体" w:eastAsia="宋体" w:hint="default"/>
                <w:w w:val="99"/>
                <w:sz w:val="18"/>
                <w:szCs w:val="18"/>
              </w:rPr>
              <w:t> </w:t>
            </w:r>
            <w:r>
              <w:rPr>
                <w:rFonts w:ascii="宋体" w:hAnsi="宋体" w:cs="宋体" w:eastAsia="宋体" w:hint="default"/>
                <w:spacing w:val="-3"/>
                <w:sz w:val="18"/>
                <w:szCs w:val="18"/>
              </w:rPr>
              <w:t>标公司在业绩承诺期内的业绩达到承诺业绩，具体</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5"/>
                <w:sz w:val="18"/>
                <w:szCs w:val="18"/>
              </w:rPr>
              <w:t>如下：承诺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2019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年目标公司</w:t>
            </w:r>
          </w:p>
          <w:p>
            <w:pPr>
              <w:pStyle w:val="TableParagraph"/>
              <w:spacing w:line="240" w:lineRule="auto" w:before="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与日升科技的合并净利润分别为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4300</w:t>
            </w:r>
          </w:p>
          <w:p>
            <w:pPr>
              <w:pStyle w:val="TableParagraph"/>
              <w:spacing w:line="312"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5200 </w:t>
            </w:r>
            <w:r>
              <w:rPr>
                <w:rFonts w:ascii="宋体" w:hAnsi="宋体" w:cs="宋体" w:eastAsia="宋体" w:hint="default"/>
                <w:sz w:val="18"/>
                <w:szCs w:val="18"/>
              </w:rPr>
              <w:t>万元；承诺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年和</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年目标公司与日升科技的累计合并净利润分别为 </w:t>
            </w:r>
            <w:r>
              <w:rPr>
                <w:rFonts w:ascii="Times New Roman" w:hAnsi="Times New Roman" w:cs="Times New Roman" w:eastAsia="Times New Roman" w:hint="default"/>
                <w:sz w:val="18"/>
                <w:szCs w:val="18"/>
              </w:rPr>
              <w:t>3500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7800 </w:t>
            </w:r>
            <w:r>
              <w:rPr>
                <w:rFonts w:ascii="宋体" w:hAnsi="宋体" w:cs="宋体" w:eastAsia="宋体" w:hint="default"/>
                <w:spacing w:val="-1"/>
                <w:sz w:val="18"/>
                <w:szCs w:val="18"/>
              </w:rPr>
              <w:t>万元、</w:t>
            </w:r>
            <w:r>
              <w:rPr>
                <w:rFonts w:ascii="Times New Roman" w:hAnsi="Times New Roman" w:cs="Times New Roman" w:eastAsia="Times New Roman" w:hint="default"/>
                <w:spacing w:val="-1"/>
                <w:sz w:val="18"/>
                <w:szCs w:val="18"/>
              </w:rPr>
              <w:t>13000</w:t>
            </w:r>
            <w:r>
              <w:rPr>
                <w:rFonts w:ascii="Times New Roman" w:hAnsi="Times New Roman" w:cs="Times New Roman" w:eastAsia="Times New Roman" w:hint="default"/>
                <w:spacing w:val="9"/>
                <w:sz w:val="18"/>
                <w:szCs w:val="18"/>
              </w:rPr>
              <w:t> </w:t>
            </w:r>
            <w:r>
              <w:rPr>
                <w:rFonts w:ascii="宋体" w:hAnsi="宋体" w:cs="宋体" w:eastAsia="宋体" w:hint="default"/>
                <w:spacing w:val="-11"/>
                <w:sz w:val="18"/>
                <w:szCs w:val="18"/>
              </w:rPr>
              <w:t>万元。（按照股权转</w:t>
            </w:r>
            <w:r>
              <w:rPr>
                <w:rFonts w:ascii="宋体" w:hAnsi="宋体" w:cs="宋体" w:eastAsia="宋体" w:hint="default"/>
                <w:sz w:val="18"/>
                <w:szCs w:val="18"/>
              </w:rPr>
              <w:t> </w:t>
            </w:r>
            <w:r>
              <w:rPr>
                <w:rFonts w:ascii="宋体" w:hAnsi="宋体" w:cs="宋体" w:eastAsia="宋体" w:hint="default"/>
                <w:spacing w:val="-3"/>
                <w:sz w:val="18"/>
                <w:szCs w:val="18"/>
              </w:rPr>
              <w:t>让协议约定，合并净利润指经受让方指定的具有证</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券从业资格的会计师事务所按照中国企业会计准 则及其应用指南及解释对目标公司以及日升科技 备考合并利润表出具的专项审计报告中扣除非经 </w:t>
            </w:r>
            <w:r>
              <w:rPr>
                <w:rFonts w:ascii="宋体" w:hAnsi="宋体" w:cs="宋体" w:eastAsia="宋体" w:hint="default"/>
                <w:spacing w:val="-6"/>
                <w:sz w:val="18"/>
                <w:szCs w:val="18"/>
              </w:rPr>
              <w:t>常性损益项目后的税后净利润）。</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6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p>
          <w:p>
            <w:pPr>
              <w:pStyle w:val="TableParagraph"/>
              <w:spacing w:line="319" w:lineRule="auto" w:before="63"/>
              <w:ind w:left="22" w:right="95"/>
              <w:jc w:val="both"/>
              <w:rPr>
                <w:rFonts w:ascii="宋体" w:hAnsi="宋体" w:cs="宋体" w:eastAsia="宋体" w:hint="default"/>
                <w:sz w:val="18"/>
                <w:szCs w:val="18"/>
              </w:rPr>
            </w:pPr>
            <w:r>
              <w:rPr>
                <w:rFonts w:ascii="宋体" w:hAnsi="宋体" w:cs="宋体" w:eastAsia="宋体" w:hint="default"/>
                <w:sz w:val="18"/>
                <w:szCs w:val="18"/>
              </w:rPr>
              <w:t>年三个完 整公历年 度</w:t>
            </w:r>
          </w:p>
        </w:tc>
        <w:tc>
          <w:tcPr>
            <w:tcW w:w="1276"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根据德勤华永 会计师事务所</w:t>
            </w:r>
          </w:p>
          <w:p>
            <w:pPr>
              <w:pStyle w:val="TableParagraph"/>
              <w:spacing w:line="316" w:lineRule="auto" w:before="19"/>
              <w:ind w:left="22" w:right="161"/>
              <w:jc w:val="left"/>
              <w:rPr>
                <w:rFonts w:ascii="宋体" w:hAnsi="宋体" w:cs="宋体" w:eastAsia="宋体" w:hint="default"/>
                <w:sz w:val="18"/>
                <w:szCs w:val="18"/>
              </w:rPr>
            </w:pPr>
            <w:r>
              <w:rPr>
                <w:rFonts w:ascii="宋体" w:hAnsi="宋体" w:cs="宋体" w:eastAsia="宋体" w:hint="default"/>
                <w:sz w:val="18"/>
                <w:szCs w:val="18"/>
              </w:rPr>
              <w:t>（特殊普通合 伙）出具的</w:t>
            </w:r>
          </w:p>
          <w:p>
            <w:pPr>
              <w:pStyle w:val="TableParagraph"/>
              <w:spacing w:line="326" w:lineRule="auto" w:before="19"/>
              <w:ind w:left="22" w:right="9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I-ACCESS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NETWORK</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和深</w:t>
            </w:r>
          </w:p>
          <w:p>
            <w:pPr>
              <w:pStyle w:val="TableParagraph"/>
              <w:spacing w:line="314" w:lineRule="auto"/>
              <w:ind w:left="22" w:right="71"/>
              <w:jc w:val="left"/>
              <w:rPr>
                <w:rFonts w:ascii="宋体" w:hAnsi="宋体" w:cs="宋体" w:eastAsia="宋体" w:hint="default"/>
                <w:sz w:val="18"/>
                <w:szCs w:val="18"/>
              </w:rPr>
            </w:pPr>
            <w:r>
              <w:rPr>
                <w:rFonts w:ascii="宋体" w:hAnsi="宋体" w:cs="宋体" w:eastAsia="宋体" w:hint="default"/>
                <w:sz w:val="18"/>
                <w:szCs w:val="18"/>
              </w:rPr>
              <w:t>圳市日升科技 有限公司备考 财务报表及审 </w:t>
            </w:r>
            <w:r>
              <w:rPr>
                <w:rFonts w:ascii="宋体" w:hAnsi="宋体" w:cs="宋体" w:eastAsia="宋体" w:hint="default"/>
                <w:spacing w:val="-10"/>
                <w:sz w:val="18"/>
                <w:szCs w:val="18"/>
              </w:rPr>
              <w:t>计报告》，</w:t>
            </w:r>
            <w:r>
              <w:rPr>
                <w:rFonts w:ascii="Times New Roman" w:hAnsi="Times New Roman" w:cs="Times New Roman" w:eastAsia="Times New Roman" w:hint="default"/>
                <w:spacing w:val="-10"/>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年度，香港</w:t>
            </w:r>
          </w:p>
          <w:p>
            <w:pPr>
              <w:pStyle w:val="TableParagraph"/>
              <w:spacing w:line="240" w:lineRule="auto" w:before="2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I-ACCESS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和日</w:t>
            </w:r>
          </w:p>
          <w:p>
            <w:pPr>
              <w:pStyle w:val="TableParagraph"/>
              <w:spacing w:line="319"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升科技合并净 </w:t>
            </w:r>
            <w:r>
              <w:rPr>
                <w:rFonts w:ascii="宋体" w:hAnsi="宋体" w:cs="宋体" w:eastAsia="宋体" w:hint="default"/>
                <w:spacing w:val="-6"/>
                <w:sz w:val="18"/>
                <w:szCs w:val="18"/>
              </w:rPr>
              <w:t>利润（指扣除非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经常性损益项 目后的税后净 利润）为</w:t>
            </w:r>
          </w:p>
          <w:p>
            <w:pPr>
              <w:pStyle w:val="TableParagraph"/>
              <w:spacing w:line="300" w:lineRule="auto" w:before="17"/>
              <w:ind w:left="22"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3061.49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未完成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万元的业 绩承诺。</w:t>
            </w:r>
          </w:p>
        </w:tc>
      </w:tr>
      <w:tr>
        <w:trPr>
          <w:trHeight w:val="1016" w:hRule="exact"/>
        </w:trPr>
        <w:tc>
          <w:tcPr>
            <w:tcW w:w="12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4" w:right="162"/>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991" w:type="dxa"/>
            <w:vMerge/>
            <w:tcBorders>
              <w:left w:val="single" w:sz="9" w:space="0" w:color="D2D2D2"/>
              <w:right w:val="single" w:sz="4" w:space="0" w:color="000000"/>
            </w:tcBorders>
          </w:tcPr>
          <w:p>
            <w:pPr/>
          </w:p>
        </w:tc>
        <w:tc>
          <w:tcPr>
            <w:tcW w:w="992" w:type="dxa"/>
            <w:vMerge/>
            <w:tcBorders>
              <w:left w:val="single" w:sz="4" w:space="0" w:color="000000"/>
              <w:right w:val="single" w:sz="4" w:space="0" w:color="000000"/>
            </w:tcBorders>
          </w:tcPr>
          <w:p>
            <w:pPr/>
          </w:p>
        </w:tc>
        <w:tc>
          <w:tcPr>
            <w:tcW w:w="396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2969" w:hRule="exact"/>
        </w:trPr>
        <w:tc>
          <w:tcPr>
            <w:tcW w:w="127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969"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r>
      <w:tr>
        <w:trPr>
          <w:trHeight w:val="714" w:hRule="exact"/>
        </w:trPr>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2"/>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991"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9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1409" w:hRule="exact"/>
        </w:trPr>
        <w:tc>
          <w:tcPr>
            <w:tcW w:w="127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李小龙；</w:t>
            </w:r>
          </w:p>
          <w:p>
            <w:pPr>
              <w:pStyle w:val="TableParagraph"/>
              <w:spacing w:line="316" w:lineRule="auto" w:before="61"/>
              <w:ind w:left="16"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公司首次 公开发行时 担任公司董 事、监事、 高级管理人 员的股东黄 明生、张大 庆、 芦兵、张靖 海、肖瑗、 刘江涛</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969"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自公司股票上市之日起三十六个月内，不转让或 者委托他人管理其已直接和间接持有的发行人股 </w:t>
            </w:r>
            <w:r>
              <w:rPr>
                <w:rFonts w:ascii="宋体" w:hAnsi="宋体" w:cs="宋体" w:eastAsia="宋体" w:hint="default"/>
                <w:spacing w:val="-3"/>
                <w:sz w:val="18"/>
                <w:szCs w:val="18"/>
              </w:rPr>
              <w:t>份，也不由发行人回购其持有的股份。承诺期限届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满后在其任职期间每年转让的股份不超过其所持 有发行人股份总数的</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；离职后半年内，不转让</w:t>
            </w:r>
            <w:r>
              <w:rPr>
                <w:rFonts w:ascii="宋体" w:hAnsi="宋体" w:cs="宋体" w:eastAsia="宋体" w:hint="default"/>
                <w:sz w:val="18"/>
                <w:szCs w:val="18"/>
              </w:rPr>
              <w:t> 其所持有的发行人股份。</w:t>
            </w:r>
            <w:r>
              <w:rPr>
                <w:rFonts w:ascii="Times New Roman" w:hAnsi="Times New Roman" w:cs="Times New Roman" w:eastAsia="Times New Roman" w:hint="default"/>
                <w:sz w:val="18"/>
                <w:szCs w:val="18"/>
              </w:rPr>
              <w:t>2.</w:t>
            </w:r>
            <w:r>
              <w:rPr>
                <w:rFonts w:ascii="宋体" w:hAnsi="宋体" w:cs="宋体" w:eastAsia="宋体" w:hint="default"/>
                <w:sz w:val="18"/>
                <w:szCs w:val="18"/>
              </w:rPr>
              <w:t>自公司股票上市之日起 </w:t>
            </w:r>
            <w:r>
              <w:rPr>
                <w:rFonts w:ascii="宋体" w:hAnsi="宋体" w:cs="宋体" w:eastAsia="宋体" w:hint="default"/>
                <w:spacing w:val="-3"/>
                <w:sz w:val="18"/>
                <w:szCs w:val="18"/>
              </w:rPr>
              <w:t>十二个月内，不转让或者委托他人管理其已直接和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间接持有的发行人股份，也不由发行人回购其持有</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的股份，在上述禁售承诺期过后，在其任职期间每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年转让的股份不超过其所持有发行人股份总额的 </w:t>
            </w:r>
            <w:r>
              <w:rPr>
                <w:rFonts w:ascii="Times New Roman" w:hAnsi="Times New Roman" w:cs="Times New Roman" w:eastAsia="Times New Roman" w:hint="default"/>
                <w:spacing w:val="-1"/>
                <w:sz w:val="18"/>
                <w:szCs w:val="18"/>
              </w:rPr>
              <w:t>25%</w:t>
            </w:r>
            <w:r>
              <w:rPr>
                <w:rFonts w:ascii="宋体" w:hAnsi="宋体" w:cs="宋体" w:eastAsia="宋体" w:hint="default"/>
                <w:spacing w:val="-1"/>
                <w:sz w:val="18"/>
                <w:szCs w:val="18"/>
              </w:rPr>
              <w:t>；离职后半年内，不转让其所持有的的发行人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股份。</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00" w:lineRule="auto"/>
              <w:ind w:left="22" w:right="5"/>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、三十六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个月；</w:t>
            </w:r>
            <w:r>
              <w:rPr>
                <w:rFonts w:ascii="Times New Roman" w:hAnsi="Times New Roman" w:cs="Times New Roman" w:eastAsia="Times New Roman" w:hint="default"/>
                <w:sz w:val="18"/>
                <w:szCs w:val="18"/>
              </w:rPr>
              <w:t>2</w:t>
            </w:r>
            <w:r>
              <w:rPr>
                <w:rFonts w:ascii="宋体" w:hAnsi="宋体" w:cs="宋体" w:eastAsia="宋体" w:hint="default"/>
                <w:sz w:val="18"/>
                <w:szCs w:val="18"/>
              </w:rPr>
              <w:t>、 长期有效</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015" w:hRule="exact"/>
        </w:trPr>
        <w:tc>
          <w:tcPr>
            <w:tcW w:w="12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4" w:right="162"/>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991" w:type="dxa"/>
            <w:vMerge/>
            <w:tcBorders>
              <w:left w:val="single" w:sz="9" w:space="0" w:color="D2D2D2"/>
              <w:right w:val="single" w:sz="4" w:space="0" w:color="000000"/>
            </w:tcBorders>
          </w:tcPr>
          <w:p>
            <w:pPr/>
          </w:p>
        </w:tc>
        <w:tc>
          <w:tcPr>
            <w:tcW w:w="992" w:type="dxa"/>
            <w:vMerge/>
            <w:tcBorders>
              <w:left w:val="single" w:sz="4" w:space="0" w:color="000000"/>
              <w:right w:val="single" w:sz="4" w:space="0" w:color="000000"/>
            </w:tcBorders>
          </w:tcPr>
          <w:p>
            <w:pPr/>
          </w:p>
        </w:tc>
        <w:tc>
          <w:tcPr>
            <w:tcW w:w="396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1410" w:hRule="exact"/>
        </w:trPr>
        <w:tc>
          <w:tcPr>
            <w:tcW w:w="127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969"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79" w:top="1060" w:bottom="1160" w:left="740" w:right="0"/>
        </w:sectPr>
      </w:pPr>
    </w:p>
    <w:p>
      <w:pPr>
        <w:spacing w:line="240" w:lineRule="auto" w:before="6"/>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1278"/>
        <w:gridCol w:w="991"/>
        <w:gridCol w:w="992"/>
        <w:gridCol w:w="3969"/>
        <w:gridCol w:w="852"/>
        <w:gridCol w:w="850"/>
        <w:gridCol w:w="1276"/>
      </w:tblGrid>
      <w:tr>
        <w:trPr>
          <w:trHeight w:val="402" w:hRule="exact"/>
        </w:trPr>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991"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9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1409" w:hRule="exact"/>
        </w:trPr>
        <w:tc>
          <w:tcPr>
            <w:tcW w:w="127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6"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992" w:type="dxa"/>
            <w:vMerge w:val="restart"/>
            <w:tcBorders>
              <w:top w:val="single" w:sz="4" w:space="0" w:color="000000"/>
              <w:left w:val="single" w:sz="4" w:space="0" w:color="000000"/>
              <w:right w:val="single" w:sz="4" w:space="0" w:color="000000"/>
            </w:tcBorders>
          </w:tcPr>
          <w:p>
            <w:pPr/>
          </w:p>
        </w:tc>
        <w:tc>
          <w:tcPr>
            <w:tcW w:w="3969"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本人及本人控股</w:t>
            </w:r>
            <w:r>
              <w:rPr>
                <w:rFonts w:ascii="Times New Roman" w:hAnsi="Times New Roman" w:cs="Times New Roman" w:eastAsia="Times New Roman" w:hint="default"/>
                <w:sz w:val="18"/>
                <w:szCs w:val="18"/>
              </w:rPr>
              <w:t>/</w:t>
            </w:r>
            <w:r>
              <w:rPr>
                <w:rFonts w:ascii="宋体" w:hAnsi="宋体" w:cs="宋体" w:eastAsia="宋体" w:hint="default"/>
                <w:sz w:val="18"/>
                <w:szCs w:val="18"/>
              </w:rPr>
              <w:t>控制的其他公司</w:t>
            </w:r>
            <w:r>
              <w:rPr>
                <w:rFonts w:ascii="Times New Roman" w:hAnsi="Times New Roman" w:cs="Times New Roman" w:eastAsia="Times New Roman" w:hint="default"/>
                <w:sz w:val="18"/>
                <w:szCs w:val="18"/>
              </w:rPr>
              <w:t>/</w:t>
            </w:r>
            <w:r>
              <w:rPr>
                <w:rFonts w:ascii="宋体" w:hAnsi="宋体" w:cs="宋体" w:eastAsia="宋体" w:hint="default"/>
                <w:sz w:val="18"/>
                <w:szCs w:val="18"/>
              </w:rPr>
              <w:t>企业</w:t>
            </w:r>
            <w:r>
              <w:rPr>
                <w:rFonts w:ascii="Times New Roman" w:hAnsi="Times New Roman" w:cs="Times New Roman" w:eastAsia="Times New Roman" w:hint="default"/>
                <w:sz w:val="18"/>
                <w:szCs w:val="18"/>
              </w:rPr>
              <w:t>(</w:t>
            </w:r>
            <w:r>
              <w:rPr>
                <w:rFonts w:ascii="宋体" w:hAnsi="宋体" w:cs="宋体" w:eastAsia="宋体" w:hint="default"/>
                <w:sz w:val="18"/>
                <w:szCs w:val="18"/>
              </w:rPr>
              <w:t>以下统称 </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附属企业</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），目前并没有直接或间接地从事任何</w:t>
            </w:r>
            <w:r>
              <w:rPr>
                <w:rFonts w:ascii="宋体" w:hAnsi="宋体" w:cs="宋体" w:eastAsia="宋体" w:hint="default"/>
                <w:sz w:val="18"/>
                <w:szCs w:val="18"/>
              </w:rPr>
              <w:t> 与股份公司目前正在经营的或今后准备从事的增 值电信业务存在竞争的任何业务活动。</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、本人及 附属企业在今后的任何时间不会直接或间接地以 </w:t>
            </w:r>
            <w:r>
              <w:rPr>
                <w:rFonts w:ascii="宋体" w:hAnsi="宋体" w:cs="宋体" w:eastAsia="宋体" w:hint="default"/>
                <w:spacing w:val="-3"/>
                <w:sz w:val="18"/>
                <w:szCs w:val="18"/>
              </w:rPr>
              <w:t>任何方式（包括但不限于自营、合资或联营）参与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或进行与股份公司目前正在经营的或今后准备从 事的增值电信业务存在直接或间接竞争的任何业 务活动。凡本人及附属企业有任何商业机会可从 </w:t>
            </w:r>
            <w:r>
              <w:rPr>
                <w:rFonts w:ascii="宋体" w:hAnsi="宋体" w:cs="宋体" w:eastAsia="宋体" w:hint="default"/>
                <w:spacing w:val="-3"/>
                <w:sz w:val="18"/>
                <w:szCs w:val="18"/>
              </w:rPr>
              <w:t>事、参与或入股任何可能会与股份公司生产经营构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成竞争的业务，本人会安排将上述商业机会让予股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份公司。</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016" w:hRule="exact"/>
        </w:trPr>
        <w:tc>
          <w:tcPr>
            <w:tcW w:w="12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4" w:right="162"/>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991" w:type="dxa"/>
            <w:vMerge/>
            <w:tcBorders>
              <w:left w:val="single" w:sz="9" w:space="0" w:color="D2D2D2"/>
              <w:right w:val="single" w:sz="4" w:space="0" w:color="000000"/>
            </w:tcBorders>
          </w:tcPr>
          <w:p>
            <w:pPr/>
          </w:p>
        </w:tc>
        <w:tc>
          <w:tcPr>
            <w:tcW w:w="992" w:type="dxa"/>
            <w:vMerge/>
            <w:tcBorders>
              <w:left w:val="single" w:sz="4" w:space="0" w:color="000000"/>
              <w:right w:val="single" w:sz="4" w:space="0" w:color="000000"/>
            </w:tcBorders>
          </w:tcPr>
          <w:p>
            <w:pPr/>
          </w:p>
        </w:tc>
        <w:tc>
          <w:tcPr>
            <w:tcW w:w="396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1409" w:hRule="exact"/>
        </w:trPr>
        <w:tc>
          <w:tcPr>
            <w:tcW w:w="127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969"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r>
      <w:tr>
        <w:trPr>
          <w:trHeight w:val="714" w:hRule="exact"/>
        </w:trPr>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62"/>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8930"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2" w:hRule="exact"/>
        </w:trPr>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如承诺超期未 </w:t>
            </w:r>
            <w:r>
              <w:rPr>
                <w:rFonts w:ascii="宋体" w:hAnsi="宋体" w:cs="宋体" w:eastAsia="宋体" w:hint="default"/>
                <w:spacing w:val="-6"/>
                <w:sz w:val="18"/>
                <w:szCs w:val="18"/>
              </w:rPr>
              <w:t>履行完毕的，应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当详细说明未 完成履行的具 体原因及下一 步的工作计划</w:t>
            </w:r>
          </w:p>
        </w:tc>
        <w:tc>
          <w:tcPr>
            <w:tcW w:w="8930"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10"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I-Access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和日升科技未实现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年度业绩承诺，具体原因为：日升科技主要从事跨境通信服务业务，跨境通信业 务受市场、政策等因素影响较为明显，特别是</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年受中美贸易摩擦的影响，跨境通信订单数量减少，成单率下 降，导致业绩承诺未能完全实现。公司将密切关注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I-ACCESS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和日升科技的经营状况，督促其完成下一期业绩目 标。</w:t>
            </w:r>
          </w:p>
        </w:tc>
      </w:tr>
    </w:tbl>
    <w:p>
      <w:pPr>
        <w:spacing w:line="240" w:lineRule="auto" w:before="2"/>
        <w:rPr>
          <w:rFonts w:ascii="宋体" w:hAnsi="宋体" w:cs="宋体" w:eastAsia="宋体" w:hint="default"/>
          <w:sz w:val="19"/>
          <w:szCs w:val="19"/>
        </w:rPr>
      </w:pPr>
    </w:p>
    <w:p>
      <w:pPr>
        <w:pStyle w:val="Heading4"/>
        <w:spacing w:line="259" w:lineRule="auto" w:before="35"/>
        <w:ind w:left="394" w:right="0"/>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9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2"/>
        <w:spacing w:line="240" w:lineRule="auto" w:before="134"/>
        <w:ind w:left="394" w:right="0"/>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pStyle w:val="BodyText"/>
        <w:spacing w:line="338" w:lineRule="auto" w:before="169"/>
        <w:ind w:left="394"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left="394" w:right="0"/>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left="39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394" w:right="0"/>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39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394" w:right="0" w:firstLine="360"/>
        <w:jc w:val="left"/>
      </w:pPr>
      <w:r>
        <w:rPr>
          <w:color w:val="0D0D0D"/>
        </w:rPr>
        <w:t>本集团从编制</w:t>
      </w:r>
      <w:r>
        <w:rPr>
          <w:rFonts w:ascii="Times New Roman" w:hAnsi="Times New Roman" w:cs="Times New Roman" w:eastAsia="Times New Roman" w:hint="default"/>
          <w:color w:val="0D0D0D"/>
        </w:rPr>
        <w:t>2018 </w:t>
      </w:r>
      <w:r>
        <w:rPr>
          <w:color w:val="0D0D0D"/>
        </w:rPr>
        <w:t>年度财务报表起执行财政部于</w:t>
      </w:r>
      <w:r>
        <w:rPr>
          <w:rFonts w:ascii="Times New Roman" w:hAnsi="Times New Roman" w:cs="Times New Roman" w:eastAsia="Times New Roman" w:hint="default"/>
          <w:color w:val="0D0D0D"/>
        </w:rPr>
        <w:t>2018 </w:t>
      </w:r>
      <w:r>
        <w:rPr>
          <w:color w:val="0D0D0D"/>
        </w:rPr>
        <w:t>年</w:t>
      </w:r>
      <w:r>
        <w:rPr>
          <w:rFonts w:ascii="Times New Roman" w:hAnsi="Times New Roman" w:cs="Times New Roman" w:eastAsia="Times New Roman" w:hint="default"/>
          <w:color w:val="0D0D0D"/>
        </w:rPr>
        <w:t>6 </w:t>
      </w:r>
      <w:r>
        <w:rPr>
          <w:color w:val="0D0D0D"/>
        </w:rPr>
        <w:t>月</w:t>
      </w:r>
      <w:r>
        <w:rPr>
          <w:rFonts w:ascii="Times New Roman" w:hAnsi="Times New Roman" w:cs="Times New Roman" w:eastAsia="Times New Roman" w:hint="default"/>
          <w:color w:val="0D0D0D"/>
        </w:rPr>
        <w:t>15 </w:t>
      </w:r>
      <w:r>
        <w:rPr>
          <w:color w:val="0D0D0D"/>
          <w:spacing w:val="-6"/>
        </w:rPr>
        <w:t>日颁布的《关于修订印发</w:t>
      </w:r>
      <w:r>
        <w:rPr>
          <w:rFonts w:ascii="Times New Roman" w:hAnsi="Times New Roman" w:cs="Times New Roman" w:eastAsia="Times New Roman" w:hint="default"/>
          <w:color w:val="0D0D0D"/>
          <w:spacing w:val="-6"/>
        </w:rPr>
        <w:t>2018</w:t>
      </w:r>
      <w:r>
        <w:rPr>
          <w:rFonts w:ascii="Times New Roman" w:hAnsi="Times New Roman" w:cs="Times New Roman" w:eastAsia="Times New Roman" w:hint="default"/>
          <w:color w:val="0D0D0D"/>
          <w:spacing w:val="6"/>
        </w:rPr>
        <w:t> </w:t>
      </w:r>
      <w:r>
        <w:rPr>
          <w:color w:val="0D0D0D"/>
        </w:rPr>
        <w:t>年度一般企业财务报表 </w:t>
      </w:r>
      <w:r>
        <w:rPr>
          <w:color w:val="0D0D0D"/>
          <w:spacing w:val="-3"/>
        </w:rPr>
        <w:t>格式的通知》</w:t>
      </w:r>
      <w:r>
        <w:rPr>
          <w:rFonts w:ascii="Times New Roman" w:hAnsi="Times New Roman" w:cs="Times New Roman" w:eastAsia="Times New Roman" w:hint="default"/>
          <w:color w:val="0D0D0D"/>
          <w:spacing w:val="-3"/>
        </w:rPr>
        <w:t>(</w:t>
      </w:r>
      <w:r>
        <w:rPr>
          <w:color w:val="0D0D0D"/>
          <w:spacing w:val="-3"/>
        </w:rPr>
        <w:t>财会</w:t>
      </w:r>
      <w:r>
        <w:rPr>
          <w:rFonts w:ascii="Times New Roman" w:hAnsi="Times New Roman" w:cs="Times New Roman" w:eastAsia="Times New Roman" w:hint="default"/>
          <w:color w:val="0D0D0D"/>
          <w:spacing w:val="-3"/>
        </w:rPr>
        <w:t>(2018)15 </w:t>
      </w:r>
      <w:r>
        <w:rPr>
          <w:color w:val="0D0D0D"/>
          <w:spacing w:val="-4"/>
        </w:rPr>
        <w:t>号，以下简称</w:t>
      </w:r>
      <w:r>
        <w:rPr>
          <w:rFonts w:ascii="Times New Roman" w:hAnsi="Times New Roman" w:cs="Times New Roman" w:eastAsia="Times New Roman" w:hint="default"/>
          <w:color w:val="0D0D0D"/>
          <w:spacing w:val="-4"/>
        </w:rPr>
        <w:t>“</w:t>
      </w:r>
      <w:r>
        <w:rPr>
          <w:color w:val="0D0D0D"/>
          <w:spacing w:val="-4"/>
        </w:rPr>
        <w:t>财会</w:t>
      </w:r>
      <w:r>
        <w:rPr>
          <w:rFonts w:ascii="Times New Roman" w:hAnsi="Times New Roman" w:cs="Times New Roman" w:eastAsia="Times New Roman" w:hint="default"/>
          <w:color w:val="0D0D0D"/>
          <w:spacing w:val="-4"/>
        </w:rPr>
        <w:t>15 </w:t>
      </w:r>
      <w:r>
        <w:rPr>
          <w:color w:val="0D0D0D"/>
          <w:spacing w:val="-5"/>
        </w:rPr>
        <w:t>号文件</w:t>
      </w:r>
      <w:r>
        <w:rPr>
          <w:rFonts w:ascii="Times New Roman" w:hAnsi="Times New Roman" w:cs="Times New Roman" w:eastAsia="Times New Roman" w:hint="default"/>
          <w:color w:val="0D0D0D"/>
          <w:spacing w:val="-5"/>
        </w:rPr>
        <w:t>”)</w:t>
      </w:r>
      <w:r>
        <w:rPr>
          <w:color w:val="0D0D0D"/>
          <w:spacing w:val="-5"/>
        </w:rPr>
        <w:t>。财会</w:t>
      </w:r>
      <w:r>
        <w:rPr>
          <w:rFonts w:ascii="Times New Roman" w:hAnsi="Times New Roman" w:cs="Times New Roman" w:eastAsia="Times New Roman" w:hint="default"/>
          <w:color w:val="0D0D0D"/>
          <w:spacing w:val="-5"/>
        </w:rPr>
        <w:t>15</w:t>
      </w:r>
      <w:r>
        <w:rPr>
          <w:rFonts w:ascii="Times New Roman" w:hAnsi="Times New Roman" w:cs="Times New Roman" w:eastAsia="Times New Roman" w:hint="default"/>
          <w:color w:val="0D0D0D"/>
          <w:spacing w:val="-1"/>
        </w:rPr>
        <w:t> </w:t>
      </w:r>
      <w:r>
        <w:rPr>
          <w:color w:val="0D0D0D"/>
        </w:rPr>
        <w:t>号文件对资产负债表和利润表的列报项目进行了修订， </w:t>
      </w:r>
      <w:r>
        <w:rPr>
          <w:color w:val="0D0D0D"/>
          <w:spacing w:val="-4"/>
        </w:rPr>
        <w:t>新增了</w:t>
      </w:r>
      <w:r>
        <w:rPr>
          <w:rFonts w:ascii="Times New Roman" w:hAnsi="Times New Roman" w:cs="Times New Roman" w:eastAsia="Times New Roman" w:hint="default"/>
          <w:color w:val="0D0D0D"/>
          <w:spacing w:val="-4"/>
        </w:rPr>
        <w:t>“</w:t>
      </w:r>
      <w:r>
        <w:rPr>
          <w:color w:val="0D0D0D"/>
          <w:spacing w:val="-4"/>
        </w:rPr>
        <w:t>应收票据及应收账款</w:t>
      </w:r>
      <w:r>
        <w:rPr>
          <w:rFonts w:ascii="Times New Roman" w:hAnsi="Times New Roman" w:cs="Times New Roman" w:eastAsia="Times New Roman" w:hint="default"/>
          <w:color w:val="0D0D0D"/>
          <w:spacing w:val="-4"/>
        </w:rPr>
        <w:t>”</w:t>
      </w:r>
      <w:r>
        <w:rPr>
          <w:color w:val="0D0D0D"/>
          <w:spacing w:val="-4"/>
        </w:rPr>
        <w:t>、</w:t>
      </w:r>
      <w:r>
        <w:rPr>
          <w:rFonts w:ascii="Times New Roman" w:hAnsi="Times New Roman" w:cs="Times New Roman" w:eastAsia="Times New Roman" w:hint="default"/>
          <w:color w:val="0D0D0D"/>
          <w:spacing w:val="-4"/>
        </w:rPr>
        <w:t>“</w:t>
      </w:r>
      <w:r>
        <w:rPr>
          <w:color w:val="0D0D0D"/>
          <w:spacing w:val="-4"/>
        </w:rPr>
        <w:t>应付票据及应付账款</w:t>
      </w:r>
      <w:r>
        <w:rPr>
          <w:rFonts w:ascii="Times New Roman" w:hAnsi="Times New Roman" w:cs="Times New Roman" w:eastAsia="Times New Roman" w:hint="default"/>
          <w:color w:val="0D0D0D"/>
          <w:spacing w:val="-4"/>
        </w:rPr>
        <w:t>”</w:t>
      </w:r>
      <w:r>
        <w:rPr>
          <w:color w:val="0D0D0D"/>
          <w:spacing w:val="-4"/>
        </w:rPr>
        <w:t>、</w:t>
      </w:r>
      <w:r>
        <w:rPr>
          <w:rFonts w:ascii="Times New Roman" w:hAnsi="Times New Roman" w:cs="Times New Roman" w:eastAsia="Times New Roman" w:hint="default"/>
          <w:color w:val="0D0D0D"/>
          <w:spacing w:val="-4"/>
        </w:rPr>
        <w:t>“</w:t>
      </w:r>
      <w:r>
        <w:rPr>
          <w:color w:val="0D0D0D"/>
          <w:spacing w:val="-4"/>
        </w:rPr>
        <w:t>研发费用</w:t>
      </w:r>
      <w:r>
        <w:rPr>
          <w:rFonts w:ascii="Times New Roman" w:hAnsi="Times New Roman" w:cs="Times New Roman" w:eastAsia="Times New Roman" w:hint="default"/>
          <w:color w:val="0D0D0D"/>
          <w:spacing w:val="-4"/>
        </w:rPr>
        <w:t>”</w:t>
      </w:r>
      <w:r>
        <w:rPr>
          <w:color w:val="0D0D0D"/>
          <w:spacing w:val="-4"/>
        </w:rPr>
        <w:t>行项目，修订了</w:t>
      </w:r>
      <w:r>
        <w:rPr>
          <w:rFonts w:ascii="Times New Roman" w:hAnsi="Times New Roman" w:cs="Times New Roman" w:eastAsia="Times New Roman" w:hint="default"/>
          <w:color w:val="0D0D0D"/>
          <w:spacing w:val="-4"/>
        </w:rPr>
        <w:t>“</w:t>
      </w:r>
      <w:r>
        <w:rPr>
          <w:color w:val="0D0D0D"/>
          <w:spacing w:val="-4"/>
        </w:rPr>
        <w:t>其他应收款</w:t>
      </w:r>
      <w:r>
        <w:rPr>
          <w:rFonts w:ascii="Times New Roman" w:hAnsi="Times New Roman" w:cs="Times New Roman" w:eastAsia="Times New Roman" w:hint="default"/>
          <w:color w:val="0D0D0D"/>
          <w:spacing w:val="-4"/>
        </w:rPr>
        <w:t>”</w:t>
      </w:r>
      <w:r>
        <w:rPr>
          <w:color w:val="0D0D0D"/>
          <w:spacing w:val="-4"/>
        </w:rPr>
        <w:t>、</w:t>
      </w:r>
      <w:r>
        <w:rPr>
          <w:rFonts w:ascii="Times New Roman" w:hAnsi="Times New Roman" w:cs="Times New Roman" w:eastAsia="Times New Roman" w:hint="default"/>
          <w:color w:val="0D0D0D"/>
          <w:spacing w:val="-4"/>
        </w:rPr>
        <w:t>“</w:t>
      </w:r>
      <w:r>
        <w:rPr>
          <w:color w:val="0D0D0D"/>
          <w:spacing w:val="-4"/>
        </w:rPr>
        <w:t>固定资产</w:t>
      </w:r>
      <w:r>
        <w:rPr>
          <w:rFonts w:ascii="Times New Roman" w:hAnsi="Times New Roman" w:cs="Times New Roman" w:eastAsia="Times New Roman" w:hint="default"/>
          <w:color w:val="0D0D0D"/>
          <w:spacing w:val="-4"/>
        </w:rPr>
        <w:t>”</w:t>
      </w:r>
      <w:r>
        <w:rPr>
          <w:color w:val="0D0D0D"/>
          <w:spacing w:val="-4"/>
        </w:rPr>
        <w:t>、</w:t>
      </w:r>
      <w:r>
        <w:rPr>
          <w:rFonts w:ascii="Times New Roman" w:hAnsi="Times New Roman" w:cs="Times New Roman" w:eastAsia="Times New Roman" w:hint="default"/>
          <w:color w:val="0D0D0D"/>
          <w:spacing w:val="-4"/>
        </w:rPr>
        <w:t>“</w:t>
      </w:r>
      <w:r>
        <w:rPr>
          <w:color w:val="0D0D0D"/>
          <w:spacing w:val="-4"/>
        </w:rPr>
        <w:t>在建工程</w:t>
      </w:r>
      <w:r>
        <w:rPr>
          <w:rFonts w:ascii="Times New Roman" w:hAnsi="Times New Roman" w:cs="Times New Roman" w:eastAsia="Times New Roman" w:hint="default"/>
          <w:color w:val="0D0D0D"/>
          <w:spacing w:val="-4"/>
        </w:rPr>
        <w:t>”</w:t>
      </w:r>
      <w:r>
        <w:rPr>
          <w:color w:val="0D0D0D"/>
          <w:spacing w:val="-4"/>
        </w:rPr>
        <w:t>、</w:t>
      </w:r>
      <w:r>
        <w:rPr>
          <w:color w:val="0D0D0D"/>
          <w:spacing w:val="-79"/>
        </w:rPr>
        <w:t> </w:t>
      </w:r>
      <w:r>
        <w:rPr>
          <w:rFonts w:ascii="Times New Roman" w:hAnsi="Times New Roman" w:cs="Times New Roman" w:eastAsia="Times New Roman" w:hint="default"/>
          <w:color w:val="0D0D0D"/>
          <w:spacing w:val="-1"/>
        </w:rPr>
        <w:t>“</w:t>
      </w:r>
      <w:r>
        <w:rPr>
          <w:color w:val="0D0D0D"/>
          <w:spacing w:val="-1"/>
        </w:rPr>
        <w:t>其他应付款</w:t>
      </w:r>
      <w:r>
        <w:rPr>
          <w:rFonts w:ascii="Times New Roman" w:hAnsi="Times New Roman" w:cs="Times New Roman" w:eastAsia="Times New Roman" w:hint="default"/>
          <w:color w:val="0D0D0D"/>
          <w:spacing w:val="-1"/>
        </w:rPr>
        <w:t>”</w:t>
      </w:r>
      <w:r>
        <w:rPr>
          <w:color w:val="0D0D0D"/>
          <w:spacing w:val="-1"/>
        </w:rPr>
        <w:t>和</w:t>
      </w:r>
      <w:r>
        <w:rPr>
          <w:rFonts w:ascii="Times New Roman" w:hAnsi="Times New Roman" w:cs="Times New Roman" w:eastAsia="Times New Roman" w:hint="default"/>
          <w:color w:val="0D0D0D"/>
          <w:spacing w:val="-1"/>
        </w:rPr>
        <w:t>“</w:t>
      </w:r>
      <w:r>
        <w:rPr>
          <w:color w:val="0D0D0D"/>
          <w:spacing w:val="-1"/>
        </w:rPr>
        <w:t>长期应付款</w:t>
      </w:r>
      <w:r>
        <w:rPr>
          <w:rFonts w:ascii="Times New Roman" w:hAnsi="Times New Roman" w:cs="Times New Roman" w:eastAsia="Times New Roman" w:hint="default"/>
          <w:color w:val="0D0D0D"/>
          <w:spacing w:val="-1"/>
        </w:rPr>
        <w:t>”</w:t>
      </w:r>
      <w:r>
        <w:rPr>
          <w:color w:val="0D0D0D"/>
          <w:spacing w:val="-1"/>
        </w:rPr>
        <w:t>、</w:t>
      </w:r>
      <w:r>
        <w:rPr>
          <w:rFonts w:ascii="Times New Roman" w:hAnsi="Times New Roman" w:cs="Times New Roman" w:eastAsia="Times New Roman" w:hint="default"/>
          <w:color w:val="0D0D0D"/>
          <w:spacing w:val="-1"/>
        </w:rPr>
        <w:t>“</w:t>
      </w:r>
      <w:r>
        <w:rPr>
          <w:color w:val="0D0D0D"/>
          <w:spacing w:val="-1"/>
        </w:rPr>
        <w:t>管理费用</w:t>
      </w:r>
      <w:r>
        <w:rPr>
          <w:rFonts w:ascii="Times New Roman" w:hAnsi="Times New Roman" w:cs="Times New Roman" w:eastAsia="Times New Roman" w:hint="default"/>
          <w:color w:val="0D0D0D"/>
          <w:spacing w:val="-1"/>
        </w:rPr>
        <w:t>”</w:t>
      </w:r>
      <w:r>
        <w:rPr>
          <w:color w:val="0D0D0D"/>
          <w:spacing w:val="-1"/>
        </w:rPr>
        <w:t>行项目的列报内容，减少了</w:t>
      </w:r>
      <w:r>
        <w:rPr>
          <w:rFonts w:ascii="Times New Roman" w:hAnsi="Times New Roman" w:cs="Times New Roman" w:eastAsia="Times New Roman" w:hint="default"/>
          <w:color w:val="0D0D0D"/>
          <w:spacing w:val="-1"/>
        </w:rPr>
        <w:t>“</w:t>
      </w:r>
      <w:r>
        <w:rPr>
          <w:color w:val="0D0D0D"/>
          <w:spacing w:val="-1"/>
        </w:rPr>
        <w:t>应收票据</w:t>
      </w:r>
      <w:r>
        <w:rPr>
          <w:rFonts w:ascii="Times New Roman" w:hAnsi="Times New Roman" w:cs="Times New Roman" w:eastAsia="Times New Roman" w:hint="default"/>
          <w:color w:val="0D0D0D"/>
          <w:spacing w:val="-1"/>
        </w:rPr>
        <w:t>”</w:t>
      </w:r>
      <w:r>
        <w:rPr>
          <w:color w:val="0D0D0D"/>
          <w:spacing w:val="-1"/>
        </w:rPr>
        <w:t>、</w:t>
      </w:r>
      <w:r>
        <w:rPr>
          <w:rFonts w:ascii="Times New Roman" w:hAnsi="Times New Roman" w:cs="Times New Roman" w:eastAsia="Times New Roman" w:hint="default"/>
          <w:color w:val="0D0D0D"/>
          <w:spacing w:val="-1"/>
        </w:rPr>
        <w:t>“</w:t>
      </w:r>
      <w:r>
        <w:rPr>
          <w:color w:val="0D0D0D"/>
          <w:spacing w:val="-1"/>
        </w:rPr>
        <w:t>应收账款</w:t>
      </w:r>
      <w:r>
        <w:rPr>
          <w:rFonts w:ascii="Times New Roman" w:hAnsi="Times New Roman" w:cs="Times New Roman" w:eastAsia="Times New Roman" w:hint="default"/>
          <w:color w:val="0D0D0D"/>
          <w:spacing w:val="-1"/>
        </w:rPr>
        <w:t>”</w:t>
      </w:r>
      <w:r>
        <w:rPr>
          <w:color w:val="0D0D0D"/>
          <w:spacing w:val="-1"/>
        </w:rPr>
        <w:t>、</w:t>
      </w:r>
      <w:r>
        <w:rPr>
          <w:rFonts w:ascii="Times New Roman" w:hAnsi="Times New Roman" w:cs="Times New Roman" w:eastAsia="Times New Roman" w:hint="default"/>
          <w:color w:val="0D0D0D"/>
          <w:spacing w:val="-1"/>
        </w:rPr>
        <w:t>“</w:t>
      </w:r>
      <w:r>
        <w:rPr>
          <w:color w:val="0D0D0D"/>
          <w:spacing w:val="-1"/>
        </w:rPr>
        <w:t>应收股利</w:t>
      </w:r>
      <w:r>
        <w:rPr>
          <w:rFonts w:ascii="Times New Roman" w:hAnsi="Times New Roman" w:cs="Times New Roman" w:eastAsia="Times New Roman" w:hint="default"/>
          <w:color w:val="0D0D0D"/>
          <w:spacing w:val="-1"/>
        </w:rPr>
        <w:t>”</w:t>
      </w:r>
      <w:r>
        <w:rPr>
          <w:color w:val="0D0D0D"/>
          <w:spacing w:val="-1"/>
        </w:rPr>
        <w:t>、</w:t>
      </w:r>
      <w:r>
        <w:rPr>
          <w:rFonts w:ascii="Times New Roman" w:hAnsi="Times New Roman" w:cs="Times New Roman" w:eastAsia="Times New Roman" w:hint="default"/>
          <w:color w:val="0D0D0D"/>
          <w:spacing w:val="-1"/>
        </w:rPr>
        <w:t>“</w:t>
      </w:r>
      <w:r>
        <w:rPr>
          <w:color w:val="0D0D0D"/>
          <w:spacing w:val="-1"/>
        </w:rPr>
        <w:t>应收利息</w:t>
      </w:r>
      <w:r>
        <w:rPr>
          <w:rFonts w:ascii="Times New Roman" w:hAnsi="Times New Roman" w:cs="Times New Roman" w:eastAsia="Times New Roman" w:hint="default"/>
          <w:color w:val="0D0D0D"/>
          <w:spacing w:val="-1"/>
        </w:rPr>
        <w:t>”</w:t>
      </w:r>
      <w:r>
        <w:rPr>
          <w:color w:val="0D0D0D"/>
          <w:spacing w:val="-1"/>
        </w:rPr>
        <w:t>、</w:t>
      </w:r>
      <w:r>
        <w:rPr>
          <w:spacing w:val="-1"/>
        </w:rPr>
      </w:r>
    </w:p>
    <w:p>
      <w:pPr>
        <w:spacing w:after="0" w:line="300" w:lineRule="auto"/>
        <w:jc w:val="left"/>
        <w:sectPr>
          <w:pgSz w:w="11910" w:h="16840"/>
          <w:pgMar w:header="0" w:footer="979" w:top="1060" w:bottom="1160" w:left="740" w:right="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rFonts w:ascii="Times New Roman" w:hAnsi="Times New Roman" w:cs="Times New Roman" w:eastAsia="Times New Roman" w:hint="default"/>
          <w:color w:val="0D0D0D"/>
        </w:rPr>
        <w:t>“</w:t>
      </w:r>
      <w:r>
        <w:rPr>
          <w:color w:val="0D0D0D"/>
        </w:rPr>
        <w:t>固定资产清理</w:t>
      </w:r>
      <w:r>
        <w:rPr>
          <w:rFonts w:ascii="Times New Roman" w:hAnsi="Times New Roman" w:cs="Times New Roman" w:eastAsia="Times New Roman" w:hint="default"/>
          <w:color w:val="0D0D0D"/>
        </w:rPr>
        <w:t>”</w:t>
      </w:r>
      <w:r>
        <w:rPr>
          <w:color w:val="0D0D0D"/>
        </w:rPr>
        <w:t>、</w:t>
      </w:r>
      <w:r>
        <w:rPr>
          <w:rFonts w:ascii="Times New Roman" w:hAnsi="Times New Roman" w:cs="Times New Roman" w:eastAsia="Times New Roman" w:hint="default"/>
          <w:color w:val="0D0D0D"/>
        </w:rPr>
        <w:t>“</w:t>
      </w:r>
      <w:r>
        <w:rPr>
          <w:color w:val="0D0D0D"/>
        </w:rPr>
        <w:t>工程物资</w:t>
      </w:r>
      <w:r>
        <w:rPr>
          <w:rFonts w:ascii="Times New Roman" w:hAnsi="Times New Roman" w:cs="Times New Roman" w:eastAsia="Times New Roman" w:hint="default"/>
          <w:color w:val="0D0D0D"/>
        </w:rPr>
        <w:t>”</w:t>
      </w:r>
      <w:r>
        <w:rPr>
          <w:color w:val="0D0D0D"/>
        </w:rPr>
        <w:t>、</w:t>
      </w:r>
      <w:r>
        <w:rPr>
          <w:rFonts w:ascii="Times New Roman" w:hAnsi="Times New Roman" w:cs="Times New Roman" w:eastAsia="Times New Roman" w:hint="default"/>
          <w:color w:val="0D0D0D"/>
        </w:rPr>
        <w:t>“</w:t>
      </w:r>
      <w:r>
        <w:rPr>
          <w:color w:val="0D0D0D"/>
        </w:rPr>
        <w:t>应付票据</w:t>
      </w:r>
      <w:r>
        <w:rPr>
          <w:rFonts w:ascii="Times New Roman" w:hAnsi="Times New Roman" w:cs="Times New Roman" w:eastAsia="Times New Roman" w:hint="default"/>
          <w:color w:val="0D0D0D"/>
        </w:rPr>
        <w:t>”</w:t>
      </w:r>
      <w:r>
        <w:rPr>
          <w:color w:val="0D0D0D"/>
        </w:rPr>
        <w:t>、</w:t>
      </w:r>
      <w:r>
        <w:rPr>
          <w:rFonts w:ascii="Times New Roman" w:hAnsi="Times New Roman" w:cs="Times New Roman" w:eastAsia="Times New Roman" w:hint="default"/>
          <w:color w:val="0D0D0D"/>
        </w:rPr>
        <w:t>“</w:t>
      </w:r>
      <w:r>
        <w:rPr>
          <w:color w:val="0D0D0D"/>
        </w:rPr>
        <w:t>应付账款</w:t>
      </w:r>
      <w:r>
        <w:rPr>
          <w:rFonts w:ascii="Times New Roman" w:hAnsi="Times New Roman" w:cs="Times New Roman" w:eastAsia="Times New Roman" w:hint="default"/>
          <w:color w:val="0D0D0D"/>
        </w:rPr>
        <w:t>”</w:t>
      </w:r>
      <w:r>
        <w:rPr>
          <w:color w:val="0D0D0D"/>
        </w:rPr>
        <w:t>、</w:t>
      </w:r>
      <w:r>
        <w:rPr>
          <w:rFonts w:ascii="Times New Roman" w:hAnsi="Times New Roman" w:cs="Times New Roman" w:eastAsia="Times New Roman" w:hint="default"/>
          <w:color w:val="0D0D0D"/>
        </w:rPr>
        <w:t>“</w:t>
      </w:r>
      <w:r>
        <w:rPr>
          <w:color w:val="0D0D0D"/>
        </w:rPr>
        <w:t>应付利息</w:t>
      </w:r>
      <w:r>
        <w:rPr>
          <w:rFonts w:ascii="Times New Roman" w:hAnsi="Times New Roman" w:cs="Times New Roman" w:eastAsia="Times New Roman" w:hint="default"/>
          <w:color w:val="0D0D0D"/>
        </w:rPr>
        <w:t>”</w:t>
      </w:r>
      <w:r>
        <w:rPr>
          <w:color w:val="0D0D0D"/>
        </w:rPr>
        <w:t>、</w:t>
      </w:r>
      <w:r>
        <w:rPr>
          <w:rFonts w:ascii="Times New Roman" w:hAnsi="Times New Roman" w:cs="Times New Roman" w:eastAsia="Times New Roman" w:hint="default"/>
          <w:color w:val="0D0D0D"/>
        </w:rPr>
        <w:t>“</w:t>
      </w:r>
      <w:r>
        <w:rPr>
          <w:color w:val="0D0D0D"/>
        </w:rPr>
        <w:t>应付股利</w:t>
      </w:r>
      <w:r>
        <w:rPr>
          <w:rFonts w:ascii="Times New Roman" w:hAnsi="Times New Roman" w:cs="Times New Roman" w:eastAsia="Times New Roman" w:hint="default"/>
          <w:color w:val="0D0D0D"/>
        </w:rPr>
        <w:t>”</w:t>
      </w:r>
      <w:r>
        <w:rPr>
          <w:color w:val="0D0D0D"/>
        </w:rPr>
        <w:t>及</w:t>
      </w:r>
      <w:r>
        <w:rPr>
          <w:rFonts w:ascii="Times New Roman" w:hAnsi="Times New Roman" w:cs="Times New Roman" w:eastAsia="Times New Roman" w:hint="default"/>
          <w:color w:val="0D0D0D"/>
        </w:rPr>
        <w:t>“</w:t>
      </w:r>
      <w:r>
        <w:rPr>
          <w:color w:val="0D0D0D"/>
        </w:rPr>
        <w:t>专项应付款</w:t>
      </w:r>
      <w:r>
        <w:rPr>
          <w:rFonts w:ascii="Times New Roman" w:hAnsi="Times New Roman" w:cs="Times New Roman" w:eastAsia="Times New Roman" w:hint="default"/>
          <w:color w:val="0D0D0D"/>
        </w:rPr>
        <w:t>”</w:t>
      </w:r>
      <w:r>
        <w:rPr>
          <w:color w:val="0D0D0D"/>
        </w:rPr>
        <w:t>行项目，在</w:t>
      </w:r>
      <w:r>
        <w:rPr>
          <w:rFonts w:ascii="Times New Roman" w:hAnsi="Times New Roman" w:cs="Times New Roman" w:eastAsia="Times New Roman" w:hint="default"/>
          <w:color w:val="0D0D0D"/>
        </w:rPr>
        <w:t>“</w:t>
      </w:r>
      <w:r>
        <w:rPr>
          <w:color w:val="0D0D0D"/>
        </w:rPr>
        <w:t>财务费用</w:t>
      </w:r>
      <w:r>
        <w:rPr>
          <w:rFonts w:ascii="Times New Roman" w:hAnsi="Times New Roman" w:cs="Times New Roman" w:eastAsia="Times New Roman" w:hint="default"/>
          <w:color w:val="0D0D0D"/>
        </w:rPr>
        <w:t>”</w:t>
      </w:r>
      <w:r>
        <w:rPr>
          <w:rFonts w:ascii="Times New Roman" w:hAnsi="Times New Roman" w:cs="Times New Roman" w:eastAsia="Times New Roman" w:hint="default"/>
          <w:color w:val="0D0D0D"/>
          <w:w w:val="100"/>
        </w:rPr>
        <w:t> </w:t>
      </w:r>
      <w:r>
        <w:rPr>
          <w:color w:val="0D0D0D"/>
          <w:spacing w:val="-3"/>
        </w:rPr>
        <w:t>项目下增加</w:t>
      </w:r>
      <w:r>
        <w:rPr>
          <w:rFonts w:ascii="Times New Roman" w:hAnsi="Times New Roman" w:cs="Times New Roman" w:eastAsia="Times New Roman" w:hint="default"/>
          <w:color w:val="0D0D0D"/>
          <w:spacing w:val="-3"/>
        </w:rPr>
        <w:t>“</w:t>
      </w:r>
      <w:r>
        <w:rPr>
          <w:color w:val="0D0D0D"/>
          <w:spacing w:val="-3"/>
        </w:rPr>
        <w:t>其中：利息费用</w:t>
      </w:r>
      <w:r>
        <w:rPr>
          <w:rFonts w:ascii="Times New Roman" w:hAnsi="Times New Roman" w:cs="Times New Roman" w:eastAsia="Times New Roman" w:hint="default"/>
          <w:color w:val="0D0D0D"/>
          <w:spacing w:val="-3"/>
        </w:rPr>
        <w:t>”</w:t>
      </w:r>
      <w:r>
        <w:rPr>
          <w:color w:val="0D0D0D"/>
          <w:spacing w:val="-3"/>
        </w:rPr>
        <w:t>和</w:t>
      </w:r>
      <w:r>
        <w:rPr>
          <w:rFonts w:ascii="Times New Roman" w:hAnsi="Times New Roman" w:cs="Times New Roman" w:eastAsia="Times New Roman" w:hint="default"/>
          <w:color w:val="0D0D0D"/>
          <w:spacing w:val="-3"/>
        </w:rPr>
        <w:t>“</w:t>
      </w:r>
      <w:r>
        <w:rPr>
          <w:color w:val="0D0D0D"/>
          <w:spacing w:val="-3"/>
        </w:rPr>
        <w:t>利息收入</w:t>
      </w:r>
      <w:r>
        <w:rPr>
          <w:rFonts w:ascii="Times New Roman" w:hAnsi="Times New Roman" w:cs="Times New Roman" w:eastAsia="Times New Roman" w:hint="default"/>
          <w:color w:val="0D0D0D"/>
          <w:spacing w:val="-3"/>
        </w:rPr>
        <w:t>”</w:t>
      </w:r>
      <w:r>
        <w:rPr>
          <w:color w:val="0D0D0D"/>
          <w:spacing w:val="-3"/>
        </w:rPr>
        <w:t>行项目进行列报，调整了利润表部分项目的列报位置。对于上述列报项目的变更，</w:t>
      </w:r>
      <w:r>
        <w:rPr>
          <w:color w:val="0D0D0D"/>
          <w:spacing w:val="-55"/>
        </w:rPr>
        <w:t> </w:t>
      </w:r>
      <w:r>
        <w:rPr>
          <w:color w:val="0D0D0D"/>
          <w:spacing w:val="-55"/>
        </w:rPr>
      </w:r>
      <w:r>
        <w:rPr>
          <w:color w:val="0D0D0D"/>
        </w:rPr>
        <w:t>本集团采用追溯调整法进行会计处理，并对上年比较数据进行了追溯调整。</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right="0"/>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5"/>
        <w:spacing w:line="240" w:lineRule="auto" w:before="86"/>
        <w:ind w:right="0"/>
        <w:jc w:val="left"/>
      </w:pPr>
      <w:r>
        <w:rPr>
          <w:rFonts w:ascii="Times New Roman" w:hAnsi="Times New Roman" w:cs="Times New Roman" w:eastAsia="Times New Roman" w:hint="default"/>
        </w:rPr>
        <w:t>1</w:t>
      </w:r>
      <w:r>
        <w:rPr/>
        <w:t>、</w:t>
      </w:r>
      <w:r>
        <w:rPr>
          <w:spacing w:val="14"/>
        </w:rPr>
        <w:t> </w:t>
      </w:r>
      <w:r>
        <w:rPr/>
        <w:t>本年度新纳入合并财务报表范围的主体为：</w:t>
      </w:r>
    </w:p>
    <w:p>
      <w:pPr>
        <w:spacing w:line="240" w:lineRule="auto" w:before="13"/>
        <w:rPr>
          <w:rFonts w:ascii="宋体" w:hAnsi="宋体" w:cs="宋体" w:eastAsia="宋体" w:hint="default"/>
          <w:sz w:val="26"/>
          <w:szCs w:val="26"/>
        </w:rPr>
      </w:pPr>
    </w:p>
    <w:tbl>
      <w:tblPr>
        <w:tblW w:w="0" w:type="auto"/>
        <w:jc w:val="left"/>
        <w:tblInd w:w="137" w:type="dxa"/>
        <w:tblLayout w:type="fixed"/>
        <w:tblCellMar>
          <w:top w:w="0" w:type="dxa"/>
          <w:left w:w="0" w:type="dxa"/>
          <w:bottom w:w="0" w:type="dxa"/>
          <w:right w:w="0" w:type="dxa"/>
        </w:tblCellMar>
        <w:tblLook w:val="01E0"/>
      </w:tblPr>
      <w:tblGrid>
        <w:gridCol w:w="4622"/>
        <w:gridCol w:w="5037"/>
      </w:tblGrid>
      <w:tr>
        <w:trPr>
          <w:trHeight w:val="347" w:hRule="exact"/>
        </w:trPr>
        <w:tc>
          <w:tcPr>
            <w:tcW w:w="46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color w:val="0D0D0D"/>
                <w:sz w:val="20"/>
                <w:szCs w:val="20"/>
              </w:rPr>
              <w:t>名称</w:t>
            </w:r>
            <w:r>
              <w:rPr>
                <w:rFonts w:ascii="宋体" w:hAnsi="宋体" w:cs="宋体" w:eastAsia="宋体" w:hint="default"/>
                <w:sz w:val="20"/>
                <w:szCs w:val="20"/>
              </w:rPr>
            </w:r>
          </w:p>
        </w:tc>
        <w:tc>
          <w:tcPr>
            <w:tcW w:w="50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color w:val="0D0D0D"/>
                <w:sz w:val="20"/>
                <w:szCs w:val="20"/>
              </w:rPr>
              <w:t>变更原因</w:t>
            </w:r>
            <w:r>
              <w:rPr>
                <w:rFonts w:ascii="宋体" w:hAnsi="宋体" w:cs="宋体" w:eastAsia="宋体" w:hint="default"/>
                <w:sz w:val="20"/>
                <w:szCs w:val="20"/>
              </w:rPr>
            </w:r>
          </w:p>
        </w:tc>
      </w:tr>
      <w:tr>
        <w:trPr>
          <w:trHeight w:val="347" w:hRule="exact"/>
        </w:trPr>
        <w:tc>
          <w:tcPr>
            <w:tcW w:w="4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color w:val="0D0D0D"/>
                <w:sz w:val="20"/>
                <w:szCs w:val="20"/>
              </w:rPr>
              <w:t>深圳市日升科技有限公司</w:t>
            </w:r>
            <w:r>
              <w:rPr>
                <w:rFonts w:ascii="宋体" w:hAnsi="宋体" w:cs="宋体" w:eastAsia="宋体" w:hint="default"/>
                <w:sz w:val="20"/>
                <w:szCs w:val="20"/>
              </w:rPr>
            </w:r>
          </w:p>
        </w:tc>
        <w:tc>
          <w:tcPr>
            <w:tcW w:w="5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Times New Roman" w:hAnsi="Times New Roman" w:cs="Times New Roman" w:eastAsia="Times New Roman" w:hint="default"/>
                <w:color w:val="0D0D0D"/>
                <w:sz w:val="20"/>
                <w:szCs w:val="20"/>
              </w:rPr>
              <w:t>2018</w:t>
            </w:r>
            <w:r>
              <w:rPr>
                <w:rFonts w:ascii="宋体" w:hAnsi="宋体" w:cs="宋体" w:eastAsia="宋体" w:hint="default"/>
                <w:color w:val="0D0D0D"/>
                <w:sz w:val="20"/>
                <w:szCs w:val="20"/>
              </w:rPr>
              <w:t>年收购</w:t>
            </w:r>
            <w:r>
              <w:rPr>
                <w:rFonts w:ascii="宋体" w:hAnsi="宋体" w:cs="宋体" w:eastAsia="宋体" w:hint="default"/>
                <w:sz w:val="20"/>
                <w:szCs w:val="20"/>
              </w:rPr>
            </w:r>
          </w:p>
        </w:tc>
      </w:tr>
      <w:tr>
        <w:trPr>
          <w:trHeight w:val="347" w:hRule="exact"/>
        </w:trPr>
        <w:tc>
          <w:tcPr>
            <w:tcW w:w="4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 w:right="0"/>
              <w:jc w:val="left"/>
              <w:rPr>
                <w:rFonts w:ascii="宋体" w:hAnsi="宋体" w:cs="宋体" w:eastAsia="宋体" w:hint="default"/>
                <w:sz w:val="18"/>
                <w:szCs w:val="18"/>
              </w:rPr>
            </w:pPr>
            <w:r>
              <w:rPr>
                <w:rFonts w:ascii="Times New Roman"/>
                <w:color w:val="0D0D0D"/>
                <w:sz w:val="20"/>
              </w:rPr>
              <w:t>I-Access </w:t>
            </w:r>
            <w:r>
              <w:rPr>
                <w:rFonts w:ascii="宋体"/>
                <w:color w:val="0D0D0D"/>
                <w:sz w:val="18"/>
              </w:rPr>
              <w:t>NETWORK</w:t>
            </w:r>
            <w:r>
              <w:rPr>
                <w:rFonts w:ascii="宋体"/>
                <w:color w:val="0D0D0D"/>
                <w:spacing w:val="-2"/>
                <w:sz w:val="18"/>
              </w:rPr>
              <w:t> </w:t>
            </w:r>
            <w:r>
              <w:rPr>
                <w:rFonts w:ascii="宋体"/>
                <w:color w:val="0D0D0D"/>
                <w:sz w:val="18"/>
              </w:rPr>
              <w:t>LIMITED</w:t>
            </w:r>
            <w:r>
              <w:rPr>
                <w:rFonts w:ascii="宋体"/>
                <w:sz w:val="18"/>
              </w:rPr>
            </w:r>
          </w:p>
        </w:tc>
        <w:tc>
          <w:tcPr>
            <w:tcW w:w="5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Times New Roman" w:hAnsi="Times New Roman" w:cs="Times New Roman" w:eastAsia="Times New Roman" w:hint="default"/>
                <w:color w:val="0D0D0D"/>
                <w:sz w:val="20"/>
                <w:szCs w:val="20"/>
              </w:rPr>
              <w:t>2018</w:t>
            </w:r>
            <w:r>
              <w:rPr>
                <w:rFonts w:ascii="宋体" w:hAnsi="宋体" w:cs="宋体" w:eastAsia="宋体" w:hint="default"/>
                <w:color w:val="0D0D0D"/>
                <w:sz w:val="20"/>
                <w:szCs w:val="20"/>
              </w:rPr>
              <w:t>年收购</w:t>
            </w:r>
            <w:r>
              <w:rPr>
                <w:rFonts w:ascii="宋体" w:hAnsi="宋体" w:cs="宋体" w:eastAsia="宋体" w:hint="default"/>
                <w:sz w:val="20"/>
                <w:szCs w:val="20"/>
              </w:rPr>
            </w:r>
          </w:p>
        </w:tc>
      </w:tr>
      <w:tr>
        <w:trPr>
          <w:trHeight w:val="348" w:hRule="exact"/>
        </w:trPr>
        <w:tc>
          <w:tcPr>
            <w:tcW w:w="4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Times New Roman"/>
                <w:color w:val="0D0D0D"/>
                <w:sz w:val="20"/>
              </w:rPr>
              <w:t>iTalkBB VIP</w:t>
            </w:r>
            <w:r>
              <w:rPr>
                <w:rFonts w:ascii="Times New Roman"/>
                <w:sz w:val="18"/>
              </w:rPr>
              <w:t>,</w:t>
            </w:r>
            <w:r>
              <w:rPr>
                <w:rFonts w:ascii="Times New Roman"/>
                <w:spacing w:val="-5"/>
                <w:sz w:val="18"/>
              </w:rPr>
              <w:t> </w:t>
            </w:r>
            <w:r>
              <w:rPr>
                <w:rFonts w:ascii="Times New Roman"/>
                <w:sz w:val="18"/>
              </w:rPr>
              <w:t>Inc</w:t>
            </w:r>
          </w:p>
        </w:tc>
        <w:tc>
          <w:tcPr>
            <w:tcW w:w="5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Times New Roman" w:hAnsi="Times New Roman" w:cs="Times New Roman" w:eastAsia="Times New Roman" w:hint="default"/>
                <w:color w:val="0D0D0D"/>
                <w:sz w:val="20"/>
                <w:szCs w:val="20"/>
              </w:rPr>
              <w:t>2018</w:t>
            </w:r>
            <w:r>
              <w:rPr>
                <w:rFonts w:ascii="宋体" w:hAnsi="宋体" w:cs="宋体" w:eastAsia="宋体" w:hint="default"/>
                <w:color w:val="0D0D0D"/>
                <w:sz w:val="20"/>
                <w:szCs w:val="20"/>
              </w:rPr>
              <w:t>投资设立</w:t>
            </w:r>
            <w:r>
              <w:rPr>
                <w:rFonts w:ascii="宋体" w:hAnsi="宋体" w:cs="宋体" w:eastAsia="宋体" w:hint="default"/>
                <w:sz w:val="20"/>
                <w:szCs w:val="20"/>
              </w:rPr>
            </w:r>
          </w:p>
        </w:tc>
      </w:tr>
    </w:tbl>
    <w:p>
      <w:pPr>
        <w:spacing w:line="240" w:lineRule="auto" w:before="6"/>
        <w:rPr>
          <w:rFonts w:ascii="宋体" w:hAnsi="宋体" w:cs="宋体" w:eastAsia="宋体" w:hint="default"/>
          <w:sz w:val="20"/>
          <w:szCs w:val="20"/>
        </w:rPr>
      </w:pPr>
    </w:p>
    <w:p>
      <w:pPr>
        <w:pStyle w:val="Heading5"/>
        <w:spacing w:line="240" w:lineRule="auto"/>
        <w:ind w:left="263" w:right="0"/>
        <w:jc w:val="left"/>
      </w:pPr>
      <w:r>
        <w:rPr>
          <w:rFonts w:ascii="Times New Roman" w:hAnsi="Times New Roman" w:cs="Times New Roman" w:eastAsia="Times New Roman" w:hint="default"/>
        </w:rPr>
        <w:t>2</w:t>
      </w:r>
      <w:r>
        <w:rPr/>
        <w:t>、前海迪迅</w:t>
      </w:r>
      <w:r>
        <w:rPr>
          <w:rFonts w:ascii="Times New Roman" w:hAnsi="Times New Roman" w:cs="Times New Roman" w:eastAsia="Times New Roman" w:hint="default"/>
        </w:rPr>
        <w:t>(</w:t>
      </w:r>
      <w:r>
        <w:rPr/>
        <w:t>深圳</w:t>
      </w:r>
      <w:r>
        <w:rPr>
          <w:rFonts w:ascii="Times New Roman" w:hAnsi="Times New Roman" w:cs="Times New Roman" w:eastAsia="Times New Roman" w:hint="default"/>
        </w:rPr>
        <w:t>)</w:t>
      </w:r>
      <w:r>
        <w:rPr/>
        <w:t>有限公司、迪讯</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月完成注销。</w:t>
      </w:r>
    </w:p>
    <w:p>
      <w:pPr>
        <w:spacing w:line="240" w:lineRule="auto" w:before="3"/>
        <w:rPr>
          <w:rFonts w:ascii="宋体" w:hAnsi="宋体" w:cs="宋体" w:eastAsia="宋体" w:hint="default"/>
          <w:sz w:val="23"/>
          <w:szCs w:val="23"/>
        </w:rPr>
      </w:pPr>
    </w:p>
    <w:p>
      <w:pPr>
        <w:pStyle w:val="Heading2"/>
        <w:spacing w:line="240" w:lineRule="auto"/>
        <w:ind w:right="0"/>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hAnsi="宋体" w:cs="宋体" w:eastAsia="宋体" w:hint="default"/>
                <w:sz w:val="18"/>
                <w:szCs w:val="18"/>
              </w:rPr>
              <w:t>德勤华永会计师事务所（特殊普通合伙）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童传江；高天福</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right="0"/>
        <w:jc w:val="left"/>
      </w:pPr>
      <w:r>
        <w:rPr/>
        <w:t>当期是否改聘会计师事务所</w:t>
      </w:r>
    </w:p>
    <w:p>
      <w:pPr>
        <w:pStyle w:val="BodyText"/>
        <w:spacing w:line="340" w:lineRule="auto" w:before="116"/>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0"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公司报告期未发生破产重整相关事项。</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pict>
          <v:shape style="position:absolute;margin-left:292.602997pt;margin-top:68.831696pt;width:111.2pt;height:124.8pt;mso-position-horizontal-relative:page;mso-position-vertical-relative:paragraph;z-index:-100388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4"/>
                    <w:ind w:left="0" w:right="0"/>
                    <w:jc w:val="left"/>
                  </w:pPr>
                  <w:r>
                    <w:rPr/>
                    <w:t>（美国当地时间）</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850"/>
        <w:gridCol w:w="992"/>
        <w:gridCol w:w="2694"/>
        <w:gridCol w:w="850"/>
        <w:gridCol w:w="852"/>
        <w:gridCol w:w="718"/>
        <w:gridCol w:w="1052"/>
      </w:tblGrid>
      <w:tr>
        <w:trPr>
          <w:trHeight w:val="102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684" w:right="84"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1" w:right="38" w:hanging="180"/>
              <w:jc w:val="left"/>
              <w:rPr>
                <w:rFonts w:ascii="宋体" w:hAnsi="宋体" w:cs="宋体" w:eastAsia="宋体" w:hint="default"/>
                <w:sz w:val="18"/>
                <w:szCs w:val="18"/>
              </w:rPr>
            </w:pPr>
            <w:r>
              <w:rPr>
                <w:rFonts w:ascii="宋体" w:hAnsi="宋体" w:cs="宋体" w:eastAsia="宋体" w:hint="default"/>
                <w:sz w:val="18"/>
                <w:szCs w:val="18"/>
              </w:rPr>
              <w:t>是否形成预 计负债</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42"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9" w:right="29"/>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 果及影响</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31" w:right="29"/>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判决执 行情况</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7" w:right="88"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39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 在美国的全资孙公 司</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Global</w:t>
            </w:r>
            <w:r>
              <w:rPr>
                <w:rFonts w:ascii="Times New Roman" w:hAnsi="Times New Roman" w:cs="Times New Roman" w:eastAsia="Times New Roman" w:hint="default"/>
                <w:sz w:val="18"/>
                <w:szCs w:val="18"/>
              </w:rPr>
              <w:t> Communications Inc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和在香港的全</w:t>
            </w:r>
          </w:p>
          <w:p>
            <w:pPr>
              <w:pStyle w:val="TableParagraph"/>
              <w:spacing w:line="338" w:lineRule="auto"/>
              <w:ind w:left="22" w:right="152"/>
              <w:jc w:val="left"/>
              <w:rPr>
                <w:rFonts w:ascii="Times New Roman" w:hAnsi="Times New Roman" w:cs="Times New Roman" w:eastAsia="Times New Roman" w:hint="default"/>
                <w:sz w:val="18"/>
                <w:szCs w:val="18"/>
              </w:rPr>
            </w:pPr>
            <w:r>
              <w:rPr>
                <w:rFonts w:ascii="宋体" w:hAnsi="宋体" w:cs="宋体" w:eastAsia="宋体" w:hint="default"/>
                <w:sz w:val="18"/>
                <w:szCs w:val="18"/>
              </w:rPr>
              <w:t>资孙公司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iTalkTV</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HONGKONG</w:t>
            </w:r>
          </w:p>
          <w:p>
            <w:pPr>
              <w:pStyle w:val="TableParagraph"/>
              <w:spacing w:line="23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与</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GUANGZHOU</w:t>
            </w:r>
          </w:p>
          <w:p>
            <w:pPr>
              <w:pStyle w:val="TableParagraph"/>
              <w:spacing w:line="309" w:lineRule="auto" w:before="105"/>
              <w:ind w:left="22"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Media</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AMERICAN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Co.Ltd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版权侵权纠</w:t>
            </w:r>
            <w:r>
              <w:rPr>
                <w:rFonts w:ascii="宋体" w:hAnsi="宋体" w:cs="宋体" w:eastAsia="宋体" w:hint="default"/>
                <w:w w:val="99"/>
                <w:sz w:val="18"/>
                <w:szCs w:val="18"/>
              </w:rPr>
              <w:t> </w:t>
            </w:r>
            <w:r>
              <w:rPr>
                <w:rFonts w:ascii="宋体" w:hAnsi="宋体" w:cs="宋体" w:eastAsia="宋体" w:hint="default"/>
                <w:sz w:val="18"/>
                <w:szCs w:val="18"/>
              </w:rPr>
              <w:t>纷一案。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42,800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p>
            <w:pPr>
              <w:pStyle w:val="TableParagraph"/>
              <w:spacing w:line="304" w:lineRule="auto" w:before="61"/>
              <w:ind w:left="22" w:right="20"/>
              <w:jc w:val="left"/>
              <w:rPr>
                <w:rFonts w:ascii="宋体" w:hAnsi="宋体" w:cs="宋体" w:eastAsia="宋体" w:hint="default"/>
                <w:sz w:val="18"/>
                <w:szCs w:val="18"/>
              </w:rPr>
            </w:pPr>
            <w:r>
              <w:rPr>
                <w:rFonts w:ascii="宋体" w:hAnsi="宋体" w:cs="宋体" w:eastAsia="宋体" w:hint="default"/>
                <w:sz w:val="18"/>
                <w:szCs w:val="18"/>
              </w:rPr>
              <w:t>公司全资孙公司</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Global</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和全 资孙公司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iTalkTV</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HK</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已经与本诉 讼原告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GUANGZHOU</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Media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和本 案另一被告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Tigertech</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Media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签署 和解意向书，由</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Global</w:t>
            </w:r>
            <w:r>
              <w:rPr>
                <w:rFonts w:ascii="宋体" w:hAnsi="宋体" w:cs="宋体" w:eastAsia="宋体" w:hint="default"/>
                <w:sz w:val="18"/>
                <w:szCs w:val="18"/>
              </w:rPr>
              <w:t>、 </w:t>
            </w:r>
            <w:r>
              <w:rPr>
                <w:rFonts w:ascii="Times New Roman" w:hAnsi="Times New Roman" w:cs="Times New Roman" w:eastAsia="Times New Roman" w:hint="default"/>
                <w:sz w:val="18"/>
                <w:szCs w:val="18"/>
              </w:rPr>
              <w:t>iTalkTV</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HK</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承担其中</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万美元的 和解费用。</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日（美 </w:t>
            </w:r>
            <w:r>
              <w:rPr>
                <w:rFonts w:ascii="宋体" w:hAnsi="宋体" w:cs="宋体" w:eastAsia="宋体" w:hint="default"/>
                <w:spacing w:val="-7"/>
                <w:sz w:val="18"/>
                <w:szCs w:val="18"/>
              </w:rPr>
              <w:t>国当地时间），公司全资孙公司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Global</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和</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iTalkTV</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HK</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收到本 案受理法院出具的原告已撤诉的 证明函。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96" w:lineRule="exact"/>
              <w:ind w:right="-50"/>
              <w:jc w:val="left"/>
              <w:rPr>
                <w:rFonts w:ascii="宋体" w:hAnsi="宋体" w:cs="宋体" w:eastAsia="宋体" w:hint="default"/>
                <w:sz w:val="20"/>
                <w:szCs w:val="20"/>
              </w:rPr>
            </w:pPr>
            <w:r>
              <w:rPr>
                <w:rFonts w:ascii="宋体" w:hAnsi="宋体" w:cs="宋体" w:eastAsia="宋体" w:hint="default"/>
                <w:position w:val="-49"/>
                <w:sz w:val="20"/>
                <w:szCs w:val="20"/>
              </w:rPr>
              <w:pict>
                <v:group style="width:42pt;height:124.8pt;mso-position-horizontal-relative:char;mso-position-vertical-relative:line" coordorigin="0,0" coordsize="840,2496">
                  <v:group style="position:absolute;left:0;top:0;width:840;height:2496" coordorigin="0,0" coordsize="840,2496">
                    <v:shape style="position:absolute;left:0;top:0;width:840;height:2496" coordorigin="0,0" coordsize="840,2496" path="m0,2496l840,2496,840,0,0,0,0,2496xe" filled="true" fillcolor="#ffffff" stroked="false">
                      <v:path arrowok="t"/>
                      <v:fill type="solid"/>
                    </v:shape>
                  </v:group>
                </v:group>
              </w:pict>
            </w:r>
            <w:r>
              <w:rPr>
                <w:rFonts w:ascii="宋体" w:hAnsi="宋体" w:cs="宋体" w:eastAsia="宋体" w:hint="default"/>
                <w:position w:val="-49"/>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首次披 露时间：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316" w:lineRule="auto"/>
              <w:ind w:left="22" w:right="92"/>
              <w:jc w:val="both"/>
              <w:rPr>
                <w:rFonts w:ascii="宋体" w:hAnsi="宋体" w:cs="宋体" w:eastAsia="宋体" w:hint="default"/>
                <w:sz w:val="18"/>
                <w:szCs w:val="18"/>
              </w:rPr>
            </w:pPr>
            <w:r>
              <w:rPr>
                <w:rFonts w:ascii="宋体" w:hAnsi="宋体" w:cs="宋体" w:eastAsia="宋体" w:hint="default"/>
                <w:sz w:val="18"/>
                <w:szCs w:val="18"/>
              </w:rPr>
              <w:t>案件进 展披露 时间：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52"/>
              <w:ind w:left="4" w:right="128"/>
              <w:jc w:val="left"/>
              <w:rPr>
                <w:rFonts w:ascii="宋体" w:hAnsi="宋体" w:cs="宋体" w:eastAsia="宋体" w:hint="default"/>
                <w:sz w:val="18"/>
                <w:szCs w:val="18"/>
              </w:rPr>
            </w:pPr>
            <w:r>
              <w:rPr>
                <w:rFonts w:ascii="宋体" w:hAnsi="宋体" w:cs="宋体" w:eastAsia="宋体" w:hint="default"/>
                <w:sz w:val="18"/>
                <w:szCs w:val="18"/>
              </w:rPr>
              <w:t>详见巨潮资 讯网</w:t>
            </w:r>
          </w:p>
          <w:p>
            <w:pPr>
              <w:pStyle w:val="TableParagraph"/>
              <w:spacing w:line="309" w:lineRule="auto" w:before="19"/>
              <w:ind w:left="4" w:right="-5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www.chinf </w:t>
            </w:r>
            <w:r>
              <w:rPr>
                <w:rFonts w:ascii="Times New Roman" w:hAnsi="Times New Roman" w:cs="Times New Roman" w:eastAsia="Times New Roman" w:hint="default"/>
                <w:spacing w:val="-18"/>
                <w:sz w:val="18"/>
                <w:szCs w:val="18"/>
              </w:rPr>
              <w:t>o.com.cn</w:t>
            </w:r>
            <w:r>
              <w:rPr>
                <w:rFonts w:ascii="宋体" w:hAnsi="宋体" w:cs="宋体" w:eastAsia="宋体" w:hint="default"/>
                <w:spacing w:val="-18"/>
                <w:sz w:val="18"/>
                <w:szCs w:val="18"/>
              </w:rPr>
              <w:t>）、</w:t>
            </w:r>
            <w:r>
              <w:rPr>
                <w:rFonts w:ascii="宋体" w:hAnsi="宋体" w:cs="宋体" w:eastAsia="宋体" w:hint="default"/>
                <w:spacing w:val="-90"/>
                <w:sz w:val="18"/>
                <w:szCs w:val="18"/>
              </w:rPr>
              <w:t> </w:t>
            </w:r>
            <w:r>
              <w:rPr>
                <w:rFonts w:ascii="宋体" w:hAnsi="宋体" w:cs="宋体" w:eastAsia="宋体" w:hint="default"/>
                <w:sz w:val="18"/>
                <w:szCs w:val="18"/>
              </w:rPr>
              <w:t>中国证券报、</w:t>
            </w:r>
            <w:r>
              <w:rPr>
                <w:rFonts w:ascii="宋体" w:hAnsi="宋体" w:cs="宋体" w:eastAsia="宋体" w:hint="default"/>
                <w:sz w:val="18"/>
                <w:szCs w:val="18"/>
              </w:rPr>
              <w:t> </w:t>
            </w:r>
            <w:r>
              <w:rPr>
                <w:rFonts w:ascii="宋体" w:hAnsi="宋体" w:cs="宋体" w:eastAsia="宋体" w:hint="default"/>
                <w:spacing w:val="-12"/>
                <w:sz w:val="18"/>
                <w:szCs w:val="18"/>
              </w:rPr>
              <w:t>证券时报：公</w:t>
            </w:r>
            <w:r>
              <w:rPr>
                <w:rFonts w:ascii="宋体" w:hAnsi="宋体" w:cs="宋体" w:eastAsia="宋体" w:hint="default"/>
                <w:sz w:val="18"/>
                <w:szCs w:val="18"/>
              </w:rPr>
              <w:t> 告编号</w:t>
            </w:r>
          </w:p>
          <w:p>
            <w:pPr>
              <w:pStyle w:val="TableParagraph"/>
              <w:spacing w:line="240" w:lineRule="auto" w:before="24"/>
              <w:ind w:left="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2018-026</w:t>
            </w:r>
            <w:r>
              <w:rPr>
                <w:rFonts w:ascii="宋体" w:hAnsi="宋体" w:cs="宋体" w:eastAsia="宋体" w:hint="default"/>
                <w:spacing w:val="-5"/>
                <w:sz w:val="18"/>
                <w:szCs w:val="18"/>
              </w:rPr>
              <w:t>《关</w:t>
            </w:r>
          </w:p>
          <w:p>
            <w:pPr>
              <w:pStyle w:val="TableParagraph"/>
              <w:spacing w:line="316" w:lineRule="auto" w:before="63"/>
              <w:ind w:left="4"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于控股孙公 司重大诉讼 事项的公 </w:t>
            </w:r>
            <w:r>
              <w:rPr>
                <w:rFonts w:ascii="宋体" w:hAnsi="宋体" w:cs="宋体" w:eastAsia="宋体" w:hint="default"/>
                <w:spacing w:val="-15"/>
                <w:sz w:val="18"/>
                <w:szCs w:val="18"/>
              </w:rPr>
              <w:t>告》、公告编</w:t>
            </w:r>
            <w:r>
              <w:rPr>
                <w:rFonts w:ascii="宋体" w:hAnsi="宋体" w:cs="宋体" w:eastAsia="宋体" w:hint="default"/>
                <w:sz w:val="18"/>
                <w:szCs w:val="18"/>
              </w:rPr>
              <w:t> 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2018-027</w:t>
            </w:r>
          </w:p>
          <w:p>
            <w:pPr>
              <w:pStyle w:val="TableParagraph"/>
              <w:spacing w:line="319" w:lineRule="auto"/>
              <w:ind w:left="4" w:right="128"/>
              <w:jc w:val="both"/>
              <w:rPr>
                <w:rFonts w:ascii="宋体" w:hAnsi="宋体" w:cs="宋体" w:eastAsia="宋体" w:hint="default"/>
                <w:sz w:val="18"/>
                <w:szCs w:val="18"/>
              </w:rPr>
            </w:pPr>
            <w:r>
              <w:rPr>
                <w:rFonts w:ascii="宋体" w:hAnsi="宋体" w:cs="宋体" w:eastAsia="宋体" w:hint="default"/>
                <w:sz w:val="18"/>
                <w:szCs w:val="18"/>
              </w:rPr>
              <w:t>《关于控股 孙公司重大 诉讼进展的 </w:t>
            </w:r>
            <w:r>
              <w:rPr>
                <w:rFonts w:ascii="宋体" w:hAnsi="宋体" w:cs="宋体" w:eastAsia="宋体" w:hint="default"/>
                <w:spacing w:val="-23"/>
                <w:sz w:val="18"/>
                <w:szCs w:val="18"/>
              </w:rPr>
              <w:t>公告》。</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0"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日，公司第五届董事会第三十一次会议和第五届监事会第二十一次会议审议通过了《关于</w:t>
      </w:r>
      <w:r>
        <w:rPr>
          <w:rFonts w:ascii="Times New Roman" w:hAnsi="Times New Roman" w:cs="Times New Roman" w:eastAsia="Times New Roman" w:hint="default"/>
        </w:rPr>
        <w:t>&lt;</w:t>
      </w:r>
      <w:r>
        <w:rPr/>
        <w:t>二六三网络通 信股份有限公司</w:t>
      </w:r>
      <w:r>
        <w:rPr>
          <w:rFonts w:ascii="Times New Roman" w:hAnsi="Times New Roman" w:cs="Times New Roman" w:eastAsia="Times New Roman" w:hint="default"/>
        </w:rPr>
        <w:t>2018</w:t>
      </w:r>
      <w:r>
        <w:rPr/>
        <w:t>年股票期权激励计划（草案）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二六三网络通信股份有限公司</w:t>
      </w:r>
      <w:r>
        <w:rPr>
          <w:rFonts w:ascii="Times New Roman" w:hAnsi="Times New Roman" w:cs="Times New Roman" w:eastAsia="Times New Roman" w:hint="default"/>
        </w:rPr>
        <w:t>2018</w:t>
      </w:r>
      <w:r>
        <w:rPr/>
        <w:t>年股票</w:t>
      </w:r>
      <w:r>
        <w:rPr>
          <w:spacing w:val="-25"/>
        </w:rPr>
        <w:t> </w:t>
      </w:r>
      <w:r>
        <w:rPr>
          <w:spacing w:val="-25"/>
        </w:rPr>
      </w:r>
      <w:r>
        <w:rPr>
          <w:spacing w:val="-2"/>
        </w:rPr>
        <w:t>期权激励计划实施考核管理办法</w:t>
      </w:r>
      <w:r>
        <w:rPr>
          <w:rFonts w:ascii="Times New Roman" w:hAnsi="Times New Roman" w:cs="Times New Roman" w:eastAsia="Times New Roman" w:hint="default"/>
          <w:spacing w:val="-2"/>
        </w:rPr>
        <w:t>&gt;</w:t>
      </w:r>
      <w:r>
        <w:rPr>
          <w:spacing w:val="-2"/>
        </w:rPr>
        <w:t>的议案》、《关于提请股东大会授权董事会办理</w:t>
      </w:r>
      <w:r>
        <w:rPr>
          <w:rFonts w:ascii="Times New Roman" w:hAnsi="Times New Roman" w:cs="Times New Roman" w:eastAsia="Times New Roman" w:hint="default"/>
          <w:spacing w:val="-2"/>
        </w:rPr>
        <w:t>2018</w:t>
      </w:r>
      <w:r>
        <w:rPr>
          <w:spacing w:val="-2"/>
        </w:rPr>
        <w:t>年股票期权激励计划相关事宜的议案》</w:t>
      </w:r>
      <w:r>
        <w:rPr>
          <w:spacing w:val="-71"/>
        </w:rPr>
        <w:t> </w:t>
      </w:r>
      <w:r>
        <w:rPr/>
        <w:t>等议案；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月</w:t>
      </w:r>
      <w:r>
        <w:rPr>
          <w:rFonts w:ascii="Times New Roman" w:hAnsi="Times New Roman" w:cs="Times New Roman" w:eastAsia="Times New Roman" w:hint="default"/>
        </w:rPr>
        <w:t>5</w:t>
      </w:r>
      <w:r>
        <w:rPr/>
        <w:t>日，公司</w:t>
      </w:r>
      <w:r>
        <w:rPr>
          <w:rFonts w:ascii="Times New Roman" w:hAnsi="Times New Roman" w:cs="Times New Roman" w:eastAsia="Times New Roman" w:hint="default"/>
        </w:rPr>
        <w:t>2018</w:t>
      </w:r>
      <w:r>
        <w:rPr>
          <w:rFonts w:ascii="Times New Roman" w:hAnsi="Times New Roman" w:cs="Times New Roman" w:eastAsia="Times New Roman" w:hint="default"/>
          <w:spacing w:val="35"/>
        </w:rPr>
        <w:t> </w:t>
      </w:r>
      <w:r>
        <w:rPr/>
        <w:t>年第一次临时股东大会审议通过了《关于公司</w:t>
      </w:r>
      <w:r>
        <w:rPr>
          <w:rFonts w:ascii="Times New Roman" w:hAnsi="Times New Roman" w:cs="Times New Roman" w:eastAsia="Times New Roman" w:hint="default"/>
        </w:rPr>
        <w:t>&lt;2018</w:t>
      </w:r>
      <w:r>
        <w:rPr>
          <w:rFonts w:ascii="Times New Roman" w:hAnsi="Times New Roman" w:cs="Times New Roman" w:eastAsia="Times New Roman" w:hint="default"/>
          <w:spacing w:val="35"/>
        </w:rPr>
        <w:t> </w:t>
      </w:r>
      <w:r>
        <w:rPr/>
        <w:t>年股票期权激励计划（草案）</w:t>
      </w:r>
      <w:r>
        <w:rPr>
          <w:rFonts w:ascii="Times New Roman" w:hAnsi="Times New Roman" w:cs="Times New Roman" w:eastAsia="Times New Roman" w:hint="default"/>
        </w:rPr>
        <w:t>&gt;</w:t>
      </w:r>
      <w:r>
        <w:rPr/>
        <w:t>及</w:t>
      </w:r>
      <w:r>
        <w:rPr>
          <w:spacing w:val="-80"/>
        </w:rPr>
        <w:t> </w:t>
      </w:r>
      <w:r>
        <w:rPr/>
        <w:t>其摘要的议案》、《关于公司</w:t>
      </w:r>
      <w:r>
        <w:rPr>
          <w:rFonts w:ascii="Times New Roman" w:hAnsi="Times New Roman" w:cs="Times New Roman" w:eastAsia="Times New Roman" w:hint="default"/>
        </w:rPr>
        <w:t>&lt;2018</w:t>
      </w:r>
      <w:r>
        <w:rPr/>
        <w:t>年股票期权激励计划实施考核管理办法</w:t>
      </w:r>
      <w:r>
        <w:rPr>
          <w:rFonts w:ascii="Times New Roman" w:hAnsi="Times New Roman" w:cs="Times New Roman" w:eastAsia="Times New Roman" w:hint="default"/>
        </w:rPr>
        <w:t>&gt;</w:t>
      </w:r>
      <w:r>
        <w:rPr/>
        <w:t>的议案》、《关于提请股东大会授权董事会办</w:t>
      </w:r>
      <w:r>
        <w:rPr>
          <w:spacing w:val="-24"/>
        </w:rPr>
        <w:t> </w:t>
      </w:r>
      <w:r>
        <w:rPr>
          <w:spacing w:val="-24"/>
        </w:rPr>
      </w:r>
      <w:r>
        <w:rPr>
          <w:spacing w:val="-2"/>
        </w:rPr>
        <w:t>理公司</w:t>
      </w:r>
      <w:r>
        <w:rPr>
          <w:rFonts w:ascii="Times New Roman" w:hAnsi="Times New Roman" w:cs="Times New Roman" w:eastAsia="Times New Roman" w:hint="default"/>
          <w:spacing w:val="-2"/>
        </w:rPr>
        <w:t>2018</w:t>
      </w:r>
      <w:r>
        <w:rPr>
          <w:spacing w:val="-2"/>
        </w:rPr>
        <w:t>年股票期权激励计划相关事宜的议案》，公司董事会被授权确定股票期权授予日、在激励对象符合条件时向激励</w:t>
      </w:r>
    </w:p>
    <w:p>
      <w:pPr>
        <w:spacing w:after="0" w:line="300" w:lineRule="auto"/>
        <w:jc w:val="left"/>
        <w:sectPr>
          <w:pgSz w:w="11910" w:h="16840"/>
          <w:pgMar w:header="0"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both"/>
      </w:pPr>
      <w:r>
        <w:rPr/>
        <w:t>对象授予股票期权并办理授予股票期权所必须的全部事宜。</w:t>
      </w:r>
    </w:p>
    <w:p>
      <w:pPr>
        <w:pStyle w:val="BodyText"/>
        <w:spacing w:line="300" w:lineRule="auto" w:before="115"/>
        <w:ind w:right="1042"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日，公司召开第五届董事会第三十二次会议审议通过了《关于向激励对象授予股票期权的议案》，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 </w:t>
      </w:r>
      <w:r>
        <w:rPr/>
        <w:t>月</w:t>
      </w:r>
      <w:r>
        <w:rPr>
          <w:rFonts w:ascii="Times New Roman" w:hAnsi="Times New Roman" w:cs="Times New Roman" w:eastAsia="Times New Roman" w:hint="default"/>
        </w:rPr>
        <w:t>15</w:t>
      </w:r>
      <w:r>
        <w:rPr/>
        <w:t>日，公司完成</w:t>
      </w:r>
      <w:r>
        <w:rPr>
          <w:rFonts w:ascii="Times New Roman" w:hAnsi="Times New Roman" w:cs="Times New Roman" w:eastAsia="Times New Roman" w:hint="default"/>
        </w:rPr>
        <w:t>2018</w:t>
      </w:r>
      <w:r>
        <w:rPr/>
        <w:t>年股票期权激励计划的登记，本次激励对象共</w:t>
      </w:r>
      <w:r>
        <w:rPr>
          <w:rFonts w:ascii="Times New Roman" w:hAnsi="Times New Roman" w:cs="Times New Roman" w:eastAsia="Times New Roman" w:hint="default"/>
        </w:rPr>
        <w:t>106</w:t>
      </w:r>
      <w:r>
        <w:rPr/>
        <w:t>人，包括核心技术（业务）骨干人员，授予股票期</w:t>
      </w:r>
      <w:r>
        <w:rPr>
          <w:spacing w:val="-83"/>
        </w:rPr>
        <w:t> </w:t>
      </w:r>
      <w:r>
        <w:rPr>
          <w:spacing w:val="-83"/>
        </w:rPr>
      </w:r>
      <w:r>
        <w:rPr>
          <w:spacing w:val="-3"/>
        </w:rPr>
        <w:t>权</w:t>
      </w:r>
      <w:r>
        <w:rPr>
          <w:rFonts w:ascii="Times New Roman" w:hAnsi="Times New Roman" w:cs="Times New Roman" w:eastAsia="Times New Roman" w:hint="default"/>
          <w:spacing w:val="-3"/>
        </w:rPr>
        <w:t>360</w:t>
      </w:r>
      <w:r>
        <w:rPr>
          <w:spacing w:val="-3"/>
        </w:rPr>
        <w:t>万份，行权价格</w:t>
      </w:r>
      <w:r>
        <w:rPr>
          <w:rFonts w:ascii="Times New Roman" w:hAnsi="Times New Roman" w:cs="Times New Roman" w:eastAsia="Times New Roman" w:hint="default"/>
          <w:spacing w:val="-3"/>
        </w:rPr>
        <w:t>7.65</w:t>
      </w:r>
      <w:r>
        <w:rPr>
          <w:spacing w:val="-3"/>
        </w:rPr>
        <w:t>元</w:t>
      </w:r>
      <w:r>
        <w:rPr>
          <w:rFonts w:ascii="Times New Roman" w:hAnsi="Times New Roman" w:cs="Times New Roman" w:eastAsia="Times New Roman" w:hint="default"/>
          <w:spacing w:val="-3"/>
        </w:rPr>
        <w:t>/</w:t>
      </w:r>
      <w:r>
        <w:rPr>
          <w:spacing w:val="-3"/>
        </w:rPr>
        <w:t>股，授予日为</w:t>
      </w:r>
      <w:r>
        <w:rPr>
          <w:rFonts w:ascii="Times New Roman" w:hAnsi="Times New Roman" w:cs="Times New Roman" w:eastAsia="Times New Roman" w:hint="default"/>
          <w:spacing w:val="-3"/>
        </w:rPr>
        <w:t>2018  </w:t>
      </w:r>
      <w:r>
        <w:rPr/>
        <w:t>年</w:t>
      </w:r>
      <w:r>
        <w:rPr>
          <w:rFonts w:ascii="Times New Roman" w:hAnsi="Times New Roman" w:cs="Times New Roman" w:eastAsia="Times New Roman" w:hint="default"/>
        </w:rPr>
        <w:t>2  </w:t>
      </w:r>
      <w:r>
        <w:rPr/>
        <w:t>月</w:t>
      </w:r>
      <w:r>
        <w:rPr>
          <w:rFonts w:ascii="Times New Roman" w:hAnsi="Times New Roman" w:cs="Times New Roman" w:eastAsia="Times New Roman" w:hint="default"/>
        </w:rPr>
        <w:t>5</w:t>
      </w:r>
      <w:r>
        <w:rPr>
          <w:rFonts w:ascii="Times New Roman" w:hAnsi="Times New Roman" w:cs="Times New Roman" w:eastAsia="Times New Roman" w:hint="default"/>
          <w:spacing w:val="38"/>
        </w:rPr>
        <w:t> </w:t>
      </w:r>
      <w:r>
        <w:rPr>
          <w:spacing w:val="-3"/>
        </w:rPr>
        <w:t>日。具体见巨潮资讯网上的《关于向激励对象授予股票期权的公告》</w:t>
      </w:r>
    </w:p>
    <w:p>
      <w:pPr>
        <w:pStyle w:val="BodyText"/>
        <w:spacing w:line="240" w:lineRule="auto" w:before="14"/>
        <w:ind w:right="0"/>
        <w:jc w:val="both"/>
      </w:pPr>
      <w:r>
        <w:rPr/>
        <w:t>（</w:t>
      </w:r>
      <w:r>
        <w:rPr>
          <w:rFonts w:ascii="Times New Roman" w:hAnsi="Times New Roman" w:cs="Times New Roman" w:eastAsia="Times New Roman" w:hint="default"/>
        </w:rPr>
        <w:t>2018-011</w:t>
      </w:r>
      <w:r>
        <w:rPr/>
        <w:t>）和《关于股票期权授予完成的公告》（</w:t>
      </w:r>
      <w:r>
        <w:rPr>
          <w:rFonts w:ascii="Times New Roman" w:hAnsi="Times New Roman" w:cs="Times New Roman" w:eastAsia="Times New Roman" w:hint="default"/>
        </w:rPr>
        <w:t>2018-019</w:t>
      </w:r>
      <w:r>
        <w:rPr/>
        <w:t>）。</w:t>
      </w:r>
    </w:p>
    <w:p>
      <w:pPr>
        <w:pStyle w:val="BodyText"/>
        <w:spacing w:line="300" w:lineRule="auto" w:before="102"/>
        <w:ind w:right="1040"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日，公司第六届董事会第二次会议和第六届监事会第二次会议审议通过了《关于</w:t>
      </w:r>
      <w:r>
        <w:rPr>
          <w:rFonts w:ascii="Times New Roman" w:hAnsi="Times New Roman" w:cs="Times New Roman" w:eastAsia="Times New Roman" w:hint="default"/>
        </w:rPr>
        <w:t>&lt;2018</w:t>
      </w:r>
      <w:r>
        <w:rPr/>
        <w:t>年限制性股票与股 </w:t>
      </w:r>
      <w:r>
        <w:rPr>
          <w:spacing w:val="-3"/>
        </w:rPr>
        <w:t>票期权激励计划（草案）</w:t>
      </w:r>
      <w:r>
        <w:rPr>
          <w:rFonts w:ascii="Times New Roman" w:hAnsi="Times New Roman" w:cs="Times New Roman" w:eastAsia="Times New Roman" w:hint="default"/>
          <w:spacing w:val="-3"/>
        </w:rPr>
        <w:t>&gt;</w:t>
      </w:r>
      <w:r>
        <w:rPr>
          <w:spacing w:val="-3"/>
        </w:rPr>
        <w:t>及其摘要的议案》、《关于</w:t>
      </w:r>
      <w:r>
        <w:rPr>
          <w:rFonts w:ascii="Times New Roman" w:hAnsi="Times New Roman" w:cs="Times New Roman" w:eastAsia="Times New Roman" w:hint="default"/>
          <w:spacing w:val="-3"/>
        </w:rPr>
        <w:t>&lt;2018</w:t>
      </w:r>
      <w:r>
        <w:rPr>
          <w:spacing w:val="-3"/>
        </w:rPr>
        <w:t>年限制性股票与股票期权激励计划实施考核管理办法</w:t>
      </w:r>
      <w:r>
        <w:rPr>
          <w:rFonts w:ascii="Times New Roman" w:hAnsi="Times New Roman" w:cs="Times New Roman" w:eastAsia="Times New Roman" w:hint="default"/>
          <w:spacing w:val="-3"/>
        </w:rPr>
        <w:t>&gt;</w:t>
      </w:r>
      <w:r>
        <w:rPr>
          <w:spacing w:val="-3"/>
        </w:rPr>
        <w:t>的议案》、</w:t>
      </w:r>
    </w:p>
    <w:p>
      <w:pPr>
        <w:pStyle w:val="BodyText"/>
        <w:spacing w:line="304" w:lineRule="auto" w:before="13"/>
        <w:ind w:right="1130"/>
        <w:jc w:val="both"/>
      </w:pPr>
      <w:r>
        <w:rPr/>
        <w:t>《关于提请股东大会授权董事会办理</w:t>
      </w:r>
      <w:r>
        <w:rPr>
          <w:rFonts w:ascii="Times New Roman" w:hAnsi="Times New Roman" w:cs="Times New Roman" w:eastAsia="Times New Roman" w:hint="default"/>
        </w:rPr>
        <w:t>2018</w:t>
      </w:r>
      <w:r>
        <w:rPr/>
        <w:t>年限制性股票与股票期权激励计划相关事宜的议案》等议案。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日，公</w:t>
      </w:r>
      <w:r>
        <w:rPr>
          <w:spacing w:val="-84"/>
        </w:rPr>
        <w:t> </w:t>
      </w:r>
      <w:r>
        <w:rPr>
          <w:spacing w:val="-84"/>
        </w:rPr>
      </w:r>
      <w:r>
        <w:rPr>
          <w:spacing w:val="-2"/>
        </w:rPr>
        <w:t>司第六届董事会第三次会议和第六届监事会第三次会议审议通过了《关于调整</w:t>
      </w:r>
      <w:r>
        <w:rPr>
          <w:rFonts w:ascii="Times New Roman" w:hAnsi="Times New Roman" w:cs="Times New Roman" w:eastAsia="Times New Roman" w:hint="default"/>
          <w:spacing w:val="-2"/>
        </w:rPr>
        <w:t>2018</w:t>
      </w:r>
      <w:r>
        <w:rPr>
          <w:spacing w:val="-2"/>
        </w:rPr>
        <w:t>年限制性股票与股票期权激励计划激励对</w:t>
      </w:r>
      <w:r>
        <w:rPr>
          <w:spacing w:val="-60"/>
        </w:rPr>
        <w:t> </w:t>
      </w:r>
      <w:r>
        <w:rPr>
          <w:spacing w:val="-2"/>
        </w:rPr>
        <w:t>象名单及授予权益数量的议案》、《关于向激励对象授予限制性股票与股票期权的议案》，具体见巨潮资讯网上的《关于向</w:t>
      </w:r>
      <w:r>
        <w:rPr>
          <w:spacing w:val="-69"/>
        </w:rPr>
        <w:t> </w:t>
      </w:r>
      <w:r>
        <w:rPr>
          <w:spacing w:val="-69"/>
        </w:rPr>
      </w:r>
      <w:r>
        <w:rPr/>
        <w:t>激励对象授予限制性股票与股票期权的公告》（</w:t>
      </w:r>
      <w:r>
        <w:rPr>
          <w:rFonts w:ascii="Times New Roman" w:hAnsi="Times New Roman" w:cs="Times New Roman" w:eastAsia="Times New Roman" w:hint="default"/>
        </w:rPr>
        <w:t>2018-090</w:t>
      </w:r>
      <w:r>
        <w:rPr/>
        <w:t>）和《关于调整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年限制性股票与股票期权激励计划激励对象 名单及授予权益数量的公告》（</w:t>
      </w:r>
      <w:r>
        <w:rPr>
          <w:rFonts w:ascii="Times New Roman" w:hAnsi="Times New Roman" w:cs="Times New Roman" w:eastAsia="Times New Roman" w:hint="default"/>
        </w:rPr>
        <w:t>2018-089</w:t>
      </w:r>
      <w:r>
        <w:rPr/>
        <w:t>）。</w:t>
      </w:r>
    </w:p>
    <w:p>
      <w:pPr>
        <w:pStyle w:val="BodyText"/>
        <w:spacing w:line="300" w:lineRule="auto" w:before="47"/>
        <w:ind w:right="1129"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日，根据公司于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日召开的</w:t>
      </w:r>
      <w:r>
        <w:rPr>
          <w:rFonts w:ascii="Times New Roman" w:hAnsi="Times New Roman" w:cs="Times New Roman" w:eastAsia="Times New Roman" w:hint="default"/>
        </w:rPr>
        <w:t>2018</w:t>
      </w:r>
      <w:r>
        <w:rPr/>
        <w:t>年第四次临时股东大会的授权，公司向</w:t>
      </w:r>
      <w:r>
        <w:rPr>
          <w:rFonts w:ascii="Times New Roman" w:hAnsi="Times New Roman" w:cs="Times New Roman" w:eastAsia="Times New Roman" w:hint="default"/>
        </w:rPr>
        <w:t>9</w:t>
      </w:r>
      <w:r>
        <w:rPr/>
        <w:t>名激励对象授予限制性 股票</w:t>
      </w:r>
      <w:r>
        <w:rPr>
          <w:rFonts w:ascii="Times New Roman" w:hAnsi="Times New Roman" w:cs="Times New Roman" w:eastAsia="Times New Roman" w:hint="default"/>
        </w:rPr>
        <w:t>760</w:t>
      </w:r>
      <w:r>
        <w:rPr/>
        <w:t>万股，授予价格为</w:t>
      </w:r>
      <w:r>
        <w:rPr>
          <w:rFonts w:ascii="Times New Roman" w:hAnsi="Times New Roman" w:cs="Times New Roman" w:eastAsia="Times New Roman" w:hint="default"/>
        </w:rPr>
        <w:t>2.55</w:t>
      </w:r>
      <w:r>
        <w:rPr/>
        <w:t>元</w:t>
      </w:r>
      <w:r>
        <w:rPr>
          <w:rFonts w:ascii="Times New Roman" w:hAnsi="Times New Roman" w:cs="Times New Roman" w:eastAsia="Times New Roman" w:hint="default"/>
        </w:rPr>
        <w:t>/</w:t>
      </w:r>
      <w:r>
        <w:rPr/>
        <w:t>股；向</w:t>
      </w:r>
      <w:r>
        <w:rPr>
          <w:rFonts w:ascii="Times New Roman" w:hAnsi="Times New Roman" w:cs="Times New Roman" w:eastAsia="Times New Roman" w:hint="default"/>
        </w:rPr>
        <w:t>159</w:t>
      </w:r>
      <w:r>
        <w:rPr/>
        <w:t>名激励对象授予股票期权</w:t>
      </w:r>
      <w:r>
        <w:rPr>
          <w:rFonts w:ascii="Times New Roman" w:hAnsi="Times New Roman" w:cs="Times New Roman" w:eastAsia="Times New Roman" w:hint="default"/>
        </w:rPr>
        <w:t>812</w:t>
      </w:r>
      <w:r>
        <w:rPr/>
        <w:t>万份，授予价格为</w:t>
      </w:r>
      <w:r>
        <w:rPr>
          <w:rFonts w:ascii="Times New Roman" w:hAnsi="Times New Roman" w:cs="Times New Roman" w:eastAsia="Times New Roman" w:hint="default"/>
        </w:rPr>
        <w:t>5.10</w:t>
      </w:r>
      <w:r>
        <w:rPr/>
        <w:t>元</w:t>
      </w:r>
      <w:r>
        <w:rPr>
          <w:rFonts w:ascii="Times New Roman" w:hAnsi="Times New Roman" w:cs="Times New Roman" w:eastAsia="Times New Roman" w:hint="default"/>
        </w:rPr>
        <w:t>/</w:t>
      </w:r>
      <w:r>
        <w:rPr/>
        <w:t>股，限制性股票与股票期 </w:t>
      </w:r>
      <w:r>
        <w:rPr>
          <w:spacing w:val="-2"/>
        </w:rPr>
        <w:t>权的权益授予日为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7</w:t>
      </w:r>
      <w:r>
        <w:rPr>
          <w:spacing w:val="-2"/>
        </w:rPr>
        <w:t>日，公司完成对限制性股票的授予登记，</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14</w:t>
      </w:r>
      <w:r>
        <w:rPr>
          <w:spacing w:val="-2"/>
        </w:rPr>
        <w:t>日，公司完成股票期</w:t>
      </w:r>
      <w:r>
        <w:rPr>
          <w:spacing w:val="-44"/>
        </w:rPr>
        <w:t> </w:t>
      </w:r>
      <w:r>
        <w:rPr>
          <w:spacing w:val="-44"/>
        </w:rPr>
      </w:r>
      <w:r>
        <w:rPr>
          <w:spacing w:val="-1"/>
        </w:rPr>
        <w:t>权的授予登记，具体见巨潮资讯网上的《关于向激励对象授予限制性股票与股票期权的公告》（</w:t>
      </w:r>
      <w:r>
        <w:rPr>
          <w:rFonts w:ascii="Times New Roman" w:hAnsi="Times New Roman" w:cs="Times New Roman" w:eastAsia="Times New Roman" w:hint="default"/>
          <w:spacing w:val="-1"/>
        </w:rPr>
        <w:t>2018-090</w:t>
      </w:r>
      <w:r>
        <w:rPr>
          <w:spacing w:val="-1"/>
        </w:rPr>
        <w:t>）、《关于限制性</w:t>
      </w:r>
      <w:r>
        <w:rPr>
          <w:spacing w:val="-87"/>
        </w:rPr>
        <w:t> </w:t>
      </w:r>
      <w:r>
        <w:rPr>
          <w:spacing w:val="-87"/>
        </w:rPr>
      </w:r>
      <w:r>
        <w:rPr/>
        <w:t>股票授予登记完成的公告》（</w:t>
      </w:r>
      <w:r>
        <w:rPr>
          <w:rFonts w:ascii="Times New Roman" w:hAnsi="Times New Roman" w:cs="Times New Roman" w:eastAsia="Times New Roman" w:hint="default"/>
        </w:rPr>
        <w:t>2018-092</w:t>
      </w:r>
      <w:r>
        <w:rPr/>
        <w:t>）和《关于股票期权授予登记完成的公告》（</w:t>
      </w:r>
      <w:r>
        <w:rPr>
          <w:rFonts w:ascii="Times New Roman" w:hAnsi="Times New Roman" w:cs="Times New Roman" w:eastAsia="Times New Roman" w:hint="default"/>
        </w:rPr>
        <w:t>2018-093</w:t>
      </w:r>
      <w:r>
        <w:rPr/>
        <w:t>）。</w:t>
      </w:r>
    </w:p>
    <w:p>
      <w:pPr>
        <w:spacing w:line="240" w:lineRule="auto" w:before="2"/>
        <w:rPr>
          <w:rFonts w:ascii="宋体" w:hAnsi="宋体" w:cs="宋体" w:eastAsia="宋体" w:hint="default"/>
          <w:sz w:val="20"/>
          <w:szCs w:val="20"/>
        </w:rPr>
      </w:pPr>
    </w:p>
    <w:p>
      <w:pPr>
        <w:pStyle w:val="Heading2"/>
        <w:spacing w:line="240" w:lineRule="auto"/>
        <w:ind w:right="0"/>
        <w:jc w:val="both"/>
        <w:rPr>
          <w:b w:val="0"/>
          <w:bCs w:val="0"/>
        </w:rPr>
      </w:pPr>
      <w:bookmarkStart w:name="十六、重大关联交易" w:id="81"/>
      <w:bookmarkEnd w:id="81"/>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4"/>
        <w:spacing w:line="240" w:lineRule="auto"/>
        <w:ind w:right="0"/>
        <w:jc w:val="both"/>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4"/>
        <w:spacing w:line="240" w:lineRule="auto"/>
        <w:ind w:right="0"/>
        <w:jc w:val="both"/>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4"/>
        <w:spacing w:line="240" w:lineRule="auto"/>
        <w:ind w:right="0"/>
        <w:jc w:val="both"/>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3"/>
        <w:rPr>
          <w:rFonts w:ascii="宋体" w:hAnsi="宋体" w:cs="宋体" w:eastAsia="宋体" w:hint="default"/>
          <w:sz w:val="20"/>
          <w:szCs w:val="20"/>
        </w:rPr>
      </w:pPr>
    </w:p>
    <w:p>
      <w:pPr>
        <w:pStyle w:val="Heading4"/>
        <w:spacing w:line="240" w:lineRule="auto"/>
        <w:ind w:right="0"/>
        <w:jc w:val="both"/>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after="0" w:line="338" w:lineRule="auto"/>
        <w:jc w:val="left"/>
        <w:sectPr>
          <w:pgSz w:w="11910" w:h="16840"/>
          <w:pgMar w:header="0"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after="0" w:line="340" w:lineRule="auto"/>
        <w:jc w:val="left"/>
        <w:sectPr>
          <w:pgSz w:w="11910" w:h="16840"/>
          <w:pgMar w:header="0" w:footer="979" w:top="1060" w:bottom="1160" w:left="980" w:right="0"/>
        </w:sectPr>
      </w:pPr>
    </w:p>
    <w:p>
      <w:pPr>
        <w:spacing w:line="240" w:lineRule="auto" w:before="12"/>
        <w:rPr>
          <w:rFonts w:ascii="宋体" w:hAnsi="宋体" w:cs="宋体" w:eastAsia="宋体" w:hint="default"/>
          <w:sz w:val="2"/>
          <w:szCs w:val="2"/>
        </w:rPr>
      </w:pPr>
    </w:p>
    <w:p>
      <w:pPr>
        <w:spacing w:line="20" w:lineRule="exact"/>
        <w:ind w:left="36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left="400" w:right="0"/>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pStyle w:val="Heading4"/>
        <w:spacing w:line="240" w:lineRule="auto" w:before="179"/>
        <w:ind w:left="400" w:right="0"/>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12"/>
          <w:szCs w:val="12"/>
        </w:rPr>
      </w:pPr>
    </w:p>
    <w:p>
      <w:pPr>
        <w:spacing w:after="0" w:line="240" w:lineRule="auto"/>
        <w:rPr>
          <w:rFonts w:ascii="宋体" w:hAnsi="宋体" w:cs="宋体" w:eastAsia="宋体" w:hint="default"/>
          <w:sz w:val="12"/>
          <w:szCs w:val="12"/>
        </w:rPr>
        <w:sectPr>
          <w:headerReference w:type="default" r:id="rId16"/>
          <w:footerReference w:type="default" r:id="rId17"/>
          <w:pgSz w:w="16840" w:h="11910" w:orient="landscape"/>
          <w:pgMar w:header="867" w:footer="979" w:top="1060" w:bottom="1160" w:left="1040" w:right="1300"/>
          <w:pgNumType w:start="39"/>
        </w:sectPr>
      </w:pPr>
    </w:p>
    <w:p>
      <w:pPr>
        <w:pStyle w:val="BodyText"/>
        <w:spacing w:line="338" w:lineRule="auto" w:before="44"/>
        <w:ind w:left="40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400" w:right="0"/>
        <w:jc w:val="left"/>
      </w:pPr>
      <w:r>
        <w:rPr/>
        <w:t>单位：万元</w:t>
      </w:r>
    </w:p>
    <w:p>
      <w:pPr>
        <w:spacing w:after="0" w:line="240" w:lineRule="auto"/>
        <w:jc w:val="left"/>
        <w:sectPr>
          <w:type w:val="continuous"/>
          <w:pgSz w:w="16840" w:h="11910" w:orient="landscape"/>
          <w:pgMar w:top="1060" w:bottom="1160" w:left="1040" w:right="1300"/>
          <w:cols w:num="2" w:equalWidth="0">
            <w:col w:w="2201" w:space="10859"/>
            <w:col w:w="1440"/>
          </w:cols>
        </w:sectPr>
      </w:pPr>
    </w:p>
    <w:p>
      <w:pPr>
        <w:spacing w:line="240" w:lineRule="auto" w:before="13"/>
        <w:rPr>
          <w:rFonts w:ascii="宋体" w:hAnsi="宋体" w:cs="宋体" w:eastAsia="宋体" w:hint="default"/>
          <w:sz w:val="7"/>
          <w:szCs w:val="7"/>
        </w:rPr>
      </w:pPr>
    </w:p>
    <w:tbl>
      <w:tblPr>
        <w:tblW w:w="0" w:type="auto"/>
        <w:jc w:val="left"/>
        <w:tblInd w:w="367" w:type="dxa"/>
        <w:tblLayout w:type="fixed"/>
        <w:tblCellMar>
          <w:top w:w="0" w:type="dxa"/>
          <w:left w:w="0" w:type="dxa"/>
          <w:bottom w:w="0" w:type="dxa"/>
          <w:right w:w="0" w:type="dxa"/>
        </w:tblCellMar>
        <w:tblLook w:val="01E0"/>
      </w:tblPr>
      <w:tblGrid>
        <w:gridCol w:w="2735"/>
        <w:gridCol w:w="2876"/>
        <w:gridCol w:w="2901"/>
        <w:gridCol w:w="2797"/>
        <w:gridCol w:w="2705"/>
      </w:tblGrid>
      <w:tr>
        <w:trPr>
          <w:trHeight w:val="402" w:hRule="exact"/>
        </w:trPr>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具体类型</w:t>
            </w:r>
          </w:p>
        </w:tc>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2"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2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4"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2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未到期余额</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15,139</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5,036</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2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63,032</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7,192</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6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78,171</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12,228</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1160" w:left="1040" w:right="1300"/>
        </w:sectPr>
      </w:pPr>
    </w:p>
    <w:p>
      <w:pPr>
        <w:pStyle w:val="BodyText"/>
        <w:spacing w:line="240" w:lineRule="auto" w:before="51"/>
        <w:ind w:left="400" w:right="-20"/>
        <w:jc w:val="left"/>
      </w:pPr>
      <w:r>
        <w:rPr/>
        <w:t>单项金额重大或安全性较低、流动性较差、不保本的高风险委托理财具体情况</w:t>
      </w:r>
    </w:p>
    <w:p>
      <w:pPr>
        <w:pStyle w:val="BodyText"/>
        <w:spacing w:line="240" w:lineRule="auto" w:before="117"/>
        <w:ind w:left="40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400" w:right="0"/>
        <w:jc w:val="left"/>
      </w:pPr>
      <w:r>
        <w:rPr/>
        <w:t>单位：万元</w:t>
      </w:r>
    </w:p>
    <w:p>
      <w:pPr>
        <w:spacing w:after="0" w:line="240" w:lineRule="auto"/>
        <w:jc w:val="left"/>
        <w:sectPr>
          <w:type w:val="continuous"/>
          <w:pgSz w:w="16840" w:h="11910" w:orient="landscape"/>
          <w:pgMar w:top="1060" w:bottom="1160" w:left="1040" w:right="1300"/>
          <w:cols w:num="2" w:equalWidth="0">
            <w:col w:w="6521" w:space="6539"/>
            <w:col w:w="1440"/>
          </w:cols>
        </w:sectPr>
      </w:pPr>
    </w:p>
    <w:p>
      <w:pPr>
        <w:spacing w:line="240" w:lineRule="auto" w:before="1"/>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995"/>
        <w:gridCol w:w="854"/>
        <w:gridCol w:w="568"/>
        <w:gridCol w:w="565"/>
        <w:gridCol w:w="425"/>
        <w:gridCol w:w="850"/>
        <w:gridCol w:w="994"/>
        <w:gridCol w:w="2123"/>
        <w:gridCol w:w="428"/>
        <w:gridCol w:w="708"/>
        <w:gridCol w:w="708"/>
        <w:gridCol w:w="708"/>
        <w:gridCol w:w="852"/>
        <w:gridCol w:w="846"/>
        <w:gridCol w:w="638"/>
        <w:gridCol w:w="926"/>
        <w:gridCol w:w="1084"/>
      </w:tblGrid>
      <w:tr>
        <w:trPr>
          <w:trHeight w:val="1026" w:hRule="exact"/>
        </w:trPr>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 w:right="41"/>
              <w:jc w:val="both"/>
              <w:rPr>
                <w:rFonts w:ascii="宋体" w:hAnsi="宋体" w:cs="宋体" w:eastAsia="宋体" w:hint="default"/>
                <w:sz w:val="18"/>
                <w:szCs w:val="18"/>
              </w:rPr>
            </w:pPr>
            <w:r>
              <w:rPr>
                <w:rFonts w:ascii="宋体" w:hAnsi="宋体" w:cs="宋体" w:eastAsia="宋体" w:hint="default"/>
                <w:sz w:val="18"/>
                <w:szCs w:val="18"/>
              </w:rPr>
              <w:t>受托机构名 称（或受托 人姓名）</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受托机构</w:t>
            </w:r>
          </w:p>
          <w:p>
            <w:pPr>
              <w:pStyle w:val="TableParagraph"/>
              <w:spacing w:line="319" w:lineRule="auto" w:before="75"/>
              <w:ind w:left="61" w:right="60"/>
              <w:jc w:val="left"/>
              <w:rPr>
                <w:rFonts w:ascii="宋体" w:hAnsi="宋体" w:cs="宋体" w:eastAsia="宋体" w:hint="default"/>
                <w:sz w:val="18"/>
                <w:szCs w:val="18"/>
              </w:rPr>
            </w:pPr>
            <w:r>
              <w:rPr>
                <w:rFonts w:ascii="宋体" w:hAnsi="宋体" w:cs="宋体" w:eastAsia="宋体" w:hint="default"/>
                <w:sz w:val="18"/>
                <w:szCs w:val="18"/>
              </w:rPr>
              <w:t>（或受托 人）类型</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0"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0"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2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96" w:right="0"/>
              <w:jc w:val="left"/>
              <w:rPr>
                <w:rFonts w:ascii="宋体" w:hAnsi="宋体" w:cs="宋体" w:eastAsia="宋体" w:hint="default"/>
                <w:sz w:val="18"/>
                <w:szCs w:val="18"/>
              </w:rPr>
            </w:pPr>
            <w:r>
              <w:rPr>
                <w:rFonts w:ascii="宋体" w:hAnsi="宋体" w:cs="宋体" w:eastAsia="宋体" w:hint="default"/>
                <w:sz w:val="18"/>
                <w:szCs w:val="18"/>
              </w:rPr>
              <w:t>资金投向</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 w:right="29"/>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 w:right="78"/>
              <w:jc w:val="center"/>
              <w:rPr>
                <w:rFonts w:ascii="宋体" w:hAnsi="宋体" w:cs="宋体" w:eastAsia="宋体" w:hint="default"/>
                <w:sz w:val="18"/>
                <w:szCs w:val="18"/>
              </w:rPr>
            </w:pPr>
            <w:r>
              <w:rPr>
                <w:rFonts w:ascii="宋体" w:hAnsi="宋体" w:cs="宋体" w:eastAsia="宋体" w:hint="default"/>
                <w:sz w:val="18"/>
                <w:szCs w:val="18"/>
              </w:rPr>
              <w:t>参考年 化收益 率</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firstLine="55"/>
              <w:jc w:val="left"/>
              <w:rPr>
                <w:rFonts w:ascii="宋体" w:hAnsi="宋体" w:cs="宋体" w:eastAsia="宋体" w:hint="default"/>
                <w:sz w:val="18"/>
                <w:szCs w:val="18"/>
              </w:rPr>
            </w:pPr>
            <w:r>
              <w:rPr>
                <w:rFonts w:ascii="宋体" w:hAnsi="宋体" w:cs="宋体" w:eastAsia="宋体" w:hint="default"/>
                <w:sz w:val="18"/>
                <w:szCs w:val="18"/>
              </w:rPr>
              <w:t>预期收 </w:t>
            </w:r>
            <w:r>
              <w:rPr>
                <w:rFonts w:ascii="宋体" w:hAnsi="宋体" w:cs="宋体" w:eastAsia="宋体" w:hint="default"/>
                <w:spacing w:val="-18"/>
                <w:sz w:val="18"/>
                <w:szCs w:val="18"/>
              </w:rPr>
              <w:t>益（如有</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8" w:right="78"/>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59"/>
              <w:jc w:val="both"/>
              <w:rPr>
                <w:rFonts w:ascii="宋体" w:hAnsi="宋体" w:cs="宋体" w:eastAsia="宋体" w:hint="default"/>
                <w:sz w:val="18"/>
                <w:szCs w:val="18"/>
              </w:rPr>
            </w:pPr>
            <w:r>
              <w:rPr>
                <w:rFonts w:ascii="宋体" w:hAnsi="宋体" w:cs="宋体" w:eastAsia="宋体" w:hint="default"/>
                <w:sz w:val="18"/>
                <w:szCs w:val="18"/>
              </w:rPr>
              <w:t>报告期损 益实际收 回情况</w:t>
            </w:r>
          </w:p>
        </w:tc>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7" w:right="56"/>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57"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 w:right="42"/>
              <w:jc w:val="both"/>
              <w:rPr>
                <w:rFonts w:ascii="宋体" w:hAnsi="宋体" w:cs="宋体" w:eastAsia="宋体" w:hint="default"/>
                <w:sz w:val="18"/>
                <w:szCs w:val="18"/>
              </w:rPr>
            </w:pPr>
            <w:r>
              <w:rPr>
                <w:rFonts w:ascii="宋体" w:hAnsi="宋体" w:cs="宋体" w:eastAsia="宋体" w:hint="default"/>
                <w:sz w:val="18"/>
                <w:szCs w:val="18"/>
              </w:rPr>
              <w:t>是否经 过法定 程序</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7" w:right="96"/>
              <w:jc w:val="both"/>
              <w:rPr>
                <w:rFonts w:ascii="宋体" w:hAnsi="宋体" w:cs="宋体" w:eastAsia="宋体" w:hint="default"/>
                <w:sz w:val="18"/>
                <w:szCs w:val="18"/>
              </w:rPr>
            </w:pPr>
            <w:r>
              <w:rPr>
                <w:rFonts w:ascii="宋体" w:hAnsi="宋体" w:cs="宋体" w:eastAsia="宋体" w:hint="default"/>
                <w:sz w:val="18"/>
                <w:szCs w:val="18"/>
              </w:rPr>
              <w:t>未来是否 还有委托 理财计划</w:t>
            </w:r>
          </w:p>
        </w:tc>
        <w:tc>
          <w:tcPr>
            <w:tcW w:w="1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 w:right="85"/>
              <w:jc w:val="both"/>
              <w:rPr>
                <w:rFonts w:ascii="宋体" w:hAnsi="宋体" w:cs="宋体" w:eastAsia="宋体" w:hint="default"/>
                <w:sz w:val="18"/>
                <w:szCs w:val="18"/>
              </w:rPr>
            </w:pPr>
            <w:r>
              <w:rPr>
                <w:rFonts w:ascii="宋体" w:hAnsi="宋体" w:cs="宋体" w:eastAsia="宋体" w:hint="default"/>
                <w:sz w:val="18"/>
                <w:szCs w:val="18"/>
              </w:rPr>
              <w:t>事项概述及 相关查询索 引（如有）</w:t>
            </w: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浦发银行黄 寺支行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浦发银行黄 寺支行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浦发银行黄 寺支行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浦发银行黄 寺支行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1,900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浦发银行黄 寺支行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60" w:bottom="1160" w:left="104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995"/>
        <w:gridCol w:w="854"/>
        <w:gridCol w:w="568"/>
        <w:gridCol w:w="565"/>
        <w:gridCol w:w="425"/>
        <w:gridCol w:w="850"/>
        <w:gridCol w:w="994"/>
        <w:gridCol w:w="2123"/>
        <w:gridCol w:w="428"/>
        <w:gridCol w:w="708"/>
        <w:gridCol w:w="708"/>
        <w:gridCol w:w="708"/>
        <w:gridCol w:w="852"/>
        <w:gridCol w:w="846"/>
        <w:gridCol w:w="638"/>
        <w:gridCol w:w="926"/>
        <w:gridCol w:w="1084"/>
      </w:tblGrid>
      <w:tr>
        <w:trPr>
          <w:trHeight w:val="1041" w:hRule="exact"/>
        </w:trPr>
        <w:tc>
          <w:tcPr>
            <w:tcW w:w="99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 w:right="41"/>
              <w:jc w:val="both"/>
              <w:rPr>
                <w:rFonts w:ascii="宋体" w:hAnsi="宋体" w:cs="宋体" w:eastAsia="宋体" w:hint="default"/>
                <w:sz w:val="18"/>
                <w:szCs w:val="18"/>
              </w:rPr>
            </w:pPr>
            <w:r>
              <w:rPr>
                <w:rFonts w:ascii="宋体" w:hAnsi="宋体" w:cs="宋体" w:eastAsia="宋体" w:hint="default"/>
                <w:sz w:val="18"/>
                <w:szCs w:val="18"/>
              </w:rPr>
              <w:t>受托机构名 称（或受托 人姓名）</w:t>
            </w:r>
          </w:p>
        </w:tc>
        <w:tc>
          <w:tcPr>
            <w:tcW w:w="85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受托机构</w:t>
            </w:r>
          </w:p>
          <w:p>
            <w:pPr>
              <w:pStyle w:val="TableParagraph"/>
              <w:spacing w:line="319" w:lineRule="auto" w:before="77"/>
              <w:ind w:left="61" w:right="60"/>
              <w:jc w:val="left"/>
              <w:rPr>
                <w:rFonts w:ascii="宋体" w:hAnsi="宋体" w:cs="宋体" w:eastAsia="宋体" w:hint="default"/>
                <w:sz w:val="18"/>
                <w:szCs w:val="18"/>
              </w:rPr>
            </w:pPr>
            <w:r>
              <w:rPr>
                <w:rFonts w:ascii="宋体" w:hAnsi="宋体" w:cs="宋体" w:eastAsia="宋体" w:hint="default"/>
                <w:sz w:val="18"/>
                <w:szCs w:val="18"/>
              </w:rPr>
              <w:t>（或受托 人）类型</w:t>
            </w:r>
          </w:p>
        </w:tc>
        <w:tc>
          <w:tcPr>
            <w:tcW w:w="56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98" w:right="97"/>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56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42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6" w:right="26"/>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85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60"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99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31"/>
              <w:jc w:val="right"/>
              <w:rPr>
                <w:rFonts w:ascii="宋体" w:hAnsi="宋体" w:cs="宋体" w:eastAsia="宋体" w:hint="default"/>
                <w:sz w:val="18"/>
                <w:szCs w:val="18"/>
              </w:rPr>
            </w:pPr>
            <w:r>
              <w:rPr>
                <w:rFonts w:ascii="宋体" w:hAnsi="宋体" w:cs="宋体" w:eastAsia="宋体" w:hint="default"/>
                <w:sz w:val="18"/>
                <w:szCs w:val="18"/>
              </w:rPr>
              <w:t>终止日期</w:t>
            </w:r>
          </w:p>
        </w:tc>
        <w:tc>
          <w:tcPr>
            <w:tcW w:w="212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资金投向</w:t>
            </w:r>
          </w:p>
        </w:tc>
        <w:tc>
          <w:tcPr>
            <w:tcW w:w="42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 w:right="29"/>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70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8"/>
              <w:jc w:val="center"/>
              <w:rPr>
                <w:rFonts w:ascii="宋体" w:hAnsi="宋体" w:cs="宋体" w:eastAsia="宋体" w:hint="default"/>
                <w:sz w:val="18"/>
                <w:szCs w:val="18"/>
              </w:rPr>
            </w:pPr>
            <w:r>
              <w:rPr>
                <w:rFonts w:ascii="宋体" w:hAnsi="宋体" w:cs="宋体" w:eastAsia="宋体" w:hint="default"/>
                <w:sz w:val="18"/>
                <w:szCs w:val="18"/>
              </w:rPr>
              <w:t>参考年 化收益 率</w:t>
            </w:r>
          </w:p>
        </w:tc>
        <w:tc>
          <w:tcPr>
            <w:tcW w:w="70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firstLine="55"/>
              <w:jc w:val="left"/>
              <w:rPr>
                <w:rFonts w:ascii="宋体" w:hAnsi="宋体" w:cs="宋体" w:eastAsia="宋体" w:hint="default"/>
                <w:sz w:val="18"/>
                <w:szCs w:val="18"/>
              </w:rPr>
            </w:pPr>
            <w:r>
              <w:rPr>
                <w:rFonts w:ascii="宋体" w:hAnsi="宋体" w:cs="宋体" w:eastAsia="宋体" w:hint="default"/>
                <w:sz w:val="18"/>
                <w:szCs w:val="18"/>
              </w:rPr>
              <w:t>预期收 </w:t>
            </w:r>
            <w:r>
              <w:rPr>
                <w:rFonts w:ascii="宋体" w:hAnsi="宋体" w:cs="宋体" w:eastAsia="宋体" w:hint="default"/>
                <w:spacing w:val="-18"/>
                <w:sz w:val="18"/>
                <w:szCs w:val="18"/>
              </w:rPr>
              <w:t>益（如有</w:t>
            </w:r>
          </w:p>
        </w:tc>
        <w:tc>
          <w:tcPr>
            <w:tcW w:w="70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8" w:right="78"/>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c>
          <w:tcPr>
            <w:tcW w:w="85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59"/>
              <w:jc w:val="both"/>
              <w:rPr>
                <w:rFonts w:ascii="宋体" w:hAnsi="宋体" w:cs="宋体" w:eastAsia="宋体" w:hint="default"/>
                <w:sz w:val="18"/>
                <w:szCs w:val="18"/>
              </w:rPr>
            </w:pPr>
            <w:r>
              <w:rPr>
                <w:rFonts w:ascii="宋体" w:hAnsi="宋体" w:cs="宋体" w:eastAsia="宋体" w:hint="default"/>
                <w:sz w:val="18"/>
                <w:szCs w:val="18"/>
              </w:rPr>
              <w:t>报告期损 益实际收 回情况</w:t>
            </w:r>
          </w:p>
        </w:tc>
        <w:tc>
          <w:tcPr>
            <w:tcW w:w="84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7" w:right="56"/>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18"/>
              <w:ind w:left="57"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 w:right="42"/>
              <w:jc w:val="both"/>
              <w:rPr>
                <w:rFonts w:ascii="宋体" w:hAnsi="宋体" w:cs="宋体" w:eastAsia="宋体" w:hint="default"/>
                <w:sz w:val="18"/>
                <w:szCs w:val="18"/>
              </w:rPr>
            </w:pPr>
            <w:r>
              <w:rPr>
                <w:rFonts w:ascii="宋体" w:hAnsi="宋体" w:cs="宋体" w:eastAsia="宋体" w:hint="default"/>
                <w:sz w:val="18"/>
                <w:szCs w:val="18"/>
              </w:rPr>
              <w:t>是否经 过法定 程序</w:t>
            </w:r>
          </w:p>
        </w:tc>
        <w:tc>
          <w:tcPr>
            <w:tcW w:w="92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7" w:right="96"/>
              <w:jc w:val="both"/>
              <w:rPr>
                <w:rFonts w:ascii="宋体" w:hAnsi="宋体" w:cs="宋体" w:eastAsia="宋体" w:hint="default"/>
                <w:sz w:val="18"/>
                <w:szCs w:val="18"/>
              </w:rPr>
            </w:pPr>
            <w:r>
              <w:rPr>
                <w:rFonts w:ascii="宋体" w:hAnsi="宋体" w:cs="宋体" w:eastAsia="宋体" w:hint="default"/>
                <w:sz w:val="18"/>
                <w:szCs w:val="18"/>
              </w:rPr>
              <w:t>未来是否 还有委托 理财计划</w:t>
            </w:r>
          </w:p>
        </w:tc>
        <w:tc>
          <w:tcPr>
            <w:tcW w:w="108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 w:right="85"/>
              <w:jc w:val="both"/>
              <w:rPr>
                <w:rFonts w:ascii="宋体" w:hAnsi="宋体" w:cs="宋体" w:eastAsia="宋体" w:hint="default"/>
                <w:sz w:val="18"/>
                <w:szCs w:val="18"/>
              </w:rPr>
            </w:pPr>
            <w:r>
              <w:rPr>
                <w:rFonts w:ascii="宋体" w:hAnsi="宋体" w:cs="宋体" w:eastAsia="宋体" w:hint="default"/>
                <w:sz w:val="18"/>
                <w:szCs w:val="18"/>
              </w:rPr>
              <w:t>事项概述及 相关查询索 引（如有）</w:t>
            </w: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浦发银行黄 寺支行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浦发银行黄 寺支行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浦发银行黄 寺支行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浦发银行黄 寺支行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浦发银行黄 寺支行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浦发银行黄 寺支行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浦发银行黄 寺支行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2,937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浦发银行黄 寺支行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浦发银行黄 寺支行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浦发银行黄 寺支行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浦发银行黄 寺支行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10,061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浦发银行黄</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750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5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87"/>
              <w:jc w:val="center"/>
              <w:rPr>
                <w:rFonts w:ascii="宋体" w:hAnsi="宋体" w:cs="宋体" w:eastAsia="宋体" w:hint="default"/>
                <w:sz w:val="18"/>
                <w:szCs w:val="18"/>
              </w:rPr>
            </w:pPr>
            <w:r>
              <w:rPr>
                <w:rFonts w:ascii="宋体" w:hAnsi="宋体" w:cs="宋体" w:eastAsia="宋体" w:hint="default"/>
                <w:sz w:val="18"/>
                <w:szCs w:val="18"/>
              </w:rPr>
              <w:t>货币市场工具和银行存款</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04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995"/>
        <w:gridCol w:w="854"/>
        <w:gridCol w:w="568"/>
        <w:gridCol w:w="565"/>
        <w:gridCol w:w="425"/>
        <w:gridCol w:w="850"/>
        <w:gridCol w:w="994"/>
        <w:gridCol w:w="2123"/>
        <w:gridCol w:w="428"/>
        <w:gridCol w:w="708"/>
        <w:gridCol w:w="708"/>
        <w:gridCol w:w="708"/>
        <w:gridCol w:w="852"/>
        <w:gridCol w:w="846"/>
        <w:gridCol w:w="638"/>
        <w:gridCol w:w="926"/>
        <w:gridCol w:w="1084"/>
      </w:tblGrid>
      <w:tr>
        <w:trPr>
          <w:trHeight w:val="1041" w:hRule="exact"/>
        </w:trPr>
        <w:tc>
          <w:tcPr>
            <w:tcW w:w="99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 w:right="41"/>
              <w:jc w:val="both"/>
              <w:rPr>
                <w:rFonts w:ascii="宋体" w:hAnsi="宋体" w:cs="宋体" w:eastAsia="宋体" w:hint="default"/>
                <w:sz w:val="18"/>
                <w:szCs w:val="18"/>
              </w:rPr>
            </w:pPr>
            <w:r>
              <w:rPr>
                <w:rFonts w:ascii="宋体" w:hAnsi="宋体" w:cs="宋体" w:eastAsia="宋体" w:hint="default"/>
                <w:sz w:val="18"/>
                <w:szCs w:val="18"/>
              </w:rPr>
              <w:t>受托机构名 称（或受托 人姓名）</w:t>
            </w:r>
          </w:p>
        </w:tc>
        <w:tc>
          <w:tcPr>
            <w:tcW w:w="85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受托机构</w:t>
            </w:r>
          </w:p>
          <w:p>
            <w:pPr>
              <w:pStyle w:val="TableParagraph"/>
              <w:spacing w:line="319" w:lineRule="auto" w:before="77"/>
              <w:ind w:left="61" w:right="60"/>
              <w:jc w:val="left"/>
              <w:rPr>
                <w:rFonts w:ascii="宋体" w:hAnsi="宋体" w:cs="宋体" w:eastAsia="宋体" w:hint="default"/>
                <w:sz w:val="18"/>
                <w:szCs w:val="18"/>
              </w:rPr>
            </w:pPr>
            <w:r>
              <w:rPr>
                <w:rFonts w:ascii="宋体" w:hAnsi="宋体" w:cs="宋体" w:eastAsia="宋体" w:hint="default"/>
                <w:sz w:val="18"/>
                <w:szCs w:val="18"/>
              </w:rPr>
              <w:t>（或受托 人）类型</w:t>
            </w:r>
          </w:p>
        </w:tc>
        <w:tc>
          <w:tcPr>
            <w:tcW w:w="56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98" w:right="97"/>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56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42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6" w:right="26"/>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85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60"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99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0"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212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资金投向</w:t>
            </w:r>
          </w:p>
        </w:tc>
        <w:tc>
          <w:tcPr>
            <w:tcW w:w="42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 w:right="29"/>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70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8"/>
              <w:jc w:val="center"/>
              <w:rPr>
                <w:rFonts w:ascii="宋体" w:hAnsi="宋体" w:cs="宋体" w:eastAsia="宋体" w:hint="default"/>
                <w:sz w:val="18"/>
                <w:szCs w:val="18"/>
              </w:rPr>
            </w:pPr>
            <w:r>
              <w:rPr>
                <w:rFonts w:ascii="宋体" w:hAnsi="宋体" w:cs="宋体" w:eastAsia="宋体" w:hint="default"/>
                <w:sz w:val="18"/>
                <w:szCs w:val="18"/>
              </w:rPr>
              <w:t>参考年 化收益 率</w:t>
            </w:r>
          </w:p>
        </w:tc>
        <w:tc>
          <w:tcPr>
            <w:tcW w:w="70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firstLine="55"/>
              <w:jc w:val="left"/>
              <w:rPr>
                <w:rFonts w:ascii="宋体" w:hAnsi="宋体" w:cs="宋体" w:eastAsia="宋体" w:hint="default"/>
                <w:sz w:val="18"/>
                <w:szCs w:val="18"/>
              </w:rPr>
            </w:pPr>
            <w:r>
              <w:rPr>
                <w:rFonts w:ascii="宋体" w:hAnsi="宋体" w:cs="宋体" w:eastAsia="宋体" w:hint="default"/>
                <w:sz w:val="18"/>
                <w:szCs w:val="18"/>
              </w:rPr>
              <w:t>预期收 </w:t>
            </w:r>
            <w:r>
              <w:rPr>
                <w:rFonts w:ascii="宋体" w:hAnsi="宋体" w:cs="宋体" w:eastAsia="宋体" w:hint="default"/>
                <w:spacing w:val="-18"/>
                <w:sz w:val="18"/>
                <w:szCs w:val="18"/>
              </w:rPr>
              <w:t>益（如有</w:t>
            </w:r>
          </w:p>
        </w:tc>
        <w:tc>
          <w:tcPr>
            <w:tcW w:w="70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8" w:right="78"/>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c>
          <w:tcPr>
            <w:tcW w:w="85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59"/>
              <w:jc w:val="both"/>
              <w:rPr>
                <w:rFonts w:ascii="宋体" w:hAnsi="宋体" w:cs="宋体" w:eastAsia="宋体" w:hint="default"/>
                <w:sz w:val="18"/>
                <w:szCs w:val="18"/>
              </w:rPr>
            </w:pPr>
            <w:r>
              <w:rPr>
                <w:rFonts w:ascii="宋体" w:hAnsi="宋体" w:cs="宋体" w:eastAsia="宋体" w:hint="default"/>
                <w:sz w:val="18"/>
                <w:szCs w:val="18"/>
              </w:rPr>
              <w:t>报告期损 益实际收 回情况</w:t>
            </w:r>
          </w:p>
        </w:tc>
        <w:tc>
          <w:tcPr>
            <w:tcW w:w="84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7" w:right="56"/>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18"/>
              <w:ind w:left="57"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 w:right="42"/>
              <w:jc w:val="both"/>
              <w:rPr>
                <w:rFonts w:ascii="宋体" w:hAnsi="宋体" w:cs="宋体" w:eastAsia="宋体" w:hint="default"/>
                <w:sz w:val="18"/>
                <w:szCs w:val="18"/>
              </w:rPr>
            </w:pPr>
            <w:r>
              <w:rPr>
                <w:rFonts w:ascii="宋体" w:hAnsi="宋体" w:cs="宋体" w:eastAsia="宋体" w:hint="default"/>
                <w:sz w:val="18"/>
                <w:szCs w:val="18"/>
              </w:rPr>
              <w:t>是否经 过法定 程序</w:t>
            </w:r>
          </w:p>
        </w:tc>
        <w:tc>
          <w:tcPr>
            <w:tcW w:w="92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7" w:right="96"/>
              <w:jc w:val="both"/>
              <w:rPr>
                <w:rFonts w:ascii="宋体" w:hAnsi="宋体" w:cs="宋体" w:eastAsia="宋体" w:hint="default"/>
                <w:sz w:val="18"/>
                <w:szCs w:val="18"/>
              </w:rPr>
            </w:pPr>
            <w:r>
              <w:rPr>
                <w:rFonts w:ascii="宋体" w:hAnsi="宋体" w:cs="宋体" w:eastAsia="宋体" w:hint="default"/>
                <w:sz w:val="18"/>
                <w:szCs w:val="18"/>
              </w:rPr>
              <w:t>未来是否 还有委托 理财计划</w:t>
            </w:r>
          </w:p>
        </w:tc>
        <w:tc>
          <w:tcPr>
            <w:tcW w:w="108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 w:right="85"/>
              <w:jc w:val="both"/>
              <w:rPr>
                <w:rFonts w:ascii="宋体" w:hAnsi="宋体" w:cs="宋体" w:eastAsia="宋体" w:hint="default"/>
                <w:sz w:val="18"/>
                <w:szCs w:val="18"/>
              </w:rPr>
            </w:pPr>
            <w:r>
              <w:rPr>
                <w:rFonts w:ascii="宋体" w:hAnsi="宋体" w:cs="宋体" w:eastAsia="宋体" w:hint="default"/>
                <w:sz w:val="18"/>
                <w:szCs w:val="18"/>
              </w:rPr>
              <w:t>事项概述及 相关查询索 引（如有）</w:t>
            </w:r>
          </w:p>
        </w:tc>
      </w:tr>
      <w:tr>
        <w:trPr>
          <w:trHeight w:val="362"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寺支行</w:t>
            </w:r>
          </w:p>
        </w:tc>
        <w:tc>
          <w:tcPr>
            <w:tcW w:w="85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56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7"/>
              <w:jc w:val="center"/>
              <w:rPr>
                <w:rFonts w:ascii="宋体" w:hAnsi="宋体" w:cs="宋体" w:eastAsia="宋体" w:hint="default"/>
                <w:sz w:val="18"/>
                <w:szCs w:val="18"/>
              </w:rPr>
            </w:pPr>
            <w:r>
              <w:rPr>
                <w:rFonts w:ascii="宋体" w:hAnsi="宋体" w:cs="宋体" w:eastAsia="宋体" w:hint="default"/>
                <w:sz w:val="18"/>
                <w:szCs w:val="18"/>
              </w:rPr>
              <w:t>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浮动</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浦发银行黄 寺支行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990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浦发银行黄 寺支行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浦发银行黄 寺支行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140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宁波银行北 京分行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宁波银行北 京分行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1,036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宁波银行北 京分行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11.39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宁波银行北 京分行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2,300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宁波银行北 京分行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1,200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宁波银行北 京分行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宁波银行北 京分行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宁波银行北 京分行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4,500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04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995"/>
        <w:gridCol w:w="854"/>
        <w:gridCol w:w="568"/>
        <w:gridCol w:w="565"/>
        <w:gridCol w:w="425"/>
        <w:gridCol w:w="850"/>
        <w:gridCol w:w="994"/>
        <w:gridCol w:w="2123"/>
        <w:gridCol w:w="428"/>
        <w:gridCol w:w="708"/>
        <w:gridCol w:w="708"/>
        <w:gridCol w:w="708"/>
        <w:gridCol w:w="852"/>
        <w:gridCol w:w="846"/>
        <w:gridCol w:w="638"/>
        <w:gridCol w:w="926"/>
        <w:gridCol w:w="1084"/>
      </w:tblGrid>
      <w:tr>
        <w:trPr>
          <w:trHeight w:val="1041" w:hRule="exact"/>
        </w:trPr>
        <w:tc>
          <w:tcPr>
            <w:tcW w:w="99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 w:right="41"/>
              <w:jc w:val="both"/>
              <w:rPr>
                <w:rFonts w:ascii="宋体" w:hAnsi="宋体" w:cs="宋体" w:eastAsia="宋体" w:hint="default"/>
                <w:sz w:val="18"/>
                <w:szCs w:val="18"/>
              </w:rPr>
            </w:pPr>
            <w:r>
              <w:rPr>
                <w:rFonts w:ascii="宋体" w:hAnsi="宋体" w:cs="宋体" w:eastAsia="宋体" w:hint="default"/>
                <w:sz w:val="18"/>
                <w:szCs w:val="18"/>
              </w:rPr>
              <w:t>受托机构名 称（或受托 人姓名）</w:t>
            </w:r>
          </w:p>
        </w:tc>
        <w:tc>
          <w:tcPr>
            <w:tcW w:w="85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受托机构</w:t>
            </w:r>
          </w:p>
          <w:p>
            <w:pPr>
              <w:pStyle w:val="TableParagraph"/>
              <w:spacing w:line="319" w:lineRule="auto" w:before="77"/>
              <w:ind w:left="61" w:right="60"/>
              <w:jc w:val="left"/>
              <w:rPr>
                <w:rFonts w:ascii="宋体" w:hAnsi="宋体" w:cs="宋体" w:eastAsia="宋体" w:hint="default"/>
                <w:sz w:val="18"/>
                <w:szCs w:val="18"/>
              </w:rPr>
            </w:pPr>
            <w:r>
              <w:rPr>
                <w:rFonts w:ascii="宋体" w:hAnsi="宋体" w:cs="宋体" w:eastAsia="宋体" w:hint="default"/>
                <w:sz w:val="18"/>
                <w:szCs w:val="18"/>
              </w:rPr>
              <w:t>（或受托 人）类型</w:t>
            </w:r>
          </w:p>
        </w:tc>
        <w:tc>
          <w:tcPr>
            <w:tcW w:w="56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98" w:right="97"/>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56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42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6" w:right="26"/>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85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99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212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资金投向</w:t>
            </w:r>
          </w:p>
        </w:tc>
        <w:tc>
          <w:tcPr>
            <w:tcW w:w="42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 w:right="29"/>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70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8"/>
              <w:jc w:val="center"/>
              <w:rPr>
                <w:rFonts w:ascii="宋体" w:hAnsi="宋体" w:cs="宋体" w:eastAsia="宋体" w:hint="default"/>
                <w:sz w:val="18"/>
                <w:szCs w:val="18"/>
              </w:rPr>
            </w:pPr>
            <w:r>
              <w:rPr>
                <w:rFonts w:ascii="宋体" w:hAnsi="宋体" w:cs="宋体" w:eastAsia="宋体" w:hint="default"/>
                <w:sz w:val="18"/>
                <w:szCs w:val="18"/>
              </w:rPr>
              <w:t>参考年 化收益 率</w:t>
            </w:r>
          </w:p>
        </w:tc>
        <w:tc>
          <w:tcPr>
            <w:tcW w:w="70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firstLine="55"/>
              <w:jc w:val="left"/>
              <w:rPr>
                <w:rFonts w:ascii="宋体" w:hAnsi="宋体" w:cs="宋体" w:eastAsia="宋体" w:hint="default"/>
                <w:sz w:val="18"/>
                <w:szCs w:val="18"/>
              </w:rPr>
            </w:pPr>
            <w:r>
              <w:rPr>
                <w:rFonts w:ascii="宋体" w:hAnsi="宋体" w:cs="宋体" w:eastAsia="宋体" w:hint="default"/>
                <w:sz w:val="18"/>
                <w:szCs w:val="18"/>
              </w:rPr>
              <w:t>预期收 </w:t>
            </w:r>
            <w:r>
              <w:rPr>
                <w:rFonts w:ascii="宋体" w:hAnsi="宋体" w:cs="宋体" w:eastAsia="宋体" w:hint="default"/>
                <w:spacing w:val="-18"/>
                <w:sz w:val="18"/>
                <w:szCs w:val="18"/>
              </w:rPr>
              <w:t>益（如有</w:t>
            </w:r>
          </w:p>
        </w:tc>
        <w:tc>
          <w:tcPr>
            <w:tcW w:w="70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8" w:right="78"/>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c>
          <w:tcPr>
            <w:tcW w:w="85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59"/>
              <w:jc w:val="both"/>
              <w:rPr>
                <w:rFonts w:ascii="宋体" w:hAnsi="宋体" w:cs="宋体" w:eastAsia="宋体" w:hint="default"/>
                <w:sz w:val="18"/>
                <w:szCs w:val="18"/>
              </w:rPr>
            </w:pPr>
            <w:r>
              <w:rPr>
                <w:rFonts w:ascii="宋体" w:hAnsi="宋体" w:cs="宋体" w:eastAsia="宋体" w:hint="default"/>
                <w:sz w:val="18"/>
                <w:szCs w:val="18"/>
              </w:rPr>
              <w:t>报告期损 益实际收 回情况</w:t>
            </w:r>
          </w:p>
        </w:tc>
        <w:tc>
          <w:tcPr>
            <w:tcW w:w="84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7" w:right="56"/>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18"/>
              <w:ind w:left="57"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 w:right="42"/>
              <w:jc w:val="both"/>
              <w:rPr>
                <w:rFonts w:ascii="宋体" w:hAnsi="宋体" w:cs="宋体" w:eastAsia="宋体" w:hint="default"/>
                <w:sz w:val="18"/>
                <w:szCs w:val="18"/>
              </w:rPr>
            </w:pPr>
            <w:r>
              <w:rPr>
                <w:rFonts w:ascii="宋体" w:hAnsi="宋体" w:cs="宋体" w:eastAsia="宋体" w:hint="default"/>
                <w:sz w:val="18"/>
                <w:szCs w:val="18"/>
              </w:rPr>
              <w:t>是否经 过法定 程序</w:t>
            </w:r>
          </w:p>
        </w:tc>
        <w:tc>
          <w:tcPr>
            <w:tcW w:w="92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7" w:right="96"/>
              <w:jc w:val="both"/>
              <w:rPr>
                <w:rFonts w:ascii="宋体" w:hAnsi="宋体" w:cs="宋体" w:eastAsia="宋体" w:hint="default"/>
                <w:sz w:val="18"/>
                <w:szCs w:val="18"/>
              </w:rPr>
            </w:pPr>
            <w:r>
              <w:rPr>
                <w:rFonts w:ascii="宋体" w:hAnsi="宋体" w:cs="宋体" w:eastAsia="宋体" w:hint="default"/>
                <w:sz w:val="18"/>
                <w:szCs w:val="18"/>
              </w:rPr>
              <w:t>未来是否 还有委托 理财计划</w:t>
            </w:r>
          </w:p>
        </w:tc>
        <w:tc>
          <w:tcPr>
            <w:tcW w:w="108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 w:right="85"/>
              <w:jc w:val="both"/>
              <w:rPr>
                <w:rFonts w:ascii="宋体" w:hAnsi="宋体" w:cs="宋体" w:eastAsia="宋体" w:hint="default"/>
                <w:sz w:val="18"/>
                <w:szCs w:val="18"/>
              </w:rPr>
            </w:pPr>
            <w:r>
              <w:rPr>
                <w:rFonts w:ascii="宋体" w:hAnsi="宋体" w:cs="宋体" w:eastAsia="宋体" w:hint="default"/>
                <w:sz w:val="18"/>
                <w:szCs w:val="18"/>
              </w:rPr>
              <w:t>事项概述及 相关查询索 引（如有）</w:t>
            </w: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宁波银行北 京分行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宁波银行北 京分行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34.96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34.96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宁波银行北 京分行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宁波银行北 京分行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宁波银行北 京分行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民生银行北 京分行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39.85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39.85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民生银行北 京分行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民生银行北 京分行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民生银行北 京分行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66.48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66.48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民生银行北 京分行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货币市场工具和银行存款 等；债务及债务融资工具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78,171</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485.6</w:t>
            </w:r>
          </w:p>
        </w:tc>
        <w:tc>
          <w:tcPr>
            <w:tcW w:w="70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402.02</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4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400" w:right="0"/>
        <w:jc w:val="left"/>
      </w:pPr>
      <w:r>
        <w:rPr/>
        <w:t>委托理财出现预期无法收回本金或存在其他可能导致减值的情形</w:t>
      </w:r>
    </w:p>
    <w:p>
      <w:pPr>
        <w:pStyle w:val="BodyText"/>
        <w:spacing w:line="240" w:lineRule="auto" w:before="117"/>
        <w:ind w:left="40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6840" w:h="11910" w:orient="landscape"/>
          <w:pgMar w:header="867" w:footer="979" w:top="1060" w:bottom="1160" w:left="1040" w:right="1300"/>
        </w:sectPr>
      </w:pPr>
    </w:p>
    <w:p>
      <w:pPr>
        <w:spacing w:line="240" w:lineRule="auto" w:before="10"/>
        <w:rPr>
          <w:rFonts w:ascii="宋体" w:hAnsi="宋体" w:cs="宋体" w:eastAsia="宋体" w:hint="default"/>
          <w:sz w:val="20"/>
          <w:szCs w:val="20"/>
        </w:rPr>
      </w:pPr>
    </w:p>
    <w:p>
      <w:pPr>
        <w:pStyle w:val="Heading4"/>
        <w:spacing w:line="240" w:lineRule="auto" w:before="35"/>
        <w:ind w:left="534" w:right="8412"/>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34"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3"/>
        <w:rPr>
          <w:rFonts w:ascii="宋体" w:hAnsi="宋体" w:cs="宋体" w:eastAsia="宋体" w:hint="default"/>
          <w:sz w:val="21"/>
          <w:szCs w:val="21"/>
        </w:rPr>
      </w:pPr>
    </w:p>
    <w:p>
      <w:pPr>
        <w:pStyle w:val="Heading4"/>
        <w:spacing w:line="240" w:lineRule="auto"/>
        <w:ind w:left="534" w:right="8412"/>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34"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710"/>
        <w:gridCol w:w="708"/>
        <w:gridCol w:w="1016"/>
        <w:gridCol w:w="539"/>
        <w:gridCol w:w="976"/>
        <w:gridCol w:w="862"/>
        <w:gridCol w:w="574"/>
        <w:gridCol w:w="553"/>
        <w:gridCol w:w="587"/>
        <w:gridCol w:w="565"/>
        <w:gridCol w:w="428"/>
        <w:gridCol w:w="283"/>
        <w:gridCol w:w="428"/>
        <w:gridCol w:w="565"/>
        <w:gridCol w:w="1297"/>
      </w:tblGrid>
      <w:tr>
        <w:trPr>
          <w:trHeight w:val="1962"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79" w:right="79"/>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77" w:right="78"/>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42" w:right="0"/>
              <w:jc w:val="left"/>
              <w:rPr>
                <w:rFonts w:ascii="宋体" w:hAnsi="宋体" w:cs="宋体" w:eastAsia="宋体" w:hint="default"/>
                <w:sz w:val="18"/>
                <w:szCs w:val="18"/>
              </w:rPr>
            </w:pPr>
            <w:r>
              <w:rPr>
                <w:rFonts w:ascii="宋体" w:hAnsi="宋体" w:cs="宋体" w:eastAsia="宋体" w:hint="default"/>
                <w:sz w:val="18"/>
                <w:szCs w:val="18"/>
              </w:rPr>
              <w:t>合同标的</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84" w:right="83"/>
              <w:jc w:val="both"/>
              <w:rPr>
                <w:rFonts w:ascii="宋体" w:hAnsi="宋体" w:cs="宋体" w:eastAsia="宋体" w:hint="default"/>
                <w:sz w:val="18"/>
                <w:szCs w:val="18"/>
              </w:rPr>
            </w:pPr>
            <w:r>
              <w:rPr>
                <w:rFonts w:ascii="宋体" w:hAnsi="宋体" w:cs="宋体" w:eastAsia="宋体" w:hint="default"/>
                <w:sz w:val="18"/>
                <w:szCs w:val="18"/>
              </w:rPr>
              <w:t>合同 签订 日期</w:t>
            </w:r>
          </w:p>
        </w:tc>
        <w:tc>
          <w:tcPr>
            <w:tcW w:w="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 w:right="-13"/>
              <w:jc w:val="both"/>
              <w:rPr>
                <w:rFonts w:ascii="宋体" w:hAnsi="宋体" w:cs="宋体" w:eastAsia="宋体" w:hint="default"/>
                <w:sz w:val="18"/>
                <w:szCs w:val="18"/>
              </w:rPr>
            </w:pPr>
            <w:r>
              <w:rPr>
                <w:rFonts w:ascii="宋体" w:hAnsi="宋体" w:cs="宋体" w:eastAsia="宋体" w:hint="default"/>
                <w:sz w:val="18"/>
                <w:szCs w:val="18"/>
              </w:rPr>
              <w:t>合同涉及资 产的账面价 值（万元）</w:t>
            </w:r>
          </w:p>
          <w:p>
            <w:pPr>
              <w:pStyle w:val="TableParagraph"/>
              <w:spacing w:line="240" w:lineRule="auto" w:before="20"/>
              <w:ind w:left="123"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64"/>
              <w:jc w:val="both"/>
              <w:rPr>
                <w:rFonts w:ascii="宋体" w:hAnsi="宋体" w:cs="宋体" w:eastAsia="宋体" w:hint="default"/>
                <w:sz w:val="18"/>
                <w:szCs w:val="18"/>
              </w:rPr>
            </w:pPr>
            <w:r>
              <w:rPr>
                <w:rFonts w:ascii="宋体" w:hAnsi="宋体" w:cs="宋体" w:eastAsia="宋体" w:hint="default"/>
                <w:sz w:val="18"/>
                <w:szCs w:val="18"/>
              </w:rPr>
              <w:t>合同涉及 资产的评 估价值</w:t>
            </w:r>
          </w:p>
          <w:p>
            <w:pPr>
              <w:pStyle w:val="TableParagraph"/>
              <w:spacing w:line="240" w:lineRule="auto" w:before="19"/>
              <w:ind w:left="110"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7"/>
              <w:ind w:left="65"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0" w:right="101"/>
              <w:jc w:val="both"/>
              <w:rPr>
                <w:rFonts w:ascii="宋体" w:hAnsi="宋体" w:cs="宋体" w:eastAsia="宋体" w:hint="default"/>
                <w:sz w:val="18"/>
                <w:szCs w:val="18"/>
              </w:rPr>
            </w:pPr>
            <w:r>
              <w:rPr>
                <w:rFonts w:ascii="宋体" w:hAnsi="宋体" w:cs="宋体" w:eastAsia="宋体" w:hint="default"/>
                <w:sz w:val="18"/>
                <w:szCs w:val="18"/>
              </w:rPr>
              <w:t>评估 机构 名称</w:t>
            </w:r>
          </w:p>
          <w:p>
            <w:pPr>
              <w:pStyle w:val="TableParagraph"/>
              <w:spacing w:line="319" w:lineRule="auto" w:before="19"/>
              <w:ind w:left="100" w:right="101"/>
              <w:jc w:val="both"/>
              <w:rPr>
                <w:rFonts w:ascii="宋体" w:hAnsi="宋体" w:cs="宋体" w:eastAsia="宋体" w:hint="default"/>
                <w:sz w:val="18"/>
                <w:szCs w:val="18"/>
              </w:rPr>
            </w:pPr>
            <w:r>
              <w:rPr>
                <w:rFonts w:ascii="宋体" w:hAnsi="宋体" w:cs="宋体" w:eastAsia="宋体" w:hint="default"/>
                <w:sz w:val="18"/>
                <w:szCs w:val="18"/>
              </w:rPr>
              <w:t>（如 有）</w:t>
            </w:r>
          </w:p>
        </w:tc>
        <w:tc>
          <w:tcPr>
            <w:tcW w:w="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3"/>
              <w:jc w:val="center"/>
              <w:rPr>
                <w:rFonts w:ascii="宋体" w:hAnsi="宋体" w:cs="宋体" w:eastAsia="宋体" w:hint="default"/>
                <w:sz w:val="18"/>
                <w:szCs w:val="18"/>
              </w:rPr>
            </w:pPr>
            <w:r>
              <w:rPr>
                <w:rFonts w:ascii="宋体" w:hAnsi="宋体" w:cs="宋体" w:eastAsia="宋体" w:hint="default"/>
                <w:sz w:val="18"/>
                <w:szCs w:val="18"/>
              </w:rPr>
              <w:t>评估 基准 </w:t>
            </w:r>
            <w:r>
              <w:rPr>
                <w:rFonts w:ascii="宋体" w:hAnsi="宋体" w:cs="宋体" w:eastAsia="宋体" w:hint="default"/>
                <w:spacing w:val="-15"/>
                <w:sz w:val="18"/>
                <w:szCs w:val="18"/>
              </w:rPr>
              <w:t>日（如</w:t>
            </w:r>
            <w:r>
              <w:rPr>
                <w:rFonts w:ascii="宋体" w:hAnsi="宋体" w:cs="宋体" w:eastAsia="宋体" w:hint="default"/>
                <w:sz w:val="18"/>
                <w:szCs w:val="18"/>
              </w:rPr>
              <w:t> 有）</w:t>
            </w:r>
          </w:p>
        </w:tc>
        <w:tc>
          <w:tcPr>
            <w:tcW w:w="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7" w:right="107"/>
              <w:jc w:val="left"/>
              <w:rPr>
                <w:rFonts w:ascii="宋体" w:hAnsi="宋体" w:cs="宋体" w:eastAsia="宋体" w:hint="default"/>
                <w:sz w:val="18"/>
                <w:szCs w:val="18"/>
              </w:rPr>
            </w:pPr>
            <w:r>
              <w:rPr>
                <w:rFonts w:ascii="宋体" w:hAnsi="宋体" w:cs="宋体" w:eastAsia="宋体" w:hint="default"/>
                <w:sz w:val="18"/>
                <w:szCs w:val="18"/>
              </w:rPr>
              <w:t>定价 原则</w:t>
            </w:r>
          </w:p>
        </w:tc>
        <w:tc>
          <w:tcPr>
            <w:tcW w:w="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7" w:right="96"/>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9" w:lineRule="auto" w:before="19"/>
              <w:ind w:left="97" w:right="96"/>
              <w:jc w:val="left"/>
              <w:rPr>
                <w:rFonts w:ascii="宋体" w:hAnsi="宋体" w:cs="宋体" w:eastAsia="宋体" w:hint="default"/>
                <w:sz w:val="18"/>
                <w:szCs w:val="18"/>
              </w:rPr>
            </w:pPr>
            <w:r>
              <w:rPr>
                <w:rFonts w:ascii="宋体" w:hAnsi="宋体" w:cs="宋体" w:eastAsia="宋体" w:hint="default"/>
                <w:sz w:val="18"/>
                <w:szCs w:val="18"/>
              </w:rPr>
              <w:t>（万 元）</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8" w:right="27"/>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5" w:right="47"/>
              <w:jc w:val="both"/>
              <w:rPr>
                <w:rFonts w:ascii="宋体" w:hAnsi="宋体" w:cs="宋体" w:eastAsia="宋体" w:hint="default"/>
                <w:sz w:val="18"/>
                <w:szCs w:val="18"/>
              </w:rPr>
            </w:pPr>
            <w:r>
              <w:rPr>
                <w:rFonts w:ascii="宋体" w:hAnsi="宋体" w:cs="宋体" w:eastAsia="宋体" w:hint="default"/>
                <w:sz w:val="18"/>
                <w:szCs w:val="18"/>
              </w:rPr>
              <w:t>关 联 关 系</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 w:right="29"/>
              <w:jc w:val="both"/>
              <w:rPr>
                <w:rFonts w:ascii="宋体" w:hAnsi="宋体" w:cs="宋体" w:eastAsia="宋体" w:hint="default"/>
                <w:sz w:val="18"/>
                <w:szCs w:val="18"/>
              </w:rPr>
            </w:pPr>
            <w:r>
              <w:rPr>
                <w:rFonts w:ascii="宋体" w:hAnsi="宋体" w:cs="宋体" w:eastAsia="宋体" w:hint="default"/>
                <w:sz w:val="18"/>
                <w:szCs w:val="18"/>
              </w:rPr>
              <w:t>截至 报告 期末 的执 行情 况</w:t>
            </w:r>
          </w:p>
        </w:tc>
        <w:tc>
          <w:tcPr>
            <w:tcW w:w="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7" w:right="96"/>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8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7"/>
              <w:jc w:val="both"/>
              <w:rPr>
                <w:rFonts w:ascii="宋体" w:hAnsi="宋体" w:cs="宋体" w:eastAsia="宋体" w:hint="default"/>
                <w:sz w:val="18"/>
                <w:szCs w:val="18"/>
              </w:rPr>
            </w:pPr>
            <w:r>
              <w:rPr>
                <w:rFonts w:ascii="宋体" w:hAnsi="宋体" w:cs="宋体" w:eastAsia="宋体" w:hint="default"/>
                <w:sz w:val="18"/>
                <w:szCs w:val="18"/>
              </w:rPr>
              <w:t>上海二 六三通 信有限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叶庆荣</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0" w:lineRule="auto"/>
              <w:ind w:left="22" w:right="82"/>
              <w:jc w:val="left"/>
              <w:rPr>
                <w:rFonts w:ascii="Times New Roman" w:hAnsi="Times New Roman" w:cs="Times New Roman" w:eastAsia="Times New Roman" w:hint="default"/>
                <w:sz w:val="18"/>
                <w:szCs w:val="18"/>
              </w:rPr>
            </w:pPr>
            <w:r>
              <w:rPr>
                <w:rFonts w:ascii="Times New Roman"/>
                <w:sz w:val="18"/>
              </w:rPr>
              <w:t>I-ACCESS</w:t>
            </w:r>
            <w:r>
              <w:rPr>
                <w:rFonts w:ascii="Times New Roman"/>
                <w:w w:val="99"/>
                <w:sz w:val="18"/>
              </w:rPr>
              <w:t> </w:t>
            </w:r>
            <w:r>
              <w:rPr>
                <w:rFonts w:ascii="Times New Roman"/>
                <w:sz w:val="18"/>
              </w:rPr>
              <w:t>NETWORK</w:t>
            </w:r>
            <w:r>
              <w:rPr>
                <w:rFonts w:ascii="Times New Roman"/>
                <w:w w:val="99"/>
                <w:sz w:val="18"/>
              </w:rPr>
              <w:t> </w:t>
            </w:r>
            <w:r>
              <w:rPr>
                <w:rFonts w:ascii="Times New Roman"/>
                <w:sz w:val="18"/>
              </w:rPr>
              <w:t>LIMITED</w:t>
            </w:r>
          </w:p>
          <w:p>
            <w:pPr>
              <w:pStyle w:val="TableParagraph"/>
              <w:spacing w:line="21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20" w:right="0"/>
              <w:jc w:val="left"/>
              <w:rPr>
                <w:rFonts w:ascii="Times New Roman" w:hAnsi="Times New Roman" w:cs="Times New Roman" w:eastAsia="Times New Roman" w:hint="default"/>
                <w:sz w:val="18"/>
                <w:szCs w:val="18"/>
              </w:rPr>
            </w:pPr>
            <w:r>
              <w:rPr>
                <w:rFonts w:ascii="Times New Roman"/>
                <w:sz w:val="18"/>
              </w:rPr>
              <w:t>3,334.11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34,400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9"/>
              <w:jc w:val="both"/>
              <w:rPr>
                <w:rFonts w:ascii="宋体" w:hAnsi="宋体" w:cs="宋体" w:eastAsia="宋体" w:hint="default"/>
                <w:sz w:val="18"/>
                <w:szCs w:val="18"/>
              </w:rPr>
            </w:pPr>
            <w:r>
              <w:rPr>
                <w:rFonts w:ascii="宋体" w:hAnsi="宋体" w:cs="宋体" w:eastAsia="宋体" w:hint="default"/>
                <w:sz w:val="18"/>
                <w:szCs w:val="18"/>
              </w:rPr>
              <w:t>天源 资产 评估 有限 公司</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92"/>
              <w:jc w:val="both"/>
              <w:rPr>
                <w:rFonts w:ascii="宋体" w:hAnsi="宋体" w:cs="宋体" w:eastAsia="宋体" w:hint="default"/>
                <w:sz w:val="18"/>
                <w:szCs w:val="18"/>
              </w:rPr>
            </w:pPr>
            <w:r>
              <w:rPr>
                <w:rFonts w:ascii="宋体" w:hAnsi="宋体" w:cs="宋体" w:eastAsia="宋体" w:hint="default"/>
                <w:sz w:val="18"/>
                <w:szCs w:val="18"/>
              </w:rPr>
              <w:t>资产 基础 法和 收益 法</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31,000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35"/>
              <w:jc w:val="left"/>
              <w:rPr>
                <w:rFonts w:ascii="宋体" w:hAnsi="宋体" w:cs="宋体" w:eastAsia="宋体" w:hint="default"/>
                <w:sz w:val="18"/>
                <w:szCs w:val="18"/>
              </w:rPr>
            </w:pPr>
            <w:r>
              <w:rPr>
                <w:rFonts w:ascii="宋体" w:hAnsi="宋体" w:cs="宋体" w:eastAsia="宋体" w:hint="default"/>
                <w:sz w:val="18"/>
                <w:szCs w:val="18"/>
              </w:rPr>
              <w:t>执行 中</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巨潮资讯网上</w:t>
            </w:r>
          </w:p>
          <w:p>
            <w:pPr>
              <w:pStyle w:val="TableParagraph"/>
              <w:spacing w:line="316" w:lineRule="auto" w:before="75"/>
              <w:ind w:left="22" w:right="182"/>
              <w:jc w:val="both"/>
              <w:rPr>
                <w:rFonts w:ascii="宋体" w:hAnsi="宋体" w:cs="宋体" w:eastAsia="宋体" w:hint="default"/>
                <w:sz w:val="18"/>
                <w:szCs w:val="18"/>
              </w:rPr>
            </w:pPr>
            <w:r>
              <w:rPr>
                <w:rFonts w:ascii="宋体" w:hAnsi="宋体" w:cs="宋体" w:eastAsia="宋体" w:hint="default"/>
                <w:sz w:val="18"/>
                <w:szCs w:val="18"/>
              </w:rPr>
              <w:t>《关于公司全 资子公司对外 投资的公告》</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7"/>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2018-052</w:t>
            </w:r>
            <w:r>
              <w:rPr>
                <w:rFonts w:ascii="宋体" w:hAnsi="宋体" w:cs="宋体" w:eastAsia="宋体" w:hint="default"/>
                <w:sz w:val="18"/>
                <w:szCs w:val="18"/>
              </w:rPr>
              <w:t>）</w:t>
            </w:r>
          </w:p>
        </w:tc>
      </w:tr>
    </w:tbl>
    <w:p>
      <w:pPr>
        <w:spacing w:line="240" w:lineRule="auto" w:before="2"/>
        <w:rPr>
          <w:rFonts w:ascii="宋体" w:hAnsi="宋体" w:cs="宋体" w:eastAsia="宋体" w:hint="default"/>
          <w:sz w:val="18"/>
          <w:szCs w:val="18"/>
        </w:rPr>
      </w:pPr>
    </w:p>
    <w:p>
      <w:pPr>
        <w:spacing w:line="506" w:lineRule="auto" w:before="26"/>
        <w:ind w:left="534" w:right="8583" w:firstLine="0"/>
        <w:jc w:val="left"/>
        <w:rPr>
          <w:rFonts w:ascii="宋体" w:hAnsi="宋体" w:cs="宋体" w:eastAsia="宋体" w:hint="default"/>
          <w:sz w:val="18"/>
          <w:szCs w:val="18"/>
        </w:rPr>
      </w:pPr>
      <w:bookmarkStart w:name="十八、社会责任情况" w:id="97"/>
      <w:bookmarkEnd w:id="97"/>
      <w:r>
        <w:rPr/>
      </w:r>
      <w:r>
        <w:rPr>
          <w:rFonts w:ascii="宋体" w:hAnsi="宋体" w:cs="宋体" w:eastAsia="宋体" w:hint="default"/>
          <w:b/>
          <w:bCs/>
          <w:sz w:val="24"/>
          <w:szCs w:val="24"/>
        </w:rPr>
        <w:t>十八、社会责任情况</w:t>
      </w:r>
      <w:r>
        <w:rPr>
          <w:rFonts w:ascii="宋体" w:hAnsi="宋体" w:cs="宋体" w:eastAsia="宋体" w:hint="default"/>
          <w:b/>
          <w:bCs/>
          <w:w w:val="99"/>
          <w:sz w:val="24"/>
          <w:szCs w:val="24"/>
        </w:rPr>
        <w:t> </w:t>
      </w:r>
      <w:bookmarkStart w:name="1、履行社会责任情况" w:id="98"/>
      <w:bookmarkEnd w:id="9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99"/>
          <w:sz w:val="21"/>
          <w:szCs w:val="21"/>
        </w:rPr>
        <w:t> </w:t>
      </w:r>
      <w:r>
        <w:rPr>
          <w:rFonts w:ascii="宋体" w:hAnsi="宋体" w:cs="宋体" w:eastAsia="宋体" w:hint="default"/>
          <w:sz w:val="18"/>
          <w:szCs w:val="18"/>
        </w:rPr>
        <w:t>不适用</w:t>
      </w:r>
    </w:p>
    <w:p>
      <w:pPr>
        <w:pStyle w:val="Heading4"/>
        <w:spacing w:line="240" w:lineRule="auto" w:before="152"/>
        <w:ind w:left="534" w:right="5712"/>
        <w:jc w:val="left"/>
        <w:rPr>
          <w:b w:val="0"/>
          <w:bCs w:val="0"/>
        </w:rPr>
      </w:pPr>
      <w:bookmarkStart w:name="2、 履行精准扶贫社会责任情况" w:id="99"/>
      <w:bookmarkEnd w:id="99"/>
      <w:r>
        <w:rPr>
          <w:b w:val="0"/>
          <w:bCs w:val="0"/>
        </w:rPr>
      </w:r>
      <w:r>
        <w:rPr>
          <w:rFonts w:ascii="Times New Roman" w:hAnsi="Times New Roman" w:cs="Times New Roman" w:eastAsia="Times New Roman" w:hint="default"/>
        </w:rPr>
        <w:t>2</w:t>
      </w:r>
      <w:r>
        <w:rPr/>
        <w:t>、</w:t>
      </w:r>
      <w:r>
        <w:rPr>
          <w:spacing w:val="-6"/>
        </w:rPr>
        <w:t> </w:t>
      </w:r>
      <w:r>
        <w:rPr/>
        <w:t>履行精准扶贫社会责任情况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34" w:right="8412"/>
        <w:jc w:val="left"/>
      </w:pPr>
      <w:r>
        <w:rPr/>
        <w:t>不适用</w:t>
      </w:r>
    </w:p>
    <w:p>
      <w:pPr>
        <w:spacing w:line="240" w:lineRule="auto" w:before="12"/>
        <w:rPr>
          <w:rFonts w:ascii="宋体" w:hAnsi="宋体" w:cs="宋体" w:eastAsia="宋体" w:hint="default"/>
          <w:sz w:val="26"/>
          <w:szCs w:val="26"/>
        </w:rPr>
      </w:pPr>
    </w:p>
    <w:p>
      <w:pPr>
        <w:pStyle w:val="Heading4"/>
        <w:spacing w:line="240" w:lineRule="auto"/>
        <w:ind w:left="534" w:right="8412"/>
        <w:jc w:val="left"/>
        <w:rPr>
          <w:b w:val="0"/>
          <w:bCs w:val="0"/>
        </w:rPr>
      </w:pPr>
      <w:bookmarkStart w:name="3、环境保护相关的情况" w:id="100"/>
      <w:bookmarkEnd w:id="100"/>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534" w:right="5712"/>
        <w:jc w:val="left"/>
      </w:pPr>
      <w:r>
        <w:rPr/>
        <w:t>上市公司及其子公司是否属于环境保护部门公布的重点排污单位 否</w:t>
      </w:r>
    </w:p>
    <w:p>
      <w:pPr>
        <w:pStyle w:val="BodyText"/>
        <w:spacing w:line="316" w:lineRule="auto" w:before="25"/>
        <w:ind w:left="751" w:right="1175"/>
        <w:jc w:val="left"/>
      </w:pPr>
      <w:r>
        <w:rPr/>
        <w:t>经公司核查，公司及子公司不属于环境保护部门公布的重点排污单位。 公司及子公司在日常生产经营中认真执行《中华人民共和国环境保护法》、《中华人民共和国水污染防治法》、《中华</w:t>
      </w:r>
    </w:p>
    <w:p>
      <w:pPr>
        <w:pStyle w:val="BodyText"/>
        <w:spacing w:line="316" w:lineRule="auto" w:before="19"/>
        <w:ind w:left="534" w:right="0"/>
        <w:jc w:val="left"/>
      </w:pPr>
      <w:r>
        <w:rPr>
          <w:spacing w:val="-2"/>
        </w:rPr>
        <w:t>人民共和国大气污染防治法》、《中华人民共和国固体废物污染防治法》等环保方面的法律法规，报告期内未出现因违法违</w:t>
      </w:r>
      <w:r>
        <w:rPr>
          <w:spacing w:val="-66"/>
        </w:rPr>
        <w:t> </w:t>
      </w:r>
      <w:r>
        <w:rPr>
          <w:spacing w:val="-66"/>
        </w:rPr>
      </w:r>
      <w:r>
        <w:rPr/>
        <w:t>规而受到处罚的情况。</w:t>
      </w:r>
    </w:p>
    <w:p>
      <w:pPr>
        <w:spacing w:line="240" w:lineRule="auto" w:before="10"/>
        <w:rPr>
          <w:rFonts w:ascii="宋体" w:hAnsi="宋体" w:cs="宋体" w:eastAsia="宋体" w:hint="default"/>
          <w:sz w:val="20"/>
          <w:szCs w:val="20"/>
        </w:rPr>
      </w:pPr>
    </w:p>
    <w:p>
      <w:pPr>
        <w:pStyle w:val="Heading2"/>
        <w:spacing w:line="240" w:lineRule="auto"/>
        <w:ind w:left="534" w:right="5712"/>
        <w:jc w:val="left"/>
        <w:rPr>
          <w:b w:val="0"/>
          <w:bCs w:val="0"/>
        </w:rPr>
      </w:pPr>
      <w:bookmarkStart w:name="十九、其他重大事项的说明" w:id="101"/>
      <w:bookmarkEnd w:id="101"/>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534"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after="0" w:line="340" w:lineRule="auto"/>
        <w:jc w:val="left"/>
        <w:sectPr>
          <w:headerReference w:type="default" r:id="rId18"/>
          <w:footerReference w:type="default" r:id="rId19"/>
          <w:pgSz w:w="11910" w:h="16840"/>
          <w:pgMar w:header="877" w:footer="979" w:top="1100" w:bottom="1160" w:left="600" w:right="0"/>
          <w:pgNumType w:start="43"/>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二十、公司子公司重大事项" w:id="102"/>
      <w:bookmarkEnd w:id="102"/>
      <w:r>
        <w:rPr>
          <w:b w:val="0"/>
          <w:bCs w:val="0"/>
        </w:rPr>
      </w:r>
      <w:r>
        <w:rPr/>
        <w:t>二十、公司子公司重大事项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7"/>
          <w:w w:val="99"/>
        </w:rPr>
        <w:t>详见公司分别于</w:t>
      </w:r>
      <w:r>
        <w:rPr>
          <w:rFonts w:ascii="Times New Roman" w:hAnsi="Times New Roman" w:cs="Times New Roman" w:eastAsia="Times New Roman" w:hint="default"/>
          <w:spacing w:val="-7"/>
          <w:w w:val="99"/>
        </w:rPr>
        <w:t>2018</w:t>
      </w:r>
      <w:r>
        <w:rPr>
          <w:spacing w:val="-7"/>
          <w:w w:val="99"/>
        </w:rPr>
        <w:t>年</w:t>
      </w:r>
      <w:r>
        <w:rPr>
          <w:rFonts w:ascii="Times New Roman" w:hAnsi="Times New Roman" w:cs="Times New Roman" w:eastAsia="Times New Roman" w:hint="default"/>
          <w:spacing w:val="-7"/>
          <w:w w:val="99"/>
        </w:rPr>
        <w:t>3</w:t>
      </w:r>
      <w:r>
        <w:rPr>
          <w:spacing w:val="-7"/>
          <w:w w:val="99"/>
        </w:rPr>
        <w:t>月</w:t>
      </w:r>
      <w:r>
        <w:rPr>
          <w:rFonts w:ascii="Times New Roman" w:hAnsi="Times New Roman" w:cs="Times New Roman" w:eastAsia="Times New Roman" w:hint="default"/>
          <w:spacing w:val="-7"/>
          <w:w w:val="99"/>
        </w:rPr>
        <w:t>29</w:t>
      </w:r>
      <w:r>
        <w:rPr>
          <w:spacing w:val="-7"/>
          <w:w w:val="99"/>
        </w:rPr>
        <w:t>日、</w:t>
      </w:r>
      <w:r>
        <w:rPr>
          <w:rFonts w:ascii="Times New Roman" w:hAnsi="Times New Roman" w:cs="Times New Roman" w:eastAsia="Times New Roman" w:hint="default"/>
          <w:spacing w:val="-7"/>
          <w:w w:val="99"/>
        </w:rPr>
        <w:t>2018</w:t>
      </w:r>
      <w:r>
        <w:rPr>
          <w:spacing w:val="-7"/>
          <w:w w:val="99"/>
        </w:rPr>
        <w:t>年</w:t>
      </w:r>
      <w:r>
        <w:rPr>
          <w:rFonts w:ascii="Times New Roman" w:hAnsi="Times New Roman" w:cs="Times New Roman" w:eastAsia="Times New Roman" w:hint="default"/>
          <w:spacing w:val="-7"/>
          <w:w w:val="99"/>
        </w:rPr>
        <w:t>4</w:t>
      </w:r>
      <w:r>
        <w:rPr>
          <w:spacing w:val="-7"/>
          <w:w w:val="99"/>
        </w:rPr>
        <w:t>月</w:t>
      </w:r>
      <w:r>
        <w:rPr>
          <w:rFonts w:ascii="Times New Roman" w:hAnsi="Times New Roman" w:cs="Times New Roman" w:eastAsia="Times New Roman" w:hint="default"/>
          <w:spacing w:val="-7"/>
          <w:w w:val="99"/>
        </w:rPr>
        <w:t>9</w:t>
      </w:r>
      <w:r>
        <w:rPr>
          <w:spacing w:val="-7"/>
          <w:w w:val="99"/>
        </w:rPr>
        <w:t>日、</w:t>
      </w:r>
      <w:r>
        <w:rPr>
          <w:rFonts w:ascii="Times New Roman" w:hAnsi="Times New Roman" w:cs="Times New Roman" w:eastAsia="Times New Roman" w:hint="default"/>
          <w:spacing w:val="-7"/>
          <w:w w:val="99"/>
        </w:rPr>
        <w:t>2018</w:t>
      </w:r>
      <w:r>
        <w:rPr>
          <w:spacing w:val="-7"/>
          <w:w w:val="99"/>
        </w:rPr>
        <w:t>年</w:t>
      </w:r>
      <w:r>
        <w:rPr>
          <w:rFonts w:ascii="Times New Roman" w:hAnsi="Times New Roman" w:cs="Times New Roman" w:eastAsia="Times New Roman" w:hint="default"/>
          <w:spacing w:val="-7"/>
          <w:w w:val="99"/>
        </w:rPr>
        <w:t>4</w:t>
      </w:r>
      <w:r>
        <w:rPr>
          <w:spacing w:val="-7"/>
          <w:w w:val="99"/>
        </w:rPr>
        <w:t>月</w:t>
      </w:r>
      <w:r>
        <w:rPr>
          <w:rFonts w:ascii="Times New Roman" w:hAnsi="Times New Roman" w:cs="Times New Roman" w:eastAsia="Times New Roman" w:hint="default"/>
          <w:spacing w:val="-7"/>
          <w:w w:val="99"/>
        </w:rPr>
        <w:t>18</w:t>
      </w:r>
      <w:r>
        <w:rPr>
          <w:spacing w:val="-7"/>
          <w:w w:val="99"/>
        </w:rPr>
        <w:t>日、</w:t>
      </w:r>
      <w:r>
        <w:rPr>
          <w:rFonts w:ascii="Times New Roman" w:hAnsi="Times New Roman" w:cs="Times New Roman" w:eastAsia="Times New Roman" w:hint="default"/>
          <w:spacing w:val="-7"/>
          <w:w w:val="99"/>
        </w:rPr>
        <w:t>2018</w:t>
      </w:r>
      <w:r>
        <w:rPr>
          <w:spacing w:val="-7"/>
          <w:w w:val="99"/>
        </w:rPr>
        <w:t>年</w:t>
      </w:r>
      <w:r>
        <w:rPr>
          <w:rFonts w:ascii="Times New Roman" w:hAnsi="Times New Roman" w:cs="Times New Roman" w:eastAsia="Times New Roman" w:hint="default"/>
          <w:spacing w:val="-7"/>
          <w:w w:val="99"/>
        </w:rPr>
        <w:t>6</w:t>
      </w:r>
      <w:r>
        <w:rPr>
          <w:spacing w:val="-7"/>
          <w:w w:val="99"/>
        </w:rPr>
        <w:t>月</w:t>
      </w:r>
      <w:r>
        <w:rPr>
          <w:rFonts w:ascii="Times New Roman" w:hAnsi="Times New Roman" w:cs="Times New Roman" w:eastAsia="Times New Roman" w:hint="default"/>
          <w:spacing w:val="-7"/>
          <w:w w:val="99"/>
        </w:rPr>
        <w:t>9</w:t>
      </w:r>
      <w:r>
        <w:rPr>
          <w:spacing w:val="-7"/>
          <w:w w:val="99"/>
        </w:rPr>
        <w:t>日刊载于巨潮资讯网（</w:t>
      </w:r>
      <w:hyperlink r:id="rId20">
        <w:r>
          <w:rPr>
            <w:rFonts w:ascii="Times New Roman" w:hAnsi="Times New Roman" w:cs="Times New Roman" w:eastAsia="Times New Roman" w:hint="default"/>
            <w:spacing w:val="-7"/>
            <w:w w:val="99"/>
          </w:rPr>
          <w:t>www.chinfo.com.cn</w:t>
        </w:r>
      </w:hyperlink>
      <w:r>
        <w:rPr>
          <w:spacing w:val="-7"/>
          <w:w w:val="99"/>
        </w:rPr>
        <w:t>）、</w:t>
      </w:r>
      <w:r>
        <w:rPr/>
      </w:r>
    </w:p>
    <w:p>
      <w:pPr>
        <w:pStyle w:val="BodyText"/>
        <w:spacing w:line="231" w:lineRule="exact"/>
        <w:ind w:right="0"/>
        <w:jc w:val="left"/>
      </w:pPr>
      <w:r>
        <w:rPr>
          <w:spacing w:val="-3"/>
        </w:rPr>
        <w:t>中国证券报、证券时报的《关于控股子公司上海奈盛通信科技有限公司获得增值电信业务经营许可证的公告》（</w:t>
      </w:r>
      <w:r>
        <w:rPr>
          <w:rFonts w:ascii="Times New Roman" w:hAnsi="Times New Roman" w:cs="Times New Roman" w:eastAsia="Times New Roman" w:hint="default"/>
          <w:spacing w:val="-3"/>
        </w:rPr>
        <w:t>2018-021</w:t>
      </w:r>
      <w:r>
        <w:rPr>
          <w:spacing w:val="-3"/>
        </w:rPr>
        <w:t>）、</w:t>
      </w:r>
      <w:r>
        <w:rPr/>
      </w:r>
    </w:p>
    <w:p>
      <w:pPr>
        <w:pStyle w:val="BodyText"/>
        <w:spacing w:line="300" w:lineRule="auto" w:before="63"/>
        <w:ind w:right="1145"/>
        <w:jc w:val="left"/>
      </w:pPr>
      <w:r>
        <w:rPr/>
        <w:t>《关于控股孙公司重大诉讼事项的公告》（</w:t>
      </w:r>
      <w:r>
        <w:rPr>
          <w:rFonts w:ascii="Times New Roman" w:hAnsi="Times New Roman" w:cs="Times New Roman" w:eastAsia="Times New Roman" w:hint="default"/>
        </w:rPr>
        <w:t>2018-026 </w:t>
      </w:r>
      <w:r>
        <w:rPr/>
        <w:t>）、《关于控股孙公司重大诉讼进展公告》（</w:t>
      </w:r>
      <w:r>
        <w:rPr>
          <w:rFonts w:ascii="Times New Roman" w:hAnsi="Times New Roman" w:cs="Times New Roman" w:eastAsia="Times New Roman" w:hint="default"/>
        </w:rPr>
        <w:t>2018-027</w:t>
      </w:r>
      <w:r>
        <w:rPr>
          <w:rFonts w:ascii="Times New Roman" w:hAnsi="Times New Roman" w:cs="Times New Roman" w:eastAsia="Times New Roman" w:hint="default"/>
          <w:spacing w:val="7"/>
        </w:rPr>
        <w:t> </w:t>
      </w:r>
      <w:r>
        <w:rPr/>
        <w:t>）、《关于公 司全资子公司对外投资的公告》（</w:t>
      </w:r>
      <w:r>
        <w:rPr>
          <w:rFonts w:ascii="Times New Roman" w:hAnsi="Times New Roman" w:cs="Times New Roman" w:eastAsia="Times New Roman" w:hint="default"/>
        </w:rPr>
        <w:t>2018-052</w:t>
      </w:r>
      <w:r>
        <w:rPr/>
        <w:t>）。</w:t>
      </w:r>
    </w:p>
    <w:p>
      <w:pPr>
        <w:spacing w:after="0" w:line="30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966" w:right="0"/>
        <w:jc w:val="left"/>
        <w:rPr>
          <w:b w:val="0"/>
          <w:bCs w:val="0"/>
        </w:rPr>
      </w:pPr>
      <w:bookmarkStart w:name="第六节 股份变动及股东情况" w:id="103"/>
      <w:bookmarkEnd w:id="103"/>
      <w:r>
        <w:rPr>
          <w:b w:val="0"/>
          <w:bCs w:val="0"/>
        </w:rPr>
      </w:r>
      <w:bookmarkStart w:name="_bookmark5" w:id="104"/>
      <w:bookmarkEnd w:id="104"/>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5"/>
      <w:bookmarkEnd w:id="105"/>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06"/>
      <w:bookmarkEnd w:id="10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33"/>
        <w:gridCol w:w="967"/>
        <w:gridCol w:w="702"/>
        <w:gridCol w:w="860"/>
        <w:gridCol w:w="416"/>
        <w:gridCol w:w="956"/>
        <w:gridCol w:w="919"/>
        <w:gridCol w:w="861"/>
        <w:gridCol w:w="956"/>
        <w:gridCol w:w="701"/>
      </w:tblGrid>
      <w:tr>
        <w:trPr>
          <w:trHeight w:val="206" w:hRule="exact"/>
        </w:trPr>
        <w:tc>
          <w:tcPr>
            <w:tcW w:w="18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1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1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5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6" w:hRule="exact"/>
        </w:trPr>
        <w:tc>
          <w:tcPr>
            <w:tcW w:w="1833" w:type="dxa"/>
            <w:vMerge w:val="restart"/>
            <w:tcBorders>
              <w:top w:val="nil" w:sz="6" w:space="0" w:color="auto"/>
              <w:left w:val="single" w:sz="4" w:space="0" w:color="000000"/>
              <w:right w:val="single" w:sz="4" w:space="0" w:color="000000"/>
            </w:tcBorders>
            <w:shd w:val="clear" w:color="auto" w:fill="D2D2D2"/>
          </w:tcPr>
          <w:p>
            <w:pPr/>
          </w:p>
        </w:tc>
        <w:tc>
          <w:tcPr>
            <w:tcW w:w="1669" w:type="dxa"/>
            <w:gridSpan w:val="2"/>
            <w:vMerge/>
            <w:tcBorders>
              <w:left w:val="single" w:sz="4" w:space="0" w:color="000000"/>
              <w:bottom w:val="single" w:sz="4" w:space="0" w:color="000000"/>
              <w:right w:val="single" w:sz="4" w:space="0" w:color="000000"/>
            </w:tcBorders>
            <w:shd w:val="clear" w:color="auto" w:fill="D2D2D2"/>
          </w:tcPr>
          <w:p>
            <w:pPr/>
          </w:p>
        </w:tc>
        <w:tc>
          <w:tcPr>
            <w:tcW w:w="4012" w:type="dxa"/>
            <w:gridSpan w:val="5"/>
            <w:vMerge/>
            <w:tcBorders>
              <w:left w:val="single" w:sz="4" w:space="0" w:color="000000"/>
              <w:bottom w:val="single" w:sz="4" w:space="0" w:color="000000"/>
              <w:right w:val="single" w:sz="4" w:space="0" w:color="000000"/>
            </w:tcBorders>
            <w:shd w:val="clear" w:color="auto" w:fill="D2D2D2"/>
          </w:tcPr>
          <w:p>
            <w:pPr/>
          </w:p>
        </w:tc>
        <w:tc>
          <w:tcPr>
            <w:tcW w:w="1657"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33" w:type="dxa"/>
            <w:vMerge/>
            <w:tcBorders>
              <w:left w:val="single" w:sz="4" w:space="0" w:color="000000"/>
              <w:bottom w:val="nil" w:sz="6" w:space="0" w:color="auto"/>
              <w:right w:val="single" w:sz="4" w:space="0" w:color="000000"/>
            </w:tcBorders>
            <w:shd w:val="clear" w:color="auto" w:fill="D2D2D2"/>
          </w:tcPr>
          <w:p>
            <w:pPr/>
          </w:p>
        </w:tc>
        <w:tc>
          <w:tcPr>
            <w:tcW w:w="9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33" w:type="dxa"/>
            <w:tcBorders>
              <w:top w:val="nil" w:sz="6" w:space="0" w:color="auto"/>
              <w:left w:val="single" w:sz="4" w:space="0" w:color="000000"/>
              <w:bottom w:val="single" w:sz="4" w:space="0" w:color="000000"/>
              <w:right w:val="single" w:sz="4" w:space="0" w:color="000000"/>
            </w:tcBorders>
            <w:shd w:val="clear" w:color="auto" w:fill="D2D2D2"/>
          </w:tcPr>
          <w:p>
            <w:pPr/>
          </w:p>
        </w:tc>
        <w:tc>
          <w:tcPr>
            <w:tcW w:w="967" w:type="dxa"/>
            <w:vMerge/>
            <w:tcBorders>
              <w:left w:val="single" w:sz="4" w:space="0" w:color="000000"/>
              <w:bottom w:val="single" w:sz="4" w:space="0" w:color="000000"/>
              <w:right w:val="single" w:sz="4" w:space="0" w:color="000000"/>
            </w:tcBorders>
            <w:shd w:val="clear" w:color="auto" w:fill="D2D2D2"/>
          </w:tcPr>
          <w:p>
            <w:pPr/>
          </w:p>
        </w:tc>
        <w:tc>
          <w:tcPr>
            <w:tcW w:w="702" w:type="dxa"/>
            <w:vMerge/>
            <w:tcBorders>
              <w:left w:val="single" w:sz="4" w:space="0" w:color="000000"/>
              <w:bottom w:val="single" w:sz="4" w:space="0" w:color="000000"/>
              <w:right w:val="single" w:sz="4" w:space="0" w:color="000000"/>
            </w:tcBorders>
            <w:shd w:val="clear" w:color="auto" w:fill="D2D2D2"/>
          </w:tcPr>
          <w:p>
            <w:pPr/>
          </w:p>
        </w:tc>
        <w:tc>
          <w:tcPr>
            <w:tcW w:w="860" w:type="dxa"/>
            <w:vMerge/>
            <w:tcBorders>
              <w:left w:val="single" w:sz="4" w:space="0" w:color="000000"/>
              <w:bottom w:val="single" w:sz="4" w:space="0" w:color="000000"/>
              <w:right w:val="single" w:sz="4" w:space="0" w:color="000000"/>
            </w:tcBorders>
            <w:shd w:val="clear" w:color="auto" w:fill="D2D2D2"/>
          </w:tcPr>
          <w:p>
            <w:pPr/>
          </w:p>
        </w:tc>
        <w:tc>
          <w:tcPr>
            <w:tcW w:w="416" w:type="dxa"/>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919" w:type="dxa"/>
            <w:vMerge/>
            <w:tcBorders>
              <w:left w:val="single" w:sz="4" w:space="0" w:color="000000"/>
              <w:bottom w:val="single" w:sz="4" w:space="0" w:color="000000"/>
              <w:right w:val="single" w:sz="4" w:space="0" w:color="000000"/>
            </w:tcBorders>
            <w:shd w:val="clear" w:color="auto" w:fill="D2D2D2"/>
          </w:tcPr>
          <w:p>
            <w:pPr/>
          </w:p>
        </w:tc>
        <w:tc>
          <w:tcPr>
            <w:tcW w:w="861" w:type="dxa"/>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154,464,555</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19.71%</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11,400,000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-11,745,761</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-345,761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154,118,794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19.39%</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154,464,555</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19.71%</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9,800,000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-11,745,761</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-1,945,761</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152,518,794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19.19%</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154,464,555</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19.71%</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9,800,000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-11,745,761</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-1,945,761</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152,518,794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19.19%</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1,600,000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1,600,000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629,115,665</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80.29%</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11,745,761</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11,745,761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640,861,426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80.61%</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629,115,665</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80.29%</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11,745,761</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11,745,761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640,861,426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80.61%</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783,580,220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11,400,000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794,980,220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股份变动的原因</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8</w:t>
      </w:r>
      <w:r>
        <w:rPr>
          <w:spacing w:val="-2"/>
        </w:rPr>
        <w:t>日，公司第五届董事会第二十九次会议和第五届监事会第十九次会议审议通过《关于公司</w:t>
      </w:r>
      <w:r>
        <w:rPr>
          <w:rFonts w:ascii="Times New Roman" w:hAnsi="Times New Roman" w:cs="Times New Roman" w:eastAsia="Times New Roman" w:hint="default"/>
          <w:spacing w:val="-2"/>
        </w:rPr>
        <w:t>&lt;2017</w:t>
      </w:r>
      <w:r>
        <w:rPr>
          <w:spacing w:val="-2"/>
        </w:rPr>
        <w:t>年限制性股</w:t>
      </w:r>
      <w:r>
        <w:rPr>
          <w:spacing w:val="-50"/>
        </w:rPr>
        <w:t> </w:t>
      </w:r>
      <w:r>
        <w:rPr>
          <w:spacing w:val="-1"/>
        </w:rPr>
        <w:t>票激励计划（草案）</w:t>
      </w:r>
      <w:r>
        <w:rPr>
          <w:rFonts w:ascii="Times New Roman" w:hAnsi="Times New Roman" w:cs="Times New Roman" w:eastAsia="Times New Roman" w:hint="default"/>
          <w:spacing w:val="-1"/>
        </w:rPr>
        <w:t>&gt;</w:t>
      </w:r>
      <w:r>
        <w:rPr>
          <w:spacing w:val="-1"/>
        </w:rPr>
        <w:t>及其摘要的议案》、《关于公司</w:t>
      </w:r>
      <w:r>
        <w:rPr>
          <w:rFonts w:ascii="Times New Roman" w:hAnsi="Times New Roman" w:cs="Times New Roman" w:eastAsia="Times New Roman" w:hint="default"/>
          <w:spacing w:val="-1"/>
        </w:rPr>
        <w:t>&lt;2017</w:t>
      </w:r>
      <w:r>
        <w:rPr>
          <w:spacing w:val="-1"/>
        </w:rPr>
        <w:t>年限制性股票激励计划实施考核管理办法</w:t>
      </w:r>
      <w:r>
        <w:rPr>
          <w:rFonts w:ascii="Times New Roman" w:hAnsi="Times New Roman" w:cs="Times New Roman" w:eastAsia="Times New Roman" w:hint="default"/>
          <w:spacing w:val="-1"/>
        </w:rPr>
        <w:t>&gt;</w:t>
      </w:r>
      <w:r>
        <w:rPr>
          <w:spacing w:val="-1"/>
        </w:rPr>
        <w:t>的议案》、《关于提</w:t>
      </w:r>
    </w:p>
    <w:p>
      <w:pPr>
        <w:pStyle w:val="BodyText"/>
        <w:spacing w:line="300" w:lineRule="auto"/>
        <w:ind w:right="1040"/>
        <w:jc w:val="left"/>
      </w:pPr>
      <w:r>
        <w:rPr/>
        <w:t>请股东大会授权董事会办理公司</w:t>
      </w:r>
      <w:r>
        <w:rPr>
          <w:rFonts w:ascii="Times New Roman" w:hAnsi="Times New Roman" w:cs="Times New Roman" w:eastAsia="Times New Roman" w:hint="default"/>
        </w:rPr>
        <w:t>2017</w:t>
      </w:r>
      <w:r>
        <w:rPr/>
        <w:t>年限制性股票激励计划相关事宜的议案》等议案，拟向芦兵、</w:t>
      </w:r>
      <w:r>
        <w:rPr>
          <w:rFonts w:ascii="Times New Roman" w:hAnsi="Times New Roman" w:cs="Times New Roman" w:eastAsia="Times New Roman" w:hint="default"/>
        </w:rPr>
        <w:t>JIE</w:t>
      </w:r>
      <w:r>
        <w:rPr>
          <w:rFonts w:ascii="Times New Roman" w:hAnsi="Times New Roman" w:cs="Times New Roman" w:eastAsia="Times New Roman" w:hint="default"/>
          <w:spacing w:val="-1"/>
        </w:rPr>
        <w:t> </w:t>
      </w:r>
      <w:r>
        <w:rPr>
          <w:rFonts w:ascii="Times New Roman" w:hAnsi="Times New Roman" w:cs="Times New Roman" w:eastAsia="Times New Roman" w:hint="default"/>
        </w:rPr>
        <w:t>ZHAO</w:t>
      </w:r>
      <w:r>
        <w:rPr/>
        <w:t>、李玉杰、梁 </w:t>
      </w:r>
      <w:r>
        <w:rPr>
          <w:spacing w:val="-2"/>
        </w:rPr>
        <w:t>京、忻卫敏、肖瑗、李光千、李波、杨平勇等</w:t>
      </w:r>
      <w:r>
        <w:rPr>
          <w:rFonts w:ascii="Times New Roman" w:hAnsi="Times New Roman" w:cs="Times New Roman" w:eastAsia="Times New Roman" w:hint="default"/>
          <w:spacing w:val="-2"/>
        </w:rPr>
        <w:t>9</w:t>
      </w:r>
      <w:r>
        <w:rPr>
          <w:spacing w:val="-2"/>
        </w:rPr>
        <w:t>人授予</w:t>
      </w:r>
      <w:r>
        <w:rPr>
          <w:rFonts w:ascii="Times New Roman" w:hAnsi="Times New Roman" w:cs="Times New Roman" w:eastAsia="Times New Roman" w:hint="default"/>
          <w:spacing w:val="-2"/>
        </w:rPr>
        <w:t>380</w:t>
      </w:r>
      <w:r>
        <w:rPr>
          <w:spacing w:val="-2"/>
        </w:rPr>
        <w:t>万股限制性股票。根据公司于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日召开的</w:t>
      </w:r>
      <w:r>
        <w:rPr>
          <w:rFonts w:ascii="Times New Roman" w:hAnsi="Times New Roman" w:cs="Times New Roman" w:eastAsia="Times New Roman" w:hint="default"/>
          <w:spacing w:val="-2"/>
        </w:rPr>
        <w:t>2017</w:t>
      </w:r>
      <w:r>
        <w:rPr>
          <w:spacing w:val="-2"/>
        </w:rPr>
        <w:t>年第三次</w:t>
      </w:r>
      <w:r>
        <w:rPr>
          <w:spacing w:val="-54"/>
        </w:rPr>
        <w:t> </w:t>
      </w:r>
      <w:r>
        <w:rPr>
          <w:spacing w:val="-2"/>
        </w:rPr>
        <w:t>临时股东大会的授权，公司</w:t>
      </w:r>
      <w:r>
        <w:rPr>
          <w:rFonts w:ascii="Times New Roman" w:hAnsi="Times New Roman" w:cs="Times New Roman" w:eastAsia="Times New Roman" w:hint="default"/>
          <w:spacing w:val="-2"/>
        </w:rPr>
        <w:t>2017</w:t>
      </w:r>
      <w:r>
        <w:rPr>
          <w:spacing w:val="-2"/>
        </w:rPr>
        <w:t>年限制性股票激励计划规定的限制性股票授予条件已经成就，公司于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日召开第</w:t>
      </w:r>
      <w:r>
        <w:rPr>
          <w:spacing w:val="-52"/>
        </w:rPr>
        <w:t> </w:t>
      </w:r>
      <w:r>
        <w:rPr/>
        <w:t>五届董事会第三十次会议审议通过了《关于向激励对象授予限制性股票的议案》，本次向</w:t>
      </w:r>
      <w:r>
        <w:rPr>
          <w:rFonts w:ascii="Times New Roman" w:hAnsi="Times New Roman" w:cs="Times New Roman" w:eastAsia="Times New Roman" w:hint="default"/>
        </w:rPr>
        <w:t>9</w:t>
      </w:r>
      <w:r>
        <w:rPr/>
        <w:t>名激励对象授予限制性股票</w:t>
      </w:r>
      <w:r>
        <w:rPr>
          <w:rFonts w:ascii="Times New Roman" w:hAnsi="Times New Roman" w:cs="Times New Roman" w:eastAsia="Times New Roman" w:hint="default"/>
        </w:rPr>
        <w:t>380 </w:t>
      </w:r>
      <w:r>
        <w:rPr/>
        <w:t>万股，授予价格为</w:t>
      </w:r>
      <w:r>
        <w:rPr>
          <w:rFonts w:ascii="Times New Roman" w:hAnsi="Times New Roman" w:cs="Times New Roman" w:eastAsia="Times New Roman" w:hint="default"/>
        </w:rPr>
        <w:t>4.2</w:t>
      </w:r>
      <w:r>
        <w:rPr/>
        <w:t>元</w:t>
      </w:r>
      <w:r>
        <w:rPr>
          <w:rFonts w:ascii="Times New Roman" w:hAnsi="Times New Roman" w:cs="Times New Roman" w:eastAsia="Times New Roman" w:hint="default"/>
        </w:rPr>
        <w:t>/</w:t>
      </w:r>
      <w:r>
        <w:rPr/>
        <w:t>股，授予日为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日，上述</w:t>
      </w:r>
      <w:r>
        <w:rPr>
          <w:rFonts w:ascii="Times New Roman" w:hAnsi="Times New Roman" w:cs="Times New Roman" w:eastAsia="Times New Roman" w:hint="default"/>
        </w:rPr>
        <w:t>380</w:t>
      </w:r>
      <w:r>
        <w:rPr/>
        <w:t>万限制性股票于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日完成登记上市，具体见巨潮 资讯网上的《关于</w:t>
      </w:r>
      <w:r>
        <w:rPr>
          <w:rFonts w:ascii="Times New Roman" w:hAnsi="Times New Roman" w:cs="Times New Roman" w:eastAsia="Times New Roman" w:hint="default"/>
        </w:rPr>
        <w:t>2017</w:t>
      </w:r>
      <w:r>
        <w:rPr/>
        <w:t>年限制性股票授予完成的公告》（</w:t>
      </w:r>
      <w:r>
        <w:rPr>
          <w:rFonts w:ascii="Times New Roman" w:hAnsi="Times New Roman" w:cs="Times New Roman" w:eastAsia="Times New Roman" w:hint="default"/>
        </w:rPr>
        <w:t>2018-002</w:t>
      </w:r>
      <w:r>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日，公司第六届董事会第二次会议和第六届监事会第二次会议审议通过了《关于</w:t>
      </w:r>
      <w:r>
        <w:rPr>
          <w:rFonts w:ascii="Times New Roman" w:hAnsi="Times New Roman" w:cs="Times New Roman" w:eastAsia="Times New Roman" w:hint="default"/>
        </w:rPr>
        <w:t>&lt;2018</w:t>
      </w:r>
      <w:r>
        <w:rPr/>
        <w:t>年限制性股票与股 </w:t>
      </w:r>
      <w:r>
        <w:rPr>
          <w:spacing w:val="-3"/>
        </w:rPr>
        <w:t>票期权激励计划（草案）</w:t>
      </w:r>
      <w:r>
        <w:rPr>
          <w:rFonts w:ascii="Times New Roman" w:hAnsi="Times New Roman" w:cs="Times New Roman" w:eastAsia="Times New Roman" w:hint="default"/>
          <w:spacing w:val="-3"/>
        </w:rPr>
        <w:t>&gt;</w:t>
      </w:r>
      <w:r>
        <w:rPr>
          <w:spacing w:val="-3"/>
        </w:rPr>
        <w:t>及其摘要的议案》、《关于</w:t>
      </w:r>
      <w:r>
        <w:rPr>
          <w:rFonts w:ascii="Times New Roman" w:hAnsi="Times New Roman" w:cs="Times New Roman" w:eastAsia="Times New Roman" w:hint="default"/>
          <w:spacing w:val="-3"/>
        </w:rPr>
        <w:t>&lt;2018</w:t>
      </w:r>
      <w:r>
        <w:rPr>
          <w:spacing w:val="-3"/>
        </w:rPr>
        <w:t>年限制性股票与股票期权激励计划实施考核管理办法</w:t>
      </w:r>
      <w:r>
        <w:rPr>
          <w:rFonts w:ascii="Times New Roman" w:hAnsi="Times New Roman" w:cs="Times New Roman" w:eastAsia="Times New Roman" w:hint="default"/>
          <w:spacing w:val="-3"/>
        </w:rPr>
        <w:t>&gt;</w:t>
      </w:r>
      <w:r>
        <w:rPr>
          <w:spacing w:val="-3"/>
        </w:rPr>
        <w:t>的议案》、</w:t>
      </w:r>
    </w:p>
    <w:p>
      <w:pPr>
        <w:pStyle w:val="BodyText"/>
        <w:spacing w:line="240" w:lineRule="auto" w:before="13"/>
        <w:ind w:right="0"/>
        <w:jc w:val="left"/>
      </w:pPr>
      <w:r>
        <w:rPr/>
        <w:t>《关于提请股东大会授权董事会办理</w:t>
      </w:r>
      <w:r>
        <w:rPr>
          <w:rFonts w:ascii="Times New Roman" w:hAnsi="Times New Roman" w:cs="Times New Roman" w:eastAsia="Times New Roman" w:hint="default"/>
        </w:rPr>
        <w:t>2018</w:t>
      </w:r>
      <w:r>
        <w:rPr/>
        <w:t>年限制性股票与股票期权激励计划相关事宜的议案》等议案。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日，公</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t>司</w:t>
      </w:r>
      <w:r>
        <w:rPr>
          <w:rFonts w:ascii="Times New Roman" w:hAnsi="Times New Roman" w:cs="Times New Roman" w:eastAsia="Times New Roman" w:hint="default"/>
        </w:rPr>
        <w:t>2018</w:t>
      </w:r>
      <w:r>
        <w:rPr/>
        <w:t>年第四次临时股东大会审议并通过了《关于</w:t>
      </w:r>
      <w:r>
        <w:rPr>
          <w:rFonts w:ascii="Times New Roman" w:hAnsi="Times New Roman" w:cs="Times New Roman" w:eastAsia="Times New Roman" w:hint="default"/>
        </w:rPr>
        <w:t>&lt;2018</w:t>
      </w:r>
      <w:r>
        <w:rPr/>
        <w:t>年限制性股票与股票期权激励计划（草案）</w:t>
      </w:r>
      <w:r>
        <w:rPr>
          <w:rFonts w:ascii="Times New Roman" w:hAnsi="Times New Roman" w:cs="Times New Roman" w:eastAsia="Times New Roman" w:hint="default"/>
        </w:rPr>
        <w:t>&gt;</w:t>
      </w:r>
      <w:r>
        <w:rPr/>
        <w:t>及其摘要的议案》、</w:t>
      </w:r>
    </w:p>
    <w:p>
      <w:pPr>
        <w:pStyle w:val="BodyText"/>
        <w:spacing w:line="300" w:lineRule="auto" w:before="63"/>
        <w:ind w:right="1122"/>
        <w:jc w:val="left"/>
      </w:pPr>
      <w:r>
        <w:rPr/>
        <w:t>《关于</w:t>
      </w:r>
      <w:r>
        <w:rPr>
          <w:rFonts w:ascii="Times New Roman" w:hAnsi="Times New Roman" w:cs="Times New Roman" w:eastAsia="Times New Roman" w:hint="default"/>
        </w:rPr>
        <w:t>&lt;2018</w:t>
      </w:r>
      <w:r>
        <w:rPr/>
        <w:t>年限制性股票与股票期权激励计划实施考核管理办法</w:t>
      </w:r>
      <w:r>
        <w:rPr>
          <w:rFonts w:ascii="Times New Roman" w:hAnsi="Times New Roman" w:cs="Times New Roman" w:eastAsia="Times New Roman" w:hint="default"/>
        </w:rPr>
        <w:t>&gt;</w:t>
      </w:r>
      <w:r>
        <w:rPr/>
        <w:t>的议案》、《关于提请股东大会授权董事会办理</w:t>
      </w:r>
      <w:r>
        <w:rPr>
          <w:rFonts w:ascii="Times New Roman" w:hAnsi="Times New Roman" w:cs="Times New Roman" w:eastAsia="Times New Roman" w:hint="default"/>
        </w:rPr>
        <w:t>2018</w:t>
      </w:r>
      <w:r>
        <w:rPr/>
        <w:t>年 限制性股票与股票期权激励计划相关事宜的议案》。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日，公司第六届董事会第三次会议和第六届监事会第三次 </w:t>
      </w:r>
      <w:r>
        <w:rPr>
          <w:spacing w:val="-2"/>
        </w:rPr>
        <w:t>会议审议通过了《关于调整</w:t>
      </w:r>
      <w:r>
        <w:rPr>
          <w:rFonts w:ascii="Times New Roman" w:hAnsi="Times New Roman" w:cs="Times New Roman" w:eastAsia="Times New Roman" w:hint="default"/>
          <w:spacing w:val="-2"/>
        </w:rPr>
        <w:t>2018</w:t>
      </w:r>
      <w:r>
        <w:rPr>
          <w:spacing w:val="-2"/>
        </w:rPr>
        <w:t>年限制性股票与股票期权激励计划激励对象名单及授予权益数量的议案》、《关于向激励对</w:t>
      </w:r>
      <w:r>
        <w:rPr>
          <w:spacing w:val="-61"/>
        </w:rPr>
        <w:t> </w:t>
      </w:r>
      <w:r>
        <w:rPr>
          <w:spacing w:val="-61"/>
        </w:rPr>
      </w:r>
      <w:r>
        <w:rPr/>
        <w:t>象授予限制性股票与股票期权的议案》，具体见巨潮资讯网上的《关于向激励对象授予限制性股票与股票期权的公告》</w:t>
      </w:r>
    </w:p>
    <w:p>
      <w:pPr>
        <w:pStyle w:val="BodyText"/>
        <w:spacing w:line="300" w:lineRule="auto" w:before="31"/>
        <w:ind w:right="1130"/>
        <w:jc w:val="both"/>
      </w:pPr>
      <w:r>
        <w:rPr/>
        <w:t>（</w:t>
      </w:r>
      <w:r>
        <w:rPr>
          <w:rFonts w:ascii="Times New Roman" w:hAnsi="Times New Roman" w:cs="Times New Roman" w:eastAsia="Times New Roman" w:hint="default"/>
        </w:rPr>
        <w:t>2018-090</w:t>
      </w:r>
      <w:r>
        <w:rPr/>
        <w:t>）和《关于调整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年限制性股票与股票期权激励计划激励对象名单及授予权益数量的公告》（</w:t>
      </w:r>
      <w:r>
        <w:rPr>
          <w:rFonts w:ascii="Times New Roman" w:hAnsi="Times New Roman" w:cs="Times New Roman" w:eastAsia="Times New Roman" w:hint="default"/>
        </w:rPr>
        <w:t>2018-089</w:t>
      </w:r>
      <w:r>
        <w:rPr/>
        <w:t>）。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7</w:t>
      </w:r>
      <w:r>
        <w:rPr>
          <w:spacing w:val="-2"/>
        </w:rPr>
        <w:t>日，公司完成对</w:t>
      </w:r>
      <w:r>
        <w:rPr>
          <w:rFonts w:ascii="Times New Roman" w:hAnsi="Times New Roman" w:cs="Times New Roman" w:eastAsia="Times New Roman" w:hint="default"/>
          <w:spacing w:val="-2"/>
        </w:rPr>
        <w:t>2018</w:t>
      </w:r>
      <w:r>
        <w:rPr>
          <w:spacing w:val="-2"/>
        </w:rPr>
        <w:t>年限制性股票与股票期权激励计划中限制性股票的授予登记，向</w:t>
      </w:r>
      <w:r>
        <w:rPr>
          <w:rFonts w:ascii="Times New Roman" w:hAnsi="Times New Roman" w:cs="Times New Roman" w:eastAsia="Times New Roman" w:hint="default"/>
          <w:spacing w:val="-2"/>
        </w:rPr>
        <w:t>9</w:t>
      </w:r>
      <w:r>
        <w:rPr>
          <w:spacing w:val="-2"/>
        </w:rPr>
        <w:t>名激励对象授予限制性股</w:t>
      </w:r>
      <w:r>
        <w:rPr>
          <w:spacing w:val="-52"/>
        </w:rPr>
        <w:t> </w:t>
      </w:r>
      <w:r>
        <w:rPr/>
        <w:t>票</w:t>
      </w:r>
      <w:r>
        <w:rPr>
          <w:rFonts w:ascii="Times New Roman" w:hAnsi="Times New Roman" w:cs="Times New Roman" w:eastAsia="Times New Roman" w:hint="default"/>
        </w:rPr>
        <w:t>760</w:t>
      </w:r>
      <w:r>
        <w:rPr/>
        <w:t>万股，授予价格为</w:t>
      </w:r>
      <w:r>
        <w:rPr>
          <w:rFonts w:ascii="Times New Roman" w:hAnsi="Times New Roman" w:cs="Times New Roman" w:eastAsia="Times New Roman" w:hint="default"/>
        </w:rPr>
        <w:t>2.55</w:t>
      </w:r>
      <w:r>
        <w:rPr/>
        <w:t>元</w:t>
      </w:r>
      <w:r>
        <w:rPr>
          <w:rFonts w:ascii="Times New Roman" w:hAnsi="Times New Roman" w:cs="Times New Roman" w:eastAsia="Times New Roman" w:hint="default"/>
        </w:rPr>
        <w:t>/</w:t>
      </w:r>
      <w:r>
        <w:rPr/>
        <w:t>股，具体见巨潮资讯网上的《关于限制性股票授予登记完成的公告》（</w:t>
      </w:r>
      <w:r>
        <w:rPr>
          <w:rFonts w:ascii="Times New Roman" w:hAnsi="Times New Roman" w:cs="Times New Roman" w:eastAsia="Times New Roman" w:hint="default"/>
        </w:rPr>
        <w:t>2018-092</w:t>
      </w:r>
      <w:r>
        <w:rPr/>
        <w:t>）。</w:t>
      </w:r>
    </w:p>
    <w:p>
      <w:pPr>
        <w:pStyle w:val="BodyText"/>
        <w:spacing w:line="240" w:lineRule="auto" w:before="53"/>
        <w:ind w:right="0"/>
        <w:jc w:val="left"/>
      </w:pPr>
      <w:r>
        <w:rPr/>
        <w:t>股份变动的批准情况</w:t>
      </w:r>
    </w:p>
    <w:p>
      <w:pPr>
        <w:pStyle w:val="BodyText"/>
        <w:spacing w:line="319" w:lineRule="auto" w:before="117"/>
        <w:ind w:right="11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日，公司第五届董事会第二十九次会议和第五届监事会第十九次会议审议通过《关于公司</w:t>
      </w:r>
      <w:r>
        <w:rPr>
          <w:rFonts w:ascii="Times New Roman" w:hAnsi="Times New Roman" w:cs="Times New Roman" w:eastAsia="Times New Roman" w:hint="default"/>
        </w:rPr>
        <w:t>&lt;2017</w:t>
      </w:r>
      <w:r>
        <w:rPr/>
        <w:t>年限制性股 </w:t>
      </w:r>
      <w:r>
        <w:rPr>
          <w:spacing w:val="-1"/>
        </w:rPr>
        <w:t>票激励计划（草案）</w:t>
      </w:r>
      <w:r>
        <w:rPr>
          <w:rFonts w:ascii="Times New Roman" w:hAnsi="Times New Roman" w:cs="Times New Roman" w:eastAsia="Times New Roman" w:hint="default"/>
          <w:spacing w:val="-1"/>
        </w:rPr>
        <w:t>&gt;</w:t>
      </w:r>
      <w:r>
        <w:rPr>
          <w:spacing w:val="-1"/>
        </w:rPr>
        <w:t>及其摘要的议案》、《关于公司</w:t>
      </w:r>
      <w:r>
        <w:rPr>
          <w:rFonts w:ascii="Times New Roman" w:hAnsi="Times New Roman" w:cs="Times New Roman" w:eastAsia="Times New Roman" w:hint="default"/>
          <w:spacing w:val="-1"/>
        </w:rPr>
        <w:t>&lt;2017</w:t>
      </w:r>
      <w:r>
        <w:rPr>
          <w:spacing w:val="-1"/>
        </w:rPr>
        <w:t>年限制性股票激励计划实施考核管理办法</w:t>
      </w:r>
      <w:r>
        <w:rPr>
          <w:rFonts w:ascii="Times New Roman" w:hAnsi="Times New Roman" w:cs="Times New Roman" w:eastAsia="Times New Roman" w:hint="default"/>
          <w:spacing w:val="-1"/>
        </w:rPr>
        <w:t>&gt;</w:t>
      </w:r>
      <w:r>
        <w:rPr>
          <w:spacing w:val="-1"/>
        </w:rPr>
        <w:t>的议案》、《关于提</w:t>
      </w:r>
    </w:p>
    <w:p>
      <w:pPr>
        <w:pStyle w:val="BodyText"/>
        <w:spacing w:line="300" w:lineRule="auto"/>
        <w:ind w:right="1032"/>
        <w:jc w:val="left"/>
      </w:pPr>
      <w:r>
        <w:rPr/>
        <w:t>请股东大会授权董事会办理公司</w:t>
      </w:r>
      <w:r>
        <w:rPr>
          <w:rFonts w:ascii="Times New Roman" w:hAnsi="Times New Roman" w:cs="Times New Roman" w:eastAsia="Times New Roman" w:hint="default"/>
        </w:rPr>
        <w:t>2017</w:t>
      </w:r>
      <w:r>
        <w:rPr/>
        <w:t>年限制性股票激励计划相关事宜的议案》等议案。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25</w:t>
      </w:r>
      <w:r>
        <w:rPr/>
        <w:t>日，公司</w:t>
      </w:r>
      <w:r>
        <w:rPr>
          <w:rFonts w:ascii="Times New Roman" w:hAnsi="Times New Roman" w:cs="Times New Roman" w:eastAsia="Times New Roman" w:hint="default"/>
        </w:rPr>
        <w:t>2017</w:t>
      </w:r>
      <w:r>
        <w:rPr/>
        <w:t>年第三 次临时股东大会审议通过《关于公司</w:t>
      </w:r>
      <w:r>
        <w:rPr>
          <w:rFonts w:ascii="Times New Roman" w:hAnsi="Times New Roman" w:cs="Times New Roman" w:eastAsia="Times New Roman" w:hint="default"/>
        </w:rPr>
        <w:t>&lt;2017</w:t>
      </w:r>
      <w:r>
        <w:rPr/>
        <w:t>年限制性股票激励计划（草案）</w:t>
      </w:r>
      <w:r>
        <w:rPr>
          <w:rFonts w:ascii="Times New Roman" w:hAnsi="Times New Roman" w:cs="Times New Roman" w:eastAsia="Times New Roman" w:hint="default"/>
        </w:rPr>
        <w:t>&gt;</w:t>
      </w:r>
      <w:r>
        <w:rPr/>
        <w:t>及其摘要的议案》、《关于公司</w:t>
      </w:r>
      <w:r>
        <w:rPr>
          <w:rFonts w:ascii="Times New Roman" w:hAnsi="Times New Roman" w:cs="Times New Roman" w:eastAsia="Times New Roman" w:hint="default"/>
        </w:rPr>
        <w:t>&lt;2017</w:t>
      </w:r>
      <w:r>
        <w:rPr/>
        <w:t>年限制性 股票激励计划实施考核管理办法</w:t>
      </w:r>
      <w:r>
        <w:rPr>
          <w:rFonts w:ascii="Times New Roman" w:hAnsi="Times New Roman" w:cs="Times New Roman" w:eastAsia="Times New Roman" w:hint="default"/>
        </w:rPr>
        <w:t>&gt;</w:t>
      </w:r>
      <w:r>
        <w:rPr/>
        <w:t>的议案》、《关于提请股东大会授权董事会办理公司</w:t>
      </w:r>
      <w:r>
        <w:rPr>
          <w:rFonts w:ascii="Times New Roman" w:hAnsi="Times New Roman" w:cs="Times New Roman" w:eastAsia="Times New Roman" w:hint="default"/>
        </w:rPr>
        <w:t>2017</w:t>
      </w:r>
      <w:r>
        <w:rPr/>
        <w:t>年限制性股票激励计划相关事宜 的议案》。公司于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日召开第五届董事会第三十次会议审议通过了《关于向激励对象授予限制性股票的议案》， 本次向</w:t>
      </w:r>
      <w:r>
        <w:rPr>
          <w:rFonts w:ascii="Times New Roman" w:hAnsi="Times New Roman" w:cs="Times New Roman" w:eastAsia="Times New Roman" w:hint="default"/>
        </w:rPr>
        <w:t>9</w:t>
      </w:r>
      <w:r>
        <w:rPr/>
        <w:t>名激励对象授予限制性股票</w:t>
      </w:r>
      <w:r>
        <w:rPr>
          <w:rFonts w:ascii="Times New Roman" w:hAnsi="Times New Roman" w:cs="Times New Roman" w:eastAsia="Times New Roman" w:hint="default"/>
        </w:rPr>
        <w:t>380</w:t>
      </w:r>
      <w:r>
        <w:rPr/>
        <w:t>万股，授予价格为</w:t>
      </w:r>
      <w:r>
        <w:rPr>
          <w:rFonts w:ascii="Times New Roman" w:hAnsi="Times New Roman" w:cs="Times New Roman" w:eastAsia="Times New Roman" w:hint="default"/>
        </w:rPr>
        <w:t>4.2</w:t>
      </w:r>
      <w:r>
        <w:rPr/>
        <w:t>元</w:t>
      </w:r>
      <w:r>
        <w:rPr>
          <w:rFonts w:ascii="Times New Roman" w:hAnsi="Times New Roman" w:cs="Times New Roman" w:eastAsia="Times New Roman" w:hint="default"/>
        </w:rPr>
        <w:t>/</w:t>
      </w:r>
      <w:r>
        <w:rPr/>
        <w:t>股，授予日为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日，公司第六届董事会第二次会议和第六届监事会第二次会议审议通过了《关于</w:t>
      </w:r>
      <w:r>
        <w:rPr>
          <w:rFonts w:ascii="Times New Roman" w:hAnsi="Times New Roman" w:cs="Times New Roman" w:eastAsia="Times New Roman" w:hint="default"/>
        </w:rPr>
        <w:t>&lt;2018</w:t>
      </w:r>
      <w:r>
        <w:rPr/>
        <w:t>年限制性股票与股 </w:t>
      </w:r>
      <w:r>
        <w:rPr>
          <w:spacing w:val="-3"/>
        </w:rPr>
        <w:t>票期权激励计划（草案）</w:t>
      </w:r>
      <w:r>
        <w:rPr>
          <w:rFonts w:ascii="Times New Roman" w:hAnsi="Times New Roman" w:cs="Times New Roman" w:eastAsia="Times New Roman" w:hint="default"/>
          <w:spacing w:val="-3"/>
        </w:rPr>
        <w:t>&gt;</w:t>
      </w:r>
      <w:r>
        <w:rPr>
          <w:spacing w:val="-3"/>
        </w:rPr>
        <w:t>及其摘要的议案》、《关于</w:t>
      </w:r>
      <w:r>
        <w:rPr>
          <w:rFonts w:ascii="Times New Roman" w:hAnsi="Times New Roman" w:cs="Times New Roman" w:eastAsia="Times New Roman" w:hint="default"/>
          <w:spacing w:val="-3"/>
        </w:rPr>
        <w:t>&lt;2018</w:t>
      </w:r>
      <w:r>
        <w:rPr>
          <w:spacing w:val="-3"/>
        </w:rPr>
        <w:t>年限制性股票与股票期权激励计划实施考核管理办法</w:t>
      </w:r>
      <w:r>
        <w:rPr>
          <w:rFonts w:ascii="Times New Roman" w:hAnsi="Times New Roman" w:cs="Times New Roman" w:eastAsia="Times New Roman" w:hint="default"/>
          <w:spacing w:val="-3"/>
        </w:rPr>
        <w:t>&gt;</w:t>
      </w:r>
      <w:r>
        <w:rPr>
          <w:spacing w:val="-3"/>
        </w:rPr>
        <w:t>的议案》、</w:t>
      </w:r>
    </w:p>
    <w:p>
      <w:pPr>
        <w:pStyle w:val="BodyText"/>
        <w:spacing w:line="300" w:lineRule="auto" w:before="13"/>
        <w:ind w:right="0"/>
        <w:jc w:val="left"/>
      </w:pPr>
      <w:r>
        <w:rPr>
          <w:spacing w:val="-1"/>
        </w:rPr>
        <w:t>《关于提请股东大会授权董事会办理</w:t>
      </w:r>
      <w:r>
        <w:rPr>
          <w:rFonts w:ascii="Times New Roman" w:hAnsi="Times New Roman" w:cs="Times New Roman" w:eastAsia="Times New Roman" w:hint="default"/>
          <w:spacing w:val="-1"/>
        </w:rPr>
        <w:t>2018</w:t>
      </w:r>
      <w:r>
        <w:rPr>
          <w:spacing w:val="-1"/>
        </w:rPr>
        <w:t>年限制性股票与股票期权激励计划相关事宜的议案》等议案。</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7</w:t>
      </w:r>
      <w:r>
        <w:rPr>
          <w:spacing w:val="-1"/>
        </w:rPr>
        <w:t>日，公</w:t>
      </w:r>
      <w:r>
        <w:rPr>
          <w:spacing w:val="-39"/>
        </w:rPr>
        <w:t> </w:t>
      </w:r>
      <w:r>
        <w:rPr/>
        <w:t>司</w:t>
      </w:r>
      <w:r>
        <w:rPr>
          <w:rFonts w:ascii="Times New Roman" w:hAnsi="Times New Roman" w:cs="Times New Roman" w:eastAsia="Times New Roman" w:hint="default"/>
        </w:rPr>
        <w:t>2018</w:t>
      </w:r>
      <w:r>
        <w:rPr/>
        <w:t>年第四次临时股东大会审议并通过了《关于</w:t>
      </w:r>
      <w:r>
        <w:rPr>
          <w:rFonts w:ascii="Times New Roman" w:hAnsi="Times New Roman" w:cs="Times New Roman" w:eastAsia="Times New Roman" w:hint="default"/>
        </w:rPr>
        <w:t>&lt;2018</w:t>
      </w:r>
      <w:r>
        <w:rPr/>
        <w:t>年限制性股票与股票期权激励计划（草案）</w:t>
      </w:r>
      <w:r>
        <w:rPr>
          <w:rFonts w:ascii="Times New Roman" w:hAnsi="Times New Roman" w:cs="Times New Roman" w:eastAsia="Times New Roman" w:hint="default"/>
        </w:rPr>
        <w:t>&gt;</w:t>
      </w:r>
      <w:r>
        <w:rPr/>
        <w:t>及其摘要的议案》、</w:t>
      </w:r>
    </w:p>
    <w:p>
      <w:pPr>
        <w:pStyle w:val="BodyText"/>
        <w:spacing w:line="300" w:lineRule="auto" w:before="13"/>
        <w:ind w:right="1122"/>
        <w:jc w:val="left"/>
      </w:pPr>
      <w:r>
        <w:rPr/>
        <w:t>《关于</w:t>
      </w:r>
      <w:r>
        <w:rPr>
          <w:rFonts w:ascii="Times New Roman" w:hAnsi="Times New Roman" w:cs="Times New Roman" w:eastAsia="Times New Roman" w:hint="default"/>
        </w:rPr>
        <w:t>&lt;2018</w:t>
      </w:r>
      <w:r>
        <w:rPr/>
        <w:t>年限制性股票与股票期权激励计划实施考核管理办法</w:t>
      </w:r>
      <w:r>
        <w:rPr>
          <w:rFonts w:ascii="Times New Roman" w:hAnsi="Times New Roman" w:cs="Times New Roman" w:eastAsia="Times New Roman" w:hint="default"/>
        </w:rPr>
        <w:t>&gt;</w:t>
      </w:r>
      <w:r>
        <w:rPr/>
        <w:t>的议案》、《关于提请股东大会授权董事会办理</w:t>
      </w:r>
      <w:r>
        <w:rPr>
          <w:rFonts w:ascii="Times New Roman" w:hAnsi="Times New Roman" w:cs="Times New Roman" w:eastAsia="Times New Roman" w:hint="default"/>
        </w:rPr>
        <w:t>2018</w:t>
      </w:r>
      <w:r>
        <w:rPr/>
        <w:t>年 限制性股票与股票期权激励计划相关事宜的议案》。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日，公司第六届董事会第三次会议和第六届监事会第三次 </w:t>
      </w:r>
      <w:r>
        <w:rPr>
          <w:spacing w:val="-2"/>
        </w:rPr>
        <w:t>会议审议通过了《关于调整</w:t>
      </w:r>
      <w:r>
        <w:rPr>
          <w:rFonts w:ascii="Times New Roman" w:hAnsi="Times New Roman" w:cs="Times New Roman" w:eastAsia="Times New Roman" w:hint="default"/>
          <w:spacing w:val="-2"/>
        </w:rPr>
        <w:t>2018</w:t>
      </w:r>
      <w:r>
        <w:rPr>
          <w:spacing w:val="-2"/>
        </w:rPr>
        <w:t>年限制性股票与股票期权激励计划激励对象名单及授予权益数量的议案》、《关于向激励对</w:t>
      </w:r>
      <w:r>
        <w:rPr>
          <w:spacing w:val="-61"/>
        </w:rPr>
        <w:t> </w:t>
      </w:r>
      <w:r>
        <w:rPr>
          <w:spacing w:val="-61"/>
        </w:rPr>
      </w:r>
      <w:r>
        <w:rPr/>
        <w:t>象授予限制性股票与股票期权的议案》。</w:t>
      </w:r>
    </w:p>
    <w:p>
      <w:pPr>
        <w:pStyle w:val="BodyText"/>
        <w:spacing w:line="240" w:lineRule="auto" w:before="72"/>
        <w:ind w:right="0"/>
        <w:jc w:val="left"/>
      </w:pPr>
      <w:r>
        <w:rPr/>
        <w:t>股份变动的过户情况</w:t>
      </w:r>
    </w:p>
    <w:p>
      <w:pPr>
        <w:pStyle w:val="BodyText"/>
        <w:spacing w:line="319" w:lineRule="auto" w:before="117"/>
        <w:ind w:right="11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、德勤华永会计师事务所（特殊普通合伙）于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日出具了德师报（验）字（</w:t>
      </w:r>
      <w:r>
        <w:rPr>
          <w:rFonts w:ascii="Times New Roman" w:hAnsi="Times New Roman" w:cs="Times New Roman" w:eastAsia="Times New Roman" w:hint="default"/>
        </w:rPr>
        <w:t>18</w:t>
      </w:r>
      <w:r>
        <w:rPr/>
        <w:t>）第</w:t>
      </w:r>
      <w:r>
        <w:rPr>
          <w:rFonts w:ascii="Times New Roman" w:hAnsi="Times New Roman" w:cs="Times New Roman" w:eastAsia="Times New Roman" w:hint="default"/>
        </w:rPr>
        <w:t>00032</w:t>
      </w:r>
      <w:r>
        <w:rPr/>
        <w:t>号，对公司截止</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日止新增注册资本及实收资本（股本）情况发表审验意见：公司原注册资本为人民币</w:t>
      </w:r>
      <w:r>
        <w:rPr>
          <w:rFonts w:ascii="Times New Roman" w:hAnsi="Times New Roman" w:cs="Times New Roman" w:eastAsia="Times New Roman" w:hint="default"/>
        </w:rPr>
        <w:t>783,580,220.00</w:t>
      </w:r>
      <w:r>
        <w:rPr/>
        <w:t>元，实收资本</w:t>
      </w:r>
    </w:p>
    <w:p>
      <w:pPr>
        <w:pStyle w:val="BodyText"/>
        <w:spacing w:line="300" w:lineRule="auto"/>
        <w:ind w:right="0"/>
        <w:jc w:val="left"/>
      </w:pPr>
      <w:r>
        <w:rPr>
          <w:spacing w:val="-4"/>
        </w:rPr>
        <w:t>（股本）为人民币</w:t>
      </w:r>
      <w:r>
        <w:rPr>
          <w:rFonts w:ascii="Times New Roman" w:hAnsi="Times New Roman" w:cs="Times New Roman" w:eastAsia="Times New Roman" w:hint="default"/>
          <w:spacing w:val="-4"/>
        </w:rPr>
        <w:t>783,580,220.00</w:t>
      </w:r>
      <w:r>
        <w:rPr>
          <w:spacing w:val="-4"/>
        </w:rPr>
        <w:t>元。根据</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8</w:t>
      </w:r>
      <w:r>
        <w:rPr>
          <w:spacing w:val="-4"/>
        </w:rPr>
        <w:t>日的第五届董事会第二十九次会议、第五届监事会第十九次会议及</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7"/>
        </w:rPr>
        <w:t> </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日的</w:t>
      </w:r>
      <w:r>
        <w:rPr>
          <w:rFonts w:ascii="Times New Roman" w:hAnsi="Times New Roman" w:cs="Times New Roman" w:eastAsia="Times New Roman" w:hint="default"/>
          <w:spacing w:val="-2"/>
        </w:rPr>
        <w:t>2017</w:t>
      </w:r>
      <w:r>
        <w:rPr>
          <w:spacing w:val="-2"/>
        </w:rPr>
        <w:t>年第三次临时股东大会审议通过的《</w:t>
      </w:r>
      <w:r>
        <w:rPr>
          <w:rFonts w:ascii="Times New Roman" w:hAnsi="Times New Roman" w:cs="Times New Roman" w:eastAsia="Times New Roman" w:hint="default"/>
          <w:spacing w:val="-2"/>
        </w:rPr>
        <w:t>2017</w:t>
      </w:r>
      <w:r>
        <w:rPr>
          <w:spacing w:val="-2"/>
        </w:rPr>
        <w:t>年限制性股票激励计划（草案）》及其摘要等议案，公司拟对芦</w:t>
      </w:r>
      <w:r>
        <w:rPr>
          <w:spacing w:val="-54"/>
        </w:rPr>
        <w:t> </w:t>
      </w:r>
      <w:r>
        <w:rPr>
          <w:spacing w:val="-54"/>
        </w:rPr>
      </w:r>
      <w:r>
        <w:rPr/>
        <w:t>兵等九名激励对象授予</w:t>
      </w:r>
      <w:r>
        <w:rPr>
          <w:rFonts w:ascii="Times New Roman" w:hAnsi="Times New Roman" w:cs="Times New Roman" w:eastAsia="Times New Roman" w:hint="default"/>
        </w:rPr>
        <w:t>380.00</w:t>
      </w:r>
      <w:r>
        <w:rPr/>
        <w:t>万股限制性股票，并申请增加注册资本</w:t>
      </w:r>
      <w:r>
        <w:rPr>
          <w:rFonts w:ascii="Times New Roman" w:hAnsi="Times New Roman" w:cs="Times New Roman" w:eastAsia="Times New Roman" w:hint="default"/>
        </w:rPr>
        <w:t>3,800,000.00</w:t>
      </w:r>
      <w:r>
        <w:rPr/>
        <w:t>元，变更后的注册资本为人民币 </w:t>
      </w:r>
      <w:r>
        <w:rPr>
          <w:rFonts w:ascii="Times New Roman" w:hAnsi="Times New Roman" w:cs="Times New Roman" w:eastAsia="Times New Roman" w:hint="default"/>
          <w:spacing w:val="-1"/>
        </w:rPr>
        <w:t>787,380,220.00</w:t>
      </w:r>
      <w:r>
        <w:rPr>
          <w:spacing w:val="-1"/>
        </w:rPr>
        <w:t>元。截止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25</w:t>
      </w:r>
      <w:r>
        <w:rPr>
          <w:spacing w:val="-1"/>
        </w:rPr>
        <w:t>日止，公司已收到上述九名激励对象以货币缴纳的新增注册资本（实收资本（股本））</w:t>
      </w:r>
      <w:r>
        <w:rPr>
          <w:spacing w:val="-67"/>
        </w:rPr>
        <w:t> </w:t>
      </w:r>
      <w:r>
        <w:rPr>
          <w:spacing w:val="-67"/>
        </w:rPr>
      </w:r>
      <w:r>
        <w:rPr/>
        <w:t>合计人民币</w:t>
      </w:r>
      <w:r>
        <w:rPr>
          <w:rFonts w:ascii="Times New Roman" w:hAnsi="Times New Roman" w:cs="Times New Roman" w:eastAsia="Times New Roman" w:hint="default"/>
        </w:rPr>
        <w:t>3,800,000.00</w:t>
      </w:r>
      <w:r>
        <w:rPr/>
        <w:t>元。 </w:t>
      </w:r>
      <w:r>
        <w:rPr>
          <w:rFonts w:ascii="Times New Roman" w:hAnsi="Times New Roman" w:cs="Times New Roman" w:eastAsia="Times New Roman" w:hint="default"/>
        </w:rPr>
        <w:t>2</w:t>
      </w:r>
      <w:r>
        <w:rPr/>
        <w:t>、德勤华永会计师事务所（特殊普通合伙）于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日出具了德师报（验）字（</w:t>
      </w:r>
      <w:r>
        <w:rPr>
          <w:rFonts w:ascii="Times New Roman" w:hAnsi="Times New Roman" w:cs="Times New Roman" w:eastAsia="Times New Roman" w:hint="default"/>
        </w:rPr>
        <w:t>18</w:t>
      </w:r>
      <w:r>
        <w:rPr/>
        <w:t>）第</w:t>
      </w:r>
      <w:r>
        <w:rPr>
          <w:rFonts w:ascii="Times New Roman" w:hAnsi="Times New Roman" w:cs="Times New Roman" w:eastAsia="Times New Roman" w:hint="default"/>
        </w:rPr>
        <w:t>00499</w:t>
      </w:r>
      <w:r>
        <w:rPr/>
        <w:t>号，对公司截止</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日止新增注册资本及实收资本（股本）情况发表审验意见：公司原注册资本为人民币</w:t>
      </w:r>
      <w:r>
        <w:rPr>
          <w:rFonts w:ascii="Times New Roman" w:hAnsi="Times New Roman" w:cs="Times New Roman" w:eastAsia="Times New Roman" w:hint="default"/>
        </w:rPr>
        <w:t>787,380,220.00</w:t>
      </w:r>
      <w:r>
        <w:rPr/>
        <w:t>元，实收资本</w:t>
      </w:r>
    </w:p>
    <w:p>
      <w:pPr>
        <w:pStyle w:val="BodyText"/>
        <w:spacing w:line="300" w:lineRule="auto" w:before="13"/>
        <w:ind w:right="1130"/>
        <w:jc w:val="both"/>
      </w:pPr>
      <w:r>
        <w:rPr>
          <w:spacing w:val="-1"/>
        </w:rPr>
        <w:t>（股本）为人民币</w:t>
      </w:r>
      <w:r>
        <w:rPr>
          <w:rFonts w:ascii="Times New Roman" w:hAnsi="Times New Roman" w:cs="Times New Roman" w:eastAsia="Times New Roman" w:hint="default"/>
          <w:spacing w:val="-1"/>
        </w:rPr>
        <w:t>787,380,220.00</w:t>
      </w:r>
      <w:r>
        <w:rPr>
          <w:spacing w:val="-1"/>
        </w:rPr>
        <w:t>元。根据</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7</w:t>
      </w:r>
      <w:r>
        <w:rPr>
          <w:spacing w:val="-1"/>
        </w:rPr>
        <w:t>日的第六届董事会第三次会议及</w:t>
      </w:r>
      <w:r>
        <w:rPr>
          <w:rFonts w:ascii="Times New Roman" w:hAnsi="Times New Roman" w:cs="Times New Roman" w:eastAsia="Times New Roman" w:hint="default"/>
          <w:spacing w:val="-1"/>
        </w:rPr>
        <w:t>2018</w:t>
      </w:r>
      <w:r>
        <w:rPr>
          <w:spacing w:val="-1"/>
        </w:rPr>
        <w:t>年第四次临时股东大会审议通过</w:t>
      </w:r>
      <w:r>
        <w:rPr>
          <w:spacing w:val="-63"/>
        </w:rPr>
        <w:t> </w:t>
      </w:r>
      <w:r>
        <w:rPr>
          <w:spacing w:val="-1"/>
        </w:rPr>
        <w:t>的《</w:t>
      </w:r>
      <w:r>
        <w:rPr>
          <w:rFonts w:ascii="Times New Roman" w:hAnsi="Times New Roman" w:cs="Times New Roman" w:eastAsia="Times New Roman" w:hint="default"/>
          <w:spacing w:val="-1"/>
        </w:rPr>
        <w:t>2018</w:t>
      </w:r>
      <w:r>
        <w:rPr>
          <w:spacing w:val="-1"/>
        </w:rPr>
        <w:t>年限制性股票与股票期权激励计划（草案）》及其摘要等议案，公司拟对芦兵等九名激励对象授予</w:t>
      </w:r>
      <w:r>
        <w:rPr>
          <w:rFonts w:ascii="Times New Roman" w:hAnsi="Times New Roman" w:cs="Times New Roman" w:eastAsia="Times New Roman" w:hint="default"/>
          <w:spacing w:val="-1"/>
        </w:rPr>
        <w:t>760.00</w:t>
      </w:r>
      <w:r>
        <w:rPr>
          <w:spacing w:val="-1"/>
        </w:rPr>
        <w:t>万股限制</w:t>
      </w:r>
      <w:r>
        <w:rPr>
          <w:spacing w:val="-74"/>
        </w:rPr>
        <w:t> </w:t>
      </w:r>
      <w:r>
        <w:rPr/>
        <w:t>性股票，并申请增加注册资本</w:t>
      </w:r>
      <w:r>
        <w:rPr>
          <w:rFonts w:ascii="Times New Roman" w:hAnsi="Times New Roman" w:cs="Times New Roman" w:eastAsia="Times New Roman" w:hint="default"/>
        </w:rPr>
        <w:t>7,600,000.00</w:t>
      </w:r>
      <w:r>
        <w:rPr/>
        <w:t>元，变更后的注册资本为人民币</w:t>
      </w:r>
      <w:r>
        <w:rPr>
          <w:rFonts w:ascii="Times New Roman" w:hAnsi="Times New Roman" w:cs="Times New Roman" w:eastAsia="Times New Roman" w:hint="default"/>
        </w:rPr>
        <w:t>794,980,220.00</w:t>
      </w:r>
      <w:r>
        <w:rPr/>
        <w:t>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日止，公司 已收到上述九名激励对象以货币缴纳的新增注册资本（实收资本（股本））合计人民币</w:t>
      </w:r>
      <w:r>
        <w:rPr>
          <w:rFonts w:ascii="Times New Roman" w:hAnsi="Times New Roman" w:cs="Times New Roman" w:eastAsia="Times New Roman" w:hint="default"/>
        </w:rPr>
        <w:t>7,600,000.00</w:t>
      </w:r>
      <w:r>
        <w:rPr/>
        <w:t>元。</w:t>
      </w:r>
    </w:p>
    <w:p>
      <w:pPr>
        <w:pStyle w:val="BodyText"/>
        <w:spacing w:line="240" w:lineRule="auto" w:before="53"/>
        <w:ind w:right="0"/>
        <w:jc w:val="left"/>
      </w:pPr>
      <w:r>
        <w:rPr/>
        <w:t>股份回购的实施进展情况</w:t>
      </w:r>
    </w:p>
    <w:p>
      <w:pPr>
        <w:pStyle w:val="BodyText"/>
        <w:spacing w:line="338" w:lineRule="auto" w:before="117"/>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spacing w:after="0" w:line="338"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338" w:lineRule="auto" w:before="44"/>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3"/>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无影响</w:t>
      </w:r>
    </w:p>
    <w:p>
      <w:pPr>
        <w:pStyle w:val="BodyText"/>
        <w:spacing w:line="240" w:lineRule="auto" w:before="44"/>
        <w:ind w:right="0"/>
        <w:jc w:val="left"/>
      </w:pPr>
      <w:r>
        <w:rPr/>
        <w:t>公司认为必要或证券监管机构要求披露的其他内容</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限售股份变动情况" w:id="107"/>
      <w:bookmarkEnd w:id="10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132,920,705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114,920,705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高管锁定股、股 份质押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按法律规定解 锁、股份质押到 期日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15,962,547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5,320,849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21,283,396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芦兵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2,048,673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3,648,673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高管锁定股、股 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457,051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2,057,051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高管锁定股、股 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李玉杰</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2,053,164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2,053,164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高管锁定股、股 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汪学思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1,837,620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1,837,621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高管锁定股、股 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1"/>
                <w:sz w:val="18"/>
              </w:rPr>
              <w:t> </w:t>
            </w:r>
            <w:r>
              <w:rPr>
                <w:rFonts w:ascii="Times New Roman"/>
                <w:sz w:val="18"/>
              </w:rPr>
              <w:t>ZHAO</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梁京</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杨平勇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刘江涛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976,840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239,775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737,065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627,001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高管锁定股、股 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李光千</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谷莉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134,561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134,561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吴一彬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119,314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119,314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154,464,555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18,239,775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17,894,014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154,118,794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二、证券发行与上市情况" w:id="108"/>
      <w:bookmarkEnd w:id="108"/>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09"/>
      <w:bookmarkEnd w:id="109"/>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票股权激励</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3,800,000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5"/>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票与股票期权激 励</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7,600,000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51"/>
        <w:ind w:right="0"/>
        <w:jc w:val="left"/>
      </w:pPr>
      <w:r>
        <w:rPr/>
        <w:t>报告期内证券发行（不含优先股）情况的说明</w:t>
      </w:r>
    </w:p>
    <w:p>
      <w:pPr>
        <w:pStyle w:val="BodyText"/>
        <w:spacing w:line="300" w:lineRule="auto" w:before="116"/>
        <w:ind w:right="1040" w:firstLine="73"/>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8</w:t>
      </w:r>
      <w:r>
        <w:rPr>
          <w:spacing w:val="-2"/>
        </w:rPr>
        <w:t>日，公司第五届董事会第二十九次会议和第五届监事会第十九次会议审议通过《关于公司</w:t>
      </w:r>
      <w:r>
        <w:rPr>
          <w:rFonts w:ascii="Times New Roman" w:hAnsi="Times New Roman" w:cs="Times New Roman" w:eastAsia="Times New Roman" w:hint="default"/>
          <w:spacing w:val="-2"/>
        </w:rPr>
        <w:t>&lt;2017</w:t>
      </w:r>
      <w:r>
        <w:rPr>
          <w:spacing w:val="-2"/>
        </w:rPr>
        <w:t>年限制性股</w:t>
      </w:r>
      <w:r>
        <w:rPr/>
        <w:t> 票激励计划（草案）</w:t>
      </w:r>
      <w:r>
        <w:rPr>
          <w:rFonts w:ascii="Times New Roman" w:hAnsi="Times New Roman" w:cs="Times New Roman" w:eastAsia="Times New Roman" w:hint="default"/>
        </w:rPr>
        <w:t>&gt;</w:t>
      </w:r>
      <w:r>
        <w:rPr/>
        <w:t>及其摘要的议案》、《关于公司</w:t>
      </w:r>
      <w:r>
        <w:rPr>
          <w:rFonts w:ascii="Times New Roman" w:hAnsi="Times New Roman" w:cs="Times New Roman" w:eastAsia="Times New Roman" w:hint="default"/>
        </w:rPr>
        <w:t>&lt;2017</w:t>
      </w:r>
      <w:r>
        <w:rPr/>
        <w:t>年限制性股票激励计划实施考核管理办法</w:t>
      </w:r>
      <w:r>
        <w:rPr>
          <w:rFonts w:ascii="Times New Roman" w:hAnsi="Times New Roman" w:cs="Times New Roman" w:eastAsia="Times New Roman" w:hint="default"/>
        </w:rPr>
        <w:t>&gt;</w:t>
      </w:r>
      <w:r>
        <w:rPr/>
        <w:t>的议案》、《关于提 请股东大会授权董事会办理公司</w:t>
      </w:r>
      <w:r>
        <w:rPr>
          <w:rFonts w:ascii="Times New Roman" w:hAnsi="Times New Roman" w:cs="Times New Roman" w:eastAsia="Times New Roman" w:hint="default"/>
        </w:rPr>
        <w:t>2017</w:t>
      </w:r>
      <w:r>
        <w:rPr/>
        <w:t>年限制性股票激励计划相关事宜的议案》等议案，拟向芦兵、</w:t>
      </w:r>
      <w:r>
        <w:rPr>
          <w:rFonts w:ascii="Times New Roman" w:hAnsi="Times New Roman" w:cs="Times New Roman" w:eastAsia="Times New Roman" w:hint="default"/>
        </w:rPr>
        <w:t>JIE</w:t>
      </w:r>
      <w:r>
        <w:rPr>
          <w:rFonts w:ascii="Times New Roman" w:hAnsi="Times New Roman" w:cs="Times New Roman" w:eastAsia="Times New Roman" w:hint="default"/>
          <w:spacing w:val="-1"/>
        </w:rPr>
        <w:t> </w:t>
      </w:r>
      <w:r>
        <w:rPr>
          <w:rFonts w:ascii="Times New Roman" w:hAnsi="Times New Roman" w:cs="Times New Roman" w:eastAsia="Times New Roman" w:hint="default"/>
        </w:rPr>
        <w:t>ZHAO</w:t>
      </w:r>
      <w:r>
        <w:rPr/>
        <w:t>、李玉杰、梁 </w:t>
      </w:r>
      <w:r>
        <w:rPr>
          <w:spacing w:val="-2"/>
        </w:rPr>
        <w:t>京、忻卫敏、肖瑗、李光千、李波、杨平勇等</w:t>
      </w:r>
      <w:r>
        <w:rPr>
          <w:rFonts w:ascii="Times New Roman" w:hAnsi="Times New Roman" w:cs="Times New Roman" w:eastAsia="Times New Roman" w:hint="default"/>
          <w:spacing w:val="-2"/>
        </w:rPr>
        <w:t>9</w:t>
      </w:r>
      <w:r>
        <w:rPr>
          <w:spacing w:val="-2"/>
        </w:rPr>
        <w:t>人授予</w:t>
      </w:r>
      <w:r>
        <w:rPr>
          <w:rFonts w:ascii="Times New Roman" w:hAnsi="Times New Roman" w:cs="Times New Roman" w:eastAsia="Times New Roman" w:hint="default"/>
          <w:spacing w:val="-2"/>
        </w:rPr>
        <w:t>380</w:t>
      </w:r>
      <w:r>
        <w:rPr>
          <w:spacing w:val="-2"/>
        </w:rPr>
        <w:t>万股限制性股票。根据公司于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日召开的</w:t>
      </w:r>
      <w:r>
        <w:rPr>
          <w:rFonts w:ascii="Times New Roman" w:hAnsi="Times New Roman" w:cs="Times New Roman" w:eastAsia="Times New Roman" w:hint="default"/>
          <w:spacing w:val="-2"/>
        </w:rPr>
        <w:t>2017</w:t>
      </w:r>
      <w:r>
        <w:rPr>
          <w:spacing w:val="-2"/>
        </w:rPr>
        <w:t>年第三次</w:t>
      </w:r>
      <w:r>
        <w:rPr>
          <w:spacing w:val="-54"/>
        </w:rPr>
        <w:t> </w:t>
      </w:r>
      <w:r>
        <w:rPr>
          <w:spacing w:val="-2"/>
        </w:rPr>
        <w:t>临时股东大会的授权，公司</w:t>
      </w:r>
      <w:r>
        <w:rPr>
          <w:rFonts w:ascii="Times New Roman" w:hAnsi="Times New Roman" w:cs="Times New Roman" w:eastAsia="Times New Roman" w:hint="default"/>
          <w:spacing w:val="-2"/>
        </w:rPr>
        <w:t>2017</w:t>
      </w:r>
      <w:r>
        <w:rPr>
          <w:spacing w:val="-2"/>
        </w:rPr>
        <w:t>年限制性股票激励计划规定的限制性股票授予条件已经成就，公司于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日召开第</w:t>
      </w:r>
      <w:r>
        <w:rPr>
          <w:spacing w:val="-52"/>
        </w:rPr>
        <w:t> </w:t>
      </w:r>
      <w:r>
        <w:rPr/>
        <w:t>五届董事会第三十次会议审议通过了《关于向激励对象授予限制性股票的议案》，本次向</w:t>
      </w:r>
      <w:r>
        <w:rPr>
          <w:rFonts w:ascii="Times New Roman" w:hAnsi="Times New Roman" w:cs="Times New Roman" w:eastAsia="Times New Roman" w:hint="default"/>
        </w:rPr>
        <w:t>9</w:t>
      </w:r>
      <w:r>
        <w:rPr/>
        <w:t>名激励对象授予限制性股票</w:t>
      </w:r>
      <w:r>
        <w:rPr>
          <w:rFonts w:ascii="Times New Roman" w:hAnsi="Times New Roman" w:cs="Times New Roman" w:eastAsia="Times New Roman" w:hint="default"/>
        </w:rPr>
        <w:t>380 </w:t>
      </w:r>
      <w:r>
        <w:rPr/>
        <w:t>万股，授予价格为</w:t>
      </w:r>
      <w:r>
        <w:rPr>
          <w:rFonts w:ascii="Times New Roman" w:hAnsi="Times New Roman" w:cs="Times New Roman" w:eastAsia="Times New Roman" w:hint="default"/>
        </w:rPr>
        <w:t>4.2</w:t>
      </w:r>
      <w:r>
        <w:rPr/>
        <w:t>元</w:t>
      </w:r>
      <w:r>
        <w:rPr>
          <w:rFonts w:ascii="Times New Roman" w:hAnsi="Times New Roman" w:cs="Times New Roman" w:eastAsia="Times New Roman" w:hint="default"/>
        </w:rPr>
        <w:t>/</w:t>
      </w:r>
      <w:r>
        <w:rPr/>
        <w:t>股，授予日为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日，上述</w:t>
      </w:r>
      <w:r>
        <w:rPr>
          <w:rFonts w:ascii="Times New Roman" w:hAnsi="Times New Roman" w:cs="Times New Roman" w:eastAsia="Times New Roman" w:hint="default"/>
        </w:rPr>
        <w:t>380</w:t>
      </w:r>
      <w:r>
        <w:rPr/>
        <w:t>万限制性股票于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日完成登记上市，具体见巨潮 资讯网上的《关于</w:t>
      </w:r>
      <w:r>
        <w:rPr>
          <w:rFonts w:ascii="Times New Roman" w:hAnsi="Times New Roman" w:cs="Times New Roman" w:eastAsia="Times New Roman" w:hint="default"/>
        </w:rPr>
        <w:t>2017</w:t>
      </w:r>
      <w:r>
        <w:rPr/>
        <w:t>年限制性股票授予完成的公告》（</w:t>
      </w:r>
      <w:r>
        <w:rPr>
          <w:rFonts w:ascii="Times New Roman" w:hAnsi="Times New Roman" w:cs="Times New Roman" w:eastAsia="Times New Roman" w:hint="default"/>
        </w:rPr>
        <w:t>2018-002</w:t>
      </w:r>
      <w:r>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日，公司第六届董事会第二次会议和第六届监事会第二次会议审议通过了《关于</w:t>
      </w:r>
      <w:r>
        <w:rPr>
          <w:rFonts w:ascii="Times New Roman" w:hAnsi="Times New Roman" w:cs="Times New Roman" w:eastAsia="Times New Roman" w:hint="default"/>
        </w:rPr>
        <w:t>&lt;2018</w:t>
      </w:r>
      <w:r>
        <w:rPr/>
        <w:t>年限制性股票与股 </w:t>
      </w:r>
      <w:r>
        <w:rPr>
          <w:spacing w:val="-3"/>
        </w:rPr>
        <w:t>票期权激励计划（草案）</w:t>
      </w:r>
      <w:r>
        <w:rPr>
          <w:rFonts w:ascii="Times New Roman" w:hAnsi="Times New Roman" w:cs="Times New Roman" w:eastAsia="Times New Roman" w:hint="default"/>
          <w:spacing w:val="-3"/>
        </w:rPr>
        <w:t>&gt;</w:t>
      </w:r>
      <w:r>
        <w:rPr>
          <w:spacing w:val="-3"/>
        </w:rPr>
        <w:t>及其摘要的议案》、《关于</w:t>
      </w:r>
      <w:r>
        <w:rPr>
          <w:rFonts w:ascii="Times New Roman" w:hAnsi="Times New Roman" w:cs="Times New Roman" w:eastAsia="Times New Roman" w:hint="default"/>
          <w:spacing w:val="-3"/>
        </w:rPr>
        <w:t>&lt;2018</w:t>
      </w:r>
      <w:r>
        <w:rPr>
          <w:spacing w:val="-3"/>
        </w:rPr>
        <w:t>年限制性股票与股票期权激励计划实施考核管理办法</w:t>
      </w:r>
      <w:r>
        <w:rPr>
          <w:rFonts w:ascii="Times New Roman" w:hAnsi="Times New Roman" w:cs="Times New Roman" w:eastAsia="Times New Roman" w:hint="default"/>
          <w:spacing w:val="-3"/>
        </w:rPr>
        <w:t>&gt;</w:t>
      </w:r>
      <w:r>
        <w:rPr>
          <w:spacing w:val="-3"/>
        </w:rPr>
        <w:t>的议案》、</w:t>
      </w:r>
    </w:p>
    <w:p>
      <w:pPr>
        <w:pStyle w:val="BodyText"/>
        <w:spacing w:line="302" w:lineRule="auto" w:before="13"/>
        <w:ind w:right="1130"/>
        <w:jc w:val="both"/>
      </w:pPr>
      <w:r>
        <w:rPr/>
        <w:t>《关于提请股东大会授权董事会办理</w:t>
      </w:r>
      <w:r>
        <w:rPr>
          <w:rFonts w:ascii="Times New Roman" w:hAnsi="Times New Roman" w:cs="Times New Roman" w:eastAsia="Times New Roman" w:hint="default"/>
        </w:rPr>
        <w:t>2018</w:t>
      </w:r>
      <w:r>
        <w:rPr/>
        <w:t>年限制性股票与股票期权激励计划相关事宜的议案》等议案。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日，公 </w:t>
      </w:r>
      <w:r>
        <w:rPr>
          <w:spacing w:val="-2"/>
        </w:rPr>
        <w:t>司第六届董事会第三次会议和第六届监事会第三次会议审议通过了《关于调整</w:t>
      </w:r>
      <w:r>
        <w:rPr>
          <w:rFonts w:ascii="Times New Roman" w:hAnsi="Times New Roman" w:cs="Times New Roman" w:eastAsia="Times New Roman" w:hint="default"/>
          <w:spacing w:val="-2"/>
        </w:rPr>
        <w:t>2018</w:t>
      </w:r>
      <w:r>
        <w:rPr>
          <w:spacing w:val="-2"/>
        </w:rPr>
        <w:t>年限制性股票与股票期权激励计划激励对</w:t>
      </w:r>
      <w:r>
        <w:rPr>
          <w:spacing w:val="-60"/>
        </w:rPr>
        <w:t> </w:t>
      </w:r>
      <w:r>
        <w:rPr>
          <w:spacing w:val="-2"/>
        </w:rPr>
        <w:t>象名单及授予权益数量的议案》、《关于向激励对象授予限制性股票与股票期权的议案》，具体见巨潮资讯网上的《关于向</w:t>
      </w:r>
      <w:r>
        <w:rPr>
          <w:spacing w:val="-69"/>
        </w:rPr>
        <w:t> </w:t>
      </w:r>
      <w:r>
        <w:rPr>
          <w:spacing w:val="-69"/>
        </w:rPr>
      </w:r>
      <w:r>
        <w:rPr/>
        <w:t>激励对象授予限制性股票与股票期权的公告》（</w:t>
      </w:r>
      <w:r>
        <w:rPr>
          <w:rFonts w:ascii="Times New Roman" w:hAnsi="Times New Roman" w:cs="Times New Roman" w:eastAsia="Times New Roman" w:hint="default"/>
        </w:rPr>
        <w:t>2018-090</w:t>
      </w:r>
      <w:r>
        <w:rPr/>
        <w:t>）和《关于调整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年限制性股票与股票期权激励计划激励对象 名单及授予权益数量的公告》（</w:t>
      </w:r>
      <w:r>
        <w:rPr>
          <w:rFonts w:ascii="Times New Roman" w:hAnsi="Times New Roman" w:cs="Times New Roman" w:eastAsia="Times New Roman" w:hint="default"/>
        </w:rPr>
        <w:t>2018-089</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日，公司完成对</w:t>
      </w:r>
      <w:r>
        <w:rPr>
          <w:rFonts w:ascii="Times New Roman" w:hAnsi="Times New Roman" w:cs="Times New Roman" w:eastAsia="Times New Roman" w:hint="default"/>
        </w:rPr>
        <w:t>2018</w:t>
      </w:r>
      <w:r>
        <w:rPr/>
        <w:t>年限制性股票与股票期权激励计划中限制性 </w:t>
      </w:r>
      <w:r>
        <w:rPr>
          <w:spacing w:val="-2"/>
        </w:rPr>
        <w:t>股票的授予登记，向</w:t>
      </w:r>
      <w:r>
        <w:rPr>
          <w:rFonts w:ascii="Times New Roman" w:hAnsi="Times New Roman" w:cs="Times New Roman" w:eastAsia="Times New Roman" w:hint="default"/>
          <w:spacing w:val="-2"/>
        </w:rPr>
        <w:t>9</w:t>
      </w:r>
      <w:r>
        <w:rPr>
          <w:spacing w:val="-2"/>
        </w:rPr>
        <w:t>名激励对象授予限制性股票</w:t>
      </w:r>
      <w:r>
        <w:rPr>
          <w:rFonts w:ascii="Times New Roman" w:hAnsi="Times New Roman" w:cs="Times New Roman" w:eastAsia="Times New Roman" w:hint="default"/>
          <w:spacing w:val="-2"/>
        </w:rPr>
        <w:t>760</w:t>
      </w:r>
      <w:r>
        <w:rPr>
          <w:spacing w:val="-2"/>
        </w:rPr>
        <w:t>万股，授予价格为</w:t>
      </w:r>
      <w:r>
        <w:rPr>
          <w:rFonts w:ascii="Times New Roman" w:hAnsi="Times New Roman" w:cs="Times New Roman" w:eastAsia="Times New Roman" w:hint="default"/>
          <w:spacing w:val="-2"/>
        </w:rPr>
        <w:t>2.55</w:t>
      </w:r>
      <w:r>
        <w:rPr>
          <w:spacing w:val="-2"/>
        </w:rPr>
        <w:t>元</w:t>
      </w:r>
      <w:r>
        <w:rPr>
          <w:rFonts w:ascii="Times New Roman" w:hAnsi="Times New Roman" w:cs="Times New Roman" w:eastAsia="Times New Roman" w:hint="default"/>
          <w:spacing w:val="-2"/>
        </w:rPr>
        <w:t>/</w:t>
      </w:r>
      <w:r>
        <w:rPr>
          <w:spacing w:val="-2"/>
        </w:rPr>
        <w:t>股，具体见巨潮资讯网上的《关于限制性股票</w:t>
      </w:r>
      <w:r>
        <w:rPr>
          <w:spacing w:val="-62"/>
        </w:rPr>
        <w:t> </w:t>
      </w:r>
      <w:r>
        <w:rPr>
          <w:spacing w:val="-62"/>
        </w:rPr>
      </w:r>
      <w:r>
        <w:rPr/>
        <w:t>授予登记完成的公告》（</w:t>
      </w:r>
      <w:r>
        <w:rPr>
          <w:rFonts w:ascii="Times New Roman" w:hAnsi="Times New Roman" w:cs="Times New Roman" w:eastAsia="Times New Roman" w:hint="default"/>
        </w:rPr>
        <w:t>2018-092</w:t>
      </w:r>
      <w:r>
        <w:rPr/>
        <w:t>）。</w:t>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bookmarkStart w:name="2、公司股份总数及股东结构的变动、公司资产和负债结构的变动情况说明" w:id="110"/>
      <w:bookmarkEnd w:id="11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月，根据《</w:t>
      </w:r>
      <w:r>
        <w:rPr>
          <w:rFonts w:ascii="Times New Roman" w:hAnsi="Times New Roman" w:cs="Times New Roman" w:eastAsia="Times New Roman" w:hint="default"/>
          <w:spacing w:val="-2"/>
        </w:rPr>
        <w:t>2017</w:t>
      </w:r>
      <w:r>
        <w:rPr>
          <w:spacing w:val="-2"/>
        </w:rPr>
        <w:t>年限制性股票激励计划（草案）》，公司第五届董事会第二十九次会议决定增加芦兵等九名自然人</w:t>
      </w:r>
      <w:r>
        <w:rPr>
          <w:spacing w:val="-59"/>
        </w:rPr>
        <w:t> </w:t>
      </w:r>
      <w:r>
        <w:rPr>
          <w:spacing w:val="-59"/>
        </w:rPr>
      </w:r>
      <w:r>
        <w:rPr>
          <w:spacing w:val="-2"/>
        </w:rPr>
        <w:t>投入的注册资本</w:t>
      </w:r>
      <w:r>
        <w:rPr>
          <w:rFonts w:ascii="Times New Roman" w:hAnsi="Times New Roman" w:cs="Times New Roman" w:eastAsia="Times New Roman" w:hint="default"/>
          <w:spacing w:val="-2"/>
        </w:rPr>
        <w:t>3,800,000</w:t>
      </w:r>
      <w:r>
        <w:rPr>
          <w:spacing w:val="-2"/>
        </w:rPr>
        <w:t>元，上述</w:t>
      </w:r>
      <w:r>
        <w:rPr>
          <w:rFonts w:ascii="Times New Roman" w:hAnsi="Times New Roman" w:cs="Times New Roman" w:eastAsia="Times New Roman" w:hint="default"/>
          <w:spacing w:val="-2"/>
        </w:rPr>
        <w:t>380</w:t>
      </w:r>
      <w:r>
        <w:rPr>
          <w:spacing w:val="-2"/>
        </w:rPr>
        <w:t>万限制性股票于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15</w:t>
      </w:r>
      <w:r>
        <w:rPr>
          <w:spacing w:val="-2"/>
        </w:rPr>
        <w:t>日完成登记上市，公司总股份数量由</w:t>
      </w:r>
      <w:r>
        <w:rPr>
          <w:rFonts w:ascii="Times New Roman" w:hAnsi="Times New Roman" w:cs="Times New Roman" w:eastAsia="Times New Roman" w:hint="default"/>
          <w:spacing w:val="-2"/>
        </w:rPr>
        <w:t>783,580,220</w:t>
      </w:r>
      <w:r>
        <w:rPr>
          <w:spacing w:val="-2"/>
        </w:rPr>
        <w:t>股变更为</w:t>
      </w:r>
    </w:p>
    <w:p>
      <w:pPr>
        <w:pStyle w:val="BodyText"/>
        <w:spacing w:line="246" w:lineRule="exact"/>
        <w:ind w:right="0"/>
        <w:jc w:val="left"/>
      </w:pPr>
      <w:r>
        <w:rPr>
          <w:rFonts w:ascii="Times New Roman" w:hAnsi="Times New Roman" w:cs="Times New Roman" w:eastAsia="Times New Roman" w:hint="default"/>
        </w:rPr>
        <w:t>787,380,220</w:t>
      </w:r>
      <w:r>
        <w:rPr/>
        <w:t>股</w:t>
      </w:r>
      <w:r>
        <w:rPr>
          <w:rFonts w:ascii="Times New Roman" w:hAnsi="Times New Roman" w:cs="Times New Roman" w:eastAsia="Times New Roman" w:hint="default"/>
        </w:rPr>
        <w:t>,</w:t>
      </w:r>
      <w:r>
        <w:rPr/>
        <w:t>导致公司控股股东持股比例发生了变动。公司控股股东、实际控制人李小龙先生在授予完成前持有公司</w:t>
      </w:r>
    </w:p>
    <w:p>
      <w:pPr>
        <w:pStyle w:val="BodyText"/>
        <w:spacing w:line="240" w:lineRule="auto" w:before="63"/>
        <w:ind w:right="0"/>
        <w:jc w:val="left"/>
      </w:pPr>
      <w:r>
        <w:rPr>
          <w:rFonts w:ascii="Times New Roman" w:hAnsi="Times New Roman" w:cs="Times New Roman" w:eastAsia="Times New Roman" w:hint="default"/>
        </w:rPr>
        <w:t>139,894,273  </w:t>
      </w:r>
      <w:r>
        <w:rPr/>
        <w:t>股份，占授予完成前公司股份总额比例为</w:t>
      </w:r>
      <w:r>
        <w:rPr>
          <w:rFonts w:ascii="Times New Roman" w:hAnsi="Times New Roman" w:cs="Times New Roman" w:eastAsia="Times New Roman" w:hint="default"/>
        </w:rPr>
        <w:t>17.85%</w:t>
      </w:r>
      <w:r>
        <w:rPr/>
        <w:t>，授予完成后，占公司股份总额比例为</w:t>
      </w:r>
      <w:r>
        <w:rPr>
          <w:spacing w:val="-40"/>
        </w:rPr>
        <w:t> </w:t>
      </w:r>
      <w:r>
        <w:rPr>
          <w:rFonts w:ascii="Times New Roman" w:hAnsi="Times New Roman" w:cs="Times New Roman" w:eastAsia="Times New Roman" w:hint="default"/>
        </w:rPr>
        <w:t>17.77%</w:t>
      </w:r>
      <w:r>
        <w:rPr/>
        <w:t>。</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月，根据《</w:t>
      </w:r>
      <w:r>
        <w:rPr>
          <w:rFonts w:ascii="Times New Roman" w:hAnsi="Times New Roman" w:cs="Times New Roman" w:eastAsia="Times New Roman" w:hint="default"/>
          <w:spacing w:val="-2"/>
        </w:rPr>
        <w:t>2018</w:t>
      </w:r>
      <w:r>
        <w:rPr>
          <w:spacing w:val="-2"/>
        </w:rPr>
        <w:t>年限制性股票与股票期权激励计划（草案）》，公司第六届董事会第四次会议决定增加芦兵等九名</w:t>
      </w:r>
      <w:r>
        <w:rPr>
          <w:spacing w:val="-58"/>
        </w:rPr>
        <w:t> </w:t>
      </w:r>
      <w:r>
        <w:rPr>
          <w:spacing w:val="-58"/>
        </w:rPr>
      </w:r>
      <w:r>
        <w:rPr/>
        <w:t>自然人投入的注册资本</w:t>
      </w:r>
      <w:r>
        <w:rPr>
          <w:rFonts w:ascii="Times New Roman" w:hAnsi="Times New Roman" w:cs="Times New Roman" w:eastAsia="Times New Roman" w:hint="default"/>
        </w:rPr>
        <w:t>7,600,000</w:t>
      </w:r>
      <w:r>
        <w:rPr/>
        <w:t>元，上述</w:t>
      </w:r>
      <w:r>
        <w:rPr>
          <w:rFonts w:ascii="Times New Roman" w:hAnsi="Times New Roman" w:cs="Times New Roman" w:eastAsia="Times New Roman" w:hint="default"/>
        </w:rPr>
        <w:t>760</w:t>
      </w:r>
      <w:r>
        <w:rPr/>
        <w:t>万限制性股票于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日完成登记上市，公司总股份数量由</w:t>
      </w:r>
      <w:r>
        <w:rPr>
          <w:rFonts w:ascii="Times New Roman" w:hAnsi="Times New Roman" w:cs="Times New Roman" w:eastAsia="Times New Roman" w:hint="default"/>
        </w:rPr>
        <w:t>787,380,220 </w:t>
      </w:r>
      <w:r>
        <w:rPr>
          <w:spacing w:val="-2"/>
        </w:rPr>
        <w:t>股变更为</w:t>
      </w:r>
      <w:r>
        <w:rPr>
          <w:rFonts w:ascii="Times New Roman" w:hAnsi="Times New Roman" w:cs="Times New Roman" w:eastAsia="Times New Roman" w:hint="default"/>
          <w:spacing w:val="-2"/>
        </w:rPr>
        <w:t>794,980,220</w:t>
      </w:r>
      <w:r>
        <w:rPr>
          <w:spacing w:val="-2"/>
        </w:rPr>
        <w:t>股。导致公司控股股东持股比例发生了变动。公司控股股东、实际控制人李小龙先生在授予完成前持有</w:t>
      </w:r>
      <w:r>
        <w:rPr>
          <w:spacing w:val="-56"/>
        </w:rPr>
        <w:t> </w:t>
      </w:r>
      <w:r>
        <w:rPr>
          <w:spacing w:val="-56"/>
        </w:rPr>
      </w:r>
      <w:r>
        <w:rPr/>
        <w:t>公司</w:t>
      </w:r>
      <w:r>
        <w:rPr>
          <w:rFonts w:ascii="Times New Roman" w:hAnsi="Times New Roman" w:cs="Times New Roman" w:eastAsia="Times New Roman" w:hint="default"/>
        </w:rPr>
        <w:t>136,894,273</w:t>
      </w:r>
      <w:r>
        <w:rPr/>
        <w:t>股份，占授予完成前公司股份总额比例为 </w:t>
      </w:r>
      <w:r>
        <w:rPr>
          <w:rFonts w:ascii="Times New Roman" w:hAnsi="Times New Roman" w:cs="Times New Roman" w:eastAsia="Times New Roman" w:hint="default"/>
        </w:rPr>
        <w:t>17.39%</w:t>
      </w:r>
      <w:r>
        <w:rPr/>
        <w:t>，授予完成后，占公司股份总额比例为</w:t>
      </w:r>
      <w:r>
        <w:rPr>
          <w:spacing w:val="-39"/>
        </w:rPr>
        <w:t> </w:t>
      </w:r>
      <w:r>
        <w:rPr>
          <w:rFonts w:ascii="Times New Roman" w:hAnsi="Times New Roman" w:cs="Times New Roman" w:eastAsia="Times New Roman" w:hint="default"/>
        </w:rPr>
        <w:t>17.22%</w:t>
      </w:r>
      <w:r>
        <w:rPr/>
        <w:t>。</w:t>
      </w:r>
    </w:p>
    <w:p>
      <w:pPr>
        <w:pStyle w:val="Heading4"/>
        <w:spacing w:line="240" w:lineRule="auto" w:before="109"/>
        <w:ind w:right="0"/>
        <w:jc w:val="left"/>
        <w:rPr>
          <w:b w:val="0"/>
          <w:bCs w:val="0"/>
        </w:rPr>
      </w:pPr>
      <w:bookmarkStart w:name="3、现存的内部职工股情况" w:id="111"/>
      <w:bookmarkEnd w:id="111"/>
      <w:r>
        <w:rPr>
          <w:b w:val="0"/>
          <w:bCs w:val="0"/>
        </w:rPr>
      </w:r>
      <w:r>
        <w:rPr>
          <w:rFonts w:ascii="Times New Roman" w:hAnsi="Times New Roman" w:cs="Times New Roman" w:eastAsia="Times New Roman" w:hint="default"/>
        </w:rPr>
        <w:t>3</w:t>
      </w:r>
      <w:r>
        <w:rPr/>
        <w:t>、现存的内部职工股情况</w:t>
      </w:r>
      <w:r>
        <w:rPr>
          <w:b w:val="0"/>
          <w:bCs w:val="0"/>
        </w:rPr>
      </w:r>
    </w:p>
    <w:p>
      <w:pPr>
        <w:pStyle w:val="BodyText"/>
        <w:spacing w:line="240" w:lineRule="auto" w:before="16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2"/>
      <w:bookmarkEnd w:id="112"/>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13"/>
      <w:bookmarkEnd w:id="113"/>
      <w:r>
        <w:rPr>
          <w:b w:val="0"/>
          <w:bCs w:val="0"/>
        </w:rPr>
      </w:r>
      <w:r>
        <w:rPr>
          <w:rFonts w:ascii="Times New Roman" w:hAnsi="Times New Roman" w:cs="Times New Roman" w:eastAsia="Times New Roman" w:hint="default"/>
        </w:rPr>
        <w:t>1</w:t>
      </w:r>
      <w:r>
        <w:rPr/>
        <w:t>、公司股东数量及持股情况</w:t>
      </w:r>
      <w:r>
        <w:rPr>
          <w:b w:val="0"/>
          <w:bCs w:val="0"/>
        </w:rPr>
      </w:r>
    </w:p>
    <w:p>
      <w:pPr>
        <w:pStyle w:val="BodyText"/>
        <w:spacing w:line="240" w:lineRule="auto" w:before="168"/>
        <w:ind w:left="0" w:right="1130"/>
        <w:jc w:val="right"/>
      </w:pPr>
      <w:r>
        <w:rPr/>
        <w:pict>
          <v:group style="position:absolute;margin-left:368.859985pt;margin-top:48.761726pt;width:49.05pt;height:43.6pt;mso-position-horizontal-relative:page;mso-position-vertical-relative:paragraph;z-index:-1003840" coordorigin="7377,975" coordsize="981,872">
            <v:group style="position:absolute;left:7389;top:987;width:2;height:393" coordorigin="7389,987" coordsize="2,393">
              <v:shape style="position:absolute;left:7389;top:987;width:2;height:393" coordorigin="7389,987" coordsize="0,393" path="m7389,987l7389,1379e" filled="false" stroked="true" strokeweight="1.140pt" strokecolor="#ffffff">
                <v:path arrowok="t"/>
              </v:shape>
            </v:group>
            <v:group style="position:absolute;left:7377;top:1379;width:981;height:468" coordorigin="7377,1379" coordsize="981,468">
              <v:shape style="position:absolute;left:7377;top:1379;width:981;height:468" coordorigin="7377,1379" coordsize="981,468" path="m7377,1847l8358,1847,8358,1379,7377,1379,7377,1847xe" filled="true" fillcolor="#ffffff" stroked="false">
                <v:path arrowok="t"/>
                <v:fill type="solid"/>
              </v:shape>
            </v:group>
            <v:group style="position:absolute;left:7400;top:987;width:936;height:393" coordorigin="7400,987" coordsize="936,393">
              <v:shape style="position:absolute;left:7400;top:987;width:936;height:393" coordorigin="7400,987" coordsize="936,393" path="m7400,1379l8335,1379,8335,987,7400,987,7400,1379xe" filled="true" fillcolor="#ffffff" stroked="false">
                <v:path arrowok="t"/>
                <v:fill type="solid"/>
              </v:shape>
            </v:group>
            <w10:wrap type="none"/>
          </v:group>
        </w:pict>
      </w:r>
      <w:r>
        <w:rPr/>
        <w:t>单位：股</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863"/>
        <w:gridCol w:w="884"/>
        <w:gridCol w:w="123"/>
        <w:gridCol w:w="970"/>
        <w:gridCol w:w="1065"/>
        <w:gridCol w:w="1031"/>
        <w:gridCol w:w="1331"/>
        <w:gridCol w:w="467"/>
        <w:gridCol w:w="535"/>
        <w:gridCol w:w="274"/>
        <w:gridCol w:w="1276"/>
        <w:gridCol w:w="413"/>
        <w:gridCol w:w="722"/>
      </w:tblGrid>
      <w:tr>
        <w:trPr>
          <w:trHeight w:val="161" w:hRule="exact"/>
        </w:trPr>
        <w:tc>
          <w:tcPr>
            <w:tcW w:w="863"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37" w:right="0"/>
              <w:jc w:val="left"/>
              <w:rPr>
                <w:rFonts w:ascii="Times New Roman" w:hAnsi="Times New Roman" w:cs="Times New Roman" w:eastAsia="Times New Roman" w:hint="default"/>
                <w:sz w:val="18"/>
                <w:szCs w:val="18"/>
              </w:rPr>
            </w:pPr>
            <w:r>
              <w:rPr>
                <w:rFonts w:ascii="Times New Roman"/>
                <w:sz w:val="18"/>
              </w:rPr>
              <w:t>74,241</w:t>
            </w:r>
          </w:p>
        </w:tc>
        <w:tc>
          <w:tcPr>
            <w:tcW w:w="10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169"/>
              <w:jc w:val="both"/>
              <w:rPr>
                <w:rFonts w:ascii="宋体" w:hAnsi="宋体" w:cs="宋体" w:eastAsia="宋体" w:hint="default"/>
                <w:sz w:val="18"/>
                <w:szCs w:val="18"/>
              </w:rPr>
            </w:pPr>
            <w:r>
              <w:rPr>
                <w:rFonts w:ascii="宋体" w:hAnsi="宋体" w:cs="宋体" w:eastAsia="宋体" w:hint="default"/>
                <w:sz w:val="18"/>
                <w:szCs w:val="18"/>
              </w:rPr>
              <w:t>年度报告披 露日前上一 月末普通股 股东总数</w:t>
            </w:r>
          </w:p>
        </w:tc>
        <w:tc>
          <w:tcPr>
            <w:tcW w:w="1065" w:type="dxa"/>
            <w:vMerge w:val="restart"/>
            <w:tcBorders>
              <w:top w:val="single" w:sz="4" w:space="0" w:color="000000"/>
              <w:left w:val="single" w:sz="13"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75,311</w:t>
            </w:r>
          </w:p>
        </w:tc>
        <w:tc>
          <w:tcPr>
            <w:tcW w:w="2362" w:type="dxa"/>
            <w:gridSpan w:val="2"/>
            <w:vMerge w:val="restart"/>
            <w:tcBorders>
              <w:top w:val="single" w:sz="4" w:space="0" w:color="000000"/>
              <w:left w:val="single" w:sz="4" w:space="0" w:color="000000"/>
              <w:right w:val="single" w:sz="4" w:space="0" w:color="000000"/>
            </w:tcBorders>
            <w:shd w:val="clear" w:color="auto" w:fill="D2D2D2"/>
          </w:tcPr>
          <w:p>
            <w:pPr/>
          </w:p>
        </w:tc>
        <w:tc>
          <w:tcPr>
            <w:tcW w:w="467" w:type="dxa"/>
            <w:tcBorders>
              <w:top w:val="single" w:sz="4" w:space="0" w:color="000000"/>
              <w:left w:val="single" w:sz="4" w:space="0" w:color="000000"/>
              <w:bottom w:val="nil" w:sz="6" w:space="0" w:color="auto"/>
              <w:right w:val="nil" w:sz="6" w:space="0" w:color="auto"/>
            </w:tcBorders>
          </w:tcPr>
          <w:p>
            <w:pPr/>
          </w:p>
        </w:tc>
        <w:tc>
          <w:tcPr>
            <w:tcW w:w="535" w:type="dxa"/>
            <w:tcBorders>
              <w:top w:val="single" w:sz="4" w:space="0" w:color="000000"/>
              <w:left w:val="nil" w:sz="6" w:space="0" w:color="auto"/>
              <w:bottom w:val="nil" w:sz="6" w:space="0" w:color="auto"/>
              <w:right w:val="single" w:sz="10" w:space="0" w:color="D2D2D2"/>
            </w:tcBorders>
          </w:tcPr>
          <w:p>
            <w:pPr/>
          </w:p>
        </w:tc>
        <w:tc>
          <w:tcPr>
            <w:tcW w:w="196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48"/>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722"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86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报告期末 普通股股 东总数</w:t>
            </w:r>
          </w:p>
        </w:tc>
        <w:tc>
          <w:tcPr>
            <w:tcW w:w="884" w:type="dxa"/>
            <w:vMerge/>
            <w:tcBorders>
              <w:left w:val="single" w:sz="10" w:space="0" w:color="D2D2D2"/>
              <w:right w:val="single" w:sz="9" w:space="0" w:color="D2D2D2"/>
            </w:tcBorders>
          </w:tcPr>
          <w:p>
            <w:pPr/>
          </w:p>
        </w:tc>
        <w:tc>
          <w:tcPr>
            <w:tcW w:w="1093" w:type="dxa"/>
            <w:gridSpan w:val="2"/>
            <w:vMerge/>
            <w:tcBorders>
              <w:left w:val="single" w:sz="4" w:space="0" w:color="000000"/>
              <w:right w:val="single" w:sz="4" w:space="0" w:color="000000"/>
            </w:tcBorders>
            <w:shd w:val="clear" w:color="auto" w:fill="D2D2D2"/>
          </w:tcPr>
          <w:p>
            <w:pPr/>
          </w:p>
        </w:tc>
        <w:tc>
          <w:tcPr>
            <w:tcW w:w="1065" w:type="dxa"/>
            <w:vMerge/>
            <w:tcBorders>
              <w:left w:val="single" w:sz="13" w:space="0" w:color="D2D2D2"/>
              <w:right w:val="single" w:sz="9" w:space="0" w:color="D2D2D2"/>
            </w:tcBorders>
          </w:tcPr>
          <w:p>
            <w:pPr/>
          </w:p>
        </w:tc>
        <w:tc>
          <w:tcPr>
            <w:tcW w:w="2362" w:type="dxa"/>
            <w:gridSpan w:val="2"/>
            <w:vMerge/>
            <w:tcBorders>
              <w:left w:val="single" w:sz="4" w:space="0" w:color="000000"/>
              <w:bottom w:val="nil" w:sz="6" w:space="0" w:color="auto"/>
              <w:right w:val="single" w:sz="4" w:space="0" w:color="000000"/>
            </w:tcBorders>
            <w:shd w:val="clear" w:color="auto" w:fill="D2D2D2"/>
          </w:tcPr>
          <w:p>
            <w:pPr/>
          </w:p>
        </w:tc>
        <w:tc>
          <w:tcPr>
            <w:tcW w:w="467" w:type="dxa"/>
            <w:tcBorders>
              <w:top w:val="nil" w:sz="6" w:space="0" w:color="auto"/>
              <w:left w:val="single" w:sz="4" w:space="0" w:color="000000"/>
              <w:bottom w:val="nil" w:sz="6" w:space="0" w:color="auto"/>
              <w:right w:val="nil" w:sz="6" w:space="0" w:color="auto"/>
            </w:tcBorders>
          </w:tcPr>
          <w:p>
            <w:pPr/>
          </w:p>
        </w:tc>
        <w:tc>
          <w:tcPr>
            <w:tcW w:w="535" w:type="dxa"/>
            <w:tcBorders>
              <w:top w:val="nil" w:sz="6" w:space="0" w:color="auto"/>
              <w:left w:val="nil" w:sz="6" w:space="0" w:color="auto"/>
              <w:bottom w:val="nil" w:sz="6" w:space="0" w:color="auto"/>
              <w:right w:val="single" w:sz="10" w:space="0" w:color="D2D2D2"/>
            </w:tcBorders>
          </w:tcPr>
          <w:p>
            <w:pPr/>
          </w:p>
        </w:tc>
        <w:tc>
          <w:tcPr>
            <w:tcW w:w="1962" w:type="dxa"/>
            <w:gridSpan w:val="3"/>
            <w:vMerge/>
            <w:tcBorders>
              <w:left w:val="single" w:sz="4" w:space="0" w:color="000000"/>
              <w:right w:val="single" w:sz="4" w:space="0" w:color="000000"/>
            </w:tcBorders>
            <w:shd w:val="clear" w:color="auto" w:fill="D2D2D2"/>
          </w:tcPr>
          <w:p>
            <w:pPr/>
          </w:p>
        </w:tc>
        <w:tc>
          <w:tcPr>
            <w:tcW w:w="722" w:type="dxa"/>
            <w:vMerge/>
            <w:tcBorders>
              <w:left w:val="single" w:sz="13" w:space="0" w:color="D2D2D2"/>
              <w:right w:val="single" w:sz="4" w:space="0" w:color="000000"/>
            </w:tcBorders>
          </w:tcPr>
          <w:p>
            <w:pPr/>
          </w:p>
        </w:tc>
      </w:tr>
      <w:tr>
        <w:trPr>
          <w:trHeight w:val="704" w:hRule="exact"/>
        </w:trPr>
        <w:tc>
          <w:tcPr>
            <w:tcW w:w="863" w:type="dxa"/>
            <w:vMerge/>
            <w:tcBorders>
              <w:left w:val="single" w:sz="4" w:space="0" w:color="000000"/>
              <w:right w:val="single" w:sz="4" w:space="0" w:color="000000"/>
            </w:tcBorders>
            <w:shd w:val="clear" w:color="auto" w:fill="D2D2D2"/>
          </w:tcPr>
          <w:p>
            <w:pPr/>
          </w:p>
        </w:tc>
        <w:tc>
          <w:tcPr>
            <w:tcW w:w="884" w:type="dxa"/>
            <w:vMerge/>
            <w:tcBorders>
              <w:left w:val="single" w:sz="10" w:space="0" w:color="D2D2D2"/>
              <w:right w:val="single" w:sz="9" w:space="0" w:color="D2D2D2"/>
            </w:tcBorders>
          </w:tcPr>
          <w:p>
            <w:pPr/>
          </w:p>
        </w:tc>
        <w:tc>
          <w:tcPr>
            <w:tcW w:w="1093" w:type="dxa"/>
            <w:gridSpan w:val="2"/>
            <w:vMerge/>
            <w:tcBorders>
              <w:left w:val="single" w:sz="4" w:space="0" w:color="000000"/>
              <w:right w:val="single" w:sz="4" w:space="0" w:color="000000"/>
            </w:tcBorders>
            <w:shd w:val="clear" w:color="auto" w:fill="D2D2D2"/>
          </w:tcPr>
          <w:p>
            <w:pPr/>
          </w:p>
        </w:tc>
        <w:tc>
          <w:tcPr>
            <w:tcW w:w="1065" w:type="dxa"/>
            <w:vMerge/>
            <w:tcBorders>
              <w:left w:val="single" w:sz="13" w:space="0" w:color="D2D2D2"/>
              <w:right w:val="single" w:sz="9" w:space="0" w:color="D2D2D2"/>
            </w:tcBorders>
          </w:tcPr>
          <w:p>
            <w:pPr/>
          </w:p>
        </w:tc>
        <w:tc>
          <w:tcPr>
            <w:tcW w:w="236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7" w:right="113"/>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报告期末表决权恢复的优先 </w:t>
            </w:r>
            <w:r>
              <w:rPr>
                <w:rFonts w:ascii="宋体" w:hAnsi="宋体" w:cs="宋体" w:eastAsia="宋体" w:hint="default"/>
                <w:spacing w:val="-20"/>
                <w:sz w:val="18"/>
                <w:szCs w:val="18"/>
              </w:rPr>
              <w:t>股股东总数（如有）（参见注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w:t>
            </w:r>
          </w:p>
        </w:tc>
        <w:tc>
          <w:tcPr>
            <w:tcW w:w="467" w:type="dxa"/>
            <w:tcBorders>
              <w:top w:val="nil" w:sz="6" w:space="0" w:color="auto"/>
              <w:left w:val="single" w:sz="13" w:space="0" w:color="D2D2D2"/>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535" w:type="dxa"/>
            <w:tcBorders>
              <w:top w:val="nil" w:sz="6" w:space="0" w:color="auto"/>
              <w:left w:val="nil" w:sz="6" w:space="0" w:color="auto"/>
              <w:bottom w:val="nil" w:sz="6" w:space="0" w:color="auto"/>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962" w:type="dxa"/>
            <w:gridSpan w:val="3"/>
            <w:vMerge/>
            <w:tcBorders>
              <w:left w:val="single" w:sz="4" w:space="0" w:color="000000"/>
              <w:right w:val="single" w:sz="4" w:space="0" w:color="000000"/>
            </w:tcBorders>
            <w:shd w:val="clear" w:color="auto" w:fill="D2D2D2"/>
          </w:tcPr>
          <w:p>
            <w:pPr/>
          </w:p>
        </w:tc>
        <w:tc>
          <w:tcPr>
            <w:tcW w:w="722" w:type="dxa"/>
            <w:vMerge/>
            <w:tcBorders>
              <w:left w:val="single" w:sz="13" w:space="0" w:color="D2D2D2"/>
              <w:right w:val="single" w:sz="4" w:space="0" w:color="000000"/>
            </w:tcBorders>
          </w:tcPr>
          <w:p>
            <w:pPr/>
          </w:p>
        </w:tc>
      </w:tr>
      <w:tr>
        <w:trPr>
          <w:trHeight w:val="156" w:hRule="exact"/>
        </w:trPr>
        <w:tc>
          <w:tcPr>
            <w:tcW w:w="863"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10" w:space="0" w:color="D2D2D2"/>
              <w:right w:val="single" w:sz="9" w:space="0" w:color="D2D2D2"/>
            </w:tcBorders>
          </w:tcPr>
          <w:p>
            <w:pPr/>
          </w:p>
        </w:tc>
        <w:tc>
          <w:tcPr>
            <w:tcW w:w="1093" w:type="dxa"/>
            <w:gridSpan w:val="2"/>
            <w:vMerge/>
            <w:tcBorders>
              <w:left w:val="single" w:sz="4" w:space="0" w:color="000000"/>
              <w:right w:val="single" w:sz="4" w:space="0" w:color="000000"/>
            </w:tcBorders>
            <w:shd w:val="clear" w:color="auto" w:fill="D2D2D2"/>
          </w:tcPr>
          <w:p>
            <w:pPr/>
          </w:p>
        </w:tc>
        <w:tc>
          <w:tcPr>
            <w:tcW w:w="1065" w:type="dxa"/>
            <w:vMerge/>
            <w:tcBorders>
              <w:left w:val="single" w:sz="13" w:space="0" w:color="D2D2D2"/>
              <w:right w:val="single" w:sz="9" w:space="0" w:color="D2D2D2"/>
            </w:tcBorders>
          </w:tcPr>
          <w:p>
            <w:pPr/>
          </w:p>
        </w:tc>
        <w:tc>
          <w:tcPr>
            <w:tcW w:w="2362" w:type="dxa"/>
            <w:gridSpan w:val="2"/>
            <w:vMerge w:val="restart"/>
            <w:tcBorders>
              <w:top w:val="nil" w:sz="6" w:space="0" w:color="auto"/>
              <w:left w:val="single" w:sz="4" w:space="0" w:color="000000"/>
              <w:right w:val="single" w:sz="4" w:space="0" w:color="000000"/>
            </w:tcBorders>
            <w:shd w:val="clear" w:color="auto" w:fill="D2D2D2"/>
          </w:tcPr>
          <w:p>
            <w:pPr/>
          </w:p>
        </w:tc>
        <w:tc>
          <w:tcPr>
            <w:tcW w:w="467" w:type="dxa"/>
            <w:tcBorders>
              <w:top w:val="nil" w:sz="6" w:space="0" w:color="auto"/>
              <w:left w:val="single" w:sz="4" w:space="0" w:color="000000"/>
              <w:bottom w:val="nil" w:sz="6" w:space="0" w:color="auto"/>
              <w:right w:val="nil" w:sz="6" w:space="0" w:color="auto"/>
            </w:tcBorders>
          </w:tcPr>
          <w:p>
            <w:pPr/>
          </w:p>
        </w:tc>
        <w:tc>
          <w:tcPr>
            <w:tcW w:w="535" w:type="dxa"/>
            <w:tcBorders>
              <w:top w:val="nil" w:sz="6" w:space="0" w:color="auto"/>
              <w:left w:val="nil" w:sz="6" w:space="0" w:color="auto"/>
              <w:bottom w:val="nil" w:sz="6" w:space="0" w:color="auto"/>
              <w:right w:val="single" w:sz="10" w:space="0" w:color="D2D2D2"/>
            </w:tcBorders>
          </w:tcPr>
          <w:p>
            <w:pPr/>
          </w:p>
        </w:tc>
        <w:tc>
          <w:tcPr>
            <w:tcW w:w="1962" w:type="dxa"/>
            <w:gridSpan w:val="3"/>
            <w:vMerge/>
            <w:tcBorders>
              <w:left w:val="single" w:sz="4" w:space="0" w:color="000000"/>
              <w:right w:val="single" w:sz="4" w:space="0" w:color="000000"/>
            </w:tcBorders>
            <w:shd w:val="clear" w:color="auto" w:fill="D2D2D2"/>
          </w:tcPr>
          <w:p>
            <w:pPr/>
          </w:p>
        </w:tc>
        <w:tc>
          <w:tcPr>
            <w:tcW w:w="722" w:type="dxa"/>
            <w:vMerge/>
            <w:tcBorders>
              <w:left w:val="single" w:sz="13" w:space="0" w:color="D2D2D2"/>
              <w:right w:val="single" w:sz="4" w:space="0" w:color="000000"/>
            </w:tcBorders>
          </w:tcPr>
          <w:p>
            <w:pPr/>
          </w:p>
        </w:tc>
      </w:tr>
      <w:tr>
        <w:trPr>
          <w:trHeight w:val="166" w:hRule="exact"/>
        </w:trPr>
        <w:tc>
          <w:tcPr>
            <w:tcW w:w="863"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9" w:space="0" w:color="D2D2D2"/>
            </w:tcBorders>
          </w:tcPr>
          <w:p>
            <w:pPr/>
          </w:p>
        </w:tc>
        <w:tc>
          <w:tcPr>
            <w:tcW w:w="1093" w:type="dxa"/>
            <w:gridSpan w:val="2"/>
            <w:vMerge/>
            <w:tcBorders>
              <w:left w:val="single" w:sz="4" w:space="0" w:color="000000"/>
              <w:bottom w:val="single" w:sz="4" w:space="0" w:color="000000"/>
              <w:right w:val="single" w:sz="4" w:space="0" w:color="000000"/>
            </w:tcBorders>
            <w:shd w:val="clear" w:color="auto" w:fill="D2D2D2"/>
          </w:tcPr>
          <w:p>
            <w:pPr/>
          </w:p>
        </w:tc>
        <w:tc>
          <w:tcPr>
            <w:tcW w:w="1065" w:type="dxa"/>
            <w:vMerge/>
            <w:tcBorders>
              <w:left w:val="single" w:sz="13" w:space="0" w:color="D2D2D2"/>
              <w:bottom w:val="single" w:sz="4" w:space="0" w:color="000000"/>
              <w:right w:val="single" w:sz="9" w:space="0" w:color="D2D2D2"/>
            </w:tcBorders>
          </w:tcPr>
          <w:p>
            <w:pPr/>
          </w:p>
        </w:tc>
        <w:tc>
          <w:tcPr>
            <w:tcW w:w="2362" w:type="dxa"/>
            <w:gridSpan w:val="2"/>
            <w:vMerge/>
            <w:tcBorders>
              <w:left w:val="single" w:sz="4" w:space="0" w:color="000000"/>
              <w:bottom w:val="single" w:sz="4" w:space="0" w:color="000000"/>
              <w:right w:val="single" w:sz="4" w:space="0" w:color="000000"/>
            </w:tcBorders>
            <w:shd w:val="clear" w:color="auto" w:fill="D2D2D2"/>
          </w:tcPr>
          <w:p>
            <w:pPr/>
          </w:p>
        </w:tc>
        <w:tc>
          <w:tcPr>
            <w:tcW w:w="467" w:type="dxa"/>
            <w:tcBorders>
              <w:top w:val="nil" w:sz="6" w:space="0" w:color="auto"/>
              <w:left w:val="single" w:sz="4" w:space="0" w:color="000000"/>
              <w:bottom w:val="single" w:sz="4" w:space="0" w:color="000000"/>
              <w:right w:val="nil" w:sz="6" w:space="0" w:color="auto"/>
            </w:tcBorders>
          </w:tcPr>
          <w:p>
            <w:pPr/>
          </w:p>
        </w:tc>
        <w:tc>
          <w:tcPr>
            <w:tcW w:w="535" w:type="dxa"/>
            <w:tcBorders>
              <w:top w:val="nil" w:sz="6" w:space="0" w:color="auto"/>
              <w:left w:val="nil" w:sz="6" w:space="0" w:color="auto"/>
              <w:bottom w:val="single" w:sz="4" w:space="0" w:color="000000"/>
              <w:right w:val="single" w:sz="10" w:space="0" w:color="D2D2D2"/>
            </w:tcBorders>
          </w:tcPr>
          <w:p>
            <w:pPr/>
          </w:p>
        </w:tc>
        <w:tc>
          <w:tcPr>
            <w:tcW w:w="1962" w:type="dxa"/>
            <w:gridSpan w:val="3"/>
            <w:vMerge/>
            <w:tcBorders>
              <w:left w:val="single" w:sz="4" w:space="0" w:color="000000"/>
              <w:bottom w:val="single" w:sz="4" w:space="0" w:color="000000"/>
              <w:right w:val="single" w:sz="4" w:space="0" w:color="000000"/>
            </w:tcBorders>
            <w:shd w:val="clear" w:color="auto" w:fill="D2D2D2"/>
          </w:tcPr>
          <w:p>
            <w:pPr/>
          </w:p>
        </w:tc>
        <w:tc>
          <w:tcPr>
            <w:tcW w:w="722" w:type="dxa"/>
            <w:vMerge/>
            <w:tcBorders>
              <w:left w:val="single" w:sz="13" w:space="0" w:color="D2D2D2"/>
              <w:bottom w:val="single" w:sz="4" w:space="0" w:color="000000"/>
              <w:right w:val="single" w:sz="4" w:space="0" w:color="000000"/>
            </w:tcBorders>
          </w:tcPr>
          <w:p>
            <w:pPr/>
          </w:p>
        </w:tc>
      </w:tr>
      <w:tr>
        <w:trPr>
          <w:trHeight w:val="392" w:hRule="exact"/>
        </w:trPr>
        <w:tc>
          <w:tcPr>
            <w:tcW w:w="995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25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0" w:hRule="exact"/>
        </w:trPr>
        <w:tc>
          <w:tcPr>
            <w:tcW w:w="8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7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256" w:right="76"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3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57" w:right="6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33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209" w:right="29"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12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92" w:right="93"/>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241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2" w:hRule="exact"/>
        </w:trPr>
        <w:tc>
          <w:tcPr>
            <w:tcW w:w="8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0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5" w:type="dxa"/>
            <w:vMerge/>
            <w:tcBorders>
              <w:left w:val="single" w:sz="4" w:space="0" w:color="000000"/>
              <w:right w:val="single" w:sz="4" w:space="0" w:color="000000"/>
            </w:tcBorders>
            <w:shd w:val="clear" w:color="auto" w:fill="D2D2D2"/>
          </w:tcPr>
          <w:p>
            <w:pPr/>
          </w:p>
        </w:tc>
        <w:tc>
          <w:tcPr>
            <w:tcW w:w="1031" w:type="dxa"/>
            <w:vMerge/>
            <w:tcBorders>
              <w:left w:val="single" w:sz="4" w:space="0" w:color="000000"/>
              <w:right w:val="single" w:sz="4" w:space="0" w:color="000000"/>
            </w:tcBorders>
            <w:shd w:val="clear" w:color="auto" w:fill="D2D2D2"/>
          </w:tcPr>
          <w:p>
            <w:pPr/>
          </w:p>
        </w:tc>
        <w:tc>
          <w:tcPr>
            <w:tcW w:w="1331" w:type="dxa"/>
            <w:vMerge/>
            <w:tcBorders>
              <w:left w:val="single" w:sz="4" w:space="0" w:color="000000"/>
              <w:right w:val="single" w:sz="4" w:space="0" w:color="000000"/>
            </w:tcBorders>
            <w:shd w:val="clear" w:color="auto" w:fill="D2D2D2"/>
          </w:tcPr>
          <w:p>
            <w:pPr/>
          </w:p>
        </w:tc>
        <w:tc>
          <w:tcPr>
            <w:tcW w:w="1276" w:type="dxa"/>
            <w:gridSpan w:val="3"/>
            <w:vMerge/>
            <w:tcBorders>
              <w:left w:val="single" w:sz="4" w:space="0" w:color="000000"/>
              <w:right w:val="single" w:sz="4" w:space="0" w:color="000000"/>
            </w:tcBorders>
            <w:shd w:val="clear" w:color="auto" w:fill="D2D2D2"/>
          </w:tcPr>
          <w:p>
            <w:pPr/>
          </w:p>
        </w:tc>
        <w:tc>
          <w:tcPr>
            <w:tcW w:w="241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863" w:type="dxa"/>
            <w:vMerge/>
            <w:tcBorders>
              <w:left w:val="single" w:sz="4" w:space="0" w:color="000000"/>
              <w:bottom w:val="nil" w:sz="6" w:space="0" w:color="auto"/>
              <w:right w:val="single" w:sz="4" w:space="0" w:color="000000"/>
            </w:tcBorders>
            <w:shd w:val="clear" w:color="auto" w:fill="D2D2D2"/>
          </w:tcPr>
          <w:p>
            <w:pPr/>
          </w:p>
        </w:tc>
        <w:tc>
          <w:tcPr>
            <w:tcW w:w="1007" w:type="dxa"/>
            <w:gridSpan w:val="2"/>
            <w:vMerge/>
            <w:tcBorders>
              <w:left w:val="single" w:sz="4" w:space="0" w:color="000000"/>
              <w:bottom w:val="nil" w:sz="6" w:space="0" w:color="auto"/>
              <w:right w:val="single" w:sz="4" w:space="0" w:color="000000"/>
            </w:tcBorders>
            <w:shd w:val="clear" w:color="auto" w:fill="D2D2D2"/>
          </w:tcPr>
          <w:p>
            <w:pPr/>
          </w:p>
        </w:tc>
        <w:tc>
          <w:tcPr>
            <w:tcW w:w="970" w:type="dxa"/>
            <w:vMerge/>
            <w:tcBorders>
              <w:left w:val="single" w:sz="4" w:space="0" w:color="000000"/>
              <w:bottom w:val="nil" w:sz="6" w:space="0" w:color="auto"/>
              <w:right w:val="single" w:sz="4" w:space="0" w:color="000000"/>
            </w:tcBorders>
            <w:shd w:val="clear" w:color="auto" w:fill="D2D2D2"/>
          </w:tcPr>
          <w:p>
            <w:pPr/>
          </w:p>
        </w:tc>
        <w:tc>
          <w:tcPr>
            <w:tcW w:w="1065" w:type="dxa"/>
            <w:vMerge/>
            <w:tcBorders>
              <w:left w:val="single" w:sz="4" w:space="0" w:color="000000"/>
              <w:right w:val="single" w:sz="4" w:space="0" w:color="000000"/>
            </w:tcBorders>
            <w:shd w:val="clear" w:color="auto" w:fill="D2D2D2"/>
          </w:tcPr>
          <w:p>
            <w:pPr/>
          </w:p>
        </w:tc>
        <w:tc>
          <w:tcPr>
            <w:tcW w:w="1031" w:type="dxa"/>
            <w:vMerge/>
            <w:tcBorders>
              <w:left w:val="single" w:sz="4" w:space="0" w:color="000000"/>
              <w:right w:val="single" w:sz="4" w:space="0" w:color="000000"/>
            </w:tcBorders>
            <w:shd w:val="clear" w:color="auto" w:fill="D2D2D2"/>
          </w:tcPr>
          <w:p>
            <w:pPr/>
          </w:p>
        </w:tc>
        <w:tc>
          <w:tcPr>
            <w:tcW w:w="1331" w:type="dxa"/>
            <w:vMerge/>
            <w:tcBorders>
              <w:left w:val="single" w:sz="4" w:space="0" w:color="000000"/>
              <w:right w:val="single" w:sz="4" w:space="0" w:color="000000"/>
            </w:tcBorders>
            <w:shd w:val="clear" w:color="auto" w:fill="D2D2D2"/>
          </w:tcPr>
          <w:p>
            <w:pPr/>
          </w:p>
        </w:tc>
        <w:tc>
          <w:tcPr>
            <w:tcW w:w="1276" w:type="dxa"/>
            <w:gridSpan w:val="3"/>
            <w:vMerge/>
            <w:tcBorders>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1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84" w:hRule="exact"/>
        </w:trPr>
        <w:tc>
          <w:tcPr>
            <w:tcW w:w="8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7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5" w:type="dxa"/>
            <w:vMerge/>
            <w:tcBorders>
              <w:left w:val="single" w:sz="4" w:space="0" w:color="000000"/>
              <w:bottom w:val="single" w:sz="4" w:space="0" w:color="000000"/>
              <w:right w:val="single" w:sz="4" w:space="0" w:color="000000"/>
            </w:tcBorders>
            <w:shd w:val="clear" w:color="auto" w:fill="D2D2D2"/>
          </w:tcPr>
          <w:p>
            <w:pPr/>
          </w:p>
        </w:tc>
        <w:tc>
          <w:tcPr>
            <w:tcW w:w="1031" w:type="dxa"/>
            <w:vMerge/>
            <w:tcBorders>
              <w:left w:val="single" w:sz="4" w:space="0" w:color="000000"/>
              <w:bottom w:val="single" w:sz="4" w:space="0" w:color="000000"/>
              <w:right w:val="single" w:sz="4" w:space="0" w:color="000000"/>
            </w:tcBorders>
            <w:shd w:val="clear" w:color="auto" w:fill="D2D2D2"/>
          </w:tcPr>
          <w:p>
            <w:pPr/>
          </w:p>
        </w:tc>
        <w:tc>
          <w:tcPr>
            <w:tcW w:w="1331" w:type="dxa"/>
            <w:vMerge/>
            <w:tcBorders>
              <w:left w:val="single" w:sz="4" w:space="0" w:color="000000"/>
              <w:bottom w:val="single" w:sz="4" w:space="0" w:color="000000"/>
              <w:right w:val="single" w:sz="4" w:space="0" w:color="000000"/>
            </w:tcBorders>
            <w:shd w:val="clear" w:color="auto" w:fill="D2D2D2"/>
          </w:tcPr>
          <w:p>
            <w:pPr/>
          </w:p>
        </w:tc>
        <w:tc>
          <w:tcPr>
            <w:tcW w:w="1276" w:type="dxa"/>
            <w:gridSpan w:val="3"/>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135" w:type="dxa"/>
            <w:gridSpan w:val="2"/>
            <w:vMerge/>
            <w:tcBorders>
              <w:left w:val="single" w:sz="4" w:space="0" w:color="000000"/>
              <w:bottom w:val="single" w:sz="4" w:space="0" w:color="000000"/>
              <w:right w:val="single" w:sz="4" w:space="0" w:color="000000"/>
            </w:tcBorders>
            <w:shd w:val="clear" w:color="auto" w:fill="D2D2D2"/>
          </w:tcPr>
          <w:p>
            <w:pPr/>
          </w:p>
        </w:tc>
      </w:tr>
      <w:tr>
        <w:trPr>
          <w:trHeight w:val="425"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1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5"/>
              <w:jc w:val="right"/>
              <w:rPr>
                <w:rFonts w:ascii="Times New Roman" w:hAnsi="Times New Roman" w:cs="Times New Roman" w:eastAsia="Times New Roman" w:hint="default"/>
                <w:sz w:val="18"/>
                <w:szCs w:val="18"/>
              </w:rPr>
            </w:pPr>
            <w:r>
              <w:rPr>
                <w:rFonts w:ascii="Times New Roman"/>
                <w:sz w:val="18"/>
              </w:rPr>
              <w:t>17.22%</w:t>
            </w:r>
          </w:p>
        </w:tc>
        <w:tc>
          <w:tcPr>
            <w:tcW w:w="1065"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136,894,273</w:t>
            </w:r>
          </w:p>
        </w:tc>
        <w:tc>
          <w:tcPr>
            <w:tcW w:w="1031"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-3,000,000</w:t>
            </w:r>
            <w:r>
              <w:rPr>
                <w:rFonts w:ascii="Times New Roman"/>
                <w:sz w:val="18"/>
              </w:rPr>
            </w:r>
          </w:p>
        </w:tc>
        <w:tc>
          <w:tcPr>
            <w:tcW w:w="1331"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114,920,705</w:t>
            </w:r>
          </w:p>
        </w:tc>
        <w:tc>
          <w:tcPr>
            <w:tcW w:w="1276" w:type="dxa"/>
            <w:gridSpan w:val="3"/>
            <w:tcBorders>
              <w:top w:val="single" w:sz="22" w:space="0" w:color="D2D2D2"/>
              <w:left w:val="single" w:sz="4" w:space="0" w:color="000000"/>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21,973,568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hAnsi="宋体" w:cs="宋体" w:eastAsia="宋体" w:hint="default"/>
                <w:sz w:val="18"/>
                <w:szCs w:val="18"/>
              </w:rPr>
              <w:t>质押</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91" w:right="0"/>
              <w:jc w:val="left"/>
              <w:rPr>
                <w:rFonts w:ascii="Times New Roman" w:hAnsi="Times New Roman" w:cs="Times New Roman" w:eastAsia="Times New Roman" w:hint="default"/>
                <w:sz w:val="18"/>
                <w:szCs w:val="18"/>
              </w:rPr>
            </w:pPr>
            <w:r>
              <w:rPr>
                <w:rFonts w:ascii="Times New Roman"/>
                <w:sz w:val="18"/>
              </w:rPr>
              <w:t>23,999,999</w:t>
            </w: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陈晨</w:t>
            </w:r>
          </w:p>
        </w:tc>
        <w:tc>
          <w:tcPr>
            <w:tcW w:w="1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3.54%</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28,180,000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28,180,000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宗明杰</w:t>
            </w:r>
          </w:p>
        </w:tc>
        <w:tc>
          <w:tcPr>
            <w:tcW w:w="1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2.87%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22,814,631</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1,175,400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22,814,631</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1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2.68%</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21,283,396</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21,283,396</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张彤</w:t>
            </w:r>
          </w:p>
        </w:tc>
        <w:tc>
          <w:tcPr>
            <w:tcW w:w="1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2.20%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17,500,000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17,500,000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宋凌</w:t>
            </w:r>
          </w:p>
        </w:tc>
        <w:tc>
          <w:tcPr>
            <w:tcW w:w="1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1.70%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13,500,000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13,500,000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吴天舒</w:t>
            </w:r>
          </w:p>
        </w:tc>
        <w:tc>
          <w:tcPr>
            <w:tcW w:w="1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1.55%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12,327,044</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12,327,044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谢扬初</w:t>
            </w:r>
          </w:p>
        </w:tc>
        <w:tc>
          <w:tcPr>
            <w:tcW w:w="1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1.30%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10,323,700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10,323,700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10,323,700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张大庆</w:t>
            </w:r>
          </w:p>
        </w:tc>
        <w:tc>
          <w:tcPr>
            <w:tcW w:w="1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1.28%</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10,185,000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10,185,000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冯树滔</w:t>
            </w:r>
          </w:p>
        </w:tc>
        <w:tc>
          <w:tcPr>
            <w:tcW w:w="1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1.19%</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9,440,410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9,440,410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9,440,410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8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战略投资者或一般法人 因配售新股成为前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名股东的情况（如有）</w:t>
            </w:r>
          </w:p>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08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8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上述股东关联关系或一 致行动的说明</w:t>
            </w:r>
          </w:p>
        </w:tc>
        <w:tc>
          <w:tcPr>
            <w:tcW w:w="8083"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前十名股东中的张彤和张大庆是胞兄弟关系，除上述情况外，本公司未知其他前十名股东中是否存在关</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联关系。</w:t>
            </w:r>
          </w:p>
        </w:tc>
      </w:tr>
    </w:tbl>
    <w:p>
      <w:pPr>
        <w:spacing w:after="0" w:line="316"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998"/>
        <w:gridCol w:w="2833"/>
        <w:gridCol w:w="1282"/>
        <w:gridCol w:w="1579"/>
      </w:tblGrid>
      <w:tr>
        <w:trPr>
          <w:trHeight w:val="402" w:hRule="exact"/>
        </w:trPr>
        <w:tc>
          <w:tcPr>
            <w:tcW w:w="96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3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8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3998" w:type="dxa"/>
            <w:vMerge/>
            <w:tcBorders>
              <w:left w:val="single" w:sz="4" w:space="0" w:color="000000"/>
              <w:bottom w:val="single" w:sz="4" w:space="0" w:color="000000"/>
              <w:right w:val="single" w:sz="4" w:space="0" w:color="000000"/>
            </w:tcBorders>
            <w:shd w:val="clear" w:color="auto" w:fill="D2D2D2"/>
          </w:tcPr>
          <w:p>
            <w:pPr/>
          </w:p>
        </w:tc>
        <w:tc>
          <w:tcPr>
            <w:tcW w:w="2833" w:type="dxa"/>
            <w:vMerge/>
            <w:tcBorders>
              <w:left w:val="single" w:sz="4" w:space="0" w:color="000000"/>
              <w:bottom w:val="single" w:sz="4" w:space="0" w:color="000000"/>
              <w:right w:val="single" w:sz="4" w:space="0" w:color="000000"/>
            </w:tcBorders>
            <w:shd w:val="clear" w:color="auto" w:fill="D2D2D2"/>
          </w:tcPr>
          <w:p>
            <w:pP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3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陈晨</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28,180,000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28,180,000</w:t>
            </w:r>
          </w:p>
        </w:tc>
      </w:tr>
      <w:tr>
        <w:trPr>
          <w:trHeight w:val="402" w:hRule="exact"/>
        </w:trPr>
        <w:tc>
          <w:tcPr>
            <w:tcW w:w="3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宗明杰</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22,814,631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22,814,631</w:t>
            </w:r>
          </w:p>
        </w:tc>
      </w:tr>
      <w:tr>
        <w:trPr>
          <w:trHeight w:val="402" w:hRule="exact"/>
        </w:trPr>
        <w:tc>
          <w:tcPr>
            <w:tcW w:w="3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21,973,568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21,973,568</w:t>
            </w:r>
          </w:p>
        </w:tc>
      </w:tr>
      <w:tr>
        <w:trPr>
          <w:trHeight w:val="402" w:hRule="exact"/>
        </w:trPr>
        <w:tc>
          <w:tcPr>
            <w:tcW w:w="3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张彤</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17,500,000</w:t>
            </w:r>
          </w:p>
        </w:tc>
      </w:tr>
      <w:tr>
        <w:trPr>
          <w:trHeight w:val="402" w:hRule="exact"/>
        </w:trPr>
        <w:tc>
          <w:tcPr>
            <w:tcW w:w="3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宋凌</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13,500,000</w:t>
            </w:r>
          </w:p>
        </w:tc>
      </w:tr>
      <w:tr>
        <w:trPr>
          <w:trHeight w:val="402" w:hRule="exact"/>
        </w:trPr>
        <w:tc>
          <w:tcPr>
            <w:tcW w:w="3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吴天舒</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12,327,044</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12,327,044</w:t>
            </w:r>
          </w:p>
        </w:tc>
      </w:tr>
      <w:tr>
        <w:trPr>
          <w:trHeight w:val="402" w:hRule="exact"/>
        </w:trPr>
        <w:tc>
          <w:tcPr>
            <w:tcW w:w="3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谢扬初</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10,323,700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10,323,700</w:t>
            </w:r>
          </w:p>
        </w:tc>
      </w:tr>
      <w:tr>
        <w:trPr>
          <w:trHeight w:val="402" w:hRule="exact"/>
        </w:trPr>
        <w:tc>
          <w:tcPr>
            <w:tcW w:w="3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张大庆</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10,185,000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10,185,000</w:t>
            </w:r>
          </w:p>
        </w:tc>
      </w:tr>
      <w:tr>
        <w:trPr>
          <w:trHeight w:val="402" w:hRule="exact"/>
        </w:trPr>
        <w:tc>
          <w:tcPr>
            <w:tcW w:w="3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冯树滔</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9,440,410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9,440,410</w:t>
            </w:r>
          </w:p>
        </w:tc>
      </w:tr>
      <w:tr>
        <w:trPr>
          <w:trHeight w:val="402" w:hRule="exact"/>
        </w:trPr>
        <w:tc>
          <w:tcPr>
            <w:tcW w:w="3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7,426,900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7,426,900</w:t>
            </w:r>
          </w:p>
        </w:tc>
      </w:tr>
      <w:tr>
        <w:trPr>
          <w:trHeight w:val="1026" w:hRule="exact"/>
        </w:trPr>
        <w:tc>
          <w:tcPr>
            <w:tcW w:w="3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名无限</w:t>
            </w:r>
          </w:p>
          <w:p>
            <w:pPr>
              <w:pStyle w:val="TableParagraph"/>
              <w:spacing w:line="302" w:lineRule="auto" w:before="63"/>
              <w:ind w:left="22" w:right="93"/>
              <w:jc w:val="left"/>
              <w:rPr>
                <w:rFonts w:ascii="宋体" w:hAnsi="宋体" w:cs="宋体" w:eastAsia="宋体" w:hint="default"/>
                <w:sz w:val="18"/>
                <w:szCs w:val="18"/>
              </w:rPr>
            </w:pPr>
            <w:r>
              <w:rPr>
                <w:rFonts w:ascii="宋体" w:hAnsi="宋体" w:cs="宋体" w:eastAsia="宋体" w:hint="default"/>
                <w:sz w:val="18"/>
                <w:szCs w:val="18"/>
              </w:rPr>
              <w:t>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56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1"/>
              <w:jc w:val="left"/>
              <w:rPr>
                <w:rFonts w:ascii="宋体" w:hAnsi="宋体" w:cs="宋体" w:eastAsia="宋体" w:hint="default"/>
                <w:sz w:val="18"/>
                <w:szCs w:val="18"/>
              </w:rPr>
            </w:pPr>
            <w:r>
              <w:rPr>
                <w:rFonts w:ascii="宋体" w:hAnsi="宋体" w:cs="宋体" w:eastAsia="宋体" w:hint="default"/>
                <w:sz w:val="18"/>
                <w:szCs w:val="18"/>
              </w:rPr>
              <w:t>前十名股东中的张彤和张大庆是胞兄弟关系，除上述情况外，本公司未 知其他前十名股东中是否存在关联关系。</w:t>
            </w:r>
          </w:p>
        </w:tc>
      </w:tr>
      <w:tr>
        <w:trPr>
          <w:trHeight w:val="714" w:hRule="exact"/>
        </w:trPr>
        <w:tc>
          <w:tcPr>
            <w:tcW w:w="3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名普通</w:t>
            </w:r>
            <w:r>
              <w:rPr>
                <w:rFonts w:ascii="宋体" w:hAnsi="宋体" w:cs="宋体" w:eastAsia="宋体" w:hint="default"/>
                <w:spacing w:val="-2"/>
                <w:sz w:val="18"/>
                <w:szCs w:val="18"/>
              </w:rPr>
              <w:t>股</w:t>
            </w:r>
            <w:r>
              <w:rPr>
                <w:rFonts w:ascii="宋体" w:hAnsi="宋体" w:cs="宋体" w:eastAsia="宋体" w:hint="default"/>
                <w:sz w:val="18"/>
                <w:szCs w:val="18"/>
              </w:rPr>
              <w:t>股东参与融资融券业务情况说</w:t>
            </w:r>
            <w:r>
              <w:rPr>
                <w:rFonts w:ascii="宋体" w:hAnsi="宋体" w:cs="宋体" w:eastAsia="宋体" w:hint="default"/>
                <w:spacing w:val="-90"/>
                <w:sz w:val="18"/>
                <w:szCs w:val="18"/>
              </w:rPr>
              <w:t>明</w:t>
            </w:r>
            <w:r>
              <w:rPr>
                <w:rFonts w:ascii="宋体" w:hAnsi="宋体" w:cs="宋体" w:eastAsia="宋体" w:hint="default"/>
                <w:sz w:val="18"/>
                <w:szCs w:val="18"/>
              </w:rPr>
              <w:t>（如</w:t>
            </w:r>
            <w:r>
              <w:rPr>
                <w:rFonts w:ascii="宋体" w:hAnsi="宋体" w:cs="宋体" w:eastAsia="宋体" w:hint="default"/>
                <w:sz w:val="18"/>
                <w:szCs w:val="18"/>
              </w:rPr>
              <w:t> 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56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截止本报告末，公司自然人股东宗明杰持有公司股票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22,814,631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中通过信用证券账户持有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22,814,631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369" w:lineRule="auto" w:before="157"/>
        <w:ind w:left="154" w:right="8592" w:firstLine="0"/>
        <w:jc w:val="left"/>
        <w:rPr>
          <w:rFonts w:ascii="宋体" w:hAnsi="宋体" w:cs="宋体" w:eastAsia="宋体" w:hint="default"/>
          <w:sz w:val="18"/>
          <w:szCs w:val="18"/>
        </w:rPr>
      </w:pPr>
      <w:bookmarkStart w:name="2、公司控股股东情况" w:id="114"/>
      <w:bookmarkEnd w:id="11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b/>
          <w:bCs/>
          <w:w w:val="99"/>
          <w:sz w:val="21"/>
          <w:szCs w:val="21"/>
        </w:rPr>
        <w:t> </w:t>
      </w: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日起至今担任二六三网络通信股份有限公司董事长，</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月，受聘为工业和信息化部电线经济专家委员会第四届委员。</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8"/>
        <w:ind w:right="0"/>
        <w:jc w:val="left"/>
      </w:pPr>
      <w:r>
        <w:rPr/>
        <w:t>控股股东报告期内变更</w:t>
      </w:r>
    </w:p>
    <w:p>
      <w:pPr>
        <w:pStyle w:val="BodyText"/>
        <w:spacing w:line="338" w:lineRule="auto" w:before="117"/>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after="0" w:line="338"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3、公司实际控制人及其一致行动人" w:id="115"/>
      <w:bookmarkEnd w:id="115"/>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41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日起至今担任二六三网络通信股份有限公司董事长，</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月，受聘为工 业和信息化部电线经济专家委员会第四届委员。</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实际控制人报告期内变更</w:t>
      </w:r>
    </w:p>
    <w:p>
      <w:pPr>
        <w:pStyle w:val="BodyText"/>
        <w:spacing w:line="34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7"/>
        <w:rPr>
          <w:rFonts w:ascii="宋体" w:hAnsi="宋体" w:cs="宋体" w:eastAsia="宋体" w:hint="default"/>
          <w:sz w:val="17"/>
          <w:szCs w:val="17"/>
        </w:rPr>
      </w:pPr>
    </w:p>
    <w:p>
      <w:pPr>
        <w:spacing w:line="2718" w:lineRule="exact"/>
        <w:ind w:left="1650" w:right="0" w:firstLine="0"/>
        <w:rPr>
          <w:rFonts w:ascii="宋体" w:hAnsi="宋体" w:cs="宋体" w:eastAsia="宋体" w:hint="default"/>
          <w:sz w:val="20"/>
          <w:szCs w:val="20"/>
        </w:rPr>
      </w:pPr>
      <w:r>
        <w:rPr>
          <w:rFonts w:ascii="宋体" w:hAnsi="宋体" w:cs="宋体" w:eastAsia="宋体" w:hint="default"/>
          <w:position w:val="-53"/>
          <w:sz w:val="20"/>
          <w:szCs w:val="20"/>
        </w:rPr>
        <w:drawing>
          <wp:inline distT="0" distB="0" distL="0" distR="0">
            <wp:extent cx="4225805" cy="1726311"/>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21" cstate="print"/>
                    <a:stretch>
                      <a:fillRect/>
                    </a:stretch>
                  </pic:blipFill>
                  <pic:spPr>
                    <a:xfrm>
                      <a:off x="0" y="0"/>
                      <a:ext cx="4225805" cy="1726311"/>
                    </a:xfrm>
                    <a:prstGeom prst="rect">
                      <a:avLst/>
                    </a:prstGeom>
                  </pic:spPr>
                </pic:pic>
              </a:graphicData>
            </a:graphic>
          </wp:inline>
        </w:drawing>
      </w:r>
      <w:r>
        <w:rPr>
          <w:rFonts w:ascii="宋体" w:hAnsi="宋体" w:cs="宋体" w:eastAsia="宋体" w:hint="default"/>
          <w:position w:val="-53"/>
          <w:sz w:val="20"/>
          <w:szCs w:val="20"/>
        </w:rPr>
      </w:r>
    </w:p>
    <w:p>
      <w:pPr>
        <w:spacing w:line="240" w:lineRule="auto" w:before="10"/>
        <w:rPr>
          <w:rFonts w:ascii="宋体" w:hAnsi="宋体" w:cs="宋体" w:eastAsia="宋体" w:hint="default"/>
          <w:sz w:val="15"/>
          <w:szCs w:val="15"/>
        </w:rPr>
      </w:pPr>
    </w:p>
    <w:p>
      <w:pPr>
        <w:pStyle w:val="Heading3"/>
        <w:spacing w:line="240" w:lineRule="auto"/>
        <w:ind w:right="0"/>
        <w:jc w:val="left"/>
      </w:pPr>
      <w:r>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其他持股在10%以上的法人股东" w:id="116"/>
      <w:bookmarkEnd w:id="116"/>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控股股东、实际控制人、重组方及其他承诺主体股份限制减持情况" w:id="117"/>
      <w:bookmarkEnd w:id="117"/>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0"/>
        <w:jc w:val="left"/>
        <w:rPr>
          <w:b w:val="0"/>
          <w:bCs w:val="0"/>
        </w:rPr>
      </w:pPr>
      <w:bookmarkStart w:name="第七节 优先股相关情况" w:id="118"/>
      <w:bookmarkEnd w:id="118"/>
      <w:r>
        <w:rPr>
          <w:b w:val="0"/>
          <w:bCs w:val="0"/>
        </w:rPr>
      </w:r>
      <w:bookmarkStart w:name="_bookmark6" w:id="119"/>
      <w:bookmarkEnd w:id="119"/>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1"/>
        <w:spacing w:line="240" w:lineRule="auto"/>
        <w:ind w:left="2060" w:right="1175"/>
        <w:jc w:val="left"/>
        <w:rPr>
          <w:b w:val="0"/>
          <w:bCs w:val="0"/>
        </w:rPr>
      </w:pPr>
      <w:bookmarkStart w:name="第八节 董事、监事、高级管理人员和员工情况" w:id="120"/>
      <w:bookmarkEnd w:id="120"/>
      <w:r>
        <w:rPr>
          <w:b w:val="0"/>
          <w:bCs w:val="0"/>
        </w:rPr>
      </w:r>
      <w:bookmarkStart w:name="_bookmark7" w:id="121"/>
      <w:bookmarkEnd w:id="121"/>
      <w:r>
        <w:rPr>
          <w:b w:val="0"/>
          <w:bCs w:val="0"/>
        </w:rPr>
      </w:r>
      <w:r>
        <w:rPr/>
        <w:t>第八节</w:t>
      </w:r>
      <w:r>
        <w:rPr>
          <w:spacing w:val="-16"/>
        </w:rPr>
        <w:t> </w:t>
      </w:r>
      <w:r>
        <w:rPr/>
        <w:t>董事、监事、高级管理人员和员工情况</w:t>
      </w:r>
      <w:r>
        <w:rPr>
          <w:b w:val="0"/>
          <w:bCs w:val="0"/>
        </w:rPr>
      </w:r>
    </w:p>
    <w:p>
      <w:pPr>
        <w:spacing w:line="240" w:lineRule="auto" w:before="4"/>
        <w:rPr>
          <w:rFonts w:ascii="宋体" w:hAnsi="宋体" w:cs="宋体" w:eastAsia="宋体" w:hint="default"/>
          <w:b/>
          <w:bCs/>
          <w:sz w:val="41"/>
          <w:szCs w:val="41"/>
        </w:rPr>
      </w:pPr>
    </w:p>
    <w:p>
      <w:pPr>
        <w:pStyle w:val="Heading2"/>
        <w:spacing w:line="240" w:lineRule="auto"/>
        <w:ind w:left="534" w:right="5712"/>
        <w:jc w:val="left"/>
        <w:rPr>
          <w:b w:val="0"/>
          <w:bCs w:val="0"/>
        </w:rPr>
      </w:pPr>
      <w:bookmarkStart w:name="一、董事、监事和高级管理人员持股变动" w:id="122"/>
      <w:bookmarkEnd w:id="122"/>
      <w:r>
        <w:rPr>
          <w:b w:val="0"/>
          <w:bCs w:val="0"/>
        </w:rPr>
      </w:r>
      <w:r>
        <w:rPr/>
        <w:t>一、董事、监事和高级管理人员持股变动</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0"/>
          <w:szCs w:val="10"/>
        </w:rPr>
      </w:pPr>
    </w:p>
    <w:tbl>
      <w:tblPr>
        <w:tblW w:w="0" w:type="auto"/>
        <w:jc w:val="left"/>
        <w:tblInd w:w="103" w:type="dxa"/>
        <w:tblLayout w:type="fixed"/>
        <w:tblCellMar>
          <w:top w:w="0" w:type="dxa"/>
          <w:left w:w="0" w:type="dxa"/>
          <w:bottom w:w="0" w:type="dxa"/>
          <w:right w:w="0" w:type="dxa"/>
        </w:tblCellMar>
        <w:tblLook w:val="01E0"/>
      </w:tblPr>
      <w:tblGrid>
        <w:gridCol w:w="880"/>
        <w:gridCol w:w="678"/>
        <w:gridCol w:w="570"/>
        <w:gridCol w:w="426"/>
        <w:gridCol w:w="566"/>
        <w:gridCol w:w="992"/>
        <w:gridCol w:w="850"/>
        <w:gridCol w:w="994"/>
        <w:gridCol w:w="991"/>
        <w:gridCol w:w="1134"/>
        <w:gridCol w:w="992"/>
        <w:gridCol w:w="1019"/>
      </w:tblGrid>
      <w:tr>
        <w:trPr>
          <w:trHeight w:val="714" w:hRule="exact"/>
        </w:trPr>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9" w:right="98"/>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0" w:right="41"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3" w:firstLine="18"/>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15"/>
                <w:sz w:val="18"/>
                <w:szCs w:val="18"/>
              </w:rPr>
              <w:t>份数量（股）</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88"/>
              <w:jc w:val="left"/>
              <w:rPr>
                <w:rFonts w:ascii="宋体" w:hAnsi="宋体" w:cs="宋体" w:eastAsia="宋体" w:hint="default"/>
                <w:sz w:val="18"/>
                <w:szCs w:val="18"/>
              </w:rPr>
            </w:pPr>
            <w:r>
              <w:rPr>
                <w:rFonts w:ascii="宋体" w:hAnsi="宋体" w:cs="宋体" w:eastAsia="宋体" w:hint="default"/>
                <w:sz w:val="18"/>
                <w:szCs w:val="18"/>
              </w:rPr>
              <w:t>本期减持股 份数量（股）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0" w:right="41" w:hanging="90"/>
              <w:jc w:val="left"/>
              <w:rPr>
                <w:rFonts w:ascii="宋体" w:hAnsi="宋体" w:cs="宋体" w:eastAsia="宋体" w:hint="default"/>
                <w:sz w:val="18"/>
                <w:szCs w:val="18"/>
              </w:rPr>
            </w:pPr>
            <w:r>
              <w:rPr>
                <w:rFonts w:ascii="宋体" w:hAnsi="宋体" w:cs="宋体" w:eastAsia="宋体" w:hint="default"/>
                <w:sz w:val="18"/>
                <w:szCs w:val="18"/>
              </w:rPr>
              <w:t>其他增减变 动（股）</w:t>
            </w:r>
          </w:p>
        </w:tc>
        <w:tc>
          <w:tcPr>
            <w:tcW w:w="1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139,894,273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136,894,273</w:t>
            </w:r>
          </w:p>
        </w:tc>
      </w:tr>
      <w:tr>
        <w:trPr>
          <w:trHeight w:val="714"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芦兵</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3,264,897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4,464,897</w:t>
            </w:r>
          </w:p>
        </w:tc>
      </w:tr>
      <w:tr>
        <w:trPr>
          <w:trHeight w:val="714"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李玉杰</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2"/>
              <w:jc w:val="left"/>
              <w:rPr>
                <w:rFonts w:ascii="宋体" w:hAnsi="宋体" w:cs="宋体" w:eastAsia="宋体" w:hint="default"/>
                <w:sz w:val="18"/>
                <w:szCs w:val="18"/>
              </w:rPr>
            </w:pPr>
            <w:r>
              <w:rPr>
                <w:rFonts w:ascii="宋体" w:hAnsi="宋体" w:cs="宋体" w:eastAsia="宋体" w:hint="default"/>
                <w:sz w:val="18"/>
                <w:szCs w:val="18"/>
              </w:rPr>
              <w:t>董事、 副总裁</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337,552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2,137,552</w:t>
            </w:r>
          </w:p>
        </w:tc>
      </w:tr>
      <w:tr>
        <w:trPr>
          <w:trHeight w:val="714"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1"/>
                <w:sz w:val="18"/>
              </w:rPr>
              <w:t> </w:t>
            </w:r>
            <w:r>
              <w:rPr>
                <w:rFonts w:ascii="Times New Roman"/>
                <w:sz w:val="18"/>
              </w:rPr>
              <w:t>ZHAO</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2"/>
              <w:jc w:val="left"/>
              <w:rPr>
                <w:rFonts w:ascii="宋体" w:hAnsi="宋体" w:cs="宋体" w:eastAsia="宋体" w:hint="default"/>
                <w:sz w:val="18"/>
                <w:szCs w:val="18"/>
              </w:rPr>
            </w:pPr>
            <w:r>
              <w:rPr>
                <w:rFonts w:ascii="宋体" w:hAnsi="宋体" w:cs="宋体" w:eastAsia="宋体" w:hint="default"/>
                <w:sz w:val="18"/>
                <w:szCs w:val="18"/>
              </w:rPr>
              <w:t>董事、 副总裁</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w:t>
            </w:r>
          </w:p>
        </w:tc>
      </w:tr>
      <w:tr>
        <w:trPr>
          <w:trHeight w:val="714"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蒋必金</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21,283,396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21,283,396</w:t>
            </w:r>
          </w:p>
        </w:tc>
      </w:tr>
      <w:tr>
        <w:trPr>
          <w:trHeight w:val="714"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汪学思</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2"/>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2,450,161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2,450,161</w:t>
            </w:r>
          </w:p>
        </w:tc>
      </w:tr>
      <w:tr>
        <w:trPr>
          <w:trHeight w:val="714"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吴一彬</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159,086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39,772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119,314</w:t>
            </w:r>
          </w:p>
        </w:tc>
      </w:tr>
      <w:tr>
        <w:trPr>
          <w:trHeight w:val="714"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谷莉</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179,415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179,415</w:t>
            </w:r>
          </w:p>
        </w:tc>
      </w:tr>
      <w:tr>
        <w:trPr>
          <w:trHeight w:val="714"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梁京</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tc>
      </w:tr>
      <w:tr>
        <w:trPr>
          <w:trHeight w:val="714"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肖瑗</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876,068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2,276,068</w:t>
            </w:r>
          </w:p>
        </w:tc>
      </w:tr>
      <w:tr>
        <w:trPr>
          <w:trHeight w:val="714"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400,324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1,900,324</w:t>
            </w:r>
          </w:p>
        </w:tc>
      </w:tr>
      <w:tr>
        <w:trPr>
          <w:trHeight w:val="714"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16"/>
              <w:jc w:val="left"/>
              <w:rPr>
                <w:rFonts w:ascii="Times New Roman" w:hAnsi="Times New Roman" w:cs="Times New Roman" w:eastAsia="Times New Roman" w:hint="default"/>
                <w:sz w:val="18"/>
                <w:szCs w:val="18"/>
              </w:rPr>
            </w:pPr>
            <w:r>
              <w:rPr>
                <w:rFonts w:ascii="Times New Roman"/>
                <w:sz w:val="18"/>
              </w:rPr>
              <w:t>HAIBIN</w:t>
            </w:r>
            <w:r>
              <w:rPr>
                <w:rFonts w:ascii="Times New Roman"/>
                <w:w w:val="99"/>
                <w:sz w:val="18"/>
              </w:rPr>
              <w:t> </w:t>
            </w:r>
            <w:r>
              <w:rPr>
                <w:rFonts w:ascii="Times New Roman"/>
                <w:sz w:val="18"/>
              </w:rPr>
              <w:t>CHEN</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600" w:right="0"/>
        </w:sectPr>
      </w:pPr>
    </w:p>
    <w:p>
      <w:pPr>
        <w:spacing w:line="240" w:lineRule="auto" w:before="6"/>
        <w:rPr>
          <w:rFonts w:ascii="宋体" w:hAnsi="宋体" w:cs="宋体" w:eastAsia="宋体" w:hint="default"/>
          <w:b/>
          <w:bCs/>
          <w:sz w:val="24"/>
          <w:szCs w:val="24"/>
        </w:rPr>
      </w:pPr>
    </w:p>
    <w:tbl>
      <w:tblPr>
        <w:tblW w:w="0" w:type="auto"/>
        <w:jc w:val="left"/>
        <w:tblInd w:w="103" w:type="dxa"/>
        <w:tblLayout w:type="fixed"/>
        <w:tblCellMar>
          <w:top w:w="0" w:type="dxa"/>
          <w:left w:w="0" w:type="dxa"/>
          <w:bottom w:w="0" w:type="dxa"/>
          <w:right w:w="0" w:type="dxa"/>
        </w:tblCellMar>
        <w:tblLook w:val="01E0"/>
      </w:tblPr>
      <w:tblGrid>
        <w:gridCol w:w="880"/>
        <w:gridCol w:w="678"/>
        <w:gridCol w:w="570"/>
        <w:gridCol w:w="426"/>
        <w:gridCol w:w="566"/>
        <w:gridCol w:w="992"/>
        <w:gridCol w:w="850"/>
        <w:gridCol w:w="994"/>
        <w:gridCol w:w="991"/>
        <w:gridCol w:w="1134"/>
        <w:gridCol w:w="992"/>
        <w:gridCol w:w="1019"/>
      </w:tblGrid>
      <w:tr>
        <w:trPr>
          <w:trHeight w:val="714" w:hRule="exact"/>
        </w:trPr>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9" w:right="98"/>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0" w:right="41"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3" w:firstLine="18"/>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15"/>
                <w:sz w:val="18"/>
                <w:szCs w:val="18"/>
              </w:rPr>
              <w:t>份数量（股）</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88"/>
              <w:jc w:val="left"/>
              <w:rPr>
                <w:rFonts w:ascii="宋体" w:hAnsi="宋体" w:cs="宋体" w:eastAsia="宋体" w:hint="default"/>
                <w:sz w:val="18"/>
                <w:szCs w:val="18"/>
              </w:rPr>
            </w:pPr>
            <w:r>
              <w:rPr>
                <w:rFonts w:ascii="宋体" w:hAnsi="宋体" w:cs="宋体" w:eastAsia="宋体" w:hint="default"/>
                <w:sz w:val="18"/>
                <w:szCs w:val="18"/>
              </w:rPr>
              <w:t>本期减持股 份数量（股）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0" w:right="41" w:hanging="90"/>
              <w:jc w:val="left"/>
              <w:rPr>
                <w:rFonts w:ascii="宋体" w:hAnsi="宋体" w:cs="宋体" w:eastAsia="宋体" w:hint="default"/>
                <w:sz w:val="18"/>
                <w:szCs w:val="18"/>
              </w:rPr>
            </w:pPr>
            <w:r>
              <w:rPr>
                <w:rFonts w:ascii="宋体" w:hAnsi="宋体" w:cs="宋体" w:eastAsia="宋体" w:hint="default"/>
                <w:sz w:val="18"/>
                <w:szCs w:val="18"/>
              </w:rPr>
              <w:t>其他增减变 动（股）</w:t>
            </w:r>
          </w:p>
        </w:tc>
        <w:tc>
          <w:tcPr>
            <w:tcW w:w="1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李光千</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2"/>
              <w:jc w:val="left"/>
              <w:rPr>
                <w:rFonts w:ascii="宋体" w:hAnsi="宋体" w:cs="宋体" w:eastAsia="宋体" w:hint="default"/>
                <w:sz w:val="18"/>
                <w:szCs w:val="18"/>
              </w:rPr>
            </w:pPr>
            <w:r>
              <w:rPr>
                <w:rFonts w:ascii="宋体" w:hAnsi="宋体" w:cs="宋体" w:eastAsia="宋体" w:hint="default"/>
                <w:sz w:val="18"/>
                <w:szCs w:val="18"/>
              </w:rPr>
              <w:t>财务负 责人</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w:t>
            </w:r>
          </w:p>
        </w:tc>
      </w:tr>
      <w:tr>
        <w:trPr>
          <w:trHeight w:val="714"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李波</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2"/>
              <w:jc w:val="left"/>
              <w:rPr>
                <w:rFonts w:ascii="宋体" w:hAnsi="宋体" w:cs="宋体" w:eastAsia="宋体" w:hint="default"/>
                <w:sz w:val="18"/>
                <w:szCs w:val="18"/>
              </w:rPr>
            </w:pPr>
            <w:r>
              <w:rPr>
                <w:rFonts w:ascii="宋体" w:hAnsi="宋体" w:cs="宋体" w:eastAsia="宋体" w:hint="default"/>
                <w:sz w:val="18"/>
                <w:szCs w:val="18"/>
              </w:rPr>
              <w:t>董事会 秘书</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636,002</w:t>
            </w:r>
          </w:p>
        </w:tc>
      </w:tr>
      <w:tr>
        <w:trPr>
          <w:trHeight w:val="402" w:hRule="exact"/>
        </w:trPr>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8"/>
              <w:jc w:val="right"/>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168,881,174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3,039,772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10,200,000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176,041,402</w:t>
            </w:r>
          </w:p>
        </w:tc>
      </w:tr>
    </w:tbl>
    <w:p>
      <w:pPr>
        <w:spacing w:line="240" w:lineRule="auto" w:before="2"/>
        <w:rPr>
          <w:rFonts w:ascii="宋体" w:hAnsi="宋体" w:cs="宋体" w:eastAsia="宋体" w:hint="default"/>
          <w:b/>
          <w:bCs/>
          <w:sz w:val="18"/>
          <w:szCs w:val="18"/>
        </w:rPr>
      </w:pPr>
    </w:p>
    <w:p>
      <w:pPr>
        <w:pStyle w:val="Heading2"/>
        <w:spacing w:line="240" w:lineRule="auto" w:before="26"/>
        <w:ind w:left="534" w:right="5712"/>
        <w:jc w:val="left"/>
        <w:rPr>
          <w:b w:val="0"/>
          <w:bCs w:val="0"/>
        </w:rPr>
      </w:pPr>
      <w:bookmarkStart w:name="二、公司董事、监事、高级管理人员变动情况" w:id="123"/>
      <w:bookmarkEnd w:id="123"/>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34"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244" w:type="dxa"/>
        <w:tblLayout w:type="fixed"/>
        <w:tblCellMar>
          <w:top w:w="0" w:type="dxa"/>
          <w:left w:w="0" w:type="dxa"/>
          <w:bottom w:w="0" w:type="dxa"/>
          <w:right w:w="0" w:type="dxa"/>
        </w:tblCellMar>
        <w:tblLook w:val="01E0"/>
      </w:tblPr>
      <w:tblGrid>
        <w:gridCol w:w="1278"/>
        <w:gridCol w:w="1417"/>
        <w:gridCol w:w="1418"/>
        <w:gridCol w:w="1538"/>
        <w:gridCol w:w="4300"/>
      </w:tblGrid>
      <w:tr>
        <w:trPr>
          <w:trHeight w:val="402" w:hRule="exact"/>
        </w:trPr>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因个人原因辞去董事职务，不再担任公司其他职务</w:t>
            </w:r>
          </w:p>
        </w:tc>
      </w:tr>
      <w:tr>
        <w:trPr>
          <w:trHeight w:val="40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李玉杰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年第三次临时股东大会选举其担任董事职务</w:t>
            </w:r>
          </w:p>
        </w:tc>
      </w:tr>
      <w:tr>
        <w:trPr>
          <w:trHeight w:val="40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芦兵</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因个人原因辞去总裁职务，仍担任公司董事</w:t>
            </w:r>
          </w:p>
        </w:tc>
      </w:tr>
      <w:tr>
        <w:trPr>
          <w:trHeight w:val="40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梁京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公司董事会决定聘任其担任公司总裁</w:t>
            </w:r>
          </w:p>
        </w:tc>
      </w:tr>
    </w:tbl>
    <w:p>
      <w:pPr>
        <w:spacing w:line="240" w:lineRule="auto" w:before="2"/>
        <w:rPr>
          <w:rFonts w:ascii="宋体" w:hAnsi="宋体" w:cs="宋体" w:eastAsia="宋体" w:hint="default"/>
          <w:sz w:val="18"/>
          <w:szCs w:val="18"/>
        </w:rPr>
      </w:pPr>
    </w:p>
    <w:p>
      <w:pPr>
        <w:pStyle w:val="Heading2"/>
        <w:spacing w:line="240" w:lineRule="auto" w:before="26"/>
        <w:ind w:left="534" w:right="8412"/>
        <w:jc w:val="left"/>
        <w:rPr>
          <w:b w:val="0"/>
          <w:bCs w:val="0"/>
        </w:rPr>
      </w:pPr>
      <w:bookmarkStart w:name="三、任职情况" w:id="124"/>
      <w:bookmarkEnd w:id="124"/>
      <w:r>
        <w:rPr>
          <w:b w:val="0"/>
          <w:bCs w:val="0"/>
        </w:rPr>
      </w:r>
      <w:r>
        <w:rPr/>
        <w:t>三、任职情况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34" w:right="1175"/>
        <w:jc w:val="left"/>
      </w:pPr>
      <w:r>
        <w:rPr/>
        <w:t>公司现任董事、监事、高级管理人员专业背景、主要工作经历以及目前在公司的主要职责</w:t>
      </w:r>
    </w:p>
    <w:p>
      <w:pPr>
        <w:pStyle w:val="BodyText"/>
        <w:spacing w:line="240" w:lineRule="auto" w:before="115"/>
        <w:ind w:left="534" w:right="8412"/>
        <w:jc w:val="left"/>
      </w:pPr>
      <w:r>
        <w:rPr/>
        <w:t>（一）董事</w:t>
      </w:r>
    </w:p>
    <w:p>
      <w:pPr>
        <w:pStyle w:val="BodyText"/>
        <w:spacing w:line="240" w:lineRule="auto" w:before="76"/>
        <w:ind w:left="534" w:right="1175"/>
        <w:jc w:val="left"/>
      </w:pPr>
      <w:r>
        <w:rPr>
          <w:rFonts w:ascii="Times New Roman" w:hAnsi="Times New Roman" w:cs="Times New Roman" w:eastAsia="Times New Roman" w:hint="default"/>
        </w:rPr>
        <w:t>1.</w:t>
      </w:r>
      <w:r>
        <w:rPr/>
        <w:t>李小龙先生，</w:t>
      </w:r>
      <w:r>
        <w:rPr>
          <w:rFonts w:ascii="Times New Roman" w:hAnsi="Times New Roman" w:cs="Times New Roman" w:eastAsia="Times New Roman" w:hint="default"/>
        </w:rPr>
        <w:t>1965</w:t>
      </w:r>
      <w:r>
        <w:rPr/>
        <w:t>年出生，中国国籍，大学本科学历。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日起至今担任二六三网络通信股份有限公司董事长。</w:t>
      </w:r>
    </w:p>
    <w:p>
      <w:pPr>
        <w:pStyle w:val="BodyText"/>
        <w:spacing w:line="300" w:lineRule="auto" w:before="63"/>
        <w:ind w:left="534" w:right="0"/>
        <w:jc w:val="left"/>
      </w:pPr>
      <w:r>
        <w:rPr>
          <w:rFonts w:ascii="Times New Roman" w:hAnsi="Times New Roman" w:cs="Times New Roman" w:eastAsia="Times New Roman" w:hint="default"/>
        </w:rPr>
        <w:t>2.</w:t>
      </w:r>
      <w:r>
        <w:rPr/>
        <w:t>芦兵先生，</w:t>
      </w:r>
      <w:r>
        <w:rPr>
          <w:rFonts w:ascii="Times New Roman" w:hAnsi="Times New Roman" w:cs="Times New Roman" w:eastAsia="Times New Roman" w:hint="default"/>
        </w:rPr>
        <w:t>1965</w:t>
      </w:r>
      <w:r>
        <w:rPr/>
        <w:t>年出生，中国国籍，理学硕士。</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2</w:t>
      </w:r>
      <w:r>
        <w:rPr/>
        <w:t>月加入二六三网络通信股份有限公司，历任广州分公司总经理、</w:t>
      </w:r>
      <w:r>
        <w:rPr>
          <w:spacing w:val="-48"/>
        </w:rPr>
        <w:t> </w:t>
      </w:r>
      <w:r>
        <w:rPr>
          <w:spacing w:val="-48"/>
        </w:rPr>
      </w:r>
      <w:r>
        <w:rPr/>
        <w:t>公司副总经理职务，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月起至今担任公司董事。</w:t>
      </w:r>
    </w:p>
    <w:p>
      <w:pPr>
        <w:pStyle w:val="BodyText"/>
        <w:spacing w:line="304" w:lineRule="auto" w:before="13"/>
        <w:ind w:left="534" w:right="0"/>
        <w:jc w:val="left"/>
      </w:pPr>
      <w:r>
        <w:rPr>
          <w:rFonts w:ascii="Times New Roman" w:hAnsi="Times New Roman" w:cs="Times New Roman" w:eastAsia="Times New Roman" w:hint="default"/>
        </w:rPr>
        <w:t>3.Jie</w:t>
      </w:r>
      <w:r>
        <w:rPr>
          <w:rFonts w:ascii="Times New Roman" w:hAnsi="Times New Roman" w:cs="Times New Roman" w:eastAsia="Times New Roman" w:hint="default"/>
          <w:spacing w:val="5"/>
        </w:rPr>
        <w:t> </w:t>
      </w:r>
      <w:r>
        <w:rPr>
          <w:rFonts w:ascii="Times New Roman" w:hAnsi="Times New Roman" w:cs="Times New Roman" w:eastAsia="Times New Roman" w:hint="default"/>
        </w:rPr>
        <w:t>Zhao</w:t>
      </w:r>
      <w:r>
        <w:rPr>
          <w:rFonts w:ascii="Times New Roman" w:hAnsi="Times New Roman" w:cs="Times New Roman" w:eastAsia="Times New Roman" w:hint="default"/>
          <w:spacing w:val="-21"/>
        </w:rPr>
        <w:t> </w:t>
      </w:r>
      <w:r>
        <w:rPr>
          <w:spacing w:val="14"/>
        </w:rPr>
        <w:t>先生，</w:t>
      </w:r>
      <w:r>
        <w:rPr>
          <w:spacing w:val="-68"/>
        </w:rPr>
        <w:t> </w:t>
      </w:r>
      <w:r>
        <w:rPr>
          <w:rFonts w:ascii="Times New Roman" w:hAnsi="Times New Roman" w:cs="Times New Roman" w:eastAsia="Times New Roman" w:hint="default"/>
        </w:rPr>
        <w:t>1959</w:t>
      </w:r>
      <w:r>
        <w:rPr>
          <w:rFonts w:ascii="Times New Roman" w:hAnsi="Times New Roman" w:cs="Times New Roman" w:eastAsia="Times New Roman" w:hint="default"/>
          <w:spacing w:val="-23"/>
        </w:rPr>
        <w:t> </w:t>
      </w:r>
      <w:r>
        <w:rPr/>
        <w:t>年</w:t>
      </w:r>
      <w:r>
        <w:rPr>
          <w:spacing w:val="-68"/>
        </w:rPr>
        <w:t> </w:t>
      </w:r>
      <w:r>
        <w:rPr/>
        <w:t>出</w:t>
      </w:r>
      <w:r>
        <w:rPr>
          <w:spacing w:val="-68"/>
        </w:rPr>
        <w:t> </w:t>
      </w:r>
      <w:r>
        <w:rPr>
          <w:spacing w:val="10"/>
        </w:rPr>
        <w:t>生，</w:t>
      </w:r>
      <w:r>
        <w:rPr>
          <w:spacing w:val="-68"/>
        </w:rPr>
        <w:t> </w:t>
      </w:r>
      <w:r>
        <w:rPr/>
        <w:t>美</w:t>
      </w:r>
      <w:r>
        <w:rPr>
          <w:spacing w:val="-68"/>
        </w:rPr>
        <w:t> </w:t>
      </w:r>
      <w:r>
        <w:rPr/>
        <w:t>国</w:t>
      </w:r>
      <w:r>
        <w:rPr>
          <w:spacing w:val="-68"/>
        </w:rPr>
        <w:t> </w:t>
      </w:r>
      <w:r>
        <w:rPr/>
        <w:t>国</w:t>
      </w:r>
      <w:r>
        <w:rPr>
          <w:spacing w:val="-68"/>
        </w:rPr>
        <w:t> </w:t>
      </w:r>
      <w:r>
        <w:rPr>
          <w:spacing w:val="10"/>
        </w:rPr>
        <w:t>籍，</w:t>
      </w:r>
      <w:r>
        <w:rPr>
          <w:spacing w:val="-69"/>
        </w:rPr>
        <w:t> </w:t>
      </w:r>
      <w:r>
        <w:rPr/>
        <w:t>美</w:t>
      </w:r>
      <w:r>
        <w:rPr>
          <w:spacing w:val="-68"/>
        </w:rPr>
        <w:t> </w:t>
      </w:r>
      <w:r>
        <w:rPr/>
        <w:t>国</w:t>
      </w:r>
      <w:r>
        <w:rPr>
          <w:spacing w:val="-68"/>
        </w:rPr>
        <w:t> </w:t>
      </w:r>
      <w:r>
        <w:rPr/>
        <w:t>辛</w:t>
      </w:r>
      <w:r>
        <w:rPr>
          <w:spacing w:val="-68"/>
        </w:rPr>
        <w:t> </w:t>
      </w:r>
      <w:r>
        <w:rPr/>
        <w:t>辛</w:t>
      </w:r>
      <w:r>
        <w:rPr>
          <w:spacing w:val="-68"/>
        </w:rPr>
        <w:t> </w:t>
      </w:r>
      <w:r>
        <w:rPr>
          <w:spacing w:val="14"/>
        </w:rPr>
        <w:t>那提大</w:t>
      </w:r>
      <w:r>
        <w:rPr>
          <w:spacing w:val="-68"/>
        </w:rPr>
        <w:t> </w:t>
      </w:r>
      <w:r>
        <w:rPr/>
        <w:t>学</w:t>
      </w:r>
      <w:r>
        <w:rPr>
          <w:spacing w:val="-68"/>
        </w:rPr>
        <w:t> </w:t>
      </w:r>
      <w:r>
        <w:rPr/>
        <w:t>计</w:t>
      </w:r>
      <w:r>
        <w:rPr>
          <w:spacing w:val="-68"/>
        </w:rPr>
        <w:t> </w:t>
      </w:r>
      <w:r>
        <w:rPr/>
        <w:t>算</w:t>
      </w:r>
      <w:r>
        <w:rPr>
          <w:spacing w:val="-68"/>
        </w:rPr>
        <w:t> </w:t>
      </w:r>
      <w:r>
        <w:rPr>
          <w:spacing w:val="14"/>
        </w:rPr>
        <w:t>机科学</w:t>
      </w:r>
      <w:r>
        <w:rPr>
          <w:spacing w:val="-68"/>
        </w:rPr>
        <w:t> </w:t>
      </w:r>
      <w:r>
        <w:rPr/>
        <w:t>应</w:t>
      </w:r>
      <w:r>
        <w:rPr>
          <w:spacing w:val="-68"/>
        </w:rPr>
        <w:t> </w:t>
      </w:r>
      <w:r>
        <w:rPr/>
        <w:t>用</w:t>
      </w:r>
      <w:r>
        <w:rPr>
          <w:spacing w:val="-68"/>
        </w:rPr>
        <w:t> </w:t>
      </w:r>
      <w:r>
        <w:rPr/>
        <w:t>硕</w:t>
      </w:r>
      <w:r>
        <w:rPr>
          <w:spacing w:val="-68"/>
        </w:rPr>
        <w:t> </w:t>
      </w:r>
      <w:r>
        <w:rPr>
          <w:spacing w:val="10"/>
        </w:rPr>
        <w:t>士。</w:t>
      </w:r>
      <w:r>
        <w:rPr>
          <w:spacing w:val="-64"/>
        </w:rPr>
        <w:t> </w:t>
      </w:r>
      <w:r>
        <w:rPr>
          <w:rFonts w:ascii="Times New Roman" w:hAnsi="Times New Roman" w:cs="Times New Roman" w:eastAsia="Times New Roman" w:hint="default"/>
        </w:rPr>
        <w:t>2003</w:t>
      </w:r>
      <w:r>
        <w:rPr>
          <w:rFonts w:ascii="Times New Roman" w:hAnsi="Times New Roman" w:cs="Times New Roman" w:eastAsia="Times New Roman" w:hint="default"/>
          <w:spacing w:val="-23"/>
        </w:rPr>
        <w:t> </w:t>
      </w:r>
      <w:r>
        <w:rPr/>
        <w:t>年</w:t>
      </w:r>
      <w:r>
        <w:rPr>
          <w:spacing w:val="-68"/>
        </w:rPr>
        <w:t> </w:t>
      </w:r>
      <w:r>
        <w:rPr/>
        <w:t>至</w:t>
      </w:r>
      <w:r>
        <w:rPr>
          <w:spacing w:val="-68"/>
        </w:rPr>
        <w:t> </w:t>
      </w:r>
      <w:r>
        <w:rPr/>
        <w:t>今</w:t>
      </w:r>
      <w:r>
        <w:rPr>
          <w:spacing w:val="-68"/>
        </w:rPr>
        <w:t> </w:t>
      </w:r>
      <w:r>
        <w:rPr>
          <w:spacing w:val="10"/>
        </w:rPr>
        <w:t>担任</w:t>
      </w:r>
      <w:r>
        <w:rPr>
          <w:spacing w:val="-67"/>
        </w:rPr>
        <w:t> </w:t>
      </w:r>
      <w:r>
        <w:rPr>
          <w:rFonts w:ascii="Times New Roman" w:hAnsi="Times New Roman" w:cs="Times New Roman" w:eastAsia="Times New Roman" w:hint="default"/>
        </w:rPr>
        <w:t>iTalk</w:t>
      </w:r>
      <w:r>
        <w:rPr>
          <w:rFonts w:ascii="Times New Roman" w:hAnsi="Times New Roman" w:cs="Times New Roman" w:eastAsia="Times New Roman" w:hint="default"/>
          <w:spacing w:val="5"/>
        </w:rPr>
        <w:t> </w:t>
      </w:r>
      <w:r>
        <w:rPr>
          <w:rFonts w:ascii="Times New Roman" w:hAnsi="Times New Roman" w:cs="Times New Roman" w:eastAsia="Times New Roman" w:hint="default"/>
        </w:rPr>
        <w:t>Global</w:t>
      </w:r>
      <w:r>
        <w:rPr>
          <w:rFonts w:ascii="Times New Roman" w:hAnsi="Times New Roman" w:cs="Times New Roman" w:eastAsia="Times New Roman" w:hint="default"/>
        </w:rPr>
        <w:t> Communicationgs,Inc.CEO</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月起任公司董事、副总裁。 </w:t>
      </w:r>
      <w:r>
        <w:rPr>
          <w:rFonts w:ascii="Times New Roman" w:hAnsi="Times New Roman" w:cs="Times New Roman" w:eastAsia="Times New Roman" w:hint="default"/>
        </w:rPr>
        <w:t>4.</w:t>
      </w:r>
      <w:r>
        <w:rPr/>
        <w:t>李玉杰先生，</w:t>
      </w:r>
      <w:r>
        <w:rPr>
          <w:rFonts w:ascii="Times New Roman" w:hAnsi="Times New Roman" w:cs="Times New Roman" w:eastAsia="Times New Roman" w:hint="default"/>
        </w:rPr>
        <w:t>1973</w:t>
      </w:r>
      <w:r>
        <w:rPr/>
        <w:t>年出生，中国国籍，重庆大学计算机本科毕业，中国人民大学</w:t>
      </w:r>
      <w:r>
        <w:rPr>
          <w:rFonts w:ascii="Times New Roman" w:hAnsi="Times New Roman" w:cs="Times New Roman" w:eastAsia="Times New Roman" w:hint="default"/>
        </w:rPr>
        <w:t>MBA</w:t>
      </w:r>
      <w:r>
        <w:rPr/>
        <w:t>，拥有二十多年的</w:t>
      </w:r>
      <w:r>
        <w:rPr>
          <w:rFonts w:ascii="Times New Roman" w:hAnsi="Times New Roman" w:cs="Times New Roman" w:eastAsia="Times New Roman" w:hint="default"/>
        </w:rPr>
        <w:t>TMT</w:t>
      </w:r>
      <w:r>
        <w:rPr/>
        <w:t>行业管理经</w:t>
      </w:r>
      <w:r>
        <w:rPr>
          <w:spacing w:val="-27"/>
        </w:rPr>
        <w:t> </w:t>
      </w:r>
      <w:r>
        <w:rPr>
          <w:spacing w:val="-27"/>
        </w:rPr>
      </w:r>
      <w:r>
        <w:rPr/>
        <w:t>验，加入二六三前曾在埃森哲（</w:t>
      </w:r>
      <w:r>
        <w:rPr>
          <w:rFonts w:ascii="Times New Roman" w:hAnsi="Times New Roman" w:cs="Times New Roman" w:eastAsia="Times New Roman" w:hint="default"/>
        </w:rPr>
        <w:t>Accenture</w:t>
      </w:r>
      <w:r>
        <w:rPr/>
        <w:t>）公司任职；</w:t>
      </w:r>
      <w:r>
        <w:rPr>
          <w:spacing w:val="-16"/>
        </w:rPr>
        <w:t> </w:t>
      </w:r>
      <w:r>
        <w:rPr>
          <w:rFonts w:ascii="Times New Roman" w:hAnsi="Times New Roman" w:cs="Times New Roman" w:eastAsia="Times New Roman" w:hint="default"/>
        </w:rPr>
        <w:t>2010</w:t>
      </w:r>
      <w:r>
        <w:rPr/>
        <w:t>年至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月担任公司企业会议事业部总经理，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月担</w:t>
      </w:r>
      <w:r>
        <w:rPr>
          <w:spacing w:val="-88"/>
        </w:rPr>
        <w:t> </w:t>
      </w:r>
      <w:r>
        <w:rPr/>
        <w:t>任公司副总裁，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月担任公司董事，现任公司董事、副总裁。 </w:t>
      </w:r>
      <w:r>
        <w:rPr>
          <w:rFonts w:ascii="Times New Roman" w:hAnsi="Times New Roman" w:cs="Times New Roman" w:eastAsia="Times New Roman" w:hint="default"/>
        </w:rPr>
        <w:t>5.</w:t>
      </w:r>
      <w:r>
        <w:rPr/>
        <w:t>金玉丹先生，</w:t>
      </w:r>
      <w:r>
        <w:rPr>
          <w:rFonts w:ascii="Times New Roman" w:hAnsi="Times New Roman" w:cs="Times New Roman" w:eastAsia="Times New Roman" w:hint="default"/>
        </w:rPr>
        <w:t>1957</w:t>
      </w:r>
      <w:r>
        <w:rPr/>
        <w:t>年出生，中国国籍，硕士。</w:t>
      </w:r>
      <w:r>
        <w:rPr>
          <w:rFonts w:ascii="Times New Roman" w:hAnsi="Times New Roman" w:cs="Times New Roman" w:eastAsia="Times New Roman" w:hint="default"/>
        </w:rPr>
        <w:t>2008</w:t>
      </w:r>
      <w:r>
        <w:rPr/>
        <w:t>年至今任北京软银赛富投资顾问有限公司投资合伙人。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月起任</w:t>
      </w:r>
      <w:r>
        <w:rPr>
          <w:spacing w:val="-45"/>
        </w:rPr>
        <w:t> </w:t>
      </w:r>
      <w:r>
        <w:rPr>
          <w:spacing w:val="-45"/>
        </w:rPr>
      </w:r>
      <w:r>
        <w:rPr/>
        <w:t>公司独立董事。 </w:t>
      </w:r>
      <w:r>
        <w:rPr>
          <w:rFonts w:ascii="Times New Roman" w:hAnsi="Times New Roman" w:cs="Times New Roman" w:eastAsia="Times New Roman" w:hint="default"/>
        </w:rPr>
        <w:t>6.</w:t>
      </w:r>
      <w:r>
        <w:rPr/>
        <w:t>张克先生，</w:t>
      </w:r>
      <w:r>
        <w:rPr>
          <w:rFonts w:ascii="Times New Roman" w:hAnsi="Times New Roman" w:cs="Times New Roman" w:eastAsia="Times New Roman" w:hint="default"/>
        </w:rPr>
        <w:t>1953</w:t>
      </w:r>
      <w:r>
        <w:rPr/>
        <w:t>年出生，中国国籍，大学本科学历。中国注册会计师、高级会计师、澳洲会计师公会荣誉会员。</w:t>
      </w:r>
      <w:r>
        <w:rPr>
          <w:rFonts w:ascii="Times New Roman" w:hAnsi="Times New Roman" w:cs="Times New Roman" w:eastAsia="Times New Roman" w:hint="default"/>
        </w:rPr>
        <w:t>1999</w:t>
      </w:r>
      <w:r>
        <w:rPr/>
        <w:t>年至</w:t>
      </w:r>
      <w:r>
        <w:rPr>
          <w:spacing w:val="-2"/>
        </w:rPr>
        <w:t> </w:t>
      </w:r>
      <w:r>
        <w:rPr/>
        <w:t>今任信永中和会计师事务所董事长、创始合伙人。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月起任公司独立董事。 </w:t>
      </w:r>
      <w:r>
        <w:rPr>
          <w:rFonts w:ascii="Times New Roman" w:hAnsi="Times New Roman" w:cs="Times New Roman" w:eastAsia="Times New Roman" w:hint="default"/>
          <w:spacing w:val="-1"/>
        </w:rPr>
        <w:t>7.</w:t>
      </w:r>
      <w:r>
        <w:rPr>
          <w:spacing w:val="-1"/>
        </w:rPr>
        <w:t>蒋必金先生，</w:t>
      </w:r>
      <w:r>
        <w:rPr>
          <w:rFonts w:ascii="Times New Roman" w:hAnsi="Times New Roman" w:cs="Times New Roman" w:eastAsia="Times New Roman" w:hint="default"/>
          <w:spacing w:val="-1"/>
        </w:rPr>
        <w:t>1963</w:t>
      </w:r>
      <w:r>
        <w:rPr>
          <w:spacing w:val="-1"/>
        </w:rPr>
        <w:t>年出生，中国国籍，硕士。自</w:t>
      </w:r>
      <w:r>
        <w:rPr>
          <w:rFonts w:ascii="Times New Roman" w:hAnsi="Times New Roman" w:cs="Times New Roman" w:eastAsia="Times New Roman" w:hint="default"/>
          <w:spacing w:val="-1"/>
        </w:rPr>
        <w:t>1987</w:t>
      </w:r>
      <w:r>
        <w:rPr>
          <w:spacing w:val="-1"/>
        </w:rPr>
        <w:t>年以来</w:t>
      </w:r>
      <w:r>
        <w:rPr>
          <w:rFonts w:ascii="Times New Roman" w:hAnsi="Times New Roman" w:cs="Times New Roman" w:eastAsia="Times New Roman" w:hint="default"/>
          <w:spacing w:val="-1"/>
        </w:rPr>
        <w:t>,</w:t>
      </w:r>
      <w:r>
        <w:rPr>
          <w:spacing w:val="-1"/>
        </w:rPr>
        <w:t>一直就职于北大方正集团</w:t>
      </w:r>
      <w:r>
        <w:rPr>
          <w:rFonts w:ascii="Times New Roman" w:hAnsi="Times New Roman" w:cs="Times New Roman" w:eastAsia="Times New Roman" w:hint="default"/>
          <w:spacing w:val="-1"/>
        </w:rPr>
        <w:t>,</w:t>
      </w:r>
      <w:r>
        <w:rPr>
          <w:spacing w:val="-1"/>
        </w:rPr>
        <w:t>曾任北大方正集团技术服务部主任、</w:t>
      </w:r>
      <w:r>
        <w:rPr>
          <w:spacing w:val="-72"/>
        </w:rPr>
        <w:t> </w:t>
      </w:r>
      <w:r>
        <w:rPr>
          <w:spacing w:val="-72"/>
        </w:rPr>
      </w:r>
      <w:r>
        <w:rPr>
          <w:spacing w:val="-2"/>
        </w:rPr>
        <w:t>电子出版分公司总经理、北京北大方正电子有限公司高级副总裁、方正控股有限公司执行董事、北大方正集团公司副总裁等</w:t>
      </w:r>
      <w:r>
        <w:rPr>
          <w:spacing w:val="-65"/>
        </w:rPr>
        <w:t> </w:t>
      </w:r>
      <w:r>
        <w:rPr>
          <w:spacing w:val="-65"/>
        </w:rPr>
      </w:r>
      <w:r>
        <w:rPr/>
        <w:t>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月起担任本公司独立董事。</w:t>
      </w:r>
    </w:p>
    <w:p>
      <w:pPr>
        <w:pStyle w:val="BodyText"/>
        <w:spacing w:line="307" w:lineRule="auto" w:before="9"/>
        <w:ind w:left="534" w:right="1115"/>
        <w:jc w:val="left"/>
        <w:rPr>
          <w:rFonts w:ascii="Times New Roman" w:hAnsi="Times New Roman" w:cs="Times New Roman" w:eastAsia="Times New Roman" w:hint="default"/>
        </w:rPr>
      </w:pPr>
      <w:r>
        <w:rPr/>
        <w:t>（二）监事 </w:t>
      </w:r>
      <w:r>
        <w:rPr>
          <w:rFonts w:ascii="Times New Roman" w:hAnsi="Times New Roman" w:cs="Times New Roman" w:eastAsia="Times New Roman" w:hint="default"/>
          <w:spacing w:val="-1"/>
        </w:rPr>
        <w:t>1.</w:t>
      </w:r>
      <w:r>
        <w:rPr>
          <w:spacing w:val="-1"/>
        </w:rPr>
        <w:t>汪学思先生，</w:t>
      </w:r>
      <w:r>
        <w:rPr>
          <w:rFonts w:ascii="Times New Roman" w:hAnsi="Times New Roman" w:cs="Times New Roman" w:eastAsia="Times New Roman" w:hint="default"/>
          <w:spacing w:val="-1"/>
        </w:rPr>
        <w:t>1964</w:t>
      </w:r>
      <w:r>
        <w:rPr>
          <w:spacing w:val="-1"/>
        </w:rPr>
        <w:t>年出生，中国国籍，大学本科学历。</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9</w:t>
      </w:r>
      <w:r>
        <w:rPr>
          <w:spacing w:val="-1"/>
        </w:rPr>
        <w:t>月创立并任武汉星彦信息技术有限公司（后更名为</w:t>
      </w:r>
      <w:r>
        <w:rPr>
          <w:rFonts w:ascii="Times New Roman" w:hAnsi="Times New Roman" w:cs="Times New Roman" w:eastAsia="Times New Roman" w:hint="default"/>
          <w:spacing w:val="-1"/>
        </w:rPr>
        <w:t>“</w:t>
      </w:r>
      <w:r>
        <w:rPr>
          <w:spacing w:val="-1"/>
        </w:rPr>
        <w:t>乌鲁木</w:t>
      </w:r>
      <w:r>
        <w:rPr>
          <w:spacing w:val="-63"/>
        </w:rPr>
        <w:t> </w:t>
      </w:r>
      <w:r>
        <w:rPr>
          <w:spacing w:val="-63"/>
        </w:rPr>
      </w:r>
      <w:r>
        <w:rPr/>
        <w:t>齐星彦投资有限公司</w:t>
      </w:r>
      <w:r>
        <w:rPr>
          <w:rFonts w:ascii="Times New Roman" w:hAnsi="Times New Roman" w:cs="Times New Roman" w:eastAsia="Times New Roman" w:hint="default"/>
        </w:rPr>
        <w:t>”</w:t>
      </w:r>
      <w:r>
        <w:rPr/>
        <w:t>）董事长至今。现任公司第六届监事会监事会主席。 </w:t>
      </w:r>
      <w:r>
        <w:rPr>
          <w:rFonts w:ascii="Times New Roman" w:hAnsi="Times New Roman" w:cs="Times New Roman" w:eastAsia="Times New Roman" w:hint="default"/>
          <w:spacing w:val="-5"/>
        </w:rPr>
        <w:t>2.</w:t>
      </w:r>
      <w:r>
        <w:rPr>
          <w:spacing w:val="-5"/>
        </w:rPr>
        <w:t>吴一彬女士，</w:t>
      </w:r>
      <w:r>
        <w:rPr>
          <w:rFonts w:ascii="Times New Roman" w:hAnsi="Times New Roman" w:cs="Times New Roman" w:eastAsia="Times New Roman" w:hint="default"/>
          <w:spacing w:val="-5"/>
        </w:rPr>
        <w:t>1968</w:t>
      </w:r>
      <w:r>
        <w:rPr>
          <w:spacing w:val="-5"/>
        </w:rPr>
        <w:t>年出生，中国国籍，大学本科学历，</w:t>
      </w:r>
      <w:r>
        <w:rPr>
          <w:rFonts w:ascii="Times New Roman" w:hAnsi="Times New Roman" w:cs="Times New Roman" w:eastAsia="Times New Roman" w:hint="default"/>
          <w:spacing w:val="-5"/>
        </w:rPr>
        <w:t>1990  </w:t>
      </w:r>
      <w:r>
        <w:rPr/>
        <w:t>年 </w:t>
      </w:r>
      <w:r>
        <w:rPr>
          <w:rFonts w:ascii="Times New Roman" w:hAnsi="Times New Roman" w:cs="Times New Roman" w:eastAsia="Times New Roman" w:hint="default"/>
        </w:rPr>
        <w:t>9 </w:t>
      </w:r>
      <w:r>
        <w:rPr/>
        <w:t>月至 </w:t>
      </w:r>
      <w:r>
        <w:rPr>
          <w:rFonts w:ascii="Times New Roman" w:hAnsi="Times New Roman" w:cs="Times New Roman" w:eastAsia="Times New Roman" w:hint="default"/>
        </w:rPr>
        <w:t>1992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月任北京国营七零零厂企管办干部；</w:t>
      </w:r>
      <w:r>
        <w:rPr>
          <w:rFonts w:ascii="Times New Roman" w:hAnsi="Times New Roman" w:cs="Times New Roman" w:eastAsia="Times New Roman" w:hint="default"/>
        </w:rPr>
        <w:t>1992</w:t>
      </w:r>
    </w:p>
    <w:p>
      <w:pPr>
        <w:pStyle w:val="BodyText"/>
        <w:spacing w:line="240" w:lineRule="auto" w:before="7"/>
        <w:ind w:left="534" w:right="0"/>
        <w:jc w:val="left"/>
      </w:pPr>
      <w:r>
        <w:rPr/>
        <w:t>年 </w:t>
      </w:r>
      <w:r>
        <w:rPr>
          <w:rFonts w:ascii="Times New Roman" w:hAnsi="Times New Roman" w:cs="Times New Roman" w:eastAsia="Times New Roman" w:hint="default"/>
        </w:rPr>
        <w:t>4 </w:t>
      </w:r>
      <w:r>
        <w:rPr/>
        <w:t>月至 </w:t>
      </w:r>
      <w:r>
        <w:rPr>
          <w:rFonts w:ascii="Times New Roman" w:hAnsi="Times New Roman" w:cs="Times New Roman" w:eastAsia="Times New Roman" w:hint="default"/>
        </w:rPr>
        <w:t>1993 </w:t>
      </w:r>
      <w:r>
        <w:rPr/>
        <w:t>年 </w:t>
      </w:r>
      <w:r>
        <w:rPr>
          <w:rFonts w:ascii="Times New Roman" w:hAnsi="Times New Roman" w:cs="Times New Roman" w:eastAsia="Times New Roman" w:hint="default"/>
        </w:rPr>
        <w:t>7 </w:t>
      </w:r>
      <w:r>
        <w:rPr>
          <w:spacing w:val="-3"/>
        </w:rPr>
        <w:t>月在北京富豪食品有限公司任会计；</w:t>
      </w:r>
      <w:r>
        <w:rPr>
          <w:rFonts w:ascii="Times New Roman" w:hAnsi="Times New Roman" w:cs="Times New Roman" w:eastAsia="Times New Roman" w:hint="default"/>
          <w:spacing w:val="-3"/>
        </w:rPr>
        <w:t>1993  </w:t>
      </w:r>
      <w:r>
        <w:rPr/>
        <w:t>年 </w:t>
      </w:r>
      <w:r>
        <w:rPr>
          <w:rFonts w:ascii="Times New Roman" w:hAnsi="Times New Roman" w:cs="Times New Roman" w:eastAsia="Times New Roman" w:hint="default"/>
        </w:rPr>
        <w:t>7 </w:t>
      </w:r>
      <w:r>
        <w:rPr/>
        <w:t>月至 </w:t>
      </w:r>
      <w:r>
        <w:rPr>
          <w:rFonts w:ascii="Times New Roman" w:hAnsi="Times New Roman" w:cs="Times New Roman" w:eastAsia="Times New Roman" w:hint="default"/>
        </w:rPr>
        <w:t>2005 </w:t>
      </w:r>
      <w:r>
        <w:rPr/>
        <w:t>年</w:t>
      </w:r>
      <w:r>
        <w:rPr>
          <w:spacing w:val="25"/>
        </w:rPr>
        <w:t> </w:t>
      </w:r>
      <w:r>
        <w:rPr>
          <w:rFonts w:ascii="Times New Roman" w:hAnsi="Times New Roman" w:cs="Times New Roman" w:eastAsia="Times New Roman" w:hint="default"/>
        </w:rPr>
        <w:t>4</w:t>
      </w:r>
      <w:r>
        <w:rPr/>
        <w:t>月任北京海诚电讯技术有限公司财务部</w:t>
      </w:r>
    </w:p>
    <w:p>
      <w:pPr>
        <w:pStyle w:val="BodyText"/>
        <w:spacing w:line="240" w:lineRule="auto" w:before="63"/>
        <w:ind w:left="534" w:right="0"/>
        <w:jc w:val="left"/>
      </w:pPr>
      <w:r>
        <w:rPr>
          <w:spacing w:val="-4"/>
        </w:rPr>
        <w:t>经理；</w:t>
      </w:r>
      <w:r>
        <w:rPr>
          <w:rFonts w:ascii="Times New Roman" w:hAnsi="Times New Roman" w:cs="Times New Roman" w:eastAsia="Times New Roman" w:hint="default"/>
          <w:spacing w:val="-4"/>
        </w:rPr>
        <w:t>2005  </w:t>
      </w:r>
      <w:r>
        <w:rPr/>
        <w:t>年 </w:t>
      </w:r>
      <w:r>
        <w:rPr>
          <w:rFonts w:ascii="Times New Roman" w:hAnsi="Times New Roman" w:cs="Times New Roman" w:eastAsia="Times New Roman" w:hint="default"/>
        </w:rPr>
        <w:t>4 </w:t>
      </w:r>
      <w:r>
        <w:rPr/>
        <w:t>月至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4 </w:t>
      </w:r>
      <w:r>
        <w:rPr/>
        <w:t>月在北京首都在线科技发展有限公司会计部担任总监；</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4 </w:t>
      </w:r>
      <w:r>
        <w:rPr/>
        <w:t>月至 </w:t>
      </w:r>
      <w:r>
        <w:rPr>
          <w:rFonts w:ascii="Times New Roman" w:hAnsi="Times New Roman" w:cs="Times New Roman" w:eastAsia="Times New Roman" w:hint="default"/>
        </w:rPr>
        <w:t>2009</w:t>
      </w:r>
      <w:r>
        <w:rPr>
          <w:rFonts w:ascii="Times New Roman" w:hAnsi="Times New Roman" w:cs="Times New Roman" w:eastAsia="Times New Roman" w:hint="default"/>
          <w:spacing w:val="39"/>
        </w:rPr>
        <w:t> </w:t>
      </w:r>
      <w:r>
        <w:rPr/>
        <w:t>年</w:t>
      </w:r>
      <w:r>
        <w:rPr>
          <w:rFonts w:ascii="Times New Roman" w:hAnsi="Times New Roman" w:cs="Times New Roman" w:eastAsia="Times New Roman" w:hint="default"/>
        </w:rPr>
        <w:t>4</w:t>
      </w:r>
      <w:r>
        <w:rPr/>
        <w:t>月任职北</w:t>
      </w:r>
    </w:p>
    <w:p>
      <w:pPr>
        <w:spacing w:after="0" w:line="240" w:lineRule="auto"/>
        <w:jc w:val="left"/>
        <w:sectPr>
          <w:pgSz w:w="11910" w:h="16840"/>
          <w:pgMar w:header="877" w:footer="979" w:top="1100" w:bottom="1160" w:left="600" w:right="0"/>
        </w:sectPr>
      </w:pPr>
    </w:p>
    <w:p>
      <w:pPr>
        <w:spacing w:line="240" w:lineRule="auto" w:before="12"/>
        <w:rPr>
          <w:rFonts w:ascii="宋体" w:hAnsi="宋体" w:cs="宋体" w:eastAsia="宋体" w:hint="default"/>
          <w:sz w:val="21"/>
          <w:szCs w:val="21"/>
        </w:rPr>
      </w:pPr>
    </w:p>
    <w:p>
      <w:pPr>
        <w:pStyle w:val="BodyText"/>
        <w:spacing w:line="300" w:lineRule="auto" w:before="44"/>
        <w:ind w:right="1122"/>
        <w:jc w:val="left"/>
      </w:pPr>
      <w:r>
        <w:rPr/>
        <w:t>京海诚电讯技术有限公司财务总监；</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月担任公司内部审计部负责人；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月担任公司</w:t>
      </w:r>
      <w:r>
        <w:rPr>
          <w:spacing w:val="-83"/>
        </w:rPr>
        <w:t> </w:t>
      </w:r>
      <w:r>
        <w:rPr>
          <w:spacing w:val="-83"/>
        </w:rPr>
      </w:r>
      <w:r>
        <w:rPr/>
        <w:t>董事长助理。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月起任公司监事。 </w:t>
      </w:r>
      <w:r>
        <w:rPr>
          <w:rFonts w:ascii="Times New Roman" w:hAnsi="Times New Roman" w:cs="Times New Roman" w:eastAsia="Times New Roman" w:hint="default"/>
          <w:spacing w:val="-2"/>
        </w:rPr>
        <w:t>3.</w:t>
      </w:r>
      <w:r>
        <w:rPr>
          <w:spacing w:val="-2"/>
        </w:rPr>
        <w:t>谷莉女士，</w:t>
      </w:r>
      <w:r>
        <w:rPr>
          <w:rFonts w:ascii="Times New Roman" w:hAnsi="Times New Roman" w:cs="Times New Roman" w:eastAsia="Times New Roman" w:hint="default"/>
          <w:spacing w:val="-2"/>
        </w:rPr>
        <w:t>1974</w:t>
      </w:r>
      <w:r>
        <w:rPr>
          <w:spacing w:val="-2"/>
        </w:rPr>
        <w:t>年出生，中国国籍，大学专科学历。</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9</w:t>
      </w:r>
      <w:r>
        <w:rPr>
          <w:spacing w:val="-2"/>
        </w:rPr>
        <w:t>月任海诚电讯会计</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9</w:t>
      </w:r>
      <w:r>
        <w:rPr>
          <w:spacing w:val="-2"/>
        </w:rPr>
        <w:t>月任北京</w:t>
      </w:r>
      <w:r>
        <w:rPr>
          <w:spacing w:val="-41"/>
        </w:rPr>
        <w:t> </w:t>
      </w:r>
      <w:r>
        <w:rPr/>
        <w:t>首都在线科技发展股份有限公司会计</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月任二六三网络通信股份有限公司会计</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spacing w:val="-8"/>
        </w:rPr>
        <w:t> </w:t>
      </w:r>
      <w:r>
        <w:rPr>
          <w:spacing w:val="9"/>
        </w:rPr>
        <w:t>任北京亿泰利丰网络科技有限公司财务主管</w:t>
      </w:r>
      <w:r>
        <w:rPr>
          <w:rFonts w:ascii="Times New Roman" w:hAnsi="Times New Roman" w:cs="Times New Roman" w:eastAsia="Times New Roman" w:hint="default"/>
          <w:spacing w:val="9"/>
        </w:rPr>
        <w:t>,2010</w:t>
      </w:r>
      <w:r>
        <w:rPr>
          <w:spacing w:val="9"/>
        </w:rPr>
        <w:t>年</w:t>
      </w:r>
      <w:r>
        <w:rPr>
          <w:rFonts w:ascii="Times New Roman" w:hAnsi="Times New Roman" w:cs="Times New Roman" w:eastAsia="Times New Roman" w:hint="default"/>
          <w:spacing w:val="9"/>
        </w:rPr>
        <w:t>1</w:t>
      </w:r>
      <w:r>
        <w:rPr>
          <w:spacing w:val="9"/>
        </w:rPr>
        <w:t>月至</w:t>
      </w:r>
      <w:r>
        <w:rPr>
          <w:rFonts w:ascii="Times New Roman" w:hAnsi="Times New Roman" w:cs="Times New Roman" w:eastAsia="Times New Roman" w:hint="default"/>
          <w:spacing w:val="9"/>
        </w:rPr>
        <w:t>2012</w:t>
      </w:r>
      <w:r>
        <w:rPr>
          <w:spacing w:val="9"/>
        </w:rPr>
        <w:t>年</w:t>
      </w:r>
      <w:r>
        <w:rPr>
          <w:rFonts w:ascii="Times New Roman" w:hAnsi="Times New Roman" w:cs="Times New Roman" w:eastAsia="Times New Roman" w:hint="default"/>
          <w:spacing w:val="9"/>
        </w:rPr>
        <w:t>12</w:t>
      </w:r>
      <w:r>
        <w:rPr>
          <w:spacing w:val="9"/>
        </w:rPr>
        <w:t>月任爱涛信科国际通信技术</w:t>
      </w:r>
      <w:r>
        <w:rPr>
          <w:rFonts w:ascii="Times New Roman" w:hAnsi="Times New Roman" w:cs="Times New Roman" w:eastAsia="Times New Roman" w:hint="default"/>
          <w:spacing w:val="9"/>
        </w:rPr>
        <w:t>(</w:t>
      </w:r>
      <w:r>
        <w:rPr>
          <w:spacing w:val="9"/>
        </w:rPr>
        <w:t>北京</w:t>
      </w:r>
      <w:r>
        <w:rPr>
          <w:rFonts w:ascii="Times New Roman" w:hAnsi="Times New Roman" w:cs="Times New Roman" w:eastAsia="Times New Roman" w:hint="default"/>
          <w:spacing w:val="9"/>
        </w:rPr>
        <w:t>)</w:t>
      </w:r>
      <w:r>
        <w:rPr>
          <w:spacing w:val="9"/>
        </w:rPr>
        <w:t>有限公司财务主</w:t>
      </w:r>
      <w:r>
        <w:rPr>
          <w:spacing w:val="-82"/>
        </w:rPr>
        <w:t> </w:t>
      </w:r>
      <w:r>
        <w:rPr>
          <w:spacing w:val="-82"/>
        </w:rPr>
      </w:r>
      <w:r>
        <w:rPr/>
        <w:t>管</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月任北京二六三网络科技有限公司财务经理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月至今</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月任二六三网络通信股份有限公</w:t>
      </w:r>
      <w:r>
        <w:rPr>
          <w:spacing w:val="-85"/>
        </w:rPr>
        <w:t> </w:t>
      </w:r>
      <w:r>
        <w:rPr>
          <w:spacing w:val="-85"/>
        </w:rPr>
      </w:r>
      <w:r>
        <w:rPr/>
        <w:t>司内审部项目经理，</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月至今任公司内审负责人。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月起任公司职工代表监事。</w:t>
      </w:r>
    </w:p>
    <w:p>
      <w:pPr>
        <w:pStyle w:val="BodyText"/>
        <w:spacing w:line="240" w:lineRule="auto" w:before="13"/>
        <w:ind w:right="0"/>
        <w:jc w:val="left"/>
      </w:pPr>
      <w:r>
        <w:rPr/>
        <w:t>（三）高级管理人员</w:t>
      </w:r>
    </w:p>
    <w:p>
      <w:pPr>
        <w:pStyle w:val="BodyText"/>
        <w:spacing w:line="240" w:lineRule="auto" w:before="76"/>
        <w:ind w:right="0"/>
        <w:jc w:val="left"/>
      </w:pPr>
      <w:r>
        <w:rPr>
          <w:rFonts w:ascii="Times New Roman" w:hAnsi="Times New Roman" w:cs="Times New Roman" w:eastAsia="Times New Roman" w:hint="default"/>
        </w:rPr>
        <w:t>1.</w:t>
      </w:r>
      <w:r>
        <w:rPr/>
        <w:t>梁京先生，</w:t>
      </w:r>
      <w:r>
        <w:rPr>
          <w:rFonts w:ascii="Times New Roman" w:hAnsi="Times New Roman" w:cs="Times New Roman" w:eastAsia="Times New Roman" w:hint="default"/>
        </w:rPr>
        <w:t>1965</w:t>
      </w:r>
      <w:r>
        <w:rPr/>
        <w:t>年出生，中国国籍，工学硕士。</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月担任中国联通（香港）运营公司董事总经理一职；</w:t>
      </w:r>
    </w:p>
    <w:p>
      <w:pPr>
        <w:pStyle w:val="BodyText"/>
        <w:spacing w:line="240" w:lineRule="auto" w:before="63"/>
        <w:ind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月任中国联通国际业务部副总经理。</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月起任公司总裁。</w:t>
      </w:r>
    </w:p>
    <w:p>
      <w:pPr>
        <w:pStyle w:val="BodyText"/>
        <w:spacing w:line="240" w:lineRule="auto" w:before="63"/>
        <w:ind w:right="0"/>
        <w:jc w:val="left"/>
      </w:pPr>
      <w:r>
        <w:rPr>
          <w:rFonts w:ascii="Times New Roman" w:hAnsi="Times New Roman" w:cs="Times New Roman" w:eastAsia="Times New Roman" w:hint="default"/>
        </w:rPr>
        <w:t>2.</w:t>
      </w:r>
      <w:r>
        <w:rPr/>
        <w:t>肖瑗先生，</w:t>
      </w:r>
      <w:r>
        <w:rPr>
          <w:rFonts w:ascii="Times New Roman" w:hAnsi="Times New Roman" w:cs="Times New Roman" w:eastAsia="Times New Roman" w:hint="default"/>
        </w:rPr>
        <w:t>1965</w:t>
      </w:r>
      <w:r>
        <w:rPr/>
        <w:t>年出生，中国国籍，工学硕士。</w:t>
      </w:r>
      <w:r>
        <w:rPr>
          <w:rFonts w:ascii="Times New Roman" w:hAnsi="Times New Roman" w:cs="Times New Roman" w:eastAsia="Times New Roman" w:hint="default"/>
        </w:rPr>
        <w:t>2006</w:t>
      </w:r>
      <w:r>
        <w:rPr/>
        <w:t>年加入公司，现任公司副总裁。</w:t>
      </w:r>
    </w:p>
    <w:p>
      <w:pPr>
        <w:pStyle w:val="BodyText"/>
        <w:spacing w:line="240" w:lineRule="auto" w:before="63"/>
        <w:ind w:right="0"/>
        <w:jc w:val="left"/>
      </w:pPr>
      <w:r>
        <w:rPr>
          <w:rFonts w:ascii="Times New Roman" w:hAnsi="Times New Roman" w:cs="Times New Roman" w:eastAsia="Times New Roman" w:hint="default"/>
        </w:rPr>
        <w:t>3.Jie</w:t>
      </w:r>
      <w:r>
        <w:rPr>
          <w:rFonts w:ascii="Times New Roman" w:hAnsi="Times New Roman" w:cs="Times New Roman" w:eastAsia="Times New Roman" w:hint="default"/>
          <w:spacing w:val="-3"/>
        </w:rPr>
        <w:t> </w:t>
      </w:r>
      <w:r>
        <w:rPr>
          <w:rFonts w:ascii="Times New Roman" w:hAnsi="Times New Roman" w:cs="Times New Roman" w:eastAsia="Times New Roman" w:hint="default"/>
        </w:rPr>
        <w:t>Zhao</w:t>
      </w:r>
      <w:r>
        <w:rPr/>
        <w:t>先生，公司副总裁，详见上文简历。</w:t>
      </w:r>
    </w:p>
    <w:p>
      <w:pPr>
        <w:pStyle w:val="BodyText"/>
        <w:spacing w:line="240" w:lineRule="auto" w:before="63"/>
        <w:ind w:right="0"/>
        <w:jc w:val="left"/>
      </w:pPr>
      <w:r>
        <w:rPr>
          <w:rFonts w:ascii="Times New Roman" w:hAnsi="Times New Roman" w:cs="Times New Roman" w:eastAsia="Times New Roman" w:hint="default"/>
        </w:rPr>
        <w:t>4.</w:t>
      </w:r>
      <w:r>
        <w:rPr/>
        <w:t>李玉杰先生，公司副总裁，详见上文简历。</w:t>
      </w:r>
    </w:p>
    <w:p>
      <w:pPr>
        <w:pStyle w:val="BodyText"/>
        <w:spacing w:line="300" w:lineRule="auto" w:before="63"/>
        <w:ind w:right="0"/>
        <w:jc w:val="left"/>
      </w:pPr>
      <w:r>
        <w:rPr>
          <w:rFonts w:ascii="Times New Roman" w:hAnsi="Times New Roman" w:cs="Times New Roman" w:eastAsia="Times New Roman" w:hint="default"/>
          <w:spacing w:val="-2"/>
        </w:rPr>
        <w:t>5.</w:t>
      </w:r>
      <w:r>
        <w:rPr>
          <w:spacing w:val="-2"/>
        </w:rPr>
        <w:t>忻卫敏先生，</w:t>
      </w:r>
      <w:r>
        <w:rPr>
          <w:rFonts w:ascii="Times New Roman" w:hAnsi="Times New Roman" w:cs="Times New Roman" w:eastAsia="Times New Roman" w:hint="default"/>
          <w:spacing w:val="-2"/>
        </w:rPr>
        <w:t>1974</w:t>
      </w:r>
      <w:r>
        <w:rPr>
          <w:spacing w:val="-2"/>
        </w:rPr>
        <w:t>年出生，中国国籍，本科学历。</w:t>
      </w:r>
      <w:r>
        <w:rPr>
          <w:rFonts w:ascii="Times New Roman" w:hAnsi="Times New Roman" w:cs="Times New Roman" w:eastAsia="Times New Roman" w:hint="default"/>
          <w:spacing w:val="-2"/>
        </w:rPr>
        <w:t>2008</w:t>
      </w:r>
      <w:r>
        <w:rPr>
          <w:spacing w:val="-2"/>
        </w:rPr>
        <w:t>年至</w:t>
      </w:r>
      <w:r>
        <w:rPr>
          <w:rFonts w:ascii="Times New Roman" w:hAnsi="Times New Roman" w:cs="Times New Roman" w:eastAsia="Times New Roman" w:hint="default"/>
          <w:spacing w:val="-2"/>
        </w:rPr>
        <w:t>2012</w:t>
      </w:r>
      <w:r>
        <w:rPr>
          <w:spacing w:val="-2"/>
        </w:rPr>
        <w:t>年担任上海翰平网络技术有限公司总经理</w:t>
      </w:r>
      <w:r>
        <w:rPr>
          <w:rFonts w:ascii="Times New Roman" w:hAnsi="Times New Roman" w:cs="Times New Roman" w:eastAsia="Times New Roman" w:hint="default"/>
          <w:spacing w:val="-2"/>
        </w:rPr>
        <w:t>;2012</w:t>
      </w:r>
      <w:r>
        <w:rPr>
          <w:spacing w:val="-2"/>
        </w:rPr>
        <w:t>年至今任上</w:t>
      </w:r>
      <w:r>
        <w:rPr>
          <w:spacing w:val="-51"/>
        </w:rPr>
        <w:t> </w:t>
      </w:r>
      <w:r>
        <w:rPr/>
        <w:t>海二六三通信有限公司总经理</w:t>
      </w:r>
      <w:r>
        <w:rPr>
          <w:rFonts w:ascii="Times New Roman" w:hAnsi="Times New Roman" w:cs="Times New Roman" w:eastAsia="Times New Roman" w:hint="default"/>
        </w:rPr>
        <w:t>,</w:t>
      </w:r>
      <w:r>
        <w:rPr/>
        <w:t>现任公司副总裁。</w:t>
      </w:r>
    </w:p>
    <w:p>
      <w:pPr>
        <w:pStyle w:val="BodyText"/>
        <w:spacing w:line="302" w:lineRule="auto" w:before="13"/>
        <w:ind w:right="0"/>
        <w:jc w:val="left"/>
      </w:pPr>
      <w:r>
        <w:rPr>
          <w:rFonts w:ascii="Times New Roman" w:hAnsi="Times New Roman" w:cs="Times New Roman" w:eastAsia="Times New Roman" w:hint="default"/>
        </w:rPr>
        <w:t>6.HAIBIN </w:t>
      </w:r>
      <w:r>
        <w:rPr>
          <w:rFonts w:ascii="Times New Roman" w:hAnsi="Times New Roman" w:cs="Times New Roman" w:eastAsia="Times New Roman" w:hint="default"/>
          <w:spacing w:val="-4"/>
        </w:rPr>
        <w:t>CHEN</w:t>
      </w:r>
      <w:r>
        <w:rPr>
          <w:spacing w:val="-4"/>
        </w:rPr>
        <w:t>先生，</w:t>
      </w:r>
      <w:r>
        <w:rPr>
          <w:rFonts w:ascii="Times New Roman" w:hAnsi="Times New Roman" w:cs="Times New Roman" w:eastAsia="Times New Roman" w:hint="default"/>
          <w:spacing w:val="-4"/>
        </w:rPr>
        <w:t>1965</w:t>
      </w:r>
      <w:r>
        <w:rPr>
          <w:spacing w:val="-4"/>
        </w:rPr>
        <w:t>年出生，美国国籍，</w:t>
      </w:r>
      <w:r>
        <w:rPr>
          <w:rFonts w:ascii="Times New Roman" w:hAnsi="Times New Roman" w:cs="Times New Roman" w:eastAsia="Times New Roman" w:hint="default"/>
          <w:spacing w:val="-4"/>
        </w:rPr>
        <w:t>MBA</w:t>
      </w:r>
      <w:r>
        <w:rPr>
          <w:spacing w:val="-4"/>
        </w:rPr>
        <w:t>学历。长期从事于计算机软件和互联网领域工作，曾任</w:t>
      </w:r>
      <w:r>
        <w:rPr>
          <w:rFonts w:ascii="Times New Roman" w:hAnsi="Times New Roman" w:cs="Times New Roman" w:eastAsia="Times New Roman" w:hint="default"/>
          <w:spacing w:val="-4"/>
        </w:rPr>
        <w:t>Trilogy</w:t>
      </w:r>
      <w:r>
        <w:rPr>
          <w:spacing w:val="-4"/>
        </w:rPr>
        <w:t>（</w:t>
      </w:r>
      <w:r>
        <w:rPr>
          <w:rFonts w:ascii="Times New Roman" w:hAnsi="Times New Roman" w:cs="Times New Roman" w:eastAsia="Times New Roman" w:hint="default"/>
          <w:spacing w:val="-4"/>
        </w:rPr>
        <w:t>Texas) </w:t>
      </w:r>
      <w:r>
        <w:rPr>
          <w:rFonts w:ascii="Times New Roman" w:hAnsi="Times New Roman" w:cs="Times New Roman" w:eastAsia="Times New Roman" w:hint="default"/>
        </w:rPr>
        <w:t>,</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rFonts w:ascii="Times New Roman" w:hAnsi="Times New Roman" w:cs="Times New Roman" w:eastAsia="Times New Roman" w:hint="default"/>
        </w:rPr>
        <w:t>Accenture</w:t>
      </w:r>
      <w:r>
        <w:rPr/>
        <w:t>（</w:t>
      </w:r>
      <w:r>
        <w:rPr>
          <w:rFonts w:ascii="Times New Roman" w:hAnsi="Times New Roman" w:cs="Times New Roman" w:eastAsia="Times New Roman" w:hint="default"/>
        </w:rPr>
        <w:t>NYC)</w:t>
      </w:r>
      <w:r>
        <w:rPr/>
        <w:t>和</w:t>
      </w:r>
      <w:r>
        <w:rPr>
          <w:spacing w:val="-10"/>
        </w:rPr>
        <w:t> </w:t>
      </w:r>
      <w:r>
        <w:rPr>
          <w:rFonts w:ascii="Times New Roman" w:hAnsi="Times New Roman" w:cs="Times New Roman" w:eastAsia="Times New Roman" w:hint="default"/>
        </w:rPr>
        <w:t>Vignette</w:t>
      </w:r>
      <w:r>
        <w:rPr>
          <w:rFonts w:ascii="Times New Roman" w:hAnsi="Times New Roman" w:cs="Times New Roman" w:eastAsia="Times New Roman" w:hint="default"/>
          <w:spacing w:val="34"/>
        </w:rPr>
        <w:t> </w:t>
      </w:r>
      <w:r>
        <w:rPr>
          <w:rFonts w:ascii="Times New Roman" w:hAnsi="Times New Roman" w:cs="Times New Roman" w:eastAsia="Times New Roman" w:hint="default"/>
        </w:rPr>
        <w:t>(NYC)</w:t>
      </w:r>
      <w:r>
        <w:rPr>
          <w:rFonts w:ascii="Times New Roman" w:hAnsi="Times New Roman" w:cs="Times New Roman" w:eastAsia="Times New Roman" w:hint="default"/>
          <w:spacing w:val="34"/>
        </w:rPr>
        <w:t> </w:t>
      </w:r>
      <w:r>
        <w:rPr/>
        <w:t>等公司的技术，研发和咨询顾问等职务。回国后担任过思科网讯（</w:t>
      </w:r>
      <w:r>
        <w:rPr>
          <w:rFonts w:ascii="Times New Roman" w:hAnsi="Times New Roman" w:cs="Times New Roman" w:eastAsia="Times New Roman" w:hint="default"/>
        </w:rPr>
        <w:t>WebEx)</w:t>
      </w:r>
      <w:r>
        <w:rPr/>
        <w:t>的技术副总</w:t>
      </w:r>
      <w:r>
        <w:rPr>
          <w:spacing w:val="-88"/>
        </w:rPr>
        <w:t> </w:t>
      </w:r>
      <w:r>
        <w:rPr>
          <w:spacing w:val="-88"/>
        </w:rPr>
      </w:r>
      <w:r>
        <w:rPr/>
        <w:t>裁和研发总经理。</w:t>
      </w:r>
      <w:r>
        <w:rPr>
          <w:rFonts w:ascii="Times New Roman" w:hAnsi="Times New Roman" w:cs="Times New Roman" w:eastAsia="Times New Roman" w:hint="default"/>
        </w:rPr>
        <w:t>Gensee</w:t>
      </w:r>
      <w:r>
        <w:rPr/>
        <w:t>展视互动的联合创始人，于</w:t>
      </w:r>
      <w:r>
        <w:rPr>
          <w:rFonts w:ascii="Times New Roman" w:hAnsi="Times New Roman" w:cs="Times New Roman" w:eastAsia="Times New Roman" w:hint="default"/>
        </w:rPr>
        <w:t>2009</w:t>
      </w:r>
      <w:r>
        <w:rPr/>
        <w:t>至</w:t>
      </w:r>
      <w:r>
        <w:rPr>
          <w:rFonts w:ascii="Times New Roman" w:hAnsi="Times New Roman" w:cs="Times New Roman" w:eastAsia="Times New Roman" w:hint="default"/>
        </w:rPr>
        <w:t>2015</w:t>
      </w:r>
      <w:r>
        <w:rPr/>
        <w:t>年担任展视互动 </w:t>
      </w:r>
      <w:r>
        <w:rPr>
          <w:rFonts w:ascii="Times New Roman" w:hAnsi="Times New Roman" w:cs="Times New Roman" w:eastAsia="Times New Roman" w:hint="default"/>
        </w:rPr>
        <w:t>CEO</w:t>
      </w:r>
      <w:r>
        <w:rPr/>
        <w:t>，并于</w:t>
      </w:r>
      <w:r>
        <w:rPr>
          <w:rFonts w:ascii="Times New Roman" w:hAnsi="Times New Roman" w:cs="Times New Roman" w:eastAsia="Times New Roman" w:hint="default"/>
        </w:rPr>
        <w:t>2016</w:t>
      </w:r>
      <w:r>
        <w:rPr/>
        <w:t>年担任展视互动董事长。</w:t>
      </w:r>
      <w:r>
        <w:rPr>
          <w:spacing w:val="-78"/>
        </w:rPr>
        <w:t> </w:t>
      </w:r>
      <w:r>
        <w:rPr>
          <w:spacing w:val="-78"/>
        </w:rPr>
      </w:r>
      <w:r>
        <w:rPr/>
        <w:t>现任公司副总裁。 </w:t>
      </w:r>
      <w:r>
        <w:rPr>
          <w:rFonts w:ascii="Times New Roman" w:hAnsi="Times New Roman" w:cs="Times New Roman" w:eastAsia="Times New Roman" w:hint="default"/>
          <w:spacing w:val="-1"/>
        </w:rPr>
        <w:t>7.</w:t>
      </w:r>
      <w:r>
        <w:rPr>
          <w:spacing w:val="-1"/>
        </w:rPr>
        <w:t>李光千先生，</w:t>
      </w:r>
      <w:r>
        <w:rPr>
          <w:rFonts w:ascii="Times New Roman" w:hAnsi="Times New Roman" w:cs="Times New Roman" w:eastAsia="Times New Roman" w:hint="default"/>
          <w:spacing w:val="-1"/>
        </w:rPr>
        <w:t>1969</w:t>
      </w:r>
      <w:r>
        <w:rPr>
          <w:spacing w:val="-1"/>
        </w:rPr>
        <w:t>年出生，中国国籍，大学本科学历。</w:t>
      </w:r>
      <w:r>
        <w:rPr>
          <w:rFonts w:ascii="Times New Roman" w:hAnsi="Times New Roman" w:cs="Times New Roman" w:eastAsia="Times New Roman" w:hint="default"/>
          <w:spacing w:val="-1"/>
        </w:rPr>
        <w:t>2012</w:t>
      </w:r>
      <w:r>
        <w:rPr>
          <w:spacing w:val="-1"/>
        </w:rPr>
        <w:t>年至</w:t>
      </w:r>
      <w:r>
        <w:rPr>
          <w:rFonts w:ascii="Times New Roman" w:hAnsi="Times New Roman" w:cs="Times New Roman" w:eastAsia="Times New Roman" w:hint="default"/>
          <w:spacing w:val="-1"/>
        </w:rPr>
        <w:t>2016</w:t>
      </w:r>
      <w:r>
        <w:rPr>
          <w:spacing w:val="-1"/>
        </w:rPr>
        <w:t>年，在博彦科技股份有限公司担任财务负责人。</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20"/>
        </w:rPr>
        <w:t> </w:t>
      </w:r>
      <w:r>
        <w:rPr/>
        <w:t>年</w:t>
      </w:r>
      <w:r>
        <w:rPr>
          <w:rFonts w:ascii="Times New Roman" w:hAnsi="Times New Roman" w:cs="Times New Roman" w:eastAsia="Times New Roman" w:hint="default"/>
        </w:rPr>
        <w:t>6</w:t>
      </w:r>
      <w:r>
        <w:rPr/>
        <w:t>月起，在二六三网络通信股份有限公司担任财务负责人。 </w:t>
      </w:r>
      <w:r>
        <w:rPr>
          <w:rFonts w:ascii="Times New Roman" w:hAnsi="Times New Roman" w:cs="Times New Roman" w:eastAsia="Times New Roman" w:hint="default"/>
          <w:spacing w:val="-1"/>
        </w:rPr>
        <w:t>8.</w:t>
      </w:r>
      <w:r>
        <w:rPr>
          <w:spacing w:val="-1"/>
        </w:rPr>
        <w:t>李波先生，</w:t>
      </w:r>
      <w:r>
        <w:rPr>
          <w:rFonts w:ascii="Times New Roman" w:hAnsi="Times New Roman" w:cs="Times New Roman" w:eastAsia="Times New Roman" w:hint="default"/>
          <w:spacing w:val="-1"/>
        </w:rPr>
        <w:t>1976</w:t>
      </w:r>
      <w:r>
        <w:rPr>
          <w:spacing w:val="-1"/>
        </w:rPr>
        <w:t>年出生，中国国籍，工商管理硕士。</w:t>
      </w:r>
      <w:r>
        <w:rPr>
          <w:rFonts w:ascii="Times New Roman" w:hAnsi="Times New Roman" w:cs="Times New Roman" w:eastAsia="Times New Roman" w:hint="default"/>
          <w:spacing w:val="-1"/>
        </w:rPr>
        <w:t>1999</w:t>
      </w:r>
      <w:r>
        <w:rPr>
          <w:spacing w:val="-1"/>
        </w:rPr>
        <w:t>年至</w:t>
      </w:r>
      <w:r>
        <w:rPr>
          <w:rFonts w:ascii="Times New Roman" w:hAnsi="Times New Roman" w:cs="Times New Roman" w:eastAsia="Times New Roman" w:hint="default"/>
          <w:spacing w:val="-1"/>
        </w:rPr>
        <w:t>2006</w:t>
      </w:r>
      <w:r>
        <w:rPr>
          <w:spacing w:val="-1"/>
        </w:rPr>
        <w:t>年任职于公司法务部，</w:t>
      </w:r>
      <w:r>
        <w:rPr>
          <w:rFonts w:ascii="Times New Roman" w:hAnsi="Times New Roman" w:cs="Times New Roman" w:eastAsia="Times New Roman" w:hint="default"/>
          <w:spacing w:val="-1"/>
        </w:rPr>
        <w:t>2006</w:t>
      </w:r>
      <w:r>
        <w:rPr>
          <w:spacing w:val="-1"/>
        </w:rPr>
        <w:t>年至</w:t>
      </w:r>
      <w:r>
        <w:rPr>
          <w:rFonts w:ascii="Times New Roman" w:hAnsi="Times New Roman" w:cs="Times New Roman" w:eastAsia="Times New Roman" w:hint="default"/>
          <w:spacing w:val="-1"/>
        </w:rPr>
        <w:t>2007</w:t>
      </w:r>
      <w:r>
        <w:rPr>
          <w:spacing w:val="-1"/>
        </w:rPr>
        <w:t>年任职于百度在线</w:t>
      </w:r>
      <w:r>
        <w:rPr>
          <w:spacing w:val="-64"/>
        </w:rPr>
        <w:t> </w:t>
      </w:r>
      <w:r>
        <w:rPr>
          <w:spacing w:val="-2"/>
        </w:rPr>
        <w:t>网络技术（北京）有限公司法务部，</w:t>
      </w:r>
      <w:r>
        <w:rPr>
          <w:rFonts w:ascii="Times New Roman" w:hAnsi="Times New Roman" w:cs="Times New Roman" w:eastAsia="Times New Roman" w:hint="default"/>
          <w:spacing w:val="-2"/>
        </w:rPr>
        <w:t>2007</w:t>
      </w:r>
      <w:r>
        <w:rPr>
          <w:spacing w:val="-2"/>
        </w:rPr>
        <w:t>年起任职于公司法务证券部担任法务证券部总监。</w:t>
      </w:r>
      <w:r>
        <w:rPr>
          <w:rFonts w:ascii="Times New Roman" w:hAnsi="Times New Roman" w:cs="Times New Roman" w:eastAsia="Times New Roman" w:hint="default"/>
          <w:spacing w:val="-2"/>
        </w:rPr>
        <w:t>2007</w:t>
      </w:r>
      <w:r>
        <w:rPr>
          <w:spacing w:val="-2"/>
        </w:rPr>
        <w:t>年获得深交所董事会秘书资</w:t>
      </w:r>
      <w:r>
        <w:rPr>
          <w:spacing w:val="-57"/>
        </w:rPr>
        <w:t> </w:t>
      </w:r>
      <w:r>
        <w:rPr/>
        <w:t>格。</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月起，担任公司董事会秘书。</w:t>
      </w:r>
    </w:p>
    <w:p>
      <w:pPr>
        <w:pStyle w:val="BodyText"/>
        <w:spacing w:line="240" w:lineRule="auto" w:before="52"/>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1"/>
              <w:jc w:val="righ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汪学思</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6"/>
              <w:jc w:val="right"/>
              <w:rPr>
                <w:rFonts w:ascii="宋体" w:hAnsi="宋体" w:cs="宋体" w:eastAsia="宋体" w:hint="default"/>
                <w:sz w:val="18"/>
                <w:szCs w:val="18"/>
              </w:rPr>
            </w:pPr>
            <w:r>
              <w:rPr>
                <w:rFonts w:ascii="宋体" w:hAnsi="宋体" w:cs="宋体" w:eastAsia="宋体" w:hint="default"/>
                <w:sz w:val="18"/>
                <w:szCs w:val="18"/>
              </w:rPr>
              <w:t>乌鲁木齐星彦投资有限公司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在其他单位任职情况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北京二六三网络科技有限公司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Glabal</w:t>
            </w:r>
            <w:r>
              <w:rPr>
                <w:rFonts w:ascii="Times New Roman"/>
                <w:spacing w:val="-3"/>
                <w:sz w:val="18"/>
              </w:rPr>
              <w:t> </w:t>
            </w:r>
            <w:r>
              <w:rPr>
                <w:rFonts w:ascii="Times New Roman"/>
                <w:sz w:val="18"/>
              </w:rPr>
              <w:t>Communiacations,Lnc.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南京龙骏投资管理有限公司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欢喜传媒集团有限公司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北京致远互联软件股份有限公司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Nobody Investments</w:t>
            </w:r>
            <w:r>
              <w:rPr>
                <w:rFonts w:ascii="Times New Roman"/>
                <w:spacing w:val="-4"/>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pacing w:val="-4"/>
                <w:sz w:val="18"/>
              </w:rPr>
              <w:t>PANFAITH </w:t>
            </w:r>
            <w:r>
              <w:rPr>
                <w:rFonts w:ascii="Times New Roman"/>
                <w:sz w:val="18"/>
              </w:rPr>
              <w:t>INVESTMENTS</w:t>
            </w:r>
            <w:r>
              <w:rPr>
                <w:rFonts w:ascii="Times New Roman"/>
                <w:spacing w:val="2"/>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Holdings,</w:t>
            </w:r>
            <w:r>
              <w:rPr>
                <w:rFonts w:ascii="Times New Roman"/>
                <w:spacing w:val="2"/>
                <w:sz w:val="18"/>
              </w:rPr>
              <w:t> </w:t>
            </w:r>
            <w:r>
              <w:rPr>
                <w:rFonts w:ascii="Times New Roman"/>
                <w:sz w:val="18"/>
              </w:rPr>
              <w:t>LLC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 Media</w:t>
            </w:r>
            <w:r>
              <w:rPr>
                <w:rFonts w:ascii="Times New Roman"/>
                <w:spacing w:val="-16"/>
                <w:sz w:val="18"/>
              </w:rPr>
              <w:t> </w:t>
            </w:r>
            <w:r>
              <w:rPr>
                <w:rFonts w:ascii="Times New Roman"/>
                <w:sz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Global Communications,</w:t>
            </w:r>
            <w:r>
              <w:rPr>
                <w:rFonts w:ascii="Times New Roman"/>
                <w:spacing w:val="-3"/>
                <w:sz w:val="18"/>
              </w:rPr>
              <w:t> </w:t>
            </w:r>
            <w:r>
              <w:rPr>
                <w:rFonts w:ascii="Times New Roman"/>
                <w:sz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 Canada</w:t>
            </w:r>
            <w:r>
              <w:rPr>
                <w:rFonts w:ascii="Times New Roman"/>
                <w:spacing w:val="-17"/>
                <w:sz w:val="18"/>
              </w:rPr>
              <w:t> </w:t>
            </w:r>
            <w:r>
              <w:rPr>
                <w:rFonts w:ascii="Times New Roman"/>
                <w:sz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 Australia Pty</w:t>
            </w:r>
            <w:r>
              <w:rPr>
                <w:rFonts w:ascii="Times New Roman"/>
                <w:spacing w:val="-28"/>
                <w:sz w:val="18"/>
              </w:rPr>
              <w:t> </w:t>
            </w:r>
            <w:r>
              <w:rPr>
                <w:rFonts w:ascii="Times New Roman"/>
                <w:sz w:val="18"/>
              </w:rPr>
              <w:t>Ltd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755"/>
              <w:jc w:val="left"/>
              <w:rPr>
                <w:rFonts w:ascii="Times New Roman" w:hAnsi="Times New Roman" w:cs="Times New Roman" w:eastAsia="Times New Roman" w:hint="default"/>
                <w:sz w:val="18"/>
                <w:szCs w:val="18"/>
              </w:rPr>
            </w:pPr>
            <w:r>
              <w:rPr>
                <w:rFonts w:ascii="Times New Roman"/>
                <w:sz w:val="18"/>
              </w:rPr>
              <w:t>Digital Technology Marketing</w:t>
            </w:r>
            <w:r>
              <w:rPr>
                <w:rFonts w:ascii="Times New Roman"/>
                <w:spacing w:val="-22"/>
                <w:sz w:val="18"/>
              </w:rPr>
              <w:t> </w:t>
            </w:r>
            <w:r>
              <w:rPr>
                <w:rFonts w:ascii="Times New Roman"/>
                <w:sz w:val="18"/>
              </w:rPr>
              <w:t>and</w:t>
            </w:r>
            <w:r>
              <w:rPr>
                <w:rFonts w:ascii="Times New Roman"/>
                <w:w w:val="99"/>
                <w:sz w:val="18"/>
              </w:rPr>
              <w:t> </w:t>
            </w:r>
            <w:r>
              <w:rPr>
                <w:rFonts w:ascii="Times New Roman"/>
                <w:sz w:val="18"/>
              </w:rPr>
              <w:t>Information,</w:t>
            </w:r>
            <w:r>
              <w:rPr>
                <w:rFonts w:ascii="Times New Roman"/>
                <w:spacing w:val="-3"/>
                <w:sz w:val="18"/>
              </w:rPr>
              <w:t> </w:t>
            </w:r>
            <w:r>
              <w:rPr>
                <w:rFonts w:ascii="Times New Roman"/>
                <w:sz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北京首都在线网络技术有限公司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 Singapore Pte,</w:t>
            </w:r>
            <w:r>
              <w:rPr>
                <w:rFonts w:ascii="Times New Roman"/>
                <w:spacing w:val="-19"/>
                <w:sz w:val="18"/>
              </w:rPr>
              <w:t> </w:t>
            </w:r>
            <w:r>
              <w:rPr>
                <w:rFonts w:ascii="Times New Roman"/>
                <w:sz w:val="18"/>
              </w:rPr>
              <w:t>Ltd.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Old Dominion National</w:t>
            </w:r>
            <w:r>
              <w:rPr>
                <w:rFonts w:ascii="Times New Roman"/>
                <w:spacing w:val="-5"/>
                <w:sz w:val="18"/>
              </w:rPr>
              <w:t> </w:t>
            </w:r>
            <w:r>
              <w:rPr>
                <w:rFonts w:ascii="Times New Roman"/>
                <w:sz w:val="18"/>
              </w:rPr>
              <w:t>Bank</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National China Garden</w:t>
            </w:r>
            <w:r>
              <w:rPr>
                <w:rFonts w:ascii="Times New Roman"/>
                <w:spacing w:val="-5"/>
                <w:sz w:val="18"/>
              </w:rPr>
              <w:t> </w:t>
            </w:r>
            <w:r>
              <w:rPr>
                <w:rFonts w:ascii="Times New Roman"/>
                <w:sz w:val="18"/>
              </w:rPr>
              <w:t>Foundation</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北京二六三网络科技有限公司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芦兵</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二六三软件技术（北京）有限公司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中信出版集团股份有限公司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创始合伙人</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信永中和（北京）国际投资管理有限责任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北京信永方略管理咨询有限责任公司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慧聪网国际有限公司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中国中煤能源股份有限公司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北京软银赛富投资顾问有限公司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投资合伙人</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常州泛亚微透科技有限公司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湖南丰惠肥业有限公司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常州第六元素材料科技股份有限公司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常州赛富高新创业投资管理有限公司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丹拓（深圳）投资管理有限公司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汇英阳光（常州）影视传媒有限公司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北京丹拓信息技术有限公司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汪学思</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乌鲁木齐星彦投资有限公司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上海二六三通信有限公司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上海奈盛通信科技有限公司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深圳市日升科技有限公司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I-ACCESS NETWORK</w:t>
            </w:r>
            <w:r>
              <w:rPr>
                <w:rFonts w:ascii="Times New Roman"/>
                <w:spacing w:val="-4"/>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二六三增值通信香港有限公司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李光千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北京二六三企业通信有限公司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李光千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上海二六三通信有限公司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李光千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北京二六三网络科技有限公司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李光千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北京首都在线网络技术有限公司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李玉杰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展动科技（北京）有限公司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李玉杰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北京二六三企业通信有限公司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梁京</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广州二六三移动通信有限公司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四、董事、监事、高级管理人员报酬情况" w:id="125"/>
      <w:bookmarkEnd w:id="125"/>
      <w:r>
        <w:rPr>
          <w:b w:val="0"/>
          <w:bCs w:val="0"/>
        </w:rPr>
      </w:r>
      <w:r>
        <w:rPr/>
        <w:t>四、董事、监事、高级管理人员报酬情况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0"/>
        <w:jc w:val="left"/>
      </w:pPr>
      <w:r>
        <w:rPr/>
        <w:t>董事、监事、高级管理人员报酬的决策程序、确定依据、实际支付情况</w:t>
      </w:r>
    </w:p>
    <w:p>
      <w:pPr>
        <w:pStyle w:val="BodyText"/>
        <w:spacing w:line="316" w:lineRule="auto" w:before="115"/>
        <w:ind w:right="0"/>
        <w:jc w:val="left"/>
      </w:pPr>
      <w:r>
        <w:rPr/>
        <w:t>（一）决策程序 </w:t>
      </w:r>
      <w:r>
        <w:rPr>
          <w:spacing w:val="-2"/>
        </w:rPr>
        <w:t>公司建立了完善的高级管理人员绩效考核和薪酬体系，高级管理人员的工作绩效与其报酬直接挂钩。董事会薪酬与考核委员</w:t>
      </w:r>
      <w:r>
        <w:rPr>
          <w:spacing w:val="-64"/>
        </w:rPr>
        <w:t> </w:t>
      </w:r>
      <w:r>
        <w:rPr>
          <w:spacing w:val="-64"/>
        </w:rPr>
      </w:r>
      <w:r>
        <w:rPr/>
        <w:t>会负责对高级管理人员的工作能力、履职情况、责任目标完成情况等进行年终考评，制定薪酬方案。</w:t>
      </w:r>
    </w:p>
    <w:p>
      <w:pPr>
        <w:pStyle w:val="BodyText"/>
        <w:spacing w:line="316" w:lineRule="auto" w:before="19"/>
        <w:ind w:right="4272"/>
        <w:jc w:val="left"/>
      </w:pPr>
      <w:r>
        <w:rPr/>
        <w:t>（二）确定依据 公司董事、监事和高级管理人员报酬依据公司的经营业绩和绩效考核指标来确定。</w:t>
      </w:r>
    </w:p>
    <w:p>
      <w:pPr>
        <w:pStyle w:val="BodyText"/>
        <w:spacing w:line="338" w:lineRule="auto" w:before="19"/>
        <w:ind w:right="5172"/>
        <w:jc w:val="left"/>
      </w:pPr>
      <w:r>
        <w:rPr/>
        <w:t>（三）支付情况 公司董事、监事和高级管理人员报酬依据绩效考核指标完成情况支付。 公司报告期内董事、监事和高级管理人员报酬情况</w:t>
      </w:r>
    </w:p>
    <w:p>
      <w:pPr>
        <w:pStyle w:val="BodyText"/>
        <w:spacing w:line="240" w:lineRule="auto" w:before="43"/>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芦兵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3"/>
                <w:sz w:val="18"/>
              </w:rPr>
              <w:t> </w:t>
            </w:r>
            <w:r>
              <w:rPr>
                <w:rFonts w:ascii="Times New Roman"/>
                <w:sz w:val="18"/>
              </w:rPr>
              <w:t>ZHAO</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李玉杰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蒋必金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38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汪学思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吴一彬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谷莉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HAIBIN</w:t>
            </w:r>
            <w:r>
              <w:rPr>
                <w:rFonts w:ascii="Times New Roman"/>
                <w:spacing w:val="-2"/>
                <w:sz w:val="18"/>
              </w:rPr>
              <w:t> </w:t>
            </w:r>
            <w:r>
              <w:rPr>
                <w:rFonts w:ascii="Times New Roman"/>
                <w:sz w:val="18"/>
              </w:rPr>
              <w:t>CHEN</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李光千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1,083.93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740" w:right="0"/>
        </w:sectPr>
      </w:pPr>
    </w:p>
    <w:p>
      <w:pPr>
        <w:pStyle w:val="BodyText"/>
        <w:spacing w:line="240" w:lineRule="auto" w:before="51"/>
        <w:ind w:left="394" w:right="-20"/>
        <w:jc w:val="left"/>
      </w:pPr>
      <w:r>
        <w:rPr/>
        <w:t>公司董事、高级管理人员报告期内被授予的股权激励情况</w:t>
      </w:r>
    </w:p>
    <w:p>
      <w:pPr>
        <w:pStyle w:val="BodyText"/>
        <w:spacing w:line="240" w:lineRule="auto" w:before="117"/>
        <w:ind w:left="39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393" w:right="0"/>
        <w:jc w:val="left"/>
      </w:pPr>
      <w:r>
        <w:rPr/>
        <w:t>单位：股</w:t>
      </w:r>
    </w:p>
    <w:p>
      <w:pPr>
        <w:spacing w:after="0" w:line="240" w:lineRule="auto"/>
        <w:jc w:val="left"/>
        <w:sectPr>
          <w:type w:val="continuous"/>
          <w:pgSz w:w="11910" w:h="16840"/>
          <w:pgMar w:top="1060" w:bottom="1160" w:left="740" w:right="0"/>
          <w:cols w:num="2" w:equalWidth="0">
            <w:col w:w="4895" w:space="4025"/>
            <w:col w:w="2250"/>
          </w:cols>
        </w:sectPr>
      </w:pPr>
    </w:p>
    <w:p>
      <w:pPr>
        <w:spacing w:line="240" w:lineRule="auto" w:before="1"/>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994"/>
        <w:gridCol w:w="1025"/>
        <w:gridCol w:w="870"/>
        <w:gridCol w:w="870"/>
        <w:gridCol w:w="870"/>
        <w:gridCol w:w="869"/>
        <w:gridCol w:w="870"/>
        <w:gridCol w:w="870"/>
        <w:gridCol w:w="870"/>
        <w:gridCol w:w="870"/>
        <w:gridCol w:w="870"/>
      </w:tblGrid>
      <w:tr>
        <w:trPr>
          <w:trHeight w:val="1338"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芦兵</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1"/>
                <w:sz w:val="18"/>
              </w:rPr>
              <w:t> </w:t>
            </w:r>
            <w:r>
              <w:rPr>
                <w:rFonts w:ascii="Times New Roman"/>
                <w:sz w:val="18"/>
              </w:rPr>
              <w:t>ZHAO</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董事、副总 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李玉杰</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董事、副总 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梁京</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肖瑗</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李光千</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李波</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6,800,000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10,200,000</w:t>
            </w:r>
          </w:p>
        </w:tc>
      </w:tr>
    </w:tbl>
    <w:p>
      <w:pPr>
        <w:spacing w:line="240" w:lineRule="auto" w:before="2"/>
        <w:rPr>
          <w:rFonts w:ascii="宋体" w:hAnsi="宋体" w:cs="宋体" w:eastAsia="宋体" w:hint="default"/>
          <w:sz w:val="18"/>
          <w:szCs w:val="18"/>
        </w:rPr>
      </w:pPr>
    </w:p>
    <w:p>
      <w:pPr>
        <w:pStyle w:val="Heading2"/>
        <w:spacing w:line="240" w:lineRule="auto" w:before="26"/>
        <w:ind w:left="394" w:right="0"/>
        <w:jc w:val="left"/>
        <w:rPr>
          <w:b w:val="0"/>
          <w:bCs w:val="0"/>
        </w:rPr>
      </w:pPr>
      <w:bookmarkStart w:name="五、公司员工情况" w:id="126"/>
      <w:bookmarkEnd w:id="126"/>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394" w:right="0"/>
        <w:jc w:val="left"/>
        <w:rPr>
          <w:b w:val="0"/>
          <w:bCs w:val="0"/>
        </w:rPr>
      </w:pPr>
      <w:bookmarkStart w:name="1、员工数量、专业构成及教育程度" w:id="127"/>
      <w:bookmarkEnd w:id="12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38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740" w:right="0"/>
        </w:sectPr>
      </w:pPr>
    </w:p>
    <w:p>
      <w:pPr>
        <w:spacing w:line="240" w:lineRule="auto" w:before="6"/>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1,132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1,150</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1,132</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硕士研究生及以上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1,132</w:t>
            </w: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both"/>
        <w:rPr>
          <w:b w:val="0"/>
          <w:bCs w:val="0"/>
        </w:rPr>
      </w:pPr>
      <w:bookmarkStart w:name="2、薪酬政策" w:id="128"/>
      <w:bookmarkEnd w:id="128"/>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jc w:val="both"/>
      </w:pPr>
      <w:r>
        <w:rPr>
          <w:spacing w:val="-2"/>
        </w:rPr>
        <w:t>公司及控股子公司实行劳动合同制，与员工签订《劳动合同》，员工按照与公司签订的劳动合同承担义务和享受权利。公司</w:t>
      </w:r>
      <w:r>
        <w:rPr>
          <w:spacing w:val="-66"/>
        </w:rPr>
        <w:t> </w:t>
      </w:r>
      <w:r>
        <w:rPr>
          <w:spacing w:val="-66"/>
        </w:rPr>
      </w:r>
      <w:r>
        <w:rPr>
          <w:spacing w:val="-2"/>
        </w:rPr>
        <w:t>根据相关法律、法规之规定执行劳动保护制度、社会保障制度，公司员工参加基本养老保险、基本医疗保险、失业保险、生</w:t>
      </w:r>
      <w:r>
        <w:rPr>
          <w:spacing w:val="-67"/>
        </w:rPr>
        <w:t> </w:t>
      </w:r>
      <w:r>
        <w:rPr>
          <w:spacing w:val="-67"/>
        </w:rPr>
      </w:r>
      <w:r>
        <w:rPr/>
        <w:t>育保险、工伤保险等各类社会保险。</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bookmarkStart w:name="3、培训计划" w:id="129"/>
      <w:bookmarkEnd w:id="12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jc w:val="both"/>
      </w:pPr>
      <w:r>
        <w:rPr>
          <w:spacing w:val="-2"/>
        </w:rPr>
        <w:t>公司建立了员工培训机制，并根据生产经营的需要、员工业务、管理素质提升的需求等，采取内部培训与外派培训相结合的</w:t>
      </w:r>
      <w:r>
        <w:rPr>
          <w:spacing w:val="-66"/>
        </w:rPr>
        <w:t> </w:t>
      </w:r>
      <w:r>
        <w:rPr>
          <w:spacing w:val="-66"/>
        </w:rPr>
      </w:r>
      <w:r>
        <w:rPr/>
        <w:t>方式，制定培训计划，提升团队素质，以保证既定经营目标的实现以及企业、员工的双向可持续发展。</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bookmarkStart w:name="4、劳务外包情况" w:id="130"/>
      <w:bookmarkEnd w:id="13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3583"/>
        <w:jc w:val="center"/>
        <w:rPr>
          <w:b w:val="0"/>
          <w:bCs w:val="0"/>
        </w:rPr>
      </w:pPr>
      <w:bookmarkStart w:name="第九节 公司治理" w:id="131"/>
      <w:bookmarkEnd w:id="131"/>
      <w:r>
        <w:rPr>
          <w:b w:val="0"/>
          <w:bCs w:val="0"/>
        </w:rPr>
      </w:r>
      <w:bookmarkStart w:name="_bookmark8" w:id="132"/>
      <w:bookmarkEnd w:id="132"/>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3"/>
      <w:bookmarkEnd w:id="133"/>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2" w:firstLine="357"/>
        <w:jc w:val="left"/>
      </w:pPr>
      <w:r>
        <w:rPr>
          <w:spacing w:val="-2"/>
        </w:rPr>
        <w:t>报告期内，公司严格按照《公司法》、《证券法》、《上市公司治理准则》、《深圳证券交易所股票上市规则》、《中</w:t>
      </w:r>
      <w:r>
        <w:rPr/>
        <w:t> 小企业板上市公司规范运作指引》及其他相关法律、法规的要求，不断完善公司治理结构，建立健全内部管理和控制制度， </w:t>
      </w:r>
      <w:r>
        <w:rPr>
          <w:spacing w:val="-2"/>
        </w:rPr>
        <w:t>不断加强信息披露工作，积极开展投资者关系管理工作，进一步规范公司运作，提高公司治理水平。截至报告期末，公司治</w:t>
      </w:r>
      <w:r>
        <w:rPr>
          <w:spacing w:val="-66"/>
        </w:rPr>
        <w:t> </w:t>
      </w:r>
      <w:r>
        <w:rPr>
          <w:spacing w:val="-66"/>
        </w:rPr>
      </w:r>
      <w:r>
        <w:rPr/>
        <w:t>理实际情况基本符合中国证监会、深圳证券交易所有关上市公司治理的规范性文件要求。</w:t>
      </w:r>
    </w:p>
    <w:p>
      <w:pPr>
        <w:pStyle w:val="BodyText"/>
        <w:spacing w:line="240" w:lineRule="auto" w:before="59"/>
        <w:ind w:right="0"/>
        <w:jc w:val="left"/>
      </w:pPr>
      <w:r>
        <w:rPr/>
        <w:t>公司已建立的各项制度的名称和公开信息披露情况：</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4078"/>
        <w:gridCol w:w="2694"/>
        <w:gridCol w:w="1751"/>
      </w:tblGrid>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308" w:right="0"/>
              <w:jc w:val="left"/>
              <w:rPr>
                <w:rFonts w:ascii="宋体" w:hAnsi="宋体" w:cs="宋体" w:eastAsia="宋体" w:hint="default"/>
                <w:sz w:val="18"/>
                <w:szCs w:val="18"/>
              </w:rPr>
            </w:pPr>
            <w:r>
              <w:rPr>
                <w:rFonts w:ascii="宋体" w:hAnsi="宋体" w:cs="宋体" w:eastAsia="宋体" w:hint="default"/>
                <w:b/>
                <w:bCs/>
                <w:sz w:val="18"/>
                <w:szCs w:val="18"/>
              </w:rPr>
              <w:t>公司已建立的制度</w:t>
            </w:r>
            <w:r>
              <w:rPr>
                <w:rFonts w:ascii="宋体" w:hAnsi="宋体" w:cs="宋体" w:eastAsia="宋体" w:hint="default"/>
                <w:sz w:val="18"/>
                <w:szCs w:val="18"/>
              </w:rPr>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披露时间</w:t>
            </w:r>
            <w:r>
              <w:rPr>
                <w:rFonts w:ascii="宋体" w:hAnsi="宋体" w:cs="宋体" w:eastAsia="宋体" w:hint="default"/>
                <w:sz w:val="18"/>
                <w:szCs w:val="18"/>
              </w:rPr>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6" w:right="0"/>
              <w:jc w:val="left"/>
              <w:rPr>
                <w:rFonts w:ascii="宋体" w:hAnsi="宋体" w:cs="宋体" w:eastAsia="宋体" w:hint="default"/>
                <w:sz w:val="18"/>
                <w:szCs w:val="18"/>
              </w:rPr>
            </w:pPr>
            <w:r>
              <w:rPr>
                <w:rFonts w:ascii="宋体" w:hAnsi="宋体" w:cs="宋体" w:eastAsia="宋体" w:hint="default"/>
                <w:b/>
                <w:bCs/>
                <w:sz w:val="18"/>
                <w:szCs w:val="18"/>
              </w:rPr>
              <w:t>信息披露媒体</w:t>
            </w:r>
            <w:r>
              <w:rPr>
                <w:rFonts w:ascii="宋体" w:hAnsi="宋体" w:cs="宋体" w:eastAsia="宋体" w:hint="default"/>
                <w:sz w:val="18"/>
                <w:szCs w:val="18"/>
              </w:rPr>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监事会议事规则（</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募集资金管理办法（</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股东大会议事规则（</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关联交易管理制度（</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对外担保管理细则（</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独立董事制度（</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董事会议事规则（</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对外投资管理制度（</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理财产品管理制度（</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5"/>
        <w:rPr>
          <w:rFonts w:ascii="宋体" w:hAnsi="宋体" w:cs="宋体" w:eastAsia="宋体" w:hint="default"/>
          <w:sz w:val="24"/>
          <w:szCs w:val="24"/>
        </w:rPr>
      </w:pPr>
    </w:p>
    <w:p>
      <w:pPr>
        <w:pStyle w:val="BodyText"/>
        <w:spacing w:line="240" w:lineRule="auto" w:before="44"/>
        <w:ind w:right="0"/>
        <w:jc w:val="left"/>
      </w:pPr>
      <w:r>
        <w:rPr/>
        <w:t>公司治理的实际状况与中国证监会发布的有关上市公司治理的规范性文件是否存在重大差异</w:t>
      </w:r>
    </w:p>
    <w:p>
      <w:pPr>
        <w:pStyle w:val="BodyText"/>
        <w:spacing w:line="338" w:lineRule="auto" w:before="117"/>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4"/>
      <w:bookmarkEnd w:id="134"/>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52" w:firstLine="420"/>
        <w:jc w:val="left"/>
      </w:pPr>
      <w:r>
        <w:rPr/>
        <w:t>公司控股股东为董事长李小龙先生，为公司实际控制人。公司在业务、人员、资产、机构、财务等方面与控股股东相 互独立，公司具有独立完整的业务及自主经营能力。</w:t>
      </w:r>
    </w:p>
    <w:p>
      <w:pPr>
        <w:pStyle w:val="BodyText"/>
        <w:spacing w:line="240" w:lineRule="auto" w:before="19"/>
        <w:ind w:left="574" w:right="0"/>
        <w:jc w:val="left"/>
      </w:pPr>
      <w:r>
        <w:rPr/>
        <w:t>（一）业务：公司业务独立于控股股东，独立开展业务，不依赖于股东或其他任何关联方。</w:t>
      </w:r>
    </w:p>
    <w:p>
      <w:pPr>
        <w:pStyle w:val="BodyText"/>
        <w:spacing w:line="316" w:lineRule="auto" w:before="76"/>
        <w:ind w:right="1152" w:firstLine="420"/>
        <w:jc w:val="left"/>
      </w:pPr>
      <w:r>
        <w:rPr/>
        <w:t>（二）人员：公司劳动、人事及工资完全独立。公司总裁、副总裁、董事会秘书、财务总监等高级管理人员均在公司 工作并领取薪酬。</w:t>
      </w:r>
    </w:p>
    <w:p>
      <w:pPr>
        <w:pStyle w:val="BodyText"/>
        <w:spacing w:line="316" w:lineRule="auto" w:before="19"/>
        <w:ind w:right="0" w:firstLine="420"/>
        <w:jc w:val="left"/>
      </w:pPr>
      <w:r>
        <w:rPr>
          <w:spacing w:val="-2"/>
        </w:rPr>
        <w:t>（三）资产：公司拥有独立于控股股东的经营场所，拥有独立完整的资产结构，拥有经营设备配套设施、土地使用权、</w:t>
      </w:r>
      <w:r>
        <w:rPr/>
        <w:t> 房屋所有权等资产。</w:t>
      </w:r>
    </w:p>
    <w:p>
      <w:pPr>
        <w:pStyle w:val="BodyText"/>
        <w:spacing w:line="240" w:lineRule="auto" w:before="19"/>
        <w:ind w:left="574" w:right="0"/>
        <w:jc w:val="left"/>
      </w:pPr>
      <w:r>
        <w:rPr/>
        <w:t>（四）机构：公司设立了健全的组织机构体系，独立运作，不存在与控股股东或其他职能部门之间的从属关系。</w:t>
      </w:r>
    </w:p>
    <w:p>
      <w:pPr>
        <w:pStyle w:val="BodyText"/>
        <w:spacing w:line="319" w:lineRule="auto" w:before="117"/>
        <w:ind w:right="0" w:firstLine="420"/>
        <w:jc w:val="left"/>
      </w:pPr>
      <w:r>
        <w:rPr/>
        <w:t>（五）财务：公司设有独立的财务会计部门，建立了独立的会计核算体系和财务管理制度，独立进行财务决策。公司 独立开设银行账户，独立纳税。</w:t>
      </w:r>
    </w:p>
    <w:p>
      <w:pPr>
        <w:spacing w:after="0" w:line="319" w:lineRule="auto"/>
        <w:jc w:val="left"/>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三、同业竞争情况" w:id="135"/>
      <w:bookmarkEnd w:id="135"/>
      <w:r>
        <w:rPr>
          <w:b w:val="0"/>
          <w:bCs w:val="0"/>
        </w:rPr>
      </w: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6"/>
      <w:bookmarkEnd w:id="136"/>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报告期股东大会情况" w:id="137"/>
      <w:bookmarkEnd w:id="13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590"/>
        <w:gridCol w:w="1588"/>
        <w:gridCol w:w="1589"/>
        <w:gridCol w:w="1589"/>
        <w:gridCol w:w="1590"/>
        <w:gridCol w:w="1748"/>
      </w:tblGrid>
      <w:tr>
        <w:trPr>
          <w:trHeight w:val="401" w:hRule="exact"/>
        </w:trPr>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9"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27"/>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8"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2"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473"/>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9" w:lineRule="auto" w:before="75"/>
              <w:ind w:left="22" w:right="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www.cninfo.com.cn) </w:t>
            </w:r>
            <w:r>
              <w:rPr>
                <w:rFonts w:ascii="宋体" w:hAnsi="宋体" w:cs="宋体" w:eastAsia="宋体" w:hint="default"/>
                <w:sz w:val="18"/>
                <w:szCs w:val="18"/>
              </w:rPr>
              <w:t>上披露的《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一次临时股东大会决 </w:t>
            </w:r>
            <w:r>
              <w:rPr>
                <w:rFonts w:ascii="宋体" w:hAnsi="宋体" w:cs="宋体" w:eastAsia="宋体" w:hint="default"/>
                <w:spacing w:val="-9"/>
                <w:sz w:val="18"/>
                <w:szCs w:val="18"/>
              </w:rPr>
              <w:t>议公告》（公告编号：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2018-015</w:t>
            </w:r>
            <w:r>
              <w:rPr>
                <w:rFonts w:ascii="宋体" w:hAnsi="宋体" w:cs="宋体" w:eastAsia="宋体" w:hint="default"/>
                <w:sz w:val="18"/>
                <w:szCs w:val="18"/>
              </w:rPr>
              <w:t>）</w:t>
            </w:r>
          </w:p>
        </w:tc>
      </w:tr>
      <w:tr>
        <w:trPr>
          <w:trHeight w:val="1962"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2"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473"/>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18.11%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9" w:lineRule="auto" w:before="75"/>
              <w:ind w:left="22" w:right="22"/>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www.cninfo.com.cn)</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上披露的《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 度股东大会决议公 </w:t>
            </w:r>
            <w:r>
              <w:rPr>
                <w:rFonts w:ascii="宋体" w:hAnsi="宋体" w:cs="宋体" w:eastAsia="宋体" w:hint="default"/>
                <w:spacing w:val="-12"/>
                <w:sz w:val="18"/>
                <w:szCs w:val="18"/>
              </w:rPr>
              <w:t>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2018-043</w:t>
            </w:r>
            <w:r>
              <w:rPr>
                <w:rFonts w:ascii="宋体" w:hAnsi="宋体" w:cs="宋体" w:eastAsia="宋体" w:hint="default"/>
                <w:sz w:val="18"/>
                <w:szCs w:val="18"/>
              </w:rPr>
              <w:t>）</w:t>
            </w:r>
          </w:p>
        </w:tc>
      </w:tr>
      <w:tr>
        <w:trPr>
          <w:trHeight w:val="1962"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300" w:lineRule="auto"/>
              <w:ind w:left="22"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473"/>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9" w:lineRule="auto" w:before="75"/>
              <w:ind w:left="22" w:right="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www.cninfo.com.cn) </w:t>
            </w:r>
            <w:r>
              <w:rPr>
                <w:rFonts w:ascii="宋体" w:hAnsi="宋体" w:cs="宋体" w:eastAsia="宋体" w:hint="default"/>
                <w:sz w:val="18"/>
                <w:szCs w:val="18"/>
              </w:rPr>
              <w:t>上披露的《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二次临时股东大会决 </w:t>
            </w:r>
            <w:r>
              <w:rPr>
                <w:rFonts w:ascii="宋体" w:hAnsi="宋体" w:cs="宋体" w:eastAsia="宋体" w:hint="default"/>
                <w:spacing w:val="-9"/>
                <w:sz w:val="18"/>
                <w:szCs w:val="18"/>
              </w:rPr>
              <w:t>议公告》（公告编号：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2018-058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1962"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2"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473"/>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9" w:lineRule="auto" w:before="75"/>
              <w:ind w:left="22" w:right="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www.cninfo.com.cn) </w:t>
            </w:r>
            <w:r>
              <w:rPr>
                <w:rFonts w:ascii="宋体" w:hAnsi="宋体" w:cs="宋体" w:eastAsia="宋体" w:hint="default"/>
                <w:sz w:val="18"/>
                <w:szCs w:val="18"/>
              </w:rPr>
              <w:t>上披露的《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三次临时股东大会决 </w:t>
            </w:r>
            <w:r>
              <w:rPr>
                <w:rFonts w:ascii="宋体" w:hAnsi="宋体" w:cs="宋体" w:eastAsia="宋体" w:hint="default"/>
                <w:spacing w:val="-9"/>
                <w:sz w:val="18"/>
                <w:szCs w:val="18"/>
              </w:rPr>
              <w:t>议公告》（公告编号：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2018-069</w:t>
            </w:r>
            <w:r>
              <w:rPr>
                <w:rFonts w:ascii="宋体" w:hAnsi="宋体" w:cs="宋体" w:eastAsia="宋体" w:hint="default"/>
                <w:sz w:val="18"/>
                <w:szCs w:val="18"/>
              </w:rPr>
              <w:t>）</w:t>
            </w:r>
          </w:p>
        </w:tc>
      </w:tr>
      <w:tr>
        <w:trPr>
          <w:trHeight w:val="1962"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2"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473"/>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9" w:lineRule="auto" w:before="75"/>
              <w:ind w:left="22" w:right="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www.cninfo.com.cn) </w:t>
            </w:r>
            <w:r>
              <w:rPr>
                <w:rFonts w:ascii="宋体" w:hAnsi="宋体" w:cs="宋体" w:eastAsia="宋体" w:hint="default"/>
                <w:sz w:val="18"/>
                <w:szCs w:val="18"/>
              </w:rPr>
              <w:t>上披露的《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四次临时股东大会决 </w:t>
            </w:r>
            <w:r>
              <w:rPr>
                <w:rFonts w:ascii="宋体" w:hAnsi="宋体" w:cs="宋体" w:eastAsia="宋体" w:hint="default"/>
                <w:spacing w:val="-9"/>
                <w:sz w:val="18"/>
                <w:szCs w:val="18"/>
              </w:rPr>
              <w:t>议公告》（公告编号：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2018-085</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表决权恢复的优先股股东请求召开临时股东大会" w:id="138"/>
      <w:bookmarkEnd w:id="13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五、报告期内独立董事履行职责的情况" w:id="139"/>
      <w:bookmarkEnd w:id="139"/>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40"/>
      <w:bookmarkEnd w:id="14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蒋必金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left"/>
      </w:pPr>
      <w:r>
        <w:rPr/>
        <w:t>连续两次未亲自出席董事会的说明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独立董事对公司有关事项提出异议的情况" w:id="141"/>
      <w:bookmarkEnd w:id="141"/>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6"/>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3、独立董事履行职责的其他说明" w:id="142"/>
      <w:bookmarkEnd w:id="142"/>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6"/>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1131" w:firstLine="145"/>
        <w:jc w:val="both"/>
      </w:pPr>
      <w:r>
        <w:rPr>
          <w:spacing w:val="-1"/>
        </w:rPr>
        <w:t>公司独立董事根据《公司法》、《证券法》、《公司章程》和《独立董事制度》等法律法规的规定，关注公司运作的规范</w:t>
      </w:r>
      <w:r>
        <w:rPr/>
        <w:t> </w:t>
      </w:r>
      <w:r>
        <w:rPr>
          <w:spacing w:val="-2"/>
        </w:rPr>
        <w:t>性，独立履行职责，对公司的制度完善和日常经营决策等方面提出了许多宝贵的专业性意见，对报告期内公司发生的股权激</w:t>
      </w:r>
      <w:r>
        <w:rPr>
          <w:spacing w:val="-65"/>
        </w:rPr>
        <w:t> </w:t>
      </w:r>
      <w:r>
        <w:rPr>
          <w:spacing w:val="-65"/>
        </w:rPr>
      </w:r>
      <w:r>
        <w:rPr>
          <w:spacing w:val="-2"/>
        </w:rPr>
        <w:t>励、聘任高级管理人员、募集资金存放与使用情况等需要独立董事发表意见的事项出具了独立、公正的独立董事意见，为完</w:t>
      </w:r>
      <w:r>
        <w:rPr>
          <w:spacing w:val="-66"/>
        </w:rPr>
        <w:t> </w:t>
      </w:r>
      <w:r>
        <w:rPr>
          <w:spacing w:val="-66"/>
        </w:rPr>
      </w:r>
      <w:r>
        <w:rPr/>
        <w:t>善公司监督机制，维护公司和全体股东的合法权益发挥了应有的作用。</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43"/>
      <w:bookmarkEnd w:id="143"/>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454" w:right="1118" w:hanging="300"/>
        <w:jc w:val="left"/>
      </w:pPr>
      <w:r>
        <w:rPr>
          <w:rFonts w:ascii="Times New Roman" w:hAnsi="Times New Roman" w:cs="Times New Roman" w:eastAsia="Times New Roman" w:hint="default"/>
        </w:rPr>
        <w:t>1</w:t>
      </w:r>
      <w:r>
        <w:rPr/>
        <w:t>、审计委员会 </w:t>
      </w:r>
      <w:r>
        <w:rPr>
          <w:spacing w:val="-1"/>
        </w:rPr>
        <w:t>公司董事会审计委员会由</w:t>
      </w:r>
      <w:r>
        <w:rPr>
          <w:rFonts w:ascii="Times New Roman" w:hAnsi="Times New Roman" w:cs="Times New Roman" w:eastAsia="Times New Roman" w:hint="default"/>
          <w:spacing w:val="-1"/>
        </w:rPr>
        <w:t>2</w:t>
      </w:r>
      <w:r>
        <w:rPr>
          <w:spacing w:val="-1"/>
        </w:rPr>
        <w:t>名独立董事及</w:t>
      </w:r>
      <w:r>
        <w:rPr>
          <w:rFonts w:ascii="Times New Roman" w:hAnsi="Times New Roman" w:cs="Times New Roman" w:eastAsia="Times New Roman" w:hint="default"/>
          <w:spacing w:val="-1"/>
        </w:rPr>
        <w:t>1</w:t>
      </w:r>
      <w:r>
        <w:rPr>
          <w:spacing w:val="-1"/>
        </w:rPr>
        <w:t>名董事组成，其中召集人由独立董事（专业会计人员）担任。报告期内，根据</w:t>
      </w:r>
    </w:p>
    <w:p>
      <w:pPr>
        <w:pStyle w:val="BodyText"/>
        <w:spacing w:line="316" w:lineRule="auto" w:before="13"/>
        <w:ind w:right="0"/>
        <w:jc w:val="left"/>
      </w:pPr>
      <w:r>
        <w:rPr>
          <w:spacing w:val="-2"/>
        </w:rPr>
        <w:t>中国证监会、深圳证券交易所及公司《董事会审计委员会议事规则》的规定，公司董事会审计委员会勤勉尽责，认真履行职</w:t>
      </w:r>
      <w:r>
        <w:rPr>
          <w:spacing w:val="-66"/>
        </w:rPr>
        <w:t> </w:t>
      </w:r>
      <w:r>
        <w:rPr>
          <w:spacing w:val="-66"/>
        </w:rPr>
      </w:r>
      <w:r>
        <w:rPr/>
        <w:t>责，主要开展了如下工作：</w:t>
      </w:r>
    </w:p>
    <w:p>
      <w:pPr>
        <w:pStyle w:val="BodyText"/>
        <w:spacing w:line="240" w:lineRule="auto" w:before="19"/>
        <w:ind w:left="454" w:right="0"/>
        <w:jc w:val="left"/>
      </w:pPr>
      <w:r>
        <w:rPr/>
        <w:t>（</w:t>
      </w:r>
      <w:r>
        <w:rPr>
          <w:rFonts w:ascii="Times New Roman" w:hAnsi="Times New Roman" w:cs="Times New Roman" w:eastAsia="Times New Roman" w:hint="default"/>
        </w:rPr>
        <w:t>1</w:t>
      </w:r>
      <w:r>
        <w:rPr/>
        <w:t>）指导和监督内部审计制度的执行；</w:t>
      </w:r>
    </w:p>
    <w:p>
      <w:pPr>
        <w:pStyle w:val="BodyText"/>
        <w:spacing w:line="240" w:lineRule="auto" w:before="63"/>
        <w:ind w:left="454" w:right="0"/>
        <w:jc w:val="left"/>
      </w:pPr>
      <w:r>
        <w:rPr/>
        <w:t>（</w:t>
      </w:r>
      <w:r>
        <w:rPr>
          <w:rFonts w:ascii="Times New Roman" w:hAnsi="Times New Roman" w:cs="Times New Roman" w:eastAsia="Times New Roman" w:hint="default"/>
        </w:rPr>
        <w:t>2</w:t>
      </w:r>
      <w:r>
        <w:rPr/>
        <w:t>）审计委员会与年审会计师积极沟通，并对年审会计师的服务内容提出具体要求；</w:t>
      </w:r>
    </w:p>
    <w:p>
      <w:pPr>
        <w:pStyle w:val="BodyText"/>
        <w:spacing w:line="240" w:lineRule="auto" w:before="63"/>
        <w:ind w:left="454" w:right="0"/>
        <w:jc w:val="left"/>
      </w:pPr>
      <w:r>
        <w:rPr/>
        <w:t>（</w:t>
      </w:r>
      <w:r>
        <w:rPr>
          <w:rFonts w:ascii="Times New Roman" w:hAnsi="Times New Roman" w:cs="Times New Roman" w:eastAsia="Times New Roman" w:hint="default"/>
        </w:rPr>
        <w:t>3</w:t>
      </w:r>
      <w:r>
        <w:rPr/>
        <w:t>）对内审部的工作进行指导，并提出具体建议；</w:t>
      </w:r>
    </w:p>
    <w:p>
      <w:pPr>
        <w:pStyle w:val="BodyText"/>
        <w:spacing w:line="300" w:lineRule="auto" w:before="63"/>
        <w:ind w:right="0" w:firstLine="300"/>
        <w:jc w:val="left"/>
      </w:pPr>
      <w:r>
        <w:rPr/>
        <w:t>（</w:t>
      </w:r>
      <w:r>
        <w:rPr>
          <w:rFonts w:ascii="Times New Roman" w:hAnsi="Times New Roman" w:cs="Times New Roman" w:eastAsia="Times New Roman" w:hint="default"/>
        </w:rPr>
        <w:t>4</w:t>
      </w:r>
      <w:r>
        <w:rPr/>
        <w:t>）内审部按季向审计委员会提交工作计划、工作总结和审计报告，审计委员会认真审核内审部的各项工作计划和审 计报告，及时提出反馈意见，并向董事会报告。</w:t>
      </w:r>
    </w:p>
    <w:p>
      <w:pPr>
        <w:pStyle w:val="BodyText"/>
        <w:spacing w:line="300" w:lineRule="auto" w:before="31"/>
        <w:ind w:left="299" w:right="0" w:hanging="146"/>
        <w:jc w:val="left"/>
      </w:pPr>
      <w:r>
        <w:rPr>
          <w:rFonts w:ascii="Times New Roman" w:hAnsi="Times New Roman" w:cs="Times New Roman" w:eastAsia="Times New Roman" w:hint="default"/>
        </w:rPr>
        <w:t>2.</w:t>
      </w:r>
      <w:r>
        <w:rPr/>
        <w:t>薪酬与考核委员会 董事会下设薪酬与考核委员会，由</w:t>
      </w:r>
      <w:r>
        <w:rPr>
          <w:rFonts w:ascii="Times New Roman" w:hAnsi="Times New Roman" w:cs="Times New Roman" w:eastAsia="Times New Roman" w:hint="default"/>
        </w:rPr>
        <w:t>3</w:t>
      </w:r>
      <w:r>
        <w:rPr/>
        <w:t>名董事组成，其中独立董事</w:t>
      </w:r>
      <w:r>
        <w:rPr>
          <w:rFonts w:ascii="Times New Roman" w:hAnsi="Times New Roman" w:cs="Times New Roman" w:eastAsia="Times New Roman" w:hint="default"/>
        </w:rPr>
        <w:t>2</w:t>
      </w:r>
      <w:r>
        <w:rPr/>
        <w:t>名，并由</w:t>
      </w:r>
      <w:r>
        <w:rPr>
          <w:rFonts w:ascii="Times New Roman" w:hAnsi="Times New Roman" w:cs="Times New Roman" w:eastAsia="Times New Roman" w:hint="default"/>
        </w:rPr>
        <w:t>1</w:t>
      </w:r>
      <w:r>
        <w:rPr/>
        <w:t>名独立董事担任召集人。董事会薪酬与考核委</w:t>
      </w:r>
    </w:p>
    <w:p>
      <w:pPr>
        <w:spacing w:after="0" w:line="30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t>员会主要负责审核公司高管人员的薪酬政策与方案等。</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七、监事会工作情况" w:id="144"/>
      <w:bookmarkEnd w:id="144"/>
      <w:r>
        <w:rPr>
          <w:b w:val="0"/>
          <w:bCs w:val="0"/>
        </w:rPr>
      </w:r>
      <w:r>
        <w:rPr/>
        <w:t>七、监事会工作情况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7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5"/>
      <w:bookmarkEnd w:id="145"/>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52" w:firstLine="420"/>
        <w:jc w:val="left"/>
      </w:pPr>
      <w:r>
        <w:rPr/>
        <w:t>公司建立了高级管理人员的选择、考评、激励与约束机制并不断完善，公司高级管理人员全部由董事会聘任，直接对 董事会负责，承担董事会下达的经营指标，董事会下设的薪酬与考核委员会对高级管理人员进行考评。</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九、内部控制评价报告" w:id="146"/>
      <w:bookmarkEnd w:id="146"/>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47"/>
      <w:bookmarkEnd w:id="147"/>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内控自我评价报告" w:id="148"/>
      <w:bookmarkEnd w:id="148"/>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1"/>
              <w:jc w:val="left"/>
              <w:rPr>
                <w:rFonts w:ascii="宋体" w:hAnsi="宋体" w:cs="宋体" w:eastAsia="宋体" w:hint="default"/>
                <w:sz w:val="18"/>
                <w:szCs w:val="18"/>
              </w:rPr>
            </w:pPr>
            <w:r>
              <w:rPr>
                <w:rFonts w:ascii="宋体" w:hAnsi="宋体" w:cs="宋体" w:eastAsia="宋体" w:hint="default"/>
                <w:spacing w:val="-5"/>
                <w:w w:val="99"/>
                <w:sz w:val="18"/>
                <w:szCs w:val="18"/>
              </w:rPr>
              <w:t>巨潮资讯网（</w:t>
            </w:r>
            <w:hyperlink r:id="rId11">
              <w:r>
                <w:rPr>
                  <w:rFonts w:ascii="Times New Roman" w:hAnsi="Times New Roman" w:cs="Times New Roman" w:eastAsia="Times New Roman" w:hint="default"/>
                  <w:spacing w:val="-5"/>
                  <w:w w:val="99"/>
                  <w:sz w:val="18"/>
                  <w:szCs w:val="18"/>
                </w:rPr>
                <w:t>www.cninfo.com.cn</w:t>
              </w:r>
            </w:hyperlink>
            <w:r>
              <w:rPr>
                <w:rFonts w:ascii="宋体" w:hAnsi="宋体" w:cs="宋体" w:eastAsia="宋体" w:hint="default"/>
                <w:spacing w:val="-5"/>
                <w:w w:val="99"/>
                <w:sz w:val="18"/>
                <w:szCs w:val="18"/>
              </w:rPr>
              <w:t>）《二六三网络通信股份有限公司内部控制自我评</w:t>
            </w:r>
            <w:r>
              <w:rPr>
                <w:rFonts w:ascii="宋体" w:hAnsi="宋体" w:cs="宋体" w:eastAsia="宋体" w:hint="default"/>
                <w:spacing w:val="-56"/>
                <w:w w:val="99"/>
                <w:sz w:val="18"/>
                <w:szCs w:val="18"/>
              </w:rPr>
              <w:t> </w:t>
            </w:r>
            <w:r>
              <w:rPr>
                <w:rFonts w:ascii="宋体" w:hAnsi="宋体" w:cs="宋体" w:eastAsia="宋体" w:hint="default"/>
                <w:spacing w:val="-56"/>
                <w:w w:val="99"/>
                <w:sz w:val="18"/>
                <w:szCs w:val="18"/>
              </w:rPr>
            </w:r>
            <w:r>
              <w:rPr>
                <w:rFonts w:ascii="宋体" w:hAnsi="宋体" w:cs="宋体" w:eastAsia="宋体" w:hint="default"/>
                <w:sz w:val="18"/>
                <w:szCs w:val="18"/>
              </w:rPr>
              <w:t>价报告》</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p>
      <w:pPr>
        <w:spacing w:line="312" w:lineRule="exact"/>
        <w:ind w:left="669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3"/>
        <w:rPr>
          <w:rFonts w:ascii="宋体" w:hAnsi="宋体" w:cs="宋体" w:eastAsia="宋体" w:hint="default"/>
          <w:b/>
          <w:bCs/>
          <w:sz w:val="21"/>
          <w:szCs w:val="21"/>
        </w:rPr>
      </w:pPr>
    </w:p>
    <w:p>
      <w:pPr>
        <w:pStyle w:val="BodyText"/>
        <w:spacing w:line="240" w:lineRule="auto" w:before="44"/>
        <w:ind w:left="0" w:right="1139"/>
        <w:jc w:val="right"/>
      </w:pPr>
      <w:r>
        <w:rPr/>
        <w:pict>
          <v:shape style="position:absolute;margin-left:56.459999pt;margin-top:-197.00827pt;width:479.2pt;height:535.7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5"/>
                    <w:gridCol w:w="3335"/>
                    <w:gridCol w:w="3039"/>
                  </w:tblGrid>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345"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5" w:type="dxa"/>
                        <w:vMerge w:val="restart"/>
                        <w:tcBorders>
                          <w:top w:val="single" w:sz="4" w:space="0" w:color="000000"/>
                          <w:left w:val="single" w:sz="9" w:space="0" w:color="D2D2D2"/>
                          <w:right w:val="single" w:sz="9" w:space="0" w:color="FFFFFF"/>
                        </w:tcBorders>
                      </w:tcPr>
                      <w:p>
                        <w:pPr>
                          <w:pStyle w:val="TableParagraph"/>
                          <w:spacing w:line="309" w:lineRule="auto" w:before="51"/>
                          <w:ind w:left="16" w:right="-2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a</w:t>
                        </w:r>
                        <w:r>
                          <w:rPr>
                            <w:rFonts w:ascii="宋体" w:hAnsi="宋体" w:cs="宋体" w:eastAsia="宋体" w:hint="default"/>
                            <w:sz w:val="18"/>
                            <w:szCs w:val="18"/>
                          </w:rPr>
                          <w:t>、董事、监事和高级管 理人员舞弊； </w:t>
                        </w:r>
                        <w:r>
                          <w:rPr>
                            <w:rFonts w:ascii="Times New Roman" w:hAnsi="Times New Roman" w:cs="Times New Roman" w:eastAsia="Times New Roman" w:hint="default"/>
                            <w:sz w:val="18"/>
                            <w:szCs w:val="18"/>
                          </w:rPr>
                          <w:t>b</w:t>
                        </w:r>
                        <w:r>
                          <w:rPr>
                            <w:rFonts w:ascii="宋体" w:hAnsi="宋体" w:cs="宋体" w:eastAsia="宋体" w:hint="default"/>
                            <w:sz w:val="18"/>
                            <w:szCs w:val="18"/>
                          </w:rPr>
                          <w:t>、对已经公告的财务报告 </w:t>
                        </w:r>
                        <w:r>
                          <w:rPr>
                            <w:rFonts w:ascii="宋体" w:hAnsi="宋体" w:cs="宋体" w:eastAsia="宋体" w:hint="default"/>
                            <w:spacing w:val="-3"/>
                            <w:sz w:val="18"/>
                            <w:szCs w:val="18"/>
                          </w:rPr>
                          <w:t>出现的重大差错进行错报更正；</w:t>
                        </w:r>
                        <w:r>
                          <w:rPr>
                            <w:rFonts w:ascii="Times New Roman" w:hAnsi="Times New Roman" w:cs="Times New Roman" w:eastAsia="Times New Roman" w:hint="default"/>
                            <w:spacing w:val="-3"/>
                            <w:sz w:val="18"/>
                            <w:szCs w:val="18"/>
                          </w:rPr>
                          <w:t>c</w:t>
                        </w:r>
                        <w:r>
                          <w:rPr>
                            <w:rFonts w:ascii="宋体" w:hAnsi="宋体" w:cs="宋体" w:eastAsia="宋体" w:hint="default"/>
                            <w:spacing w:val="-3"/>
                            <w:sz w:val="18"/>
                            <w:szCs w:val="18"/>
                          </w:rPr>
                          <w:t>、注册会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计师发现当期财务报告存在重大错报，而 内部控制在运行过程中未能发现该错报； </w:t>
                        </w:r>
                        <w:r>
                          <w:rPr>
                            <w:rFonts w:ascii="Times New Roman" w:hAnsi="Times New Roman" w:cs="Times New Roman" w:eastAsia="Times New Roman" w:hint="default"/>
                            <w:spacing w:val="-4"/>
                            <w:sz w:val="18"/>
                            <w:szCs w:val="18"/>
                          </w:rPr>
                          <w:t>d</w:t>
                        </w:r>
                        <w:r>
                          <w:rPr>
                            <w:rFonts w:ascii="宋体" w:hAnsi="宋体" w:cs="宋体" w:eastAsia="宋体" w:hint="default"/>
                            <w:spacing w:val="-4"/>
                            <w:sz w:val="18"/>
                            <w:szCs w:val="18"/>
                          </w:rPr>
                          <w:t>、审计委员会以及内部审计部门对财务报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告内部控制监督无效。（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）重要缺陷：</w:t>
                        </w:r>
                        <w:r>
                          <w:rPr>
                            <w:rFonts w:ascii="Times New Roman" w:hAnsi="Times New Roman" w:cs="Times New Roman" w:eastAsia="Times New Roman" w:hint="default"/>
                            <w:spacing w:val="-5"/>
                            <w:sz w:val="18"/>
                            <w:szCs w:val="18"/>
                          </w:rPr>
                          <w:t>a</w:t>
                        </w:r>
                        <w:r>
                          <w:rPr>
                            <w:rFonts w:ascii="宋体" w:hAnsi="宋体" w:cs="宋体" w:eastAsia="宋体" w:hint="default"/>
                            <w:spacing w:val="-5"/>
                            <w:sz w:val="18"/>
                            <w:szCs w:val="18"/>
                          </w:rPr>
                          <w:t>、</w:t>
                        </w:r>
                        <w:r>
                          <w:rPr>
                            <w:rFonts w:ascii="宋体" w:hAnsi="宋体" w:cs="宋体" w:eastAsia="宋体" w:hint="default"/>
                            <w:spacing w:val="-80"/>
                            <w:sz w:val="18"/>
                            <w:szCs w:val="18"/>
                          </w:rPr>
                          <w:t> </w:t>
                        </w:r>
                        <w:r>
                          <w:rPr>
                            <w:rFonts w:ascii="宋体" w:hAnsi="宋体" w:cs="宋体" w:eastAsia="宋体" w:hint="default"/>
                            <w:sz w:val="18"/>
                            <w:szCs w:val="18"/>
                          </w:rPr>
                          <w:t>未依照公认会计准则选择和应用会计政 </w:t>
                        </w:r>
                        <w:r>
                          <w:rPr>
                            <w:rFonts w:ascii="宋体" w:hAnsi="宋体" w:cs="宋体" w:eastAsia="宋体" w:hint="default"/>
                            <w:spacing w:val="-5"/>
                            <w:sz w:val="18"/>
                            <w:szCs w:val="18"/>
                          </w:rPr>
                          <w:t>策；</w:t>
                        </w:r>
                        <w:r>
                          <w:rPr>
                            <w:rFonts w:ascii="Times New Roman" w:hAnsi="Times New Roman" w:cs="Times New Roman" w:eastAsia="Times New Roman" w:hint="default"/>
                            <w:spacing w:val="-5"/>
                            <w:sz w:val="18"/>
                            <w:szCs w:val="18"/>
                          </w:rPr>
                          <w:t>b</w:t>
                        </w:r>
                        <w:r>
                          <w:rPr>
                            <w:rFonts w:ascii="宋体" w:hAnsi="宋体" w:cs="宋体" w:eastAsia="宋体" w:hint="default"/>
                            <w:spacing w:val="-5"/>
                            <w:sz w:val="18"/>
                            <w:szCs w:val="18"/>
                          </w:rPr>
                          <w:t>、未建立反舞弊程序和控制措施；</w:t>
                        </w:r>
                        <w:r>
                          <w:rPr>
                            <w:rFonts w:ascii="Times New Roman" w:hAnsi="Times New Roman" w:cs="Times New Roman" w:eastAsia="Times New Roman" w:hint="default"/>
                            <w:spacing w:val="-5"/>
                            <w:sz w:val="18"/>
                            <w:szCs w:val="18"/>
                          </w:rPr>
                          <w:t>c</w:t>
                        </w:r>
                        <w:r>
                          <w:rPr>
                            <w:rFonts w:ascii="宋体" w:hAnsi="宋体" w:cs="宋体" w:eastAsia="宋体" w:hint="default"/>
                            <w:spacing w:val="-5"/>
                            <w:sz w:val="18"/>
                            <w:szCs w:val="18"/>
                          </w:rPr>
                          <w:t>、</w:t>
                        </w:r>
                        <w:r>
                          <w:rPr>
                            <w:rFonts w:ascii="宋体" w:hAnsi="宋体" w:cs="宋体" w:eastAsia="宋体" w:hint="default"/>
                            <w:spacing w:val="-78"/>
                            <w:sz w:val="18"/>
                            <w:szCs w:val="18"/>
                          </w:rPr>
                          <w:t> </w:t>
                        </w:r>
                        <w:r>
                          <w:rPr>
                            <w:rFonts w:ascii="宋体" w:hAnsi="宋体" w:cs="宋体" w:eastAsia="宋体" w:hint="default"/>
                            <w:sz w:val="18"/>
                            <w:szCs w:val="18"/>
                          </w:rPr>
                          <w:t>对于非常规或特殊交易的账务处理没有建</w:t>
                        </w:r>
                        <w:r>
                          <w:rPr>
                            <w:rFonts w:ascii="宋体" w:hAnsi="宋体" w:cs="宋体" w:eastAsia="宋体" w:hint="default"/>
                            <w:sz w:val="18"/>
                            <w:szCs w:val="18"/>
                          </w:rPr>
                          <w:t> 立相应的控制机制或没有实施且没有相应 的补偿性控制； </w:t>
                        </w:r>
                        <w:r>
                          <w:rPr>
                            <w:rFonts w:ascii="Times New Roman" w:hAnsi="Times New Roman" w:cs="Times New Roman" w:eastAsia="Times New Roman" w:hint="default"/>
                            <w:sz w:val="18"/>
                            <w:szCs w:val="18"/>
                          </w:rPr>
                          <w:t>d</w:t>
                        </w:r>
                        <w:r>
                          <w:rPr>
                            <w:rFonts w:ascii="宋体" w:hAnsi="宋体" w:cs="宋体" w:eastAsia="宋体" w:hint="default"/>
                            <w:sz w:val="18"/>
                            <w:szCs w:val="18"/>
                          </w:rPr>
                          <w:t>、对于期末财务报告过 程的控制存在一项或多项缺陷且不能合理 保证编制的财务报表达到真实、准确的目 </w:t>
                        </w:r>
                        <w:r>
                          <w:rPr>
                            <w:rFonts w:ascii="宋体" w:hAnsi="宋体" w:cs="宋体" w:eastAsia="宋体" w:hint="default"/>
                            <w:spacing w:val="-5"/>
                            <w:sz w:val="18"/>
                            <w:szCs w:val="18"/>
                          </w:rPr>
                          <w:t>标。（</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）一般缺陷：重大缺陷和重要缺陷</w:t>
                        </w:r>
                        <w:r>
                          <w:rPr>
                            <w:rFonts w:ascii="宋体" w:hAnsi="宋体" w:cs="宋体" w:eastAsia="宋体" w:hint="default"/>
                            <w:spacing w:val="-85"/>
                            <w:sz w:val="18"/>
                            <w:szCs w:val="18"/>
                          </w:rPr>
                          <w:t> </w:t>
                        </w:r>
                        <w:r>
                          <w:rPr>
                            <w:rFonts w:ascii="宋体" w:hAnsi="宋体" w:cs="宋体" w:eastAsia="宋体" w:hint="default"/>
                            <w:sz w:val="18"/>
                            <w:szCs w:val="18"/>
                          </w:rPr>
                          <w:t>之外的缺陷。</w:t>
                        </w:r>
                      </w:p>
                    </w:tc>
                    <w:tc>
                      <w:tcPr>
                        <w:tcW w:w="3039" w:type="dxa"/>
                        <w:vMerge w:val="restart"/>
                        <w:tcBorders>
                          <w:top w:val="single" w:sz="4" w:space="0" w:color="000000"/>
                          <w:left w:val="single" w:sz="9" w:space="0" w:color="FFFFFF"/>
                          <w:right w:val="single" w:sz="4" w:space="0" w:color="000000"/>
                        </w:tcBorders>
                      </w:tcPr>
                      <w:p>
                        <w:pPr>
                          <w:pStyle w:val="TableParagraph"/>
                          <w:spacing w:line="304" w:lineRule="auto" w:before="51"/>
                          <w:ind w:left="4" w:right="-4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w:t>
                        </w:r>
                        <w:r>
                          <w:rPr>
                            <w:rFonts w:ascii="Times New Roman" w:hAnsi="Times New Roman" w:cs="Times New Roman" w:eastAsia="Times New Roman" w:hint="default"/>
                            <w:spacing w:val="-4"/>
                            <w:sz w:val="18"/>
                            <w:szCs w:val="18"/>
                          </w:rPr>
                          <w:t>a</w:t>
                        </w:r>
                        <w:r>
                          <w:rPr>
                            <w:rFonts w:ascii="宋体" w:hAnsi="宋体" w:cs="宋体" w:eastAsia="宋体" w:hint="default"/>
                            <w:spacing w:val="-4"/>
                            <w:sz w:val="18"/>
                            <w:szCs w:val="18"/>
                          </w:rPr>
                          <w:t>、公司缺乏民主决策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程序；</w:t>
                        </w:r>
                        <w:r>
                          <w:rPr>
                            <w:rFonts w:ascii="宋体" w:hAnsi="宋体" w:cs="宋体" w:eastAsia="宋体" w:hint="default"/>
                            <w:spacing w:val="-17"/>
                            <w:sz w:val="18"/>
                            <w:szCs w:val="18"/>
                          </w:rPr>
                          <w:t> </w:t>
                        </w:r>
                        <w:r>
                          <w:rPr>
                            <w:rFonts w:ascii="Times New Roman" w:hAnsi="Times New Roman" w:cs="Times New Roman" w:eastAsia="Times New Roman" w:hint="default"/>
                            <w:spacing w:val="-4"/>
                            <w:sz w:val="18"/>
                            <w:szCs w:val="18"/>
                          </w:rPr>
                          <w:t>b</w:t>
                        </w:r>
                        <w:r>
                          <w:rPr>
                            <w:rFonts w:ascii="宋体" w:hAnsi="宋体" w:cs="宋体" w:eastAsia="宋体" w:hint="default"/>
                            <w:spacing w:val="-4"/>
                            <w:sz w:val="18"/>
                            <w:szCs w:val="18"/>
                          </w:rPr>
                          <w:t>、未依程序及授权办理，造成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重大损失的； </w:t>
                        </w:r>
                        <w:r>
                          <w:rPr>
                            <w:rFonts w:ascii="Times New Roman" w:hAnsi="Times New Roman" w:cs="Times New Roman" w:eastAsia="Times New Roman" w:hint="default"/>
                            <w:sz w:val="18"/>
                            <w:szCs w:val="18"/>
                          </w:rPr>
                          <w:t>c</w:t>
                        </w:r>
                        <w:r>
                          <w:rPr>
                            <w:rFonts w:ascii="宋体" w:hAnsi="宋体" w:cs="宋体" w:eastAsia="宋体" w:hint="default"/>
                            <w:sz w:val="18"/>
                            <w:szCs w:val="18"/>
                          </w:rPr>
                          <w:t>、媒体频现负面新闻， 涉及面广且负面影响一直未能消除； </w:t>
                        </w:r>
                        <w:r>
                          <w:rPr>
                            <w:rFonts w:ascii="Times New Roman" w:hAnsi="Times New Roman" w:cs="Times New Roman" w:eastAsia="Times New Roman" w:hint="default"/>
                            <w:sz w:val="18"/>
                            <w:szCs w:val="18"/>
                          </w:rPr>
                          <w:t>d</w:t>
                        </w:r>
                        <w:r>
                          <w:rPr>
                            <w:rFonts w:ascii="宋体" w:hAnsi="宋体" w:cs="宋体" w:eastAsia="宋体" w:hint="default"/>
                            <w:sz w:val="18"/>
                            <w:szCs w:val="18"/>
                          </w:rPr>
                          <w:t>、公司重要业务缺乏制度控制或制度 体系失效；</w:t>
                        </w:r>
                        <w:r>
                          <w:rPr>
                            <w:rFonts w:ascii="宋体" w:hAnsi="宋体" w:cs="宋体" w:eastAsia="宋体" w:hint="default"/>
                            <w:spacing w:val="-25"/>
                            <w:sz w:val="18"/>
                            <w:szCs w:val="18"/>
                          </w:rPr>
                          <w:t> </w:t>
                        </w:r>
                        <w:r>
                          <w:rPr>
                            <w:rFonts w:ascii="Times New Roman" w:hAnsi="Times New Roman" w:cs="Times New Roman" w:eastAsia="Times New Roman" w:hint="default"/>
                            <w:spacing w:val="-3"/>
                            <w:sz w:val="18"/>
                            <w:szCs w:val="18"/>
                          </w:rPr>
                          <w:t>e</w:t>
                        </w:r>
                        <w:r>
                          <w:rPr>
                            <w:rFonts w:ascii="宋体" w:hAnsi="宋体" w:cs="宋体" w:eastAsia="宋体" w:hint="default"/>
                            <w:spacing w:val="-3"/>
                            <w:sz w:val="18"/>
                            <w:szCs w:val="18"/>
                          </w:rPr>
                          <w:t>、公司内部控制重大缺陷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未得到整改；</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f</w:t>
                        </w:r>
                        <w:r>
                          <w:rPr>
                            <w:rFonts w:ascii="宋体" w:hAnsi="宋体" w:cs="宋体" w:eastAsia="宋体" w:hint="default"/>
                            <w:sz w:val="18"/>
                            <w:szCs w:val="18"/>
                          </w:rPr>
                          <w:t>、严重违规受到国家级 </w:t>
                        </w:r>
                        <w:r>
                          <w:rPr>
                            <w:rFonts w:ascii="宋体" w:hAnsi="宋体" w:cs="宋体" w:eastAsia="宋体" w:hint="default"/>
                            <w:spacing w:val="-5"/>
                            <w:sz w:val="18"/>
                            <w:szCs w:val="18"/>
                          </w:rPr>
                          <w:t>监管机构处罚。（</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）重要缺陷：</w:t>
                        </w:r>
                        <w:r>
                          <w:rPr>
                            <w:rFonts w:ascii="Times New Roman" w:hAnsi="Times New Roman" w:cs="Times New Roman" w:eastAsia="Times New Roman" w:hint="default"/>
                            <w:spacing w:val="-5"/>
                            <w:sz w:val="18"/>
                            <w:szCs w:val="18"/>
                          </w:rPr>
                          <w:t>a</w:t>
                        </w:r>
                        <w:r>
                          <w:rPr>
                            <w:rFonts w:ascii="宋体" w:hAnsi="宋体" w:cs="宋体" w:eastAsia="宋体" w:hint="default"/>
                            <w:spacing w:val="-5"/>
                            <w:sz w:val="18"/>
                            <w:szCs w:val="18"/>
                          </w:rPr>
                          <w:t>、公</w:t>
                        </w:r>
                        <w:r>
                          <w:rPr>
                            <w:rFonts w:ascii="宋体" w:hAnsi="宋体" w:cs="宋体" w:eastAsia="宋体" w:hint="default"/>
                            <w:sz w:val="18"/>
                            <w:szCs w:val="18"/>
                          </w:rPr>
                          <w:t> 司决策程序导致出现一般失误；</w:t>
                        </w:r>
                        <w:r>
                          <w:rPr>
                            <w:rFonts w:ascii="宋体" w:hAnsi="宋体" w:cs="宋体" w:eastAsia="宋体" w:hint="default"/>
                            <w:spacing w:val="-32"/>
                            <w:sz w:val="18"/>
                            <w:szCs w:val="18"/>
                          </w:rPr>
                          <w:t> </w:t>
                        </w:r>
                        <w:r>
                          <w:rPr>
                            <w:rFonts w:ascii="Times New Roman" w:hAnsi="Times New Roman" w:cs="Times New Roman" w:eastAsia="Times New Roman" w:hint="default"/>
                            <w:spacing w:val="-22"/>
                            <w:sz w:val="18"/>
                            <w:szCs w:val="18"/>
                          </w:rPr>
                          <w:t>b</w:t>
                        </w:r>
                        <w:r>
                          <w:rPr>
                            <w:rFonts w:ascii="宋体" w:hAnsi="宋体" w:cs="宋体" w:eastAsia="宋体" w:hint="default"/>
                            <w:spacing w:val="-22"/>
                            <w:sz w:val="18"/>
                            <w:szCs w:val="18"/>
                          </w:rPr>
                          <w:t>、未</w:t>
                        </w:r>
                        <w:r>
                          <w:rPr>
                            <w:rFonts w:ascii="宋体" w:hAnsi="宋体" w:cs="宋体" w:eastAsia="宋体" w:hint="default"/>
                            <w:spacing w:val="-33"/>
                            <w:sz w:val="18"/>
                            <w:szCs w:val="18"/>
                          </w:rPr>
                          <w:t> </w:t>
                        </w:r>
                        <w:r>
                          <w:rPr>
                            <w:rFonts w:ascii="宋体" w:hAnsi="宋体" w:cs="宋体" w:eastAsia="宋体" w:hint="default"/>
                            <w:sz w:val="18"/>
                            <w:szCs w:val="18"/>
                          </w:rPr>
                          <w:t>依程序及授权办理，造成较大损失的；</w:t>
                        </w:r>
                        <w:r>
                          <w:rPr>
                            <w:rFonts w:ascii="宋体" w:hAnsi="宋体" w:cs="宋体" w:eastAsia="宋体" w:hint="default"/>
                            <w:sz w:val="18"/>
                            <w:szCs w:val="18"/>
                          </w:rPr>
                          <w:t> </w:t>
                        </w:r>
                        <w:r>
                          <w:rPr>
                            <w:rFonts w:ascii="Times New Roman" w:hAnsi="Times New Roman" w:cs="Times New Roman" w:eastAsia="Times New Roman" w:hint="default"/>
                            <w:spacing w:val="-4"/>
                            <w:sz w:val="18"/>
                            <w:szCs w:val="18"/>
                          </w:rPr>
                          <w:t>c</w:t>
                        </w:r>
                        <w:r>
                          <w:rPr>
                            <w:rFonts w:ascii="宋体" w:hAnsi="宋体" w:cs="宋体" w:eastAsia="宋体" w:hint="default"/>
                            <w:spacing w:val="-4"/>
                            <w:sz w:val="18"/>
                            <w:szCs w:val="18"/>
                          </w:rPr>
                          <w:t>、媒体出现持续时间较长的负面新闻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波及局部区域；</w:t>
                        </w:r>
                        <w:r>
                          <w:rPr>
                            <w:rFonts w:ascii="宋体" w:hAnsi="宋体" w:cs="宋体" w:eastAsia="宋体" w:hint="default"/>
                            <w:spacing w:val="-30"/>
                            <w:sz w:val="18"/>
                            <w:szCs w:val="18"/>
                          </w:rPr>
                          <w:t> </w:t>
                        </w:r>
                        <w:r>
                          <w:rPr>
                            <w:rFonts w:ascii="Times New Roman" w:hAnsi="Times New Roman" w:cs="Times New Roman" w:eastAsia="Times New Roman" w:hint="default"/>
                            <w:spacing w:val="-4"/>
                            <w:sz w:val="18"/>
                            <w:szCs w:val="18"/>
                          </w:rPr>
                          <w:t>d</w:t>
                        </w:r>
                        <w:r>
                          <w:rPr>
                            <w:rFonts w:ascii="宋体" w:hAnsi="宋体" w:cs="宋体" w:eastAsia="宋体" w:hint="default"/>
                            <w:spacing w:val="-4"/>
                            <w:sz w:val="18"/>
                            <w:szCs w:val="18"/>
                          </w:rPr>
                          <w:t>、公司重要业务制度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或系统存在缺陷；</w:t>
                        </w:r>
                        <w:r>
                          <w:rPr>
                            <w:rFonts w:ascii="宋体" w:hAnsi="宋体" w:cs="宋体" w:eastAsia="宋体" w:hint="default"/>
                            <w:spacing w:val="-25"/>
                            <w:sz w:val="18"/>
                            <w:szCs w:val="18"/>
                          </w:rPr>
                          <w:t> </w:t>
                        </w:r>
                        <w:r>
                          <w:rPr>
                            <w:rFonts w:ascii="Times New Roman" w:hAnsi="Times New Roman" w:cs="Times New Roman" w:eastAsia="Times New Roman" w:hint="default"/>
                            <w:spacing w:val="-4"/>
                            <w:sz w:val="18"/>
                            <w:szCs w:val="18"/>
                          </w:rPr>
                          <w:t>e</w:t>
                        </w:r>
                        <w:r>
                          <w:rPr>
                            <w:rFonts w:ascii="宋体" w:hAnsi="宋体" w:cs="宋体" w:eastAsia="宋体" w:hint="default"/>
                            <w:spacing w:val="-4"/>
                            <w:sz w:val="18"/>
                            <w:szCs w:val="18"/>
                          </w:rPr>
                          <w:t>、重要管理台账未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建立，重要资料未有效归档备查。（</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 </w:t>
                        </w:r>
                        <w:r>
                          <w:rPr>
                            <w:rFonts w:ascii="宋体" w:hAnsi="宋体" w:cs="宋体" w:eastAsia="宋体" w:hint="default"/>
                            <w:spacing w:val="-4"/>
                            <w:sz w:val="18"/>
                            <w:szCs w:val="18"/>
                          </w:rPr>
                          <w:t>一般缺陷：除重大缺陷和重要缺陷之外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的缺陷。</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2345"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5"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r>
                    <w:trPr>
                      <w:trHeight w:val="1409"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5" w:type="dxa"/>
                        <w:vMerge w:val="restart"/>
                        <w:tcBorders>
                          <w:top w:val="single" w:sz="4" w:space="0" w:color="000000"/>
                          <w:left w:val="single" w:sz="9" w:space="0" w:color="D2D2D2"/>
                          <w:right w:val="single" w:sz="4" w:space="0" w:color="000000"/>
                        </w:tcBorders>
                      </w:tcPr>
                      <w:p>
                        <w:pPr>
                          <w:pStyle w:val="TableParagraph"/>
                          <w:spacing w:line="304" w:lineRule="auto" w:before="51"/>
                          <w:ind w:left="16" w:right="1"/>
                          <w:jc w:val="left"/>
                          <w:rPr>
                            <w:rFonts w:ascii="宋体" w:hAnsi="宋体" w:cs="宋体" w:eastAsia="宋体" w:hint="default"/>
                            <w:sz w:val="18"/>
                            <w:szCs w:val="18"/>
                          </w:rPr>
                        </w:pPr>
                        <w:r>
                          <w:rPr>
                            <w:rFonts w:ascii="宋体" w:hAnsi="宋体" w:cs="宋体" w:eastAsia="宋体" w:hint="default"/>
                            <w:sz w:val="18"/>
                            <w:szCs w:val="18"/>
                          </w:rPr>
                          <w:t>营业收入潜在错报：重大缺陷大于等于营 业收入的</w:t>
                        </w:r>
                        <w:r>
                          <w:rPr>
                            <w:rFonts w:ascii="宋体" w:hAnsi="宋体" w:cs="宋体" w:eastAsia="宋体" w:hint="default"/>
                            <w:spacing w:val="-41"/>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；重要缺陷大于等于营业收入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，小于营业收入的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 小于营业收入的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。利润表潜在错报： 重大缺陷大于等于利润总额的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；重要缺</w:t>
                        </w:r>
                        <w:r>
                          <w:rPr>
                            <w:rFonts w:ascii="宋体" w:hAnsi="宋体" w:cs="宋体" w:eastAsia="宋体" w:hint="default"/>
                            <w:sz w:val="18"/>
                            <w:szCs w:val="18"/>
                          </w:rPr>
                          <w:t> 陷大于等于利润总额的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，小于利润总额</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；一般缺陷小于利润总额的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资产负债表潜在错报：大于等于资产总额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；大于等于资产总额的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，小于 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；小于资产总额的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w:t>
                        </w:r>
                      </w:p>
                    </w:tc>
                    <w:tc>
                      <w:tcPr>
                        <w:tcW w:w="30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07" w:lineRule="auto"/>
                          <w:ind w:left="11" w:right="21"/>
                          <w:jc w:val="both"/>
                          <w:rPr>
                            <w:rFonts w:ascii="宋体" w:hAnsi="宋体" w:cs="宋体" w:eastAsia="宋体" w:hint="default"/>
                            <w:sz w:val="18"/>
                            <w:szCs w:val="18"/>
                          </w:rPr>
                        </w:pPr>
                        <w:r>
                          <w:rPr>
                            <w:rFonts w:ascii="宋体" w:hAnsi="宋体" w:cs="宋体" w:eastAsia="宋体" w:hint="default"/>
                            <w:spacing w:val="-4"/>
                            <w:sz w:val="18"/>
                            <w:szCs w:val="18"/>
                          </w:rPr>
                          <w:t>利润表潜在错报：重大缺陷大于等于利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；重要缺陷大于等于利润 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，小于利润总额的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宋体" w:hAnsi="宋体" w:cs="宋体" w:eastAsia="宋体" w:hint="default"/>
                            <w:spacing w:val="-5"/>
                            <w:sz w:val="18"/>
                            <w:szCs w:val="18"/>
                          </w:rPr>
                          <w:t> </w:t>
                        </w:r>
                        <w:r>
                          <w:rPr>
                            <w:rFonts w:ascii="宋体" w:hAnsi="宋体" w:cs="宋体" w:eastAsia="宋体" w:hint="default"/>
                            <w:sz w:val="18"/>
                            <w:szCs w:val="18"/>
                          </w:rPr>
                          <w:t>一</w:t>
                        </w:r>
                        <w:r>
                          <w:rPr>
                            <w:rFonts w:ascii="宋体" w:hAnsi="宋体" w:cs="宋体" w:eastAsia="宋体" w:hint="default"/>
                            <w:sz w:val="18"/>
                            <w:szCs w:val="18"/>
                          </w:rPr>
                          <w:t> 般缺陷小于利润总额的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vMerge/>
                        <w:tcBorders>
                          <w:left w:val="single" w:sz="9" w:space="0" w:color="D2D2D2"/>
                          <w:right w:val="single" w:sz="4" w:space="0" w:color="000000"/>
                        </w:tcBorders>
                      </w:tcPr>
                      <w:p>
                        <w:pPr/>
                      </w:p>
                    </w:tc>
                    <w:tc>
                      <w:tcPr>
                        <w:tcW w:w="3039" w:type="dxa"/>
                        <w:vMerge/>
                        <w:tcBorders>
                          <w:left w:val="single" w:sz="4" w:space="0" w:color="000000"/>
                          <w:right w:val="single" w:sz="4" w:space="0" w:color="000000"/>
                        </w:tcBorders>
                      </w:tcPr>
                      <w:p>
                        <w:pPr/>
                      </w:p>
                    </w:tc>
                  </w:tr>
                  <w:tr>
                    <w:trPr>
                      <w:trHeight w:val="1409"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5" w:type="dxa"/>
                        <w:vMerge/>
                        <w:tcBorders>
                          <w:left w:val="single" w:sz="9" w:space="0" w:color="D2D2D2"/>
                          <w:bottom w:val="single" w:sz="4" w:space="0" w:color="000000"/>
                          <w:right w:val="single" w:sz="4" w:space="0" w:color="000000"/>
                        </w:tcBorders>
                      </w:tcPr>
                      <w:p>
                        <w:pPr/>
                      </w:p>
                    </w:tc>
                    <w:tc>
                      <w:tcPr>
                        <w:tcW w:w="3039" w:type="dxa"/>
                        <w:vMerge/>
                        <w:tcBorders>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after="0" w:line="240" w:lineRule="auto"/>
        <w:jc w:val="right"/>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十、内部控制审计报告或鉴证报告" w:id="149"/>
      <w:bookmarkEnd w:id="149"/>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我们认为，公司于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日按照《企业内部控制基本规范》及其配套指引的规定在所有重大方面保持了有效 的财务报表内部控制。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cn</w:t>
              </w:r>
            </w:hyperlink>
            <w:r>
              <w:rPr>
                <w:rFonts w:ascii="宋体" w:hAnsi="宋体" w:cs="宋体" w:eastAsia="宋体" w:hint="default"/>
                <w:spacing w:val="-90"/>
                <w:sz w:val="18"/>
                <w:szCs w:val="18"/>
              </w:rPr>
              <w:t>）</w:t>
            </w:r>
            <w:r>
              <w:rPr>
                <w:rFonts w:ascii="宋体" w:hAnsi="宋体" w:cs="宋体" w:eastAsia="宋体" w:hint="default"/>
                <w:sz w:val="18"/>
                <w:szCs w:val="18"/>
              </w:rPr>
              <w:t>《二六三网络通信股份有限公司内部控制审核报告》</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会计师事务所是否出具非标准意见的内部控制鉴证报告</w:t>
      </w:r>
    </w:p>
    <w:p>
      <w:pPr>
        <w:pStyle w:val="BodyText"/>
        <w:spacing w:line="340" w:lineRule="auto" w:before="116"/>
        <w:ind w:right="46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126" w:right="0"/>
        <w:jc w:val="left"/>
        <w:rPr>
          <w:b w:val="0"/>
          <w:bCs w:val="0"/>
        </w:rPr>
      </w:pPr>
      <w:bookmarkStart w:name="第十节 公司债券相关情况" w:id="150"/>
      <w:bookmarkEnd w:id="150"/>
      <w:r>
        <w:rPr>
          <w:b w:val="0"/>
          <w:bCs w:val="0"/>
        </w:rPr>
      </w:r>
      <w:bookmarkStart w:name="_bookmark9" w:id="151"/>
      <w:bookmarkEnd w:id="151"/>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Heading1"/>
        <w:spacing w:line="240" w:lineRule="auto"/>
        <w:ind w:left="3608" w:right="0"/>
        <w:jc w:val="left"/>
        <w:rPr>
          <w:b w:val="0"/>
          <w:bCs w:val="0"/>
        </w:rPr>
      </w:pPr>
      <w:bookmarkStart w:name="第十一节 财务报告" w:id="152"/>
      <w:bookmarkEnd w:id="152"/>
      <w:r>
        <w:rPr>
          <w:b w:val="0"/>
          <w:bCs w:val="0"/>
        </w:rPr>
      </w:r>
      <w:bookmarkStart w:name="_bookmark10" w:id="153"/>
      <w:bookmarkEnd w:id="153"/>
      <w:r>
        <w:rPr>
          <w:b w:val="0"/>
          <w:bCs w:val="0"/>
        </w:rPr>
      </w:r>
      <w:r>
        <w:rPr/>
        <w:t>第十一节</w:t>
      </w:r>
      <w:r>
        <w:rPr>
          <w:spacing w:val="-6"/>
        </w:rPr>
        <w:t> </w:t>
      </w:r>
      <w:r>
        <w:rPr/>
        <w:t>财务报告</w:t>
      </w:r>
      <w:r>
        <w:rPr>
          <w:b w:val="0"/>
          <w:bCs w:val="0"/>
        </w:rPr>
      </w:r>
    </w:p>
    <w:p>
      <w:pPr>
        <w:spacing w:line="240" w:lineRule="auto" w:before="12"/>
        <w:rPr>
          <w:rFonts w:ascii="宋体" w:hAnsi="宋体" w:cs="宋体" w:eastAsia="宋体" w:hint="default"/>
          <w:b/>
          <w:bCs/>
          <w:sz w:val="20"/>
          <w:szCs w:val="20"/>
        </w:rPr>
      </w:pPr>
    </w:p>
    <w:p>
      <w:pPr>
        <w:pStyle w:val="Heading2"/>
        <w:spacing w:line="240" w:lineRule="auto" w:before="26"/>
        <w:ind w:right="0"/>
        <w:jc w:val="left"/>
        <w:rPr>
          <w:b w:val="0"/>
          <w:bCs w:val="0"/>
        </w:rPr>
      </w:pPr>
      <w:bookmarkStart w:name="一、审计报告" w:id="154"/>
      <w:bookmarkEnd w:id="154"/>
      <w:r>
        <w:rPr>
          <w:b w:val="0"/>
          <w:bCs w:val="0"/>
        </w:rPr>
      </w:r>
      <w:r>
        <w:rPr/>
        <w:t>一、审计报告</w:t>
      </w:r>
      <w:r>
        <w:rPr>
          <w:b w:val="0"/>
          <w:bCs w:val="0"/>
        </w:rPr>
      </w:r>
    </w:p>
    <w:p>
      <w:pPr>
        <w:spacing w:line="240" w:lineRule="auto" w:before="12"/>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德勤华永会计师事务所（特殊普通合伙）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德师报</w:t>
            </w:r>
            <w:r>
              <w:rPr>
                <w:rFonts w:ascii="Times New Roman" w:hAnsi="Times New Roman" w:cs="Times New Roman" w:eastAsia="Times New Roman" w:hint="default"/>
                <w:sz w:val="18"/>
                <w:szCs w:val="18"/>
              </w:rPr>
              <w:t>(</w:t>
            </w:r>
            <w:r>
              <w:rPr>
                <w:rFonts w:ascii="宋体" w:hAnsi="宋体" w:cs="宋体" w:eastAsia="宋体" w:hint="default"/>
                <w:sz w:val="18"/>
                <w:szCs w:val="18"/>
              </w:rPr>
              <w:t>审</w:t>
            </w:r>
            <w:r>
              <w:rPr>
                <w:rFonts w:ascii="Times New Roman" w:hAnsi="Times New Roman" w:cs="Times New Roman" w:eastAsia="Times New Roman" w:hint="default"/>
                <w:sz w:val="18"/>
                <w:szCs w:val="18"/>
              </w:rPr>
              <w:t>)</w:t>
            </w:r>
            <w:r>
              <w:rPr>
                <w:rFonts w:ascii="宋体" w:hAnsi="宋体" w:cs="宋体" w:eastAsia="宋体" w:hint="default"/>
                <w:sz w:val="18"/>
                <w:szCs w:val="18"/>
              </w:rPr>
              <w:t>字</w:t>
            </w:r>
            <w:r>
              <w:rPr>
                <w:rFonts w:ascii="Times New Roman" w:hAnsi="Times New Roman" w:cs="Times New Roman" w:eastAsia="Times New Roman" w:hint="default"/>
                <w:sz w:val="18"/>
                <w:szCs w:val="18"/>
              </w:rPr>
              <w:t>(19)</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P01873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童传江、高天福</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8"/>
          <w:szCs w:val="18"/>
        </w:rPr>
      </w:pPr>
    </w:p>
    <w:p>
      <w:pPr>
        <w:pStyle w:val="BodyText"/>
        <w:spacing w:line="316" w:lineRule="auto"/>
        <w:ind w:left="514" w:right="-20"/>
        <w:jc w:val="left"/>
      </w:pPr>
      <w:r>
        <w:rPr/>
        <w:t>二六三网络通信股份有限公司全体股东： 一、审计意见</w:t>
      </w:r>
    </w:p>
    <w:p>
      <w:pPr>
        <w:pStyle w:val="BodyText"/>
        <w:spacing w:line="240" w:lineRule="auto" w:before="51"/>
        <w:ind w:left="513" w:right="-19"/>
        <w:jc w:val="left"/>
      </w:pPr>
      <w:r>
        <w:rPr/>
        <w:br w:type="column"/>
      </w:r>
      <w:r>
        <w:rPr/>
        <w:t>审计报告正文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2"/>
          <w:szCs w:val="12"/>
        </w:rPr>
      </w:pPr>
    </w:p>
    <w:p>
      <w:pPr>
        <w:pStyle w:val="BodyText"/>
        <w:spacing w:line="240" w:lineRule="auto"/>
        <w:ind w:left="513" w:right="0"/>
        <w:jc w:val="left"/>
      </w:pPr>
      <w:r>
        <w:rPr/>
        <w:t>德师报</w:t>
      </w:r>
      <w:r>
        <w:rPr>
          <w:rFonts w:ascii="Times New Roman" w:hAnsi="Times New Roman" w:cs="Times New Roman" w:eastAsia="Times New Roman" w:hint="default"/>
        </w:rPr>
        <w:t>(</w:t>
      </w:r>
      <w:r>
        <w:rPr/>
        <w:t>审</w:t>
      </w:r>
      <w:r>
        <w:rPr>
          <w:rFonts w:ascii="Times New Roman" w:hAnsi="Times New Roman" w:cs="Times New Roman" w:eastAsia="Times New Roman" w:hint="default"/>
        </w:rPr>
        <w:t>)</w:t>
      </w:r>
      <w:r>
        <w:rPr/>
        <w:t>字</w:t>
      </w:r>
      <w:r>
        <w:rPr>
          <w:rFonts w:ascii="Times New Roman" w:hAnsi="Times New Roman" w:cs="Times New Roman" w:eastAsia="Times New Roman" w:hint="default"/>
        </w:rPr>
        <w:t>(19)</w:t>
      </w:r>
      <w:r>
        <w:rPr/>
        <w:t>第</w:t>
      </w:r>
      <w:r>
        <w:rPr>
          <w:rFonts w:ascii="Times New Roman" w:hAnsi="Times New Roman" w:cs="Times New Roman" w:eastAsia="Times New Roman" w:hint="default"/>
        </w:rPr>
        <w:t>P01873</w:t>
      </w:r>
      <w:r>
        <w:rPr/>
        <w:t>号</w:t>
      </w:r>
    </w:p>
    <w:p>
      <w:pPr>
        <w:spacing w:after="0" w:line="240" w:lineRule="auto"/>
        <w:jc w:val="left"/>
        <w:sectPr>
          <w:type w:val="continuous"/>
          <w:pgSz w:w="11910" w:h="16840"/>
          <w:pgMar w:top="1060" w:bottom="1160" w:left="980" w:right="0"/>
          <w:cols w:num="3" w:equalWidth="0">
            <w:col w:w="3755" w:space="165"/>
            <w:col w:w="1595" w:space="1527"/>
            <w:col w:w="3888"/>
          </w:cols>
        </w:sectPr>
      </w:pPr>
    </w:p>
    <w:p>
      <w:pPr>
        <w:pStyle w:val="BodyText"/>
        <w:spacing w:line="300" w:lineRule="auto" w:before="19"/>
        <w:ind w:left="514" w:right="1138" w:firstLine="478"/>
        <w:jc w:val="both"/>
      </w:pPr>
      <w:r>
        <w:rPr/>
        <w:t>我们审计了后附的二六三网络通信股份有限公司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二六三</w:t>
      </w:r>
      <w:r>
        <w:rPr>
          <w:rFonts w:ascii="Times New Roman" w:hAnsi="Times New Roman" w:cs="Times New Roman" w:eastAsia="Times New Roman" w:hint="default"/>
        </w:rPr>
        <w:t>”</w:t>
      </w:r>
      <w:r>
        <w:rPr>
          <w:rFonts w:ascii="Times New Roman" w:hAnsi="Times New Roman" w:cs="Times New Roman" w:eastAsia="Times New Roman" w:hint="default"/>
        </w:rPr>
        <w:t>)</w:t>
      </w:r>
      <w:r>
        <w:rPr/>
        <w:t>的财务报表，包括</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w:t>
      </w:r>
      <w:r>
        <w:rPr>
          <w:w w:val="99"/>
        </w:rPr>
        <w:t> </w:t>
      </w:r>
      <w:r>
        <w:rPr>
          <w:spacing w:val="-2"/>
        </w:rPr>
        <w:t>公司资产负债表，</w:t>
      </w:r>
      <w:r>
        <w:rPr>
          <w:rFonts w:ascii="Times New Roman" w:hAnsi="Times New Roman" w:cs="Times New Roman" w:eastAsia="Times New Roman" w:hint="default"/>
          <w:spacing w:val="-2"/>
        </w:rPr>
        <w:t>2018</w:t>
      </w:r>
      <w:r>
        <w:rPr>
          <w:spacing w:val="-2"/>
        </w:rPr>
        <w:t>年度的合并及公司利润表、合并及公司现金流量表和合并及公司股东权益变动表以及相关财务报</w:t>
      </w:r>
      <w:r>
        <w:rPr>
          <w:spacing w:val="-76"/>
        </w:rPr>
        <w:t> </w:t>
      </w:r>
      <w:r>
        <w:rPr>
          <w:spacing w:val="-76"/>
        </w:rPr>
      </w:r>
      <w:r>
        <w:rPr/>
        <w:t>表附注。</w:t>
      </w:r>
    </w:p>
    <w:p>
      <w:pPr>
        <w:pStyle w:val="BodyText"/>
        <w:spacing w:line="300" w:lineRule="auto" w:before="31"/>
        <w:ind w:left="514" w:right="1138" w:firstLine="478"/>
        <w:jc w:val="both"/>
      </w:pPr>
      <w:r>
        <w:rPr>
          <w:spacing w:val="-1"/>
        </w:rPr>
        <w:t>我们认为，后附的财务报表在所有重大方面按照企业会计准则的规定编制，公允反映了二六三</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w:t>
      </w:r>
      <w:r>
        <w:rPr/>
        <w:t> 合并及公司财务状况以及</w:t>
      </w:r>
      <w:r>
        <w:rPr>
          <w:rFonts w:ascii="Times New Roman" w:hAnsi="Times New Roman" w:cs="Times New Roman" w:eastAsia="Times New Roman" w:hint="default"/>
        </w:rPr>
        <w:t>2018</w:t>
      </w:r>
      <w:r>
        <w:rPr/>
        <w:t>年度的合并及公司经营成果和合并及公司现金流量。</w:t>
      </w:r>
    </w:p>
    <w:p>
      <w:pPr>
        <w:pStyle w:val="BodyText"/>
        <w:spacing w:line="316" w:lineRule="auto" w:before="13"/>
        <w:ind w:left="991" w:right="0" w:hanging="478"/>
        <w:jc w:val="left"/>
      </w:pPr>
      <w:r>
        <w:rPr/>
        <w:t>二、形成审计意见的基础 </w:t>
      </w:r>
      <w:r>
        <w:rPr>
          <w:spacing w:val="-1"/>
        </w:rPr>
        <w:t>我们按照中国注册会计师审计准则的规定执行了审计工作。审计报告的</w:t>
      </w:r>
      <w:r>
        <w:rPr>
          <w:rFonts w:ascii="Times New Roman" w:hAnsi="Times New Roman" w:cs="Times New Roman" w:eastAsia="Times New Roman" w:hint="default"/>
          <w:spacing w:val="-1"/>
        </w:rPr>
        <w:t>“</w:t>
      </w:r>
      <w:r>
        <w:rPr>
          <w:spacing w:val="-1"/>
        </w:rPr>
        <w:t>注册会计师对财务报表审计的责任</w:t>
      </w:r>
      <w:r>
        <w:rPr>
          <w:rFonts w:ascii="Times New Roman" w:hAnsi="Times New Roman" w:cs="Times New Roman" w:eastAsia="Times New Roman" w:hint="default"/>
          <w:spacing w:val="-1"/>
        </w:rPr>
        <w:t>”</w:t>
      </w:r>
      <w:r>
        <w:rPr>
          <w:spacing w:val="-1"/>
        </w:rPr>
        <w:t>部分</w:t>
      </w:r>
    </w:p>
    <w:p>
      <w:pPr>
        <w:pStyle w:val="BodyText"/>
        <w:spacing w:line="316" w:lineRule="auto"/>
        <w:ind w:left="514" w:right="1140"/>
        <w:jc w:val="both"/>
      </w:pPr>
      <w:r>
        <w:rPr>
          <w:spacing w:val="-2"/>
        </w:rPr>
        <w:t>进一步阐述了我们在这些准则下的责任。按照中国注册会计师职业道德守则，我们独立于二六三，并履行了职业道德方</w:t>
      </w:r>
      <w:r>
        <w:rPr>
          <w:spacing w:val="-79"/>
        </w:rPr>
        <w:t> </w:t>
      </w:r>
      <w:r>
        <w:rPr>
          <w:spacing w:val="-79"/>
        </w:rPr>
      </w:r>
      <w:r>
        <w:rPr/>
        <w:t>面的其他责任。我们相信，我们获取的审计证据是充分、适当的，为发表审计意见提供了基础。</w:t>
      </w:r>
    </w:p>
    <w:p>
      <w:pPr>
        <w:pStyle w:val="BodyText"/>
        <w:spacing w:line="240" w:lineRule="auto" w:before="19"/>
        <w:ind w:left="514" w:right="0"/>
        <w:jc w:val="both"/>
      </w:pPr>
      <w:r>
        <w:rPr/>
        <w:t>三、关键审计事项</w:t>
      </w:r>
    </w:p>
    <w:p>
      <w:pPr>
        <w:pStyle w:val="BodyText"/>
        <w:spacing w:line="316" w:lineRule="auto" w:before="76"/>
        <w:ind w:left="514" w:right="1138" w:firstLine="478"/>
        <w:jc w:val="both"/>
      </w:pPr>
      <w:r>
        <w:rPr>
          <w:spacing w:val="-1"/>
        </w:rPr>
        <w:t>关键审计事项是我们根据职业判断，认为对本年度财务报表审计最为重要的事项。这些事项的应对以对财务报表</w:t>
      </w:r>
      <w:r>
        <w:rPr/>
        <w:t> </w:t>
      </w:r>
      <w:r>
        <w:rPr>
          <w:spacing w:val="-2"/>
        </w:rPr>
        <w:t>整体进行审计并形成审计意见为背景，我们不对这些事项单独发表意见。我们确定下列事项是需要在审计报告中沟通的</w:t>
      </w:r>
      <w:r>
        <w:rPr>
          <w:spacing w:val="-79"/>
        </w:rPr>
        <w:t> </w:t>
      </w:r>
      <w:r>
        <w:rPr>
          <w:spacing w:val="-79"/>
        </w:rPr>
      </w:r>
      <w:r>
        <w:rPr/>
        <w:t>关键审计事项。</w:t>
      </w:r>
    </w:p>
    <w:p>
      <w:pPr>
        <w:pStyle w:val="BodyText"/>
        <w:spacing w:line="240" w:lineRule="auto" w:before="19"/>
        <w:ind w:left="991" w:right="0"/>
        <w:jc w:val="left"/>
      </w:pPr>
      <w:r>
        <w:rPr/>
      </w:r>
      <w:r>
        <w:rPr>
          <w:u w:val="single" w:color="000000"/>
        </w:rPr>
        <w:t>商誉减值</w:t>
      </w:r>
      <w:r>
        <w:rPr/>
      </w:r>
    </w:p>
    <w:p>
      <w:pPr>
        <w:pStyle w:val="BodyText"/>
        <w:spacing w:line="300" w:lineRule="auto" w:before="76"/>
        <w:ind w:left="987" w:right="1118" w:firstLine="4"/>
        <w:jc w:val="left"/>
      </w:pPr>
      <w:r>
        <w:rPr>
          <w:rFonts w:ascii="Times New Roman" w:hAnsi="Times New Roman" w:cs="Times New Roman" w:eastAsia="Times New Roman" w:hint="default"/>
        </w:rPr>
        <w:t>1.</w:t>
      </w:r>
      <w:r>
        <w:rPr/>
        <w:t>事项描述 </w:t>
      </w:r>
      <w:r>
        <w:rPr>
          <w:spacing w:val="3"/>
        </w:rPr>
        <w:t>如财务报表附注</w:t>
      </w:r>
      <w:r>
        <w:rPr>
          <w:rFonts w:ascii="Times New Roman" w:hAnsi="Times New Roman" w:cs="Times New Roman" w:eastAsia="Times New Roman" w:hint="default"/>
          <w:spacing w:val="3"/>
        </w:rPr>
        <w:t>(</w:t>
      </w:r>
      <w:r>
        <w:rPr>
          <w:spacing w:val="3"/>
        </w:rPr>
        <w:t>六</w:t>
      </w:r>
      <w:r>
        <w:rPr>
          <w:rFonts w:ascii="Times New Roman" w:hAnsi="Times New Roman" w:cs="Times New Roman" w:eastAsia="Times New Roman" w:hint="default"/>
          <w:spacing w:val="3"/>
        </w:rPr>
        <w:t>)14</w:t>
      </w:r>
      <w:r>
        <w:rPr>
          <w:spacing w:val="3"/>
        </w:rPr>
        <w:t>所示，截至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日，二六三商誉账面原值扣除累计减值准备后的净值为人民币</w:t>
      </w:r>
    </w:p>
    <w:p>
      <w:pPr>
        <w:pStyle w:val="BodyText"/>
        <w:spacing w:line="312" w:lineRule="auto" w:before="13"/>
        <w:ind w:left="511" w:right="1138"/>
        <w:jc w:val="both"/>
      </w:pPr>
      <w:r>
        <w:rPr>
          <w:rFonts w:ascii="Times New Roman" w:hAnsi="Times New Roman" w:cs="Times New Roman" w:eastAsia="Times New Roman" w:hint="default"/>
          <w:spacing w:val="-1"/>
        </w:rPr>
        <w:t>1,105,950,681.29</w:t>
      </w:r>
      <w:r>
        <w:rPr>
          <w:rFonts w:ascii="Times New Roman" w:hAnsi="Times New Roman" w:cs="Times New Roman" w:eastAsia="Times New Roman" w:hint="default"/>
          <w:spacing w:val="23"/>
        </w:rPr>
        <w:t> </w:t>
      </w:r>
      <w:r>
        <w:rPr>
          <w:spacing w:val="-2"/>
        </w:rPr>
        <w:t>元，对财务报表整体具有重要性。如财务报表附注</w:t>
      </w:r>
      <w:r>
        <w:rPr>
          <w:rFonts w:ascii="Times New Roman" w:hAnsi="Times New Roman" w:cs="Times New Roman" w:eastAsia="Times New Roman" w:hint="default"/>
          <w:spacing w:val="-2"/>
        </w:rPr>
        <w:t>(</w:t>
      </w:r>
      <w:r>
        <w:rPr>
          <w:spacing w:val="-2"/>
        </w:rPr>
        <w:t>四</w:t>
      </w:r>
      <w:r>
        <w:rPr>
          <w:rFonts w:ascii="Times New Roman" w:hAnsi="Times New Roman" w:cs="Times New Roman" w:eastAsia="Times New Roman" w:hint="default"/>
          <w:spacing w:val="-2"/>
        </w:rPr>
        <w:t>)18</w:t>
      </w:r>
      <w:r>
        <w:rPr>
          <w:spacing w:val="-2"/>
        </w:rPr>
        <w:t>、</w:t>
      </w:r>
      <w:r>
        <w:rPr>
          <w:rFonts w:ascii="Times New Roman" w:hAnsi="Times New Roman" w:cs="Times New Roman" w:eastAsia="Times New Roman" w:hint="default"/>
          <w:spacing w:val="-2"/>
        </w:rPr>
        <w:t>27</w:t>
      </w:r>
      <w:r>
        <w:rPr>
          <w:spacing w:val="-2"/>
        </w:rPr>
        <w:t>及附注</w:t>
      </w:r>
      <w:r>
        <w:rPr>
          <w:rFonts w:ascii="Times New Roman" w:hAnsi="Times New Roman" w:cs="Times New Roman" w:eastAsia="Times New Roman" w:hint="default"/>
          <w:spacing w:val="-2"/>
        </w:rPr>
        <w:t>(</w:t>
      </w:r>
      <w:r>
        <w:rPr>
          <w:spacing w:val="-2"/>
        </w:rPr>
        <w:t>六</w:t>
      </w:r>
      <w:r>
        <w:rPr>
          <w:rFonts w:ascii="Times New Roman" w:hAnsi="Times New Roman" w:cs="Times New Roman" w:eastAsia="Times New Roman" w:hint="default"/>
          <w:spacing w:val="-2"/>
        </w:rPr>
        <w:t>)14(3)</w:t>
      </w:r>
      <w:r>
        <w:rPr>
          <w:spacing w:val="-2"/>
        </w:rPr>
        <w:t>所述，企业合并形成的商</w:t>
      </w:r>
      <w:r>
        <w:rPr>
          <w:spacing w:val="-87"/>
        </w:rPr>
        <w:t> </w:t>
      </w:r>
      <w:r>
        <w:rPr>
          <w:spacing w:val="-87"/>
        </w:rPr>
      </w:r>
      <w:r>
        <w:rPr>
          <w:spacing w:val="-2"/>
        </w:rPr>
        <w:t>誉，二六三管理层须至少在每年年度终了进行减值测试，在进行减值测试时，二六三管理层需要预测相关资产组未来现</w:t>
      </w:r>
      <w:r>
        <w:rPr>
          <w:spacing w:val="-73"/>
        </w:rPr>
        <w:t> </w:t>
      </w:r>
      <w:r>
        <w:rPr>
          <w:spacing w:val="-73"/>
        </w:rPr>
      </w:r>
      <w:r>
        <w:rPr>
          <w:spacing w:val="-2"/>
        </w:rPr>
        <w:t>金流并合理确定恰当的折现率，因此涉及管理层运用重大会计估计和判断。考虑上述因素，我们将商誉减值识别为关键</w:t>
      </w:r>
      <w:r>
        <w:rPr>
          <w:spacing w:val="-73"/>
        </w:rPr>
        <w:t> </w:t>
      </w:r>
      <w:r>
        <w:rPr>
          <w:spacing w:val="-73"/>
        </w:rPr>
      </w:r>
      <w:r>
        <w:rPr/>
        <w:t>审计事项。</w:t>
      </w:r>
    </w:p>
    <w:p>
      <w:pPr>
        <w:pStyle w:val="BodyText"/>
        <w:spacing w:line="300" w:lineRule="auto" w:before="22"/>
        <w:ind w:left="988" w:right="5238"/>
        <w:jc w:val="left"/>
      </w:pPr>
      <w:r>
        <w:rPr>
          <w:rFonts w:ascii="Times New Roman" w:hAnsi="Times New Roman" w:cs="Times New Roman" w:eastAsia="Times New Roman" w:hint="default"/>
        </w:rPr>
        <w:t>2.</w:t>
      </w:r>
      <w:r>
        <w:rPr/>
        <w:t>审计应对 我们针对商誉减值关键审计事项执行的主要审计程序包括：</w:t>
      </w:r>
    </w:p>
    <w:p>
      <w:pPr>
        <w:pStyle w:val="BodyText"/>
        <w:spacing w:line="240" w:lineRule="auto" w:before="31"/>
        <w:ind w:left="1168" w:right="0"/>
        <w:jc w:val="left"/>
      </w:pPr>
      <w:r>
        <w:rPr>
          <w:rFonts w:ascii="Times New Roman" w:hAnsi="Times New Roman" w:cs="Times New Roman" w:eastAsia="Times New Roman" w:hint="default"/>
        </w:rPr>
        <w:t>1)</w:t>
      </w:r>
      <w:r>
        <w:rPr/>
        <w:t>评价和测试与商誉减值相关内部控制的有效性；</w:t>
      </w:r>
    </w:p>
    <w:p>
      <w:pPr>
        <w:pStyle w:val="BodyText"/>
        <w:spacing w:line="240" w:lineRule="auto" w:before="63"/>
        <w:ind w:left="1168" w:right="0"/>
        <w:jc w:val="left"/>
      </w:pPr>
      <w:r>
        <w:rPr>
          <w:rFonts w:ascii="Times New Roman" w:hAnsi="Times New Roman" w:cs="Times New Roman" w:eastAsia="Times New Roman" w:hint="default"/>
        </w:rPr>
        <w:t>2)</w:t>
      </w:r>
      <w:r>
        <w:rPr/>
        <w:t>了解和评价管理层减值测试方法的适当性及是否一贯应用；</w:t>
      </w:r>
    </w:p>
    <w:p>
      <w:pPr>
        <w:pStyle w:val="BodyText"/>
        <w:spacing w:line="240" w:lineRule="auto" w:before="63"/>
        <w:ind w:left="1168" w:right="0"/>
        <w:jc w:val="left"/>
      </w:pPr>
      <w:r>
        <w:rPr>
          <w:rFonts w:ascii="Times New Roman" w:hAnsi="Times New Roman" w:cs="Times New Roman" w:eastAsia="Times New Roman" w:hint="default"/>
        </w:rPr>
        <w:t>3)</w:t>
      </w:r>
      <w:r>
        <w:rPr/>
        <w:t>了解和评价管理层利用其估值专家工作的适当性；</w:t>
      </w:r>
    </w:p>
    <w:p>
      <w:pPr>
        <w:pStyle w:val="BodyText"/>
        <w:spacing w:line="300" w:lineRule="auto" w:before="63"/>
        <w:ind w:left="511" w:right="1129" w:firstLine="656"/>
        <w:jc w:val="left"/>
      </w:pPr>
      <w:r>
        <w:rPr>
          <w:rFonts w:ascii="Times New Roman" w:hAnsi="Times New Roman" w:cs="Times New Roman" w:eastAsia="Times New Roman" w:hint="default"/>
        </w:rPr>
        <w:t>4)</w:t>
      </w:r>
      <w:r>
        <w:rPr/>
        <w:t>通过对以前年度预测实际实现情况的追溯复核，以及与管理层讨论经审批的财务预算和商业计划，并考虑同</w:t>
      </w:r>
      <w:r>
        <w:rPr>
          <w:w w:val="99"/>
        </w:rPr>
        <w:t> </w:t>
      </w:r>
      <w:r>
        <w:rPr/>
        <w:t>行业的数据，评价管理层预计未来现金流量所使用关键假设包括预测年度及以后期间的增长率的合理性；</w:t>
      </w:r>
    </w:p>
    <w:p>
      <w:pPr>
        <w:pStyle w:val="BodyText"/>
        <w:spacing w:line="240" w:lineRule="auto" w:before="31"/>
        <w:ind w:left="1168" w:right="0"/>
        <w:jc w:val="left"/>
      </w:pPr>
      <w:r>
        <w:rPr>
          <w:rFonts w:ascii="Times New Roman" w:hAnsi="Times New Roman" w:cs="Times New Roman" w:eastAsia="Times New Roman" w:hint="default"/>
        </w:rPr>
        <w:t>5)</w:t>
      </w:r>
      <w:r>
        <w:rPr/>
        <w:t>利用估值专家的工作评价管理层采用的减值测试模型及折现率的合理性；</w:t>
      </w:r>
    </w:p>
    <w:p>
      <w:pPr>
        <w:pStyle w:val="BodyText"/>
        <w:spacing w:line="240" w:lineRule="auto" w:before="63"/>
        <w:ind w:left="1168" w:right="0"/>
        <w:jc w:val="left"/>
      </w:pPr>
      <w:r>
        <w:rPr>
          <w:rFonts w:ascii="Times New Roman" w:hAnsi="Times New Roman" w:cs="Times New Roman" w:eastAsia="Times New Roman" w:hint="default"/>
        </w:rPr>
        <w:t>6)</w:t>
      </w:r>
      <w:r>
        <w:rPr/>
        <w:t>与管理层讨论关键假设相关变动的可能性，以评估管理层如何处理增长率和折现率等关键假设的不确定性；</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left="511" w:right="4909" w:firstLine="656"/>
        <w:jc w:val="left"/>
      </w:pPr>
      <w:r>
        <w:rPr>
          <w:rFonts w:ascii="Times New Roman" w:hAnsi="Times New Roman" w:cs="Times New Roman" w:eastAsia="Times New Roman" w:hint="default"/>
        </w:rPr>
        <w:t>7)</w:t>
      </w:r>
      <w:r>
        <w:rPr/>
        <w:t>执行重新计算程序，检查商誉减值测试模型的计算准确性。</w:t>
      </w:r>
      <w:r>
        <w:rPr>
          <w:w w:val="99"/>
        </w:rPr>
        <w:t> </w:t>
      </w:r>
      <w:r>
        <w:rPr/>
        <w:t>四、其他信息</w:t>
      </w:r>
    </w:p>
    <w:p>
      <w:pPr>
        <w:pStyle w:val="BodyText"/>
        <w:spacing w:line="300" w:lineRule="auto" w:before="31"/>
        <w:ind w:left="511" w:right="1132" w:firstLine="476"/>
        <w:jc w:val="both"/>
      </w:pPr>
      <w:r>
        <w:rPr>
          <w:spacing w:val="-1"/>
        </w:rPr>
        <w:t>二六三管理层对其他信息负责。其他信息包括二六三</w:t>
      </w:r>
      <w:r>
        <w:rPr>
          <w:rFonts w:ascii="Times New Roman" w:hAnsi="Times New Roman" w:cs="Times New Roman" w:eastAsia="Times New Roman" w:hint="default"/>
          <w:spacing w:val="-1"/>
        </w:rPr>
        <w:t>2018</w:t>
      </w:r>
      <w:r>
        <w:rPr>
          <w:spacing w:val="-1"/>
        </w:rPr>
        <w:t>年年度报告中涵盖的信息，但不包括财务报表和我们的</w:t>
      </w:r>
      <w:r>
        <w:rPr/>
        <w:t> 审计报告。</w:t>
      </w:r>
    </w:p>
    <w:p>
      <w:pPr>
        <w:pStyle w:val="BodyText"/>
        <w:spacing w:line="316" w:lineRule="auto" w:before="32"/>
        <w:ind w:left="988" w:right="0"/>
        <w:jc w:val="left"/>
      </w:pPr>
      <w:r>
        <w:rPr/>
        <w:t>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结合我们对财务报表的审计，我们的责任是阅读其他信息，在此过程中，考虑其他信息是否与财务报表或我们在</w:t>
      </w:r>
    </w:p>
    <w:p>
      <w:pPr>
        <w:pStyle w:val="BodyText"/>
        <w:spacing w:line="316" w:lineRule="auto" w:before="19"/>
        <w:ind w:left="988" w:right="0" w:hanging="477"/>
        <w:jc w:val="left"/>
      </w:pPr>
      <w:r>
        <w:rPr/>
        <w:t>审计过程中了解到的情况存在重大不一致或者似乎存在重大错报。 </w:t>
      </w:r>
      <w:r>
        <w:rPr>
          <w:spacing w:val="-1"/>
        </w:rPr>
        <w:t>基于我们已执行的工作，如果我们确定其他信息存在重大错报，我们应当报告该事实。在这方面，我们无任何事</w:t>
      </w:r>
    </w:p>
    <w:p>
      <w:pPr>
        <w:pStyle w:val="BodyText"/>
        <w:spacing w:line="316" w:lineRule="auto" w:before="19"/>
        <w:ind w:left="511" w:right="7335"/>
        <w:jc w:val="left"/>
      </w:pPr>
      <w:r>
        <w:rPr/>
        <w:t>项需要报告。 五、管理层和治理层对财务报表的责任</w:t>
      </w:r>
    </w:p>
    <w:p>
      <w:pPr>
        <w:pStyle w:val="BodyText"/>
        <w:spacing w:line="316" w:lineRule="auto" w:before="19"/>
        <w:ind w:left="511" w:right="1130" w:firstLine="476"/>
        <w:jc w:val="both"/>
      </w:pPr>
      <w:r>
        <w:rPr>
          <w:spacing w:val="-1"/>
        </w:rPr>
        <w:t>二六三管理层负责按照企业会计准则的规定编制财务报表，使其实现公允反映，并设计、执行和维护必要的内部</w:t>
      </w:r>
      <w:r>
        <w:rPr/>
        <w:t> 控制，以使财务报表不存在由于舞弊或错误导致的重大错报。</w:t>
      </w:r>
    </w:p>
    <w:p>
      <w:pPr>
        <w:pStyle w:val="BodyText"/>
        <w:spacing w:line="300" w:lineRule="auto" w:before="19"/>
        <w:ind w:left="511" w:right="1131" w:firstLine="476"/>
        <w:jc w:val="both"/>
      </w:pPr>
      <w:r>
        <w:rPr/>
        <w:t>在编制财务报表时，管理层负责评估二六三的持续经营能力，披露与持续经营相关的事项</w:t>
      </w:r>
      <w:r>
        <w:rPr>
          <w:rFonts w:ascii="Times New Roman" w:hAnsi="Times New Roman" w:cs="Times New Roman" w:eastAsia="Times New Roman" w:hint="default"/>
        </w:rPr>
        <w:t>(</w:t>
      </w:r>
      <w:r>
        <w:rPr/>
        <w:t>如适用</w:t>
      </w:r>
      <w:r>
        <w:rPr>
          <w:rFonts w:ascii="Times New Roman" w:hAnsi="Times New Roman" w:cs="Times New Roman" w:eastAsia="Times New Roman" w:hint="default"/>
        </w:rPr>
        <w:t>)</w:t>
      </w:r>
      <w:r>
        <w:rPr/>
        <w:t>，并运用持续 经营假设，除非管理层计划清算二六三、终止运营或别无其他现实的选择。</w:t>
      </w:r>
    </w:p>
    <w:p>
      <w:pPr>
        <w:pStyle w:val="BodyText"/>
        <w:spacing w:line="316" w:lineRule="auto" w:before="31"/>
        <w:ind w:left="511" w:right="6679" w:firstLine="476"/>
        <w:jc w:val="left"/>
      </w:pPr>
      <w:r>
        <w:rPr/>
        <w:t>治理层负责监督二六三的财务报告过程。 六、注册会计师对财务报表审计的责任</w:t>
      </w:r>
    </w:p>
    <w:p>
      <w:pPr>
        <w:pStyle w:val="BodyText"/>
        <w:spacing w:line="316" w:lineRule="auto" w:before="19"/>
        <w:ind w:left="511" w:right="1139" w:firstLine="476"/>
        <w:jc w:val="both"/>
      </w:pPr>
      <w:r>
        <w:rPr>
          <w:spacing w:val="-1"/>
        </w:rPr>
        <w:t>我们的目标是对财务报表整体是否不存在由于舞弊或错误导致的重大错报获取合理保证，并出具包含审计意见的</w:t>
      </w:r>
      <w:r>
        <w:rPr/>
        <w:t> </w:t>
      </w:r>
      <w:r>
        <w:rPr>
          <w:spacing w:val="-2"/>
        </w:rPr>
        <w:t>审计报告。合理保证是高水平的保证，但并不能保证按照审计准则执行的审计在某一重大错报存在时总能发现。错报可</w:t>
      </w:r>
      <w:r>
        <w:rPr>
          <w:spacing w:val="-73"/>
        </w:rPr>
        <w:t> </w:t>
      </w:r>
      <w:r>
        <w:rPr>
          <w:spacing w:val="-73"/>
        </w:rPr>
      </w:r>
      <w:r>
        <w:rPr>
          <w:spacing w:val="-2"/>
        </w:rPr>
        <w:t>能由于舞弊或错误导致，如果合理预期错报单独或汇总起来可能影响财务报表使用者依据财务报表作出的经济决策，则</w:t>
      </w:r>
      <w:r>
        <w:rPr>
          <w:spacing w:val="-74"/>
        </w:rPr>
        <w:t> </w:t>
      </w:r>
      <w:r>
        <w:rPr>
          <w:spacing w:val="-74"/>
        </w:rPr>
      </w:r>
      <w:r>
        <w:rPr/>
        <w:t>通常认为错报是重大的。</w:t>
      </w:r>
    </w:p>
    <w:p>
      <w:pPr>
        <w:pStyle w:val="BodyText"/>
        <w:spacing w:line="240" w:lineRule="auto" w:before="19"/>
        <w:ind w:left="988" w:right="0"/>
        <w:jc w:val="left"/>
      </w:pPr>
      <w:r>
        <w:rPr/>
        <w:t>在按照审计准则执行审计工作的过程中，我们运用职业判断，并保持职业怀疑。同时，我们也执行以下工作：</w:t>
      </w:r>
    </w:p>
    <w:p>
      <w:pPr>
        <w:pStyle w:val="BodyText"/>
        <w:spacing w:line="309" w:lineRule="auto" w:before="76"/>
        <w:ind w:left="511" w:right="1139" w:firstLine="656"/>
        <w:jc w:val="both"/>
      </w:pPr>
      <w:r>
        <w:rPr>
          <w:rFonts w:ascii="Times New Roman" w:hAnsi="Times New Roman" w:cs="Times New Roman" w:eastAsia="Times New Roman" w:hint="default"/>
        </w:rPr>
        <w:t>1.</w:t>
      </w:r>
      <w:r>
        <w:rPr/>
        <w:t>识别和评估由于舞弊或错误导致的财务报表重大错报风险，设计和实施审计程序以应对这些风险，并获取充 </w:t>
      </w:r>
      <w:r>
        <w:rPr>
          <w:spacing w:val="-2"/>
        </w:rPr>
        <w:t>分、适当的审计证据，作为发表审计意见的基础。由于舞弊可能涉及串通、伪造、故意遗漏、虚假陈述或凌驾于内部控</w:t>
      </w:r>
      <w:r>
        <w:rPr>
          <w:spacing w:val="-76"/>
        </w:rPr>
        <w:t> </w:t>
      </w:r>
      <w:r>
        <w:rPr>
          <w:spacing w:val="-76"/>
        </w:rPr>
      </w:r>
      <w:r>
        <w:rPr/>
        <w:t>制之上，未能发现由于舞弊导致的重大错报的风险高于未能发现由于错误导致的重大错报的风险。</w:t>
      </w:r>
    </w:p>
    <w:p>
      <w:pPr>
        <w:pStyle w:val="BodyText"/>
        <w:spacing w:line="240" w:lineRule="auto" w:before="24"/>
        <w:ind w:left="1168" w:right="0"/>
        <w:jc w:val="left"/>
      </w:pPr>
      <w:r>
        <w:rPr>
          <w:rFonts w:ascii="Times New Roman" w:hAnsi="Times New Roman" w:cs="Times New Roman" w:eastAsia="Times New Roman" w:hint="default"/>
        </w:rPr>
        <w:t>2.</w:t>
      </w:r>
      <w:r>
        <w:rPr/>
        <w:t>了解与审计相关的内部控制，以设计恰当的审计程序。</w:t>
      </w:r>
    </w:p>
    <w:p>
      <w:pPr>
        <w:pStyle w:val="BodyText"/>
        <w:spacing w:line="240" w:lineRule="auto" w:before="63"/>
        <w:ind w:left="1168" w:right="0"/>
        <w:jc w:val="left"/>
      </w:pP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left="511" w:right="1139" w:firstLine="656"/>
        <w:jc w:val="both"/>
      </w:pPr>
      <w:r>
        <w:rPr>
          <w:rFonts w:ascii="Times New Roman" w:hAnsi="Times New Roman" w:cs="Times New Roman" w:eastAsia="Times New Roman" w:hint="default"/>
        </w:rPr>
        <w:t>4.</w:t>
      </w:r>
      <w:r>
        <w:rPr/>
        <w:t>对管理层使用持续经营假设的恰当性得出结论。同时，根据获取的审计证据，就可能导致对二六三持续经营 </w:t>
      </w:r>
      <w:r>
        <w:rPr>
          <w:spacing w:val="-2"/>
        </w:rPr>
        <w:t>能力产生重大疑虑的事项或情况是否存在重大不确定性得出结论。如果我们得出结论认为存在重大不确定性，审计准则</w:t>
      </w:r>
      <w:r>
        <w:rPr>
          <w:spacing w:val="-74"/>
        </w:rPr>
        <w:t> </w:t>
      </w:r>
      <w:r>
        <w:rPr>
          <w:spacing w:val="-74"/>
        </w:rPr>
      </w:r>
      <w:r>
        <w:rPr>
          <w:spacing w:val="-2"/>
        </w:rPr>
        <w:t>要求我们在审计报告中提请报表使用者注意财务报表中的相关披露；如果披露不充分，我们应当发表非无保留意见。我</w:t>
      </w:r>
      <w:r>
        <w:rPr>
          <w:spacing w:val="-73"/>
        </w:rPr>
        <w:t> </w:t>
      </w:r>
      <w:r>
        <w:rPr>
          <w:spacing w:val="-73"/>
        </w:rPr>
      </w:r>
      <w:r>
        <w:rPr/>
        <w:t>们的结论基于截至审计报告日可获得的信息。然而，未来的事项或情况可能导致二六三不能持续经营。</w:t>
      </w:r>
    </w:p>
    <w:p>
      <w:pPr>
        <w:pStyle w:val="BodyText"/>
        <w:spacing w:line="240" w:lineRule="auto" w:before="22"/>
        <w:ind w:left="1168" w:right="0"/>
        <w:jc w:val="left"/>
      </w:pPr>
      <w:r>
        <w:rPr>
          <w:rFonts w:ascii="Times New Roman" w:hAnsi="Times New Roman" w:cs="Times New Roman" w:eastAsia="Times New Roman" w:hint="default"/>
        </w:rPr>
        <w:t>5.</w:t>
      </w:r>
      <w:r>
        <w:rPr/>
        <w:t>评价财务报表的总体列报、结构和内容</w:t>
      </w:r>
      <w:r>
        <w:rPr>
          <w:rFonts w:ascii="Times New Roman" w:hAnsi="Times New Roman" w:cs="Times New Roman" w:eastAsia="Times New Roman" w:hint="default"/>
        </w:rPr>
        <w:t>(</w:t>
      </w:r>
      <w:r>
        <w:rPr/>
        <w:t>包括披露</w:t>
      </w:r>
      <w:r>
        <w:rPr>
          <w:rFonts w:ascii="Times New Roman" w:hAnsi="Times New Roman" w:cs="Times New Roman" w:eastAsia="Times New Roman" w:hint="default"/>
        </w:rPr>
        <w:t>)</w:t>
      </w:r>
      <w:r>
        <w:rPr/>
        <w:t>，并评价财务报表是否公允反映相关交易和事项。</w:t>
      </w:r>
    </w:p>
    <w:p>
      <w:pPr>
        <w:pStyle w:val="BodyText"/>
        <w:spacing w:line="300" w:lineRule="auto" w:before="63"/>
        <w:ind w:left="511" w:right="1144" w:firstLine="656"/>
        <w:jc w:val="both"/>
      </w:pPr>
      <w:r>
        <w:rPr>
          <w:rFonts w:ascii="Times New Roman" w:hAnsi="Times New Roman" w:cs="Times New Roman" w:eastAsia="Times New Roman" w:hint="default"/>
        </w:rPr>
        <w:t>6.</w:t>
      </w:r>
      <w:r>
        <w:rPr/>
        <w:t>就二六三中实体或业务活动的财务信息获取充分、适当的审计证据，以对财务报表发表审计意见。我们负责 指导、监督和执行集团审计，并对审计意见承担全部责任。</w:t>
      </w:r>
    </w:p>
    <w:p>
      <w:pPr>
        <w:pStyle w:val="BodyText"/>
        <w:spacing w:line="316" w:lineRule="auto" w:before="31"/>
        <w:ind w:left="511" w:right="1140" w:firstLine="476"/>
        <w:jc w:val="both"/>
      </w:pPr>
      <w:r>
        <w:rPr>
          <w:spacing w:val="-1"/>
        </w:rPr>
        <w:t>我们与治理层就计划的审计范围、时间安排和重大审计发现等事项进行沟通，包括沟通我们在审计中识别出的值</w:t>
      </w:r>
      <w:r>
        <w:rPr/>
        <w:t> 得关注的内部控制缺陷。</w:t>
      </w:r>
    </w:p>
    <w:p>
      <w:pPr>
        <w:pStyle w:val="BodyText"/>
        <w:spacing w:line="316" w:lineRule="auto" w:before="19"/>
        <w:ind w:left="511" w:right="1139" w:firstLine="476"/>
        <w:jc w:val="both"/>
      </w:pPr>
      <w:r>
        <w:rPr>
          <w:spacing w:val="-1"/>
        </w:rPr>
        <w:t>我们还就已遵守与独立性相关的职业道德要求向治理层提供声明，并与治理层沟通可能被合理认为影响我们独立</w:t>
      </w:r>
      <w:r>
        <w:rPr/>
        <w:t> 性的所有关系和其他事项，以及相关的防范措施</w:t>
      </w:r>
      <w:r>
        <w:rPr>
          <w:rFonts w:ascii="Times New Roman" w:hAnsi="Times New Roman" w:cs="Times New Roman" w:eastAsia="Times New Roman" w:hint="default"/>
        </w:rPr>
        <w:t>(</w:t>
      </w:r>
      <w:r>
        <w:rPr/>
        <w:t>如适用</w:t>
      </w:r>
      <w:r>
        <w:rPr>
          <w:rFonts w:ascii="Times New Roman" w:hAnsi="Times New Roman" w:cs="Times New Roman" w:eastAsia="Times New Roman" w:hint="default"/>
        </w:rPr>
        <w:t>)</w:t>
      </w:r>
      <w:r>
        <w:rPr/>
        <w:t>。</w:t>
      </w:r>
    </w:p>
    <w:p>
      <w:pPr>
        <w:pStyle w:val="BodyText"/>
        <w:spacing w:line="316" w:lineRule="auto"/>
        <w:ind w:left="511" w:right="1139" w:firstLine="476"/>
        <w:jc w:val="both"/>
      </w:pPr>
      <w:r>
        <w:rPr>
          <w:spacing w:val="-1"/>
        </w:rPr>
        <w:t>从与治理层沟通过的事项中，我们确定哪些事项对本年度财务报表审计最为重要，因而构成关键审计事项。我们</w:t>
      </w:r>
      <w:r>
        <w:rPr/>
        <w:t> </w:t>
      </w:r>
      <w:r>
        <w:rPr>
          <w:spacing w:val="-2"/>
        </w:rPr>
        <w:t>在审计报告中描述这些事项，除非法律法规禁止公开披露这些事项，或在极少数情形下，如果合理预期在审计报告中沟</w:t>
      </w:r>
      <w:r>
        <w:rPr>
          <w:spacing w:val="-73"/>
        </w:rPr>
        <w:t> </w:t>
      </w:r>
      <w:r>
        <w:rPr>
          <w:spacing w:val="-73"/>
        </w:rPr>
      </w:r>
      <w:r>
        <w:rPr/>
        <w:t>通某事项造成的负面后果超过在公众利益方面产生的益处，我们确定不应在审计报告中沟通该事项。</w:t>
      </w:r>
    </w:p>
    <w:p>
      <w:pPr>
        <w:pStyle w:val="BodyText"/>
        <w:tabs>
          <w:tab w:pos="6514" w:val="left" w:leader="none"/>
          <w:tab w:pos="6724" w:val="left" w:leader="none"/>
        </w:tabs>
        <w:spacing w:line="300" w:lineRule="auto" w:before="19"/>
        <w:ind w:left="2044" w:right="2429" w:hanging="990"/>
        <w:jc w:val="left"/>
        <w:rPr>
          <w:rFonts w:ascii="宋体" w:hAnsi="宋体" w:cs="宋体" w:eastAsia="宋体" w:hint="default"/>
        </w:rPr>
      </w:pPr>
      <w:r>
        <w:rPr/>
        <w:t>德勤华永会计师事务所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tab/>
      </w:r>
      <w:r>
        <w:rPr/>
        <w:t>中国注册会计师：童传江 中国  上海</w:t>
        <w:tab/>
        <w:tab/>
      </w:r>
      <w:r>
        <w:rPr>
          <w:rFonts w:ascii="宋体" w:hAnsi="宋体" w:cs="宋体" w:eastAsia="宋体" w:hint="default"/>
        </w:rPr>
        <w:t>(</w:t>
      </w:r>
      <w:r>
        <w:rPr/>
        <w:t>项目合伙人</w:t>
      </w:r>
      <w:r>
        <w:rPr>
          <w:rFonts w:ascii="宋体" w:hAnsi="宋体" w:cs="宋体" w:eastAsia="宋体" w:hint="default"/>
        </w:rPr>
        <w:t>)</w:t>
      </w:r>
    </w:p>
    <w:p>
      <w:pPr>
        <w:pStyle w:val="BodyText"/>
        <w:spacing w:line="316" w:lineRule="auto" w:before="31"/>
        <w:ind w:left="7017" w:right="2359" w:hanging="450"/>
        <w:jc w:val="left"/>
      </w:pPr>
      <w:r>
        <w:rPr/>
        <w:t>中国注册会计师：高天福 </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28</w:t>
      </w:r>
      <w:r>
        <w:rPr/>
        <w:t>日</w:t>
      </w:r>
    </w:p>
    <w:p>
      <w:pPr>
        <w:spacing w:after="0" w:line="316" w:lineRule="auto"/>
        <w:jc w:val="left"/>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二、财务报表" w:id="155"/>
      <w:bookmarkEnd w:id="155"/>
      <w:r>
        <w:rPr>
          <w:b w:val="0"/>
          <w:bCs w:val="0"/>
        </w:rPr>
      </w:r>
      <w:r>
        <w:rPr/>
        <w:t>二、财务报表</w:t>
      </w:r>
      <w:r>
        <w:rPr>
          <w:b w:val="0"/>
          <w:bCs w:val="0"/>
        </w:rPr>
      </w:r>
    </w:p>
    <w:p>
      <w:pPr>
        <w:pStyle w:val="BodyText"/>
        <w:spacing w:line="240" w:lineRule="auto" w:before="167"/>
        <w:ind w:right="0"/>
        <w:jc w:val="left"/>
      </w:pPr>
      <w:r>
        <w:rPr/>
        <w:t>财务附注中报表的单位为：人民币元</w:t>
      </w:r>
    </w:p>
    <w:p>
      <w:pPr>
        <w:spacing w:line="240" w:lineRule="auto" w:before="13"/>
        <w:rPr>
          <w:rFonts w:ascii="宋体" w:hAnsi="宋体" w:cs="宋体" w:eastAsia="宋体" w:hint="default"/>
          <w:sz w:val="12"/>
          <w:szCs w:val="12"/>
        </w:rPr>
      </w:pPr>
    </w:p>
    <w:p>
      <w:pPr>
        <w:pStyle w:val="Heading4"/>
        <w:spacing w:line="240" w:lineRule="auto"/>
        <w:ind w:right="0"/>
        <w:jc w:val="left"/>
        <w:rPr>
          <w:b w:val="0"/>
          <w:bCs w:val="0"/>
        </w:rPr>
      </w:pPr>
      <w:bookmarkStart w:name="1、合并资产负债表" w:id="156"/>
      <w:bookmarkEnd w:id="15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7"/>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877" w:footer="979" w:top="1100" w:bottom="1160" w:left="980" w:right="0"/>
        </w:sectPr>
      </w:pPr>
    </w:p>
    <w:p>
      <w:pPr>
        <w:pStyle w:val="BodyText"/>
        <w:spacing w:line="240" w:lineRule="auto" w:before="44"/>
        <w:ind w:right="-20"/>
        <w:jc w:val="left"/>
      </w:pPr>
      <w:r>
        <w:rPr/>
        <w:t>编制单位：二六三网络通信股份有限公司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3" w:equalWidth="0">
            <w:col w:w="3395" w:space="68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615,713,457.25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751,119,359.88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130,235,999.76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63,520,153.46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130,235,999.76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63,520,153.46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35,282,633.24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19,851,013.03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19,358,721.44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19,367,951.68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2,289,679.28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3,199,512.76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3,974,402.28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5,190,251.26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135,031,590.09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162,209,943.97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939,596,804.06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1,021,258,673.28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168,139,940.55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185,032,128.20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22,597,655.24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3,680,726.88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39,387,802.33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38,334,275.96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152,689,452.45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171,552,704.77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617,683.78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1,627,878.41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20,141,732.05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44,969,470.18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1,825,446.41</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1,105,950,681.29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793,578,221.52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77,855,853.89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97,870,351.98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10,735,447.84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18,000,544.02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1,599,941,695.83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1,354,646,301.92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2,539,538,499.89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2,375,904,975.20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80,058,709.02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53,782,732.64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229,857,594.32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227,055,337.84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33,797,475.16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34,038,494.53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13,826,121.08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9,115,856.54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181,835,463.95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102,550,930.12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18,375.13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66"/>
        <w:gridCol w:w="3423"/>
        <w:gridCol w:w="2968"/>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539,375,363.53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446,343,351.67</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2,427,015.67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3,011,515.67</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16,934,911.99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24,880,160.08</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19,361,927.66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27,891,675.75</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558,737,291.19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474,235,027.42</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794,980,220.00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787,380,220.00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850,541,642.53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832,840,842.53</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35,340,000.00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15,960,000.00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50,348,236.58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51,488,131.38</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90,731,741.37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89,953,459.93</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151,440,953.64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66,177,012.06</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1,902,702,794.12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1,811,879,665.90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78,098,414.58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89,790,281.88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1,980,801,208.70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1,901,669,947.78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2,539,538,499.89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2,375,904,975.20</w:t>
            </w:r>
          </w:p>
        </w:tc>
      </w:tr>
    </w:tbl>
    <w:p>
      <w:pPr>
        <w:spacing w:line="240" w:lineRule="auto" w:before="3"/>
        <w:rPr>
          <w:rFonts w:ascii="Times New Roman" w:hAnsi="Times New Roman" w:cs="Times New Roman" w:eastAsia="Times New Roman" w:hint="default"/>
          <w:sz w:val="23"/>
          <w:szCs w:val="23"/>
        </w:rPr>
      </w:pPr>
    </w:p>
    <w:p>
      <w:pPr>
        <w:pStyle w:val="BodyText"/>
        <w:tabs>
          <w:tab w:pos="3574" w:val="left" w:leader="none"/>
          <w:tab w:pos="7715" w:val="left" w:leader="none"/>
        </w:tabs>
        <w:spacing w:line="240" w:lineRule="auto" w:before="44"/>
        <w:ind w:right="0"/>
        <w:jc w:val="left"/>
      </w:pPr>
      <w:r>
        <w:rPr/>
        <w:t>法定代表人：李小龙</w:t>
        <w:tab/>
        <w:t>主管会计工作负责人：李光千</w:t>
        <w:tab/>
        <w:t>会计机构负责人：王志慧</w:t>
      </w:r>
    </w:p>
    <w:p>
      <w:pPr>
        <w:spacing w:line="240" w:lineRule="auto" w:before="5"/>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877" w:footer="979" w:top="1100" w:bottom="1160" w:left="980" w:right="0"/>
        </w:sectPr>
      </w:pPr>
    </w:p>
    <w:p>
      <w:pPr>
        <w:pStyle w:val="Heading4"/>
        <w:spacing w:line="240" w:lineRule="auto" w:before="35"/>
        <w:ind w:right="0"/>
        <w:jc w:val="left"/>
        <w:rPr>
          <w:b w:val="0"/>
          <w:bCs w:val="0"/>
        </w:rPr>
      </w:pPr>
      <w:bookmarkStart w:name="2、母公司资产负债表" w:id="157"/>
      <w:bookmarkEnd w:id="157"/>
      <w:r>
        <w:rPr>
          <w:b w:val="0"/>
          <w:bCs w:val="0"/>
        </w:rPr>
      </w:r>
      <w:r>
        <w:rPr>
          <w:rFonts w:ascii="Times New Roman" w:hAnsi="Times New Roman" w:cs="Times New Roman" w:eastAsia="Times New Roman" w:hint="default"/>
          <w:w w:val="95"/>
        </w:rPr>
        <w:t>2</w:t>
      </w:r>
      <w:r>
        <w:rPr>
          <w:w w:val="95"/>
        </w:rPr>
        <w:t>、母公司资产负债表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2156" w:space="6763"/>
            <w:col w:w="2011"/>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345,925,250.00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463,269,212.33</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52,425,040.61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24,734,016.75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52,425,040.61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24,734,016.75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1,400,056.27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724,015.43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131,250,481.47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138,019,946.06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1,967,227.21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2,725,488.83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123,000,377.37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143,141,414.05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654,001,205.72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769,888,604.62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129,750,000.00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148,482,479.42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1,343,994,925.16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1,126,198,566.46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24,678,970.27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25,514,009.14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2,776,868.31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3,052,920.49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470,506.72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245,357.49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1,501,671,270.46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1,303,493,333.00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2,155,672,476.18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2,073,381,937.62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19,800,000.00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1,817,255.27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1,163,710.61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1,029,020.17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1,443,109.02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4,671,878.38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5,729,679.63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1,017,787.35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1,296,897.54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300,064,443.49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187,647,584.29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18,375.13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308,600,384.66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217,080,981.09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8,298,084.27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14,031,212.36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8,298,084.27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14,031,212.36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316,898,468.93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231,112,193.45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794,980,220.00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787,380,220.00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872,278,990.98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854,578,190.98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35,340,000.00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24,894,285.73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42,093,637.06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90,731,741.37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89,953,459.93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91,228,769.17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84,224,236.20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1,838,774,007.25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1,842,269,744.17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2,155,672,476.18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2,073,381,937.62</w:t>
            </w:r>
          </w:p>
        </w:tc>
      </w:tr>
    </w:tbl>
    <w:p>
      <w:pPr>
        <w:spacing w:line="240" w:lineRule="auto" w:before="2"/>
        <w:rPr>
          <w:rFonts w:ascii="Times New Roman" w:hAnsi="Times New Roman" w:cs="Times New Roman" w:eastAsia="Times New Roman" w:hint="default"/>
          <w:sz w:val="6"/>
          <w:szCs w:val="6"/>
        </w:rPr>
      </w:pPr>
    </w:p>
    <w:p>
      <w:pPr>
        <w:spacing w:after="0" w:line="240" w:lineRule="auto"/>
        <w:rPr>
          <w:rFonts w:ascii="Times New Roman" w:hAnsi="Times New Roman" w:cs="Times New Roman" w:eastAsia="Times New Roman" w:hint="default"/>
          <w:sz w:val="6"/>
          <w:szCs w:val="6"/>
        </w:rPr>
        <w:sectPr>
          <w:pgSz w:w="11910" w:h="16840"/>
          <w:pgMar w:header="877" w:footer="979" w:top="1100" w:bottom="1160" w:left="980" w:right="0"/>
        </w:sectPr>
      </w:pPr>
    </w:p>
    <w:p>
      <w:pPr>
        <w:pStyle w:val="Heading4"/>
        <w:spacing w:line="240" w:lineRule="auto" w:before="35"/>
        <w:ind w:right="0"/>
        <w:jc w:val="left"/>
        <w:rPr>
          <w:b w:val="0"/>
          <w:bCs w:val="0"/>
        </w:rPr>
      </w:pPr>
      <w:bookmarkStart w:name="3、合并利润表" w:id="158"/>
      <w:bookmarkEnd w:id="158"/>
      <w:r>
        <w:rPr>
          <w:b w:val="0"/>
          <w:bCs w:val="0"/>
        </w:rPr>
      </w:r>
      <w:r>
        <w:rPr>
          <w:rFonts w:ascii="Times New Roman" w:hAnsi="Times New Roman" w:cs="Times New Roman" w:eastAsia="Times New Roman" w:hint="default"/>
          <w:w w:val="95"/>
        </w:rPr>
        <w:t>3</w:t>
      </w:r>
      <w:r>
        <w:rPr>
          <w:w w:val="95"/>
        </w:rPr>
        <w:t>、合并利润表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1523" w:space="7396"/>
            <w:col w:w="2011"/>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928,733,524.63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835,851,735.87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928,733,524.63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835,851,735.87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849,794,317.37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826,531,885.20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382,623,418.98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302,034,544.99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3,322,861.91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3,401,577.76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177,903,581.98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206,646,035.60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161,162,499.40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162,844,563.87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135,265,671.88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160,402,201.00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-16,432,247.47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-13,441,997.69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706,287.48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1,367,212.70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17,716,806.65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22,460,900.41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5,948,530.69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4,644,959.67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3,898,637.49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2,680,788.13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7,888,327.80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21,415,572.29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-1,083,071.64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385,599.13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-870,098.70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-366,979.28</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89,856,073.85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33,049,231.81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1,689,229.73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2,082,997.61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2,615,300.09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7,852,395.42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88,930,003.49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27,279,834.00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14,579,647.77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5,714,671.75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74,350,355.72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21,565,162.25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74,350,355.72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21,565,162.25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86,042,223.02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30,986,896.11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-11,691,867.30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-9,421,733.86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-1,139,894.80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-13,625,136.90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91"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-1,139,894.80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-13,625,136.90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-1,139,894.80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-13,625,136.90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-17,199,351.33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5,966,444.11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16,059,456.53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-19,591,581.01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73,210,460.92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7,940,025.35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84,902,328.22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17,361,759.21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-11,691,867.30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-9,421,733.86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w w:val="95"/>
                <w:sz w:val="18"/>
              </w:rPr>
              <w:t>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w w:val="95"/>
                <w:sz w:val="18"/>
              </w:rPr>
              <w:t>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r>
    </w:tbl>
    <w:p>
      <w:pPr>
        <w:pStyle w:val="BodyText"/>
        <w:spacing w:line="240" w:lineRule="auto" w:before="51"/>
        <w:ind w:right="0"/>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pStyle w:val="BodyText"/>
        <w:tabs>
          <w:tab w:pos="3574" w:val="left" w:leader="none"/>
          <w:tab w:pos="7715" w:val="left" w:leader="none"/>
        </w:tabs>
        <w:spacing w:line="240" w:lineRule="auto" w:before="127"/>
        <w:ind w:right="0"/>
        <w:jc w:val="left"/>
      </w:pPr>
      <w:r>
        <w:rPr/>
        <w:t>法定代表人：李小龙</w:t>
        <w:tab/>
        <w:t>主管会计工作负责人：李光千</w:t>
        <w:tab/>
        <w:t>会计机构负责人：王志慧</w:t>
      </w:r>
    </w:p>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77" w:footer="979" w:top="1100" w:bottom="1160" w:left="980" w:right="0"/>
        </w:sectPr>
      </w:pPr>
    </w:p>
    <w:p>
      <w:pPr>
        <w:pStyle w:val="Heading4"/>
        <w:spacing w:line="240" w:lineRule="auto" w:before="35"/>
        <w:ind w:right="0"/>
        <w:jc w:val="left"/>
        <w:rPr>
          <w:b w:val="0"/>
          <w:bCs w:val="0"/>
        </w:rPr>
      </w:pPr>
      <w:bookmarkStart w:name="4、母公司利润表" w:id="159"/>
      <w:bookmarkEnd w:id="159"/>
      <w:r>
        <w:rPr>
          <w:b w:val="0"/>
          <w:bCs w:val="0"/>
        </w:rPr>
      </w:r>
      <w:r>
        <w:rPr>
          <w:rFonts w:ascii="Times New Roman" w:hAnsi="Times New Roman" w:cs="Times New Roman" w:eastAsia="Times New Roman" w:hint="default"/>
          <w:w w:val="95"/>
        </w:rPr>
        <w:t>4</w:t>
      </w:r>
      <w:r>
        <w:rPr>
          <w:w w:val="95"/>
        </w:rPr>
        <w:t>、母公司利润表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1734" w:space="7185"/>
            <w:col w:w="2011"/>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40,234,253.07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36,977,116.22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10,322,425.43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8,124,467.24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647,330.73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685,403.51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406,833.59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42,881,369.18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39,338,167.88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-12,899,935.30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-19,398,322.31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3,304,226.70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7,193,609.26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16,209,753.20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26,604,429.65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-552,274.64</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337,738.75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7,888,572.63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4,744,727.11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-1,186,941.30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26,911.32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-42,511.75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7,750,821.62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12,185,042.92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42,324.24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10,331.45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6,678.64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7,782,814.41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12,178,464.40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7,782,814.41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12,178,464.40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7,782,814.41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12,178,464.40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-17,199,351.33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5,966,444.11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-17,199,351.33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5,966,444.11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-17,199,351.33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5,966,444.11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-9,416,536.92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18,144,908.51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pgSz w:w="11910" w:h="16840"/>
          <w:pgMar w:header="877" w:footer="979" w:top="1100" w:bottom="1160" w:left="980" w:right="0"/>
        </w:sectPr>
      </w:pPr>
    </w:p>
    <w:p>
      <w:pPr>
        <w:pStyle w:val="Heading4"/>
        <w:spacing w:line="240" w:lineRule="auto" w:before="35"/>
        <w:ind w:right="0"/>
        <w:jc w:val="left"/>
        <w:rPr>
          <w:b w:val="0"/>
          <w:bCs w:val="0"/>
        </w:rPr>
      </w:pPr>
      <w:bookmarkStart w:name="5、合并现金流量表" w:id="160"/>
      <w:bookmarkEnd w:id="160"/>
      <w:r>
        <w:rPr>
          <w:b w:val="0"/>
          <w:bCs w:val="0"/>
        </w:rPr>
      </w:r>
      <w:r>
        <w:rPr>
          <w:rFonts w:ascii="Times New Roman" w:hAnsi="Times New Roman" w:cs="Times New Roman" w:eastAsia="Times New Roman" w:hint="default"/>
          <w:w w:val="95"/>
        </w:rPr>
        <w:t>5</w:t>
      </w:r>
      <w:r>
        <w:rPr>
          <w:w w:val="95"/>
        </w:rPr>
        <w:t>、合并现金流量表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1945" w:space="6974"/>
            <w:col w:w="2011"/>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946,520,043.51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879,163,287.73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1,285,755.73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1,471,416.54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39"/>
        <w:gridCol w:w="3318"/>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29,062,506.53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44,230,063.45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976,868,305.77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924,864,767.72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336,235,851.43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266,908,091.43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327,675,782.91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345,752,188.60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40,594,245.27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32,280,425.50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144,866,756.24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138,574,081.43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849,372,635.85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783,514,786.96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127,495,669.92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141,349,980.76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9,627,619.55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3,792,380.56</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193,476.00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501,899.98</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802,430,000.00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521,500,000.00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812,251,095.55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525,794,280.54</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26,601,484.13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36,669,627.03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5,119,069.74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247,246,087.26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316,344,949.68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781,710,000.00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589,500,000.00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1,079,757,571.39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947,633,646.45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-267,506,475.84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-421,839,365.91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23,270,000.00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39,230,000.00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354,114.17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541,790.08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94,355,160.00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20,154,114.17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98,366,950.08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-774,114.17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-59,136,950.08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5,503,873.86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-10,602,389.92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-135,281,046.23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-350,228,725.15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750,705,917.52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1,100,934,642.67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615,424,871.29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750,705,917.52</w:t>
            </w:r>
          </w:p>
        </w:tc>
      </w:tr>
    </w:tbl>
    <w:p>
      <w:pPr>
        <w:spacing w:line="240" w:lineRule="auto" w:before="2"/>
        <w:rPr>
          <w:rFonts w:ascii="Times New Roman" w:hAnsi="Times New Roman" w:cs="Times New Roman" w:eastAsia="Times New Roman" w:hint="default"/>
          <w:sz w:val="6"/>
          <w:szCs w:val="6"/>
        </w:rPr>
      </w:pPr>
    </w:p>
    <w:p>
      <w:pPr>
        <w:spacing w:after="0" w:line="240" w:lineRule="auto"/>
        <w:rPr>
          <w:rFonts w:ascii="Times New Roman" w:hAnsi="Times New Roman" w:cs="Times New Roman" w:eastAsia="Times New Roman" w:hint="default"/>
          <w:sz w:val="6"/>
          <w:szCs w:val="6"/>
        </w:rPr>
        <w:sectPr>
          <w:pgSz w:w="11910" w:h="16840"/>
          <w:pgMar w:header="877" w:footer="979" w:top="1100" w:bottom="1160" w:left="980" w:right="0"/>
        </w:sectPr>
      </w:pPr>
    </w:p>
    <w:p>
      <w:pPr>
        <w:pStyle w:val="Heading4"/>
        <w:spacing w:line="240" w:lineRule="auto" w:before="35"/>
        <w:ind w:right="0"/>
        <w:jc w:val="left"/>
        <w:rPr>
          <w:b w:val="0"/>
          <w:bCs w:val="0"/>
        </w:rPr>
      </w:pPr>
      <w:bookmarkStart w:name="6、母公司现金流量表" w:id="161"/>
      <w:bookmarkEnd w:id="161"/>
      <w:r>
        <w:rPr>
          <w:b w:val="0"/>
          <w:bCs w:val="0"/>
        </w:rPr>
      </w:r>
      <w:r>
        <w:rPr>
          <w:rFonts w:ascii="Times New Roman" w:hAnsi="Times New Roman" w:cs="Times New Roman" w:eastAsia="Times New Roman" w:hint="default"/>
          <w:w w:val="95"/>
        </w:rPr>
        <w:t>6</w:t>
      </w:r>
      <w:r>
        <w:rPr>
          <w:w w:val="95"/>
        </w:rPr>
        <w:t>、母公司现金流量表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2156" w:space="6763"/>
            <w:col w:w="2011"/>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15,081,765.71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12,865,698.41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248,306,790.07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338,005,919.05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263,388,555.78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350,871,617.46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9,998,579.03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9,376,447.97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30,766,409.19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25,545,237.29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3,443,436.48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2,613,388.32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145,912,510.13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434,793,707.78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190,120,934.83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472,328,781.36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73,267,620.95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-121,457,163.90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39"/>
        <w:gridCol w:w="3318"/>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9,627,619.55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3,792,380.56</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802,430,000.00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521,500,000.00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812,057,619.55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525,372,380.56</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715,088.66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526,069.29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195,270,000.00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25,070,000.00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781,710,000.00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589,500,000.00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1,001,895,088.66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615,096,069.29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-189,837,469.11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-89,723,688.73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23,270,000.00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39,230,000.00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3,470,000.00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354,114.17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541,790.08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94,355,160.00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20,154,114.17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98,366,950.08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-774,114.17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-59,136,950.08</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-117,343,962.33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-270,317,802.71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463,269,212.33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733,587,015.04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345,925,250.00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463,269,212.33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ind w:left="140" w:right="3908"/>
        <w:jc w:val="left"/>
        <w:rPr>
          <w:b w:val="0"/>
          <w:bCs w:val="0"/>
        </w:rPr>
      </w:pPr>
      <w:bookmarkStart w:name="7、合并所有者权益变动表" w:id="162"/>
      <w:bookmarkEnd w:id="16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40" w:right="3908"/>
        <w:jc w:val="left"/>
      </w:pPr>
      <w:r>
        <w:rPr/>
        <w:t>本期金额</w:t>
      </w:r>
    </w:p>
    <w:p>
      <w:pPr>
        <w:pStyle w:val="BodyText"/>
        <w:spacing w:line="240" w:lineRule="auto" w:before="116"/>
        <w:ind w:left="0" w:right="136"/>
        <w:jc w:val="right"/>
      </w:pPr>
      <w:r>
        <w:rPr/>
        <w:t>单位：元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216"/>
        <w:gridCol w:w="1193"/>
        <w:gridCol w:w="431"/>
        <w:gridCol w:w="431"/>
        <w:gridCol w:w="334"/>
        <w:gridCol w:w="1181"/>
        <w:gridCol w:w="1091"/>
        <w:gridCol w:w="1115"/>
        <w:gridCol w:w="528"/>
        <w:gridCol w:w="1092"/>
        <w:gridCol w:w="722"/>
        <w:gridCol w:w="1181"/>
        <w:gridCol w:w="1145"/>
        <w:gridCol w:w="1316"/>
      </w:tblGrid>
      <w:tr>
        <w:trPr>
          <w:trHeight w:val="402" w:hRule="exact"/>
        </w:trPr>
        <w:tc>
          <w:tcPr>
            <w:tcW w:w="2216" w:type="dxa"/>
            <w:vMerge w:val="restart"/>
            <w:tcBorders>
              <w:top w:val="single" w:sz="4" w:space="0" w:color="000000"/>
              <w:left w:val="single" w:sz="4" w:space="0" w:color="000000"/>
              <w:right w:val="single" w:sz="4" w:space="0" w:color="000000"/>
            </w:tcBorders>
            <w:shd w:val="clear" w:color="auto" w:fill="D2D2D2"/>
          </w:tcPr>
          <w:p>
            <w:pPr/>
          </w:p>
        </w:tc>
        <w:tc>
          <w:tcPr>
            <w:tcW w:w="1176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97"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929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45"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211" w:hRule="exact"/>
        </w:trPr>
        <w:tc>
          <w:tcPr>
            <w:tcW w:w="22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11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11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FFFFFF"/>
            </w:tcBorders>
            <w:shd w:val="clear" w:color="auto" w:fill="D2D2D2"/>
          </w:tcPr>
          <w:p>
            <w:pPr/>
          </w:p>
        </w:tc>
        <w:tc>
          <w:tcPr>
            <w:tcW w:w="722" w:type="dxa"/>
            <w:tcBorders>
              <w:top w:val="single" w:sz="4" w:space="0" w:color="000000"/>
              <w:left w:val="single" w:sz="4" w:space="0" w:color="FFFFFF"/>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45"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73"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195"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11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63" w:right="101"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2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9" w:right="7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2" w:type="dxa"/>
            <w:vMerge/>
            <w:tcBorders>
              <w:left w:val="single" w:sz="4" w:space="0" w:color="000000"/>
              <w:bottom w:val="nil" w:sz="6" w:space="0" w:color="auto"/>
              <w:right w:val="single" w:sz="4" w:space="0" w:color="FFFFFF"/>
            </w:tcBorders>
            <w:shd w:val="clear" w:color="auto" w:fill="D2D2D2"/>
          </w:tcPr>
          <w:p>
            <w:pPr/>
          </w:p>
        </w:tc>
        <w:tc>
          <w:tcPr>
            <w:tcW w:w="722"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74"/>
              <w:ind w:left="86" w:right="84"/>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81" w:type="dxa"/>
            <w:vMerge/>
            <w:tcBorders>
              <w:left w:val="single" w:sz="4" w:space="0" w:color="000000"/>
              <w:bottom w:val="nil" w:sz="6" w:space="0" w:color="auto"/>
              <w:right w:val="single" w:sz="4" w:space="0" w:color="000000"/>
            </w:tcBorders>
            <w:shd w:val="clear" w:color="auto" w:fill="D2D2D2"/>
          </w:tcPr>
          <w:p>
            <w:pPr/>
          </w:p>
        </w:tc>
        <w:tc>
          <w:tcPr>
            <w:tcW w:w="11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3"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20" w:right="29"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20" w:right="2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3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71" w:right="71"/>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8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15" w:type="dxa"/>
            <w:vMerge/>
            <w:tcBorders>
              <w:left w:val="single" w:sz="4" w:space="0" w:color="000000"/>
              <w:right w:val="single" w:sz="4" w:space="0" w:color="000000"/>
            </w:tcBorders>
            <w:shd w:val="clear" w:color="auto" w:fill="D2D2D2"/>
          </w:tcPr>
          <w:p>
            <w:pPr/>
          </w:p>
        </w:tc>
        <w:tc>
          <w:tcPr>
            <w:tcW w:w="528"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4"/>
              <w:ind w:left="18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2" w:type="dxa"/>
            <w:vMerge/>
            <w:tcBorders>
              <w:left w:val="single" w:sz="4" w:space="0" w:color="FFFFFF"/>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45"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2216"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431" w:type="dxa"/>
            <w:vMerge/>
            <w:tcBorders>
              <w:left w:val="single" w:sz="4" w:space="0" w:color="000000"/>
              <w:right w:val="single" w:sz="4" w:space="0" w:color="000000"/>
            </w:tcBorders>
            <w:shd w:val="clear" w:color="auto" w:fill="D2D2D2"/>
          </w:tcPr>
          <w:p>
            <w:pPr/>
          </w:p>
        </w:tc>
        <w:tc>
          <w:tcPr>
            <w:tcW w:w="431" w:type="dxa"/>
            <w:vMerge/>
            <w:tcBorders>
              <w:left w:val="single" w:sz="4" w:space="0" w:color="000000"/>
              <w:right w:val="single" w:sz="4" w:space="0" w:color="000000"/>
            </w:tcBorders>
            <w:shd w:val="clear" w:color="auto" w:fill="D2D2D2"/>
          </w:tcPr>
          <w:p>
            <w:pPr/>
          </w:p>
        </w:tc>
        <w:tc>
          <w:tcPr>
            <w:tcW w:w="334"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115" w:type="dxa"/>
            <w:vMerge/>
            <w:tcBorders>
              <w:left w:val="single" w:sz="4" w:space="0" w:color="000000"/>
              <w:right w:val="single" w:sz="4" w:space="0" w:color="000000"/>
            </w:tcBorders>
            <w:shd w:val="clear" w:color="auto" w:fill="D2D2D2"/>
          </w:tcPr>
          <w:p>
            <w:pPr/>
          </w:p>
        </w:tc>
        <w:tc>
          <w:tcPr>
            <w:tcW w:w="528"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FFFFFF"/>
            </w:tcBorders>
            <w:shd w:val="clear" w:color="auto" w:fill="D2D2D2"/>
          </w:tcPr>
          <w:p>
            <w:pPr/>
          </w:p>
        </w:tc>
        <w:tc>
          <w:tcPr>
            <w:tcW w:w="722" w:type="dxa"/>
            <w:vMerge/>
            <w:tcBorders>
              <w:left w:val="single" w:sz="4" w:space="0" w:color="FFFFFF"/>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45" w:type="dxa"/>
            <w:vMerge w:val="restart"/>
            <w:tcBorders>
              <w:top w:val="nil" w:sz="6" w:space="0" w:color="auto"/>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216"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431" w:type="dxa"/>
            <w:vMerge/>
            <w:tcBorders>
              <w:left w:val="single" w:sz="4" w:space="0" w:color="000000"/>
              <w:right w:val="single" w:sz="4" w:space="0" w:color="000000"/>
            </w:tcBorders>
            <w:shd w:val="clear" w:color="auto" w:fill="D2D2D2"/>
          </w:tcPr>
          <w:p>
            <w:pPr/>
          </w:p>
        </w:tc>
        <w:tc>
          <w:tcPr>
            <w:tcW w:w="431" w:type="dxa"/>
            <w:vMerge/>
            <w:tcBorders>
              <w:left w:val="single" w:sz="4" w:space="0" w:color="000000"/>
              <w:right w:val="single" w:sz="4" w:space="0" w:color="000000"/>
            </w:tcBorders>
            <w:shd w:val="clear" w:color="auto" w:fill="D2D2D2"/>
          </w:tcPr>
          <w:p>
            <w:pPr/>
          </w:p>
        </w:tc>
        <w:tc>
          <w:tcPr>
            <w:tcW w:w="334"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1115" w:type="dxa"/>
            <w:vMerge/>
            <w:tcBorders>
              <w:left w:val="single" w:sz="4" w:space="0" w:color="000000"/>
              <w:bottom w:val="nil" w:sz="6" w:space="0" w:color="auto"/>
              <w:right w:val="single" w:sz="4" w:space="0" w:color="000000"/>
            </w:tcBorders>
            <w:shd w:val="clear" w:color="auto" w:fill="D2D2D2"/>
          </w:tcPr>
          <w:p>
            <w:pPr/>
          </w:p>
        </w:tc>
        <w:tc>
          <w:tcPr>
            <w:tcW w:w="528" w:type="dxa"/>
            <w:vMerge/>
            <w:tcBorders>
              <w:left w:val="single" w:sz="4" w:space="0" w:color="000000"/>
              <w:bottom w:val="nil" w:sz="6" w:space="0" w:color="auto"/>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FFFFFF"/>
            </w:tcBorders>
            <w:shd w:val="clear" w:color="auto" w:fill="D2D2D2"/>
          </w:tcPr>
          <w:p>
            <w:pPr/>
          </w:p>
        </w:tc>
        <w:tc>
          <w:tcPr>
            <w:tcW w:w="722" w:type="dxa"/>
            <w:vMerge/>
            <w:tcBorders>
              <w:left w:val="single" w:sz="4" w:space="0" w:color="FFFFFF"/>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45"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206"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431" w:type="dxa"/>
            <w:vMerge/>
            <w:tcBorders>
              <w:left w:val="single" w:sz="4" w:space="0" w:color="000000"/>
              <w:bottom w:val="single" w:sz="4" w:space="0" w:color="000000"/>
              <w:right w:val="single" w:sz="4" w:space="0" w:color="000000"/>
            </w:tcBorders>
            <w:shd w:val="clear" w:color="auto" w:fill="D2D2D2"/>
          </w:tcPr>
          <w:p>
            <w:pPr/>
          </w:p>
        </w:tc>
        <w:tc>
          <w:tcPr>
            <w:tcW w:w="431" w:type="dxa"/>
            <w:vMerge/>
            <w:tcBorders>
              <w:left w:val="single" w:sz="4" w:space="0" w:color="000000"/>
              <w:bottom w:val="single" w:sz="4" w:space="0" w:color="000000"/>
              <w:right w:val="single" w:sz="4" w:space="0" w:color="000000"/>
            </w:tcBorders>
            <w:shd w:val="clear" w:color="auto" w:fill="D2D2D2"/>
          </w:tcPr>
          <w:p>
            <w:pPr/>
          </w:p>
        </w:tc>
        <w:tc>
          <w:tcPr>
            <w:tcW w:w="334"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1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FFFFFF"/>
            </w:tcBorders>
            <w:shd w:val="clear" w:color="auto" w:fill="D2D2D2"/>
          </w:tcPr>
          <w:p>
            <w:pPr/>
          </w:p>
        </w:tc>
        <w:tc>
          <w:tcPr>
            <w:tcW w:w="722" w:type="dxa"/>
            <w:tcBorders>
              <w:top w:val="nil" w:sz="6" w:space="0" w:color="auto"/>
              <w:left w:val="single" w:sz="4" w:space="0" w:color="FFFFFF"/>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45"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787,380,220.00</w:t>
            </w: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832,840,842.53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15,960,000.00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51,488,131.38</w:t>
            </w:r>
          </w:p>
        </w:tc>
        <w:tc>
          <w:tcPr>
            <w:tcW w:w="52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89,953,459.93</w:t>
            </w:r>
          </w:p>
        </w:tc>
        <w:tc>
          <w:tcPr>
            <w:tcW w:w="722"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66,177,012.06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89,790,281.88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1,901,669,947.78</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787,380,220.00</w:t>
            </w: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832,840,842.53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15,960,000.00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51,488,131.38</w:t>
            </w:r>
          </w:p>
        </w:tc>
        <w:tc>
          <w:tcPr>
            <w:tcW w:w="52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89,953,459.93</w:t>
            </w:r>
          </w:p>
        </w:tc>
        <w:tc>
          <w:tcPr>
            <w:tcW w:w="722"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66,177,012.06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89,790,281.88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1,901,669,947.78</w:t>
            </w:r>
          </w:p>
        </w:tc>
      </w:tr>
      <w:tr>
        <w:trPr>
          <w:trHeight w:val="714"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3"/>
              <w:jc w:val="left"/>
              <w:rPr>
                <w:rFonts w:ascii="宋体" w:hAnsi="宋体" w:cs="宋体" w:eastAsia="宋体" w:hint="default"/>
                <w:sz w:val="18"/>
                <w:szCs w:val="18"/>
              </w:rPr>
            </w:pPr>
            <w:r>
              <w:rPr>
                <w:rFonts w:ascii="宋体" w:hAnsi="宋体" w:cs="宋体" w:eastAsia="宋体" w:hint="default"/>
                <w:sz w:val="18"/>
                <w:szCs w:val="18"/>
              </w:rPr>
              <w:t>三、本期增减变动金额（减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7,600,000.00</w:t>
            </w: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17,700,800.00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19,380,000.00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-1,139,894.80</w:t>
            </w:r>
          </w:p>
        </w:tc>
        <w:tc>
          <w:tcPr>
            <w:tcW w:w="52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778,281.44</w:t>
            </w:r>
          </w:p>
        </w:tc>
        <w:tc>
          <w:tcPr>
            <w:tcW w:w="722"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85,263,941.58</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-11,691,867.30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79,131,260.92</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-1,139,894.80</w:t>
            </w:r>
          </w:p>
        </w:tc>
        <w:tc>
          <w:tcPr>
            <w:tcW w:w="52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
        </w:tc>
        <w:tc>
          <w:tcPr>
            <w:tcW w:w="722"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86,042,223.02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-11,691,867.30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73,210,460.92</w:t>
            </w:r>
          </w:p>
        </w:tc>
      </w:tr>
      <w:tr>
        <w:trPr>
          <w:trHeight w:val="714"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3"/>
              <w:jc w:val="left"/>
              <w:rPr>
                <w:rFonts w:ascii="宋体" w:hAnsi="宋体" w:cs="宋体" w:eastAsia="宋体" w:hint="default"/>
                <w:sz w:val="18"/>
                <w:szCs w:val="18"/>
              </w:rPr>
            </w:pPr>
            <w:r>
              <w:rPr>
                <w:rFonts w:ascii="宋体" w:hAnsi="宋体" w:cs="宋体" w:eastAsia="宋体" w:hint="default"/>
                <w:sz w:val="18"/>
                <w:szCs w:val="18"/>
              </w:rPr>
              <w:t>（二）所有者投入和减少资 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7,600,000.00</w:t>
            </w: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17,700,800.00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19,380,000.00</w:t>
            </w:r>
          </w:p>
        </w:tc>
        <w:tc>
          <w:tcPr>
            <w:tcW w:w="111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
        </w:tc>
        <w:tc>
          <w:tcPr>
            <w:tcW w:w="722"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5,920,800.00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7,600,000.00</w:t>
            </w: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19,380,000.00</w:t>
            </w:r>
          </w:p>
        </w:tc>
        <w:tc>
          <w:tcPr>
            <w:tcW w:w="111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
        </w:tc>
        <w:tc>
          <w:tcPr>
            <w:tcW w:w="722"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．股份支付计入所有者权益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的金额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5,920,800.00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
        </w:tc>
        <w:tc>
          <w:tcPr>
            <w:tcW w:w="722"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5,920,800.00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778,281.44</w:t>
            </w:r>
          </w:p>
        </w:tc>
        <w:tc>
          <w:tcPr>
            <w:tcW w:w="722"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-778,281.44</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778,281.44</w:t>
            </w:r>
          </w:p>
        </w:tc>
        <w:tc>
          <w:tcPr>
            <w:tcW w:w="722"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-778,281.44</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
        </w:tc>
        <w:tc>
          <w:tcPr>
            <w:tcW w:w="722"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
        </w:tc>
        <w:tc>
          <w:tcPr>
            <w:tcW w:w="722"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
        </w:tc>
        <w:tc>
          <w:tcPr>
            <w:tcW w:w="722"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794,980,220.00</w:t>
            </w: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850,541,642.53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35,340,000.00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50,348,236.58</w:t>
            </w:r>
          </w:p>
        </w:tc>
        <w:tc>
          <w:tcPr>
            <w:tcW w:w="52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90,731,741.37</w:t>
            </w:r>
          </w:p>
        </w:tc>
        <w:tc>
          <w:tcPr>
            <w:tcW w:w="722"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151,440,953.64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78,098,414.58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1,980,801,208.70</w:t>
            </w:r>
          </w:p>
        </w:tc>
      </w:tr>
    </w:tbl>
    <w:p>
      <w:pPr>
        <w:spacing w:after="0" w:line="240" w:lineRule="auto"/>
        <w:jc w:val="right"/>
        <w:rPr>
          <w:rFonts w:ascii="Times New Roman" w:hAnsi="Times New Roman" w:cs="Times New Roman" w:eastAsia="Times New Roman" w:hint="default"/>
          <w:sz w:val="18"/>
          <w:szCs w:val="18"/>
        </w:rPr>
        <w:sectPr>
          <w:headerReference w:type="default" r:id="rId22"/>
          <w:footerReference w:type="default" r:id="rId23"/>
          <w:pgSz w:w="16840" w:h="11910" w:orient="landscape"/>
          <w:pgMar w:header="867" w:footer="979" w:top="1060" w:bottom="1160" w:left="1300" w:right="1300"/>
          <w:pgNumType w:start="82"/>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0"/>
        <w:ind w:left="140" w:right="3908"/>
        <w:jc w:val="left"/>
      </w:pPr>
      <w:r>
        <w:rPr/>
        <w:t>上期金额</w:t>
      </w:r>
    </w:p>
    <w:p>
      <w:pPr>
        <w:pStyle w:val="BodyText"/>
        <w:spacing w:line="240" w:lineRule="auto" w:before="116"/>
        <w:ind w:left="0" w:right="136"/>
        <w:jc w:val="right"/>
      </w:pPr>
      <w:r>
        <w:rPr/>
        <w:t>单位：元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231"/>
        <w:gridCol w:w="1193"/>
        <w:gridCol w:w="432"/>
        <w:gridCol w:w="432"/>
        <w:gridCol w:w="334"/>
        <w:gridCol w:w="1181"/>
        <w:gridCol w:w="1151"/>
        <w:gridCol w:w="1152"/>
        <w:gridCol w:w="529"/>
        <w:gridCol w:w="1091"/>
        <w:gridCol w:w="727"/>
        <w:gridCol w:w="1091"/>
        <w:gridCol w:w="1116"/>
        <w:gridCol w:w="1316"/>
      </w:tblGrid>
      <w:tr>
        <w:trPr>
          <w:trHeight w:val="402" w:hRule="exact"/>
        </w:trPr>
        <w:tc>
          <w:tcPr>
            <w:tcW w:w="2231" w:type="dxa"/>
            <w:vMerge w:val="restart"/>
            <w:tcBorders>
              <w:top w:val="single" w:sz="4" w:space="0" w:color="000000"/>
              <w:left w:val="single" w:sz="4" w:space="0" w:color="000000"/>
              <w:right w:val="single" w:sz="4" w:space="0" w:color="000000"/>
            </w:tcBorders>
            <w:shd w:val="clear" w:color="auto" w:fill="D2D2D2"/>
          </w:tcPr>
          <w:p>
            <w:pPr/>
          </w:p>
        </w:tc>
        <w:tc>
          <w:tcPr>
            <w:tcW w:w="117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7" w:hRule="exact"/>
        </w:trPr>
        <w:tc>
          <w:tcPr>
            <w:tcW w:w="2231" w:type="dxa"/>
            <w:vMerge/>
            <w:tcBorders>
              <w:left w:val="single" w:sz="4" w:space="0" w:color="000000"/>
              <w:bottom w:val="nil" w:sz="6" w:space="0" w:color="auto"/>
              <w:right w:val="single" w:sz="4" w:space="0" w:color="000000"/>
            </w:tcBorders>
            <w:shd w:val="clear" w:color="auto" w:fill="D2D2D2"/>
          </w:tcPr>
          <w:p>
            <w:pPr/>
          </w:p>
        </w:tc>
        <w:tc>
          <w:tcPr>
            <w:tcW w:w="931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210" w:hRule="exact"/>
        </w:trPr>
        <w:tc>
          <w:tcPr>
            <w:tcW w:w="22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119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51" w:type="dxa"/>
            <w:vMerge w:val="restart"/>
            <w:tcBorders>
              <w:top w:val="single" w:sz="4" w:space="0" w:color="000000"/>
              <w:left w:val="single" w:sz="4" w:space="0" w:color="000000"/>
              <w:right w:val="single" w:sz="4" w:space="0" w:color="000000"/>
            </w:tcBorders>
            <w:shd w:val="clear" w:color="auto" w:fill="D2D2D2"/>
          </w:tcPr>
          <w:p>
            <w:pPr/>
          </w:p>
        </w:tc>
        <w:tc>
          <w:tcPr>
            <w:tcW w:w="1152" w:type="dxa"/>
            <w:vMerge w:val="restart"/>
            <w:tcBorders>
              <w:top w:val="single" w:sz="4" w:space="0" w:color="000000"/>
              <w:left w:val="single" w:sz="4" w:space="0" w:color="000000"/>
              <w:right w:val="single" w:sz="4" w:space="0" w:color="000000"/>
            </w:tcBorders>
            <w:shd w:val="clear" w:color="auto" w:fill="D2D2D2"/>
          </w:tcPr>
          <w:p>
            <w:pPr/>
          </w:p>
        </w:tc>
        <w:tc>
          <w:tcPr>
            <w:tcW w:w="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111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1"/>
              <w:ind w:left="463" w:right="101"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2231" w:type="dxa"/>
            <w:vMerge/>
            <w:tcBorders>
              <w:left w:val="single" w:sz="4" w:space="0" w:color="000000"/>
              <w:bottom w:val="single" w:sz="4" w:space="0" w:color="FFFFFF"/>
              <w:right w:val="single" w:sz="4" w:space="0" w:color="000000"/>
            </w:tcBorders>
            <w:shd w:val="clear" w:color="auto" w:fill="D2D2D2"/>
          </w:tcPr>
          <w:p>
            <w:pPr/>
          </w:p>
        </w:tc>
        <w:tc>
          <w:tcPr>
            <w:tcW w:w="1193" w:type="dxa"/>
            <w:vMerge/>
            <w:tcBorders>
              <w:left w:val="single" w:sz="4" w:space="0" w:color="000000"/>
              <w:bottom w:val="single" w:sz="4" w:space="0" w:color="FFFFFF"/>
              <w:right w:val="single" w:sz="4" w:space="0" w:color="000000"/>
            </w:tcBorders>
            <w:shd w:val="clear" w:color="auto" w:fill="D2D2D2"/>
          </w:tcPr>
          <w:p>
            <w:pPr/>
          </w:p>
        </w:tc>
        <w:tc>
          <w:tcPr>
            <w:tcW w:w="1198" w:type="dxa"/>
            <w:gridSpan w:val="3"/>
            <w:vMerge/>
            <w:tcBorders>
              <w:left w:val="single" w:sz="4" w:space="0" w:color="000000"/>
              <w:bottom w:val="single" w:sz="4" w:space="0" w:color="FFFFFF"/>
              <w:right w:val="single" w:sz="4" w:space="0" w:color="000000"/>
            </w:tcBorders>
            <w:shd w:val="clear" w:color="auto" w:fill="D2D2D2"/>
          </w:tcPr>
          <w:p>
            <w:pPr/>
          </w:p>
        </w:tc>
        <w:tc>
          <w:tcPr>
            <w:tcW w:w="1181" w:type="dxa"/>
            <w:vMerge/>
            <w:tcBorders>
              <w:left w:val="single" w:sz="4" w:space="0" w:color="000000"/>
              <w:bottom w:val="single" w:sz="4" w:space="0" w:color="FFFFFF"/>
              <w:right w:val="single" w:sz="4" w:space="0" w:color="000000"/>
            </w:tcBorders>
            <w:shd w:val="clear" w:color="auto" w:fill="D2D2D2"/>
          </w:tcPr>
          <w:p>
            <w:pPr/>
          </w:p>
        </w:tc>
        <w:tc>
          <w:tcPr>
            <w:tcW w:w="1151" w:type="dxa"/>
            <w:vMerge/>
            <w:tcBorders>
              <w:left w:val="single" w:sz="4" w:space="0" w:color="000000"/>
              <w:bottom w:val="single" w:sz="4" w:space="0" w:color="FFFFFF"/>
              <w:right w:val="single" w:sz="4" w:space="0" w:color="000000"/>
            </w:tcBorders>
            <w:shd w:val="clear" w:color="auto" w:fill="D2D2D2"/>
          </w:tcPr>
          <w:p>
            <w:pPr/>
          </w:p>
        </w:tc>
        <w:tc>
          <w:tcPr>
            <w:tcW w:w="1152" w:type="dxa"/>
            <w:vMerge/>
            <w:tcBorders>
              <w:left w:val="single" w:sz="4" w:space="0" w:color="000000"/>
              <w:bottom w:val="single" w:sz="4" w:space="0" w:color="FFFFFF"/>
              <w:right w:val="single" w:sz="4" w:space="0" w:color="000000"/>
            </w:tcBorders>
            <w:shd w:val="clear" w:color="auto" w:fill="D2D2D2"/>
          </w:tcPr>
          <w:p>
            <w:pPr/>
          </w:p>
        </w:tc>
        <w:tc>
          <w:tcPr>
            <w:tcW w:w="52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79" w:right="7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1" w:type="dxa"/>
            <w:vMerge/>
            <w:tcBorders>
              <w:left w:val="single" w:sz="4" w:space="0" w:color="000000"/>
              <w:bottom w:val="nil" w:sz="6" w:space="0" w:color="auto"/>
              <w:right w:val="single" w:sz="4" w:space="0" w:color="000000"/>
            </w:tcBorders>
            <w:shd w:val="clear" w:color="auto" w:fill="D2D2D2"/>
          </w:tcPr>
          <w:p>
            <w:pPr/>
          </w:p>
        </w:tc>
        <w:tc>
          <w:tcPr>
            <w:tcW w:w="72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88" w:right="8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091" w:type="dxa"/>
            <w:vMerge/>
            <w:tcBorders>
              <w:left w:val="single" w:sz="4" w:space="0" w:color="000000"/>
              <w:bottom w:val="nil" w:sz="6" w:space="0" w:color="auto"/>
              <w:right w:val="single" w:sz="4" w:space="0" w:color="000000"/>
            </w:tcBorders>
            <w:shd w:val="clear" w:color="auto" w:fill="D2D2D2"/>
          </w:tcPr>
          <w:p>
            <w:pPr/>
          </w:p>
        </w:tc>
        <w:tc>
          <w:tcPr>
            <w:tcW w:w="1116" w:type="dxa"/>
            <w:vMerge/>
            <w:tcBorders>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3" w:hRule="exact"/>
        </w:trPr>
        <w:tc>
          <w:tcPr>
            <w:tcW w:w="2231" w:type="dxa"/>
            <w:vMerge w:val="restart"/>
            <w:tcBorders>
              <w:top w:val="single" w:sz="4" w:space="0" w:color="FFFFFF"/>
              <w:left w:val="single" w:sz="4" w:space="0" w:color="000000"/>
              <w:right w:val="single" w:sz="4" w:space="0" w:color="000000"/>
            </w:tcBorders>
            <w:shd w:val="clear" w:color="auto" w:fill="D2D2D2"/>
          </w:tcPr>
          <w:p>
            <w:pPr/>
          </w:p>
        </w:tc>
        <w:tc>
          <w:tcPr>
            <w:tcW w:w="119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32"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19" w:right="30"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32"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20" w:right="30"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334"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71" w:right="71"/>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5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29"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7"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9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16"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89" w:hRule="exact"/>
        </w:trPr>
        <w:tc>
          <w:tcPr>
            <w:tcW w:w="2231"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432" w:type="dxa"/>
            <w:vMerge/>
            <w:tcBorders>
              <w:left w:val="single" w:sz="4" w:space="0" w:color="000000"/>
              <w:right w:val="single" w:sz="4" w:space="0" w:color="000000"/>
            </w:tcBorders>
            <w:shd w:val="clear" w:color="auto" w:fill="D2D2D2"/>
          </w:tcPr>
          <w:p>
            <w:pPr/>
          </w:p>
        </w:tc>
        <w:tc>
          <w:tcPr>
            <w:tcW w:w="432" w:type="dxa"/>
            <w:vMerge/>
            <w:tcBorders>
              <w:left w:val="single" w:sz="4" w:space="0" w:color="000000"/>
              <w:right w:val="single" w:sz="4" w:space="0" w:color="000000"/>
            </w:tcBorders>
            <w:shd w:val="clear" w:color="auto" w:fill="D2D2D2"/>
          </w:tcPr>
          <w:p>
            <w:pPr/>
          </w:p>
        </w:tc>
        <w:tc>
          <w:tcPr>
            <w:tcW w:w="334"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51"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c>
          <w:tcPr>
            <w:tcW w:w="529"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single" w:sz="18" w:space="0" w:color="FFFFFF"/>
              <w:right w:val="single" w:sz="4" w:space="0" w:color="000000"/>
            </w:tcBorders>
            <w:shd w:val="clear" w:color="auto" w:fill="D2D2D2"/>
          </w:tcPr>
          <w:p>
            <w:pPr/>
          </w:p>
        </w:tc>
        <w:tc>
          <w:tcPr>
            <w:tcW w:w="1116" w:type="dxa"/>
            <w:vMerge/>
            <w:tcBorders>
              <w:left w:val="single" w:sz="4" w:space="0" w:color="000000"/>
              <w:bottom w:val="single" w:sz="18" w:space="0" w:color="FFFFFF"/>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159" w:hRule="exact"/>
        </w:trPr>
        <w:tc>
          <w:tcPr>
            <w:tcW w:w="2231"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432" w:type="dxa"/>
            <w:vMerge/>
            <w:tcBorders>
              <w:left w:val="single" w:sz="4" w:space="0" w:color="000000"/>
              <w:right w:val="single" w:sz="4" w:space="0" w:color="000000"/>
            </w:tcBorders>
            <w:shd w:val="clear" w:color="auto" w:fill="D2D2D2"/>
          </w:tcPr>
          <w:p>
            <w:pPr/>
          </w:p>
        </w:tc>
        <w:tc>
          <w:tcPr>
            <w:tcW w:w="432" w:type="dxa"/>
            <w:vMerge/>
            <w:tcBorders>
              <w:left w:val="single" w:sz="4" w:space="0" w:color="000000"/>
              <w:right w:val="single" w:sz="4" w:space="0" w:color="000000"/>
            </w:tcBorders>
            <w:shd w:val="clear" w:color="auto" w:fill="D2D2D2"/>
          </w:tcPr>
          <w:p>
            <w:pPr/>
          </w:p>
        </w:tc>
        <w:tc>
          <w:tcPr>
            <w:tcW w:w="334"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51" w:type="dxa"/>
            <w:vMerge w:val="restart"/>
            <w:tcBorders>
              <w:top w:val="nil" w:sz="6" w:space="0" w:color="auto"/>
              <w:left w:val="single" w:sz="4" w:space="0" w:color="000000"/>
              <w:right w:val="single" w:sz="4" w:space="0" w:color="000000"/>
            </w:tcBorders>
            <w:shd w:val="clear" w:color="auto" w:fill="D2D2D2"/>
          </w:tcPr>
          <w:p>
            <w:pPr/>
          </w:p>
        </w:tc>
        <w:tc>
          <w:tcPr>
            <w:tcW w:w="1152" w:type="dxa"/>
            <w:vMerge w:val="restart"/>
            <w:tcBorders>
              <w:top w:val="nil" w:sz="6" w:space="0" w:color="auto"/>
              <w:left w:val="single" w:sz="4" w:space="0" w:color="000000"/>
              <w:right w:val="single" w:sz="4" w:space="0" w:color="000000"/>
            </w:tcBorders>
            <w:shd w:val="clear" w:color="auto" w:fill="D2D2D2"/>
          </w:tcPr>
          <w:p>
            <w:pPr/>
          </w:p>
        </w:tc>
        <w:tc>
          <w:tcPr>
            <w:tcW w:w="529"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single" w:sz="18" w:space="0" w:color="FFFFFF"/>
              <w:left w:val="single" w:sz="4" w:space="0" w:color="000000"/>
              <w:right w:val="single" w:sz="4" w:space="0" w:color="000000"/>
            </w:tcBorders>
            <w:shd w:val="clear" w:color="auto" w:fill="D2D2D2"/>
          </w:tcPr>
          <w:p>
            <w:pPr/>
          </w:p>
        </w:tc>
        <w:tc>
          <w:tcPr>
            <w:tcW w:w="1116" w:type="dxa"/>
            <w:vMerge w:val="restart"/>
            <w:tcBorders>
              <w:top w:val="single" w:sz="18" w:space="0" w:color="FFFFFF"/>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206" w:hRule="exact"/>
        </w:trPr>
        <w:tc>
          <w:tcPr>
            <w:tcW w:w="2231"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432" w:type="dxa"/>
            <w:vMerge/>
            <w:tcBorders>
              <w:left w:val="single" w:sz="4" w:space="0" w:color="000000"/>
              <w:bottom w:val="single" w:sz="4" w:space="0" w:color="000000"/>
              <w:right w:val="single" w:sz="4" w:space="0" w:color="000000"/>
            </w:tcBorders>
            <w:shd w:val="clear" w:color="auto" w:fill="D2D2D2"/>
          </w:tcPr>
          <w:p>
            <w:pPr/>
          </w:p>
        </w:tc>
        <w:tc>
          <w:tcPr>
            <w:tcW w:w="432" w:type="dxa"/>
            <w:vMerge/>
            <w:tcBorders>
              <w:left w:val="single" w:sz="4" w:space="0" w:color="000000"/>
              <w:bottom w:val="single" w:sz="4" w:space="0" w:color="000000"/>
              <w:right w:val="single" w:sz="4" w:space="0" w:color="000000"/>
            </w:tcBorders>
            <w:shd w:val="clear" w:color="auto" w:fill="D2D2D2"/>
          </w:tcPr>
          <w:p>
            <w:pPr/>
          </w:p>
        </w:tc>
        <w:tc>
          <w:tcPr>
            <w:tcW w:w="334"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116"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796,907,220.00</w:t>
            </w:r>
          </w:p>
        </w:tc>
        <w:tc>
          <w:tcPr>
            <w:tcW w:w="432"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897,918,825.17</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94,355,160.00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65,113,268.28</w:t>
            </w:r>
          </w:p>
        </w:tc>
        <w:tc>
          <w:tcPr>
            <w:tcW w:w="52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88,735,613.49</w:t>
            </w:r>
          </w:p>
        </w:tc>
        <w:tc>
          <w:tcPr>
            <w:tcW w:w="7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36,407,962.39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99,212,015.74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1,889,939,745.07</w:t>
            </w:r>
          </w:p>
        </w:tc>
      </w:tr>
      <w:tr>
        <w:trPr>
          <w:trHeight w:val="402"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796,907,220.00</w:t>
            </w:r>
          </w:p>
        </w:tc>
        <w:tc>
          <w:tcPr>
            <w:tcW w:w="432"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897,918,825.17</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94,355,160.00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65,113,268.28</w:t>
            </w:r>
          </w:p>
        </w:tc>
        <w:tc>
          <w:tcPr>
            <w:tcW w:w="52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88,735,613.49</w:t>
            </w:r>
          </w:p>
        </w:tc>
        <w:tc>
          <w:tcPr>
            <w:tcW w:w="7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36,407,962.39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99,212,015.74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1,889,939,745.07</w:t>
            </w:r>
          </w:p>
        </w:tc>
      </w:tr>
      <w:tr>
        <w:trPr>
          <w:trHeight w:val="714"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7"/>
              <w:jc w:val="left"/>
              <w:rPr>
                <w:rFonts w:ascii="宋体" w:hAnsi="宋体" w:cs="宋体" w:eastAsia="宋体" w:hint="default"/>
                <w:sz w:val="18"/>
                <w:szCs w:val="18"/>
              </w:rPr>
            </w:pPr>
            <w:r>
              <w:rPr>
                <w:rFonts w:ascii="宋体" w:hAnsi="宋体" w:cs="宋体" w:eastAsia="宋体" w:hint="default"/>
                <w:sz w:val="18"/>
                <w:szCs w:val="18"/>
              </w:rPr>
              <w:t>三、本期增减变动金额（减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-9,527,000.00</w:t>
            </w:r>
          </w:p>
        </w:tc>
        <w:tc>
          <w:tcPr>
            <w:tcW w:w="432"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-65,077,982.64</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-78,395,160.00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-13,625,136.90</w:t>
            </w:r>
          </w:p>
        </w:tc>
        <w:tc>
          <w:tcPr>
            <w:tcW w:w="52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1,217,846.44</w:t>
            </w:r>
          </w:p>
        </w:tc>
        <w:tc>
          <w:tcPr>
            <w:tcW w:w="7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29,769,049.67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-9,421,733.86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11,730,202.71</w:t>
            </w:r>
          </w:p>
        </w:tc>
      </w:tr>
      <w:tr>
        <w:trPr>
          <w:trHeight w:val="402"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-13,625,136.90</w:t>
            </w:r>
          </w:p>
        </w:tc>
        <w:tc>
          <w:tcPr>
            <w:tcW w:w="52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30,986,896.11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-9,421,733.86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7,940,025.35</w:t>
            </w:r>
          </w:p>
        </w:tc>
      </w:tr>
      <w:tr>
        <w:trPr>
          <w:trHeight w:val="714"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7"/>
              <w:jc w:val="left"/>
              <w:rPr>
                <w:rFonts w:ascii="宋体" w:hAnsi="宋体" w:cs="宋体" w:eastAsia="宋体" w:hint="default"/>
                <w:sz w:val="18"/>
                <w:szCs w:val="18"/>
              </w:rPr>
            </w:pPr>
            <w:r>
              <w:rPr>
                <w:rFonts w:ascii="宋体" w:hAnsi="宋体" w:cs="宋体" w:eastAsia="宋体" w:hint="default"/>
                <w:sz w:val="18"/>
                <w:szCs w:val="18"/>
              </w:rPr>
              <w:t>（二）所有者投入和减少资 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-9,527,000.00</w:t>
            </w:r>
          </w:p>
        </w:tc>
        <w:tc>
          <w:tcPr>
            <w:tcW w:w="432"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-65,020,638.07</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-78,395,160.00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3,847,521.93</w:t>
            </w:r>
          </w:p>
        </w:tc>
      </w:tr>
      <w:tr>
        <w:trPr>
          <w:trHeight w:val="402"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-9,527,000.00</w:t>
            </w:r>
          </w:p>
        </w:tc>
        <w:tc>
          <w:tcPr>
            <w:tcW w:w="432"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-68,868,160.00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-78,395,160.00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．其他权益工具持有者投入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3,847,521.93</w:t>
            </w:r>
          </w:p>
        </w:tc>
        <w:tc>
          <w:tcPr>
            <w:tcW w:w="115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3,847,521.93</w:t>
            </w:r>
          </w:p>
        </w:tc>
      </w:tr>
      <w:tr>
        <w:trPr>
          <w:trHeight w:val="402"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1,217,846.44</w:t>
            </w:r>
          </w:p>
        </w:tc>
        <w:tc>
          <w:tcPr>
            <w:tcW w:w="7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-1,217,846.44</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1,217,846.44</w:t>
            </w:r>
          </w:p>
        </w:tc>
        <w:tc>
          <w:tcPr>
            <w:tcW w:w="7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-1,217,846.44</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-57,344.57</w:t>
            </w:r>
            <w:r>
              <w:rPr>
                <w:rFonts w:ascii="Times New Roman"/>
                <w:sz w:val="18"/>
              </w:rPr>
            </w:r>
          </w:p>
        </w:tc>
        <w:tc>
          <w:tcPr>
            <w:tcW w:w="115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-57,344.57</w:t>
            </w:r>
            <w:r>
              <w:rPr>
                <w:rFonts w:ascii="Times New Roman"/>
                <w:sz w:val="18"/>
              </w:rPr>
            </w:r>
          </w:p>
        </w:tc>
      </w:tr>
      <w:tr>
        <w:trPr>
          <w:trHeight w:val="402"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787,380,220.00</w:t>
            </w:r>
          </w:p>
        </w:tc>
        <w:tc>
          <w:tcPr>
            <w:tcW w:w="432"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832,840,842.53</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15,960,000.00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51,488,131.38</w:t>
            </w:r>
          </w:p>
        </w:tc>
        <w:tc>
          <w:tcPr>
            <w:tcW w:w="52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89,953,459.93</w:t>
            </w:r>
          </w:p>
        </w:tc>
        <w:tc>
          <w:tcPr>
            <w:tcW w:w="7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66,177,012.06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89,790,281.88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1,901,669,947.78</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00" w:right="1300"/>
        </w:sectPr>
      </w:pPr>
    </w:p>
    <w:p>
      <w:pPr>
        <w:spacing w:line="240" w:lineRule="auto" w:before="12"/>
        <w:rPr>
          <w:rFonts w:ascii="宋体" w:hAnsi="宋体" w:cs="宋体" w:eastAsia="宋体" w:hint="default"/>
          <w:sz w:val="2"/>
          <w:szCs w:val="2"/>
        </w:rPr>
      </w:pPr>
      <w:r>
        <w:rPr/>
        <w:pict>
          <v:group style="position:absolute;margin-left:250.580002pt;margin-top:239.180008pt;width:56.25pt;height:19.650pt;mso-position-horizontal-relative:page;mso-position-vertical-relative:page;z-index:-1003696" coordorigin="5012,4784" coordsize="1125,393">
            <v:shape style="position:absolute;left:5012;top:4784;width:1125;height:393" coordorigin="5012,4784" coordsize="1125,393" path="m5012,5176l6136,5176,6136,4784,5012,4784,5012,5176xe" filled="true" fillcolor="#ffffff" stroked="false">
              <v:path arrowok="t"/>
              <v:fill type="solid"/>
            </v:shape>
            <w10:wrap type="none"/>
          </v:group>
        </w:pict>
      </w: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left="140" w:right="3908"/>
        <w:jc w:val="left"/>
        <w:rPr>
          <w:b w:val="0"/>
          <w:bCs w:val="0"/>
        </w:rPr>
      </w:pPr>
      <w:bookmarkStart w:name="8、母公司所有者权益变动表" w:id="163"/>
      <w:bookmarkEnd w:id="16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40" w:right="3908"/>
        <w:jc w:val="left"/>
      </w:pPr>
      <w:r>
        <w:rPr/>
        <w:t>本期金额</w:t>
      </w:r>
    </w:p>
    <w:p>
      <w:pPr>
        <w:pStyle w:val="BodyText"/>
        <w:spacing w:line="240" w:lineRule="auto" w:before="116"/>
        <w:ind w:left="0" w:right="136"/>
        <w:jc w:val="right"/>
      </w:pPr>
      <w:r>
        <w:rPr/>
        <w:t>单位：元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521"/>
        <w:gridCol w:w="147"/>
        <w:gridCol w:w="1046"/>
        <w:gridCol w:w="584"/>
        <w:gridCol w:w="586"/>
        <w:gridCol w:w="410"/>
        <w:gridCol w:w="1181"/>
        <w:gridCol w:w="1092"/>
        <w:gridCol w:w="1151"/>
        <w:gridCol w:w="760"/>
        <w:gridCol w:w="1091"/>
        <w:gridCol w:w="1091"/>
        <w:gridCol w:w="1316"/>
      </w:tblGrid>
      <w:tr>
        <w:trPr>
          <w:trHeight w:val="397" w:hRule="exact"/>
        </w:trPr>
        <w:tc>
          <w:tcPr>
            <w:tcW w:w="3521" w:type="dxa"/>
            <w:vMerge w:val="restart"/>
            <w:tcBorders>
              <w:top w:val="single" w:sz="4" w:space="0" w:color="000000"/>
              <w:left w:val="single" w:sz="4" w:space="0" w:color="000000"/>
              <w:right w:val="single" w:sz="4" w:space="0" w:color="000000"/>
            </w:tcBorders>
            <w:shd w:val="clear" w:color="auto" w:fill="D2D2D2"/>
          </w:tcPr>
          <w:p>
            <w:pPr/>
          </w:p>
        </w:tc>
        <w:tc>
          <w:tcPr>
            <w:tcW w:w="1045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88" w:hRule="exact"/>
        </w:trPr>
        <w:tc>
          <w:tcPr>
            <w:tcW w:w="3521" w:type="dxa"/>
            <w:vMerge/>
            <w:tcBorders>
              <w:left w:val="single" w:sz="4" w:space="0" w:color="000000"/>
              <w:bottom w:val="nil" w:sz="6" w:space="0" w:color="auto"/>
              <w:right w:val="single" w:sz="4" w:space="0" w:color="000000"/>
            </w:tcBorders>
            <w:shd w:val="clear" w:color="auto" w:fill="D2D2D2"/>
          </w:tcPr>
          <w:p>
            <w:pPr/>
          </w:p>
        </w:tc>
        <w:tc>
          <w:tcPr>
            <w:tcW w:w="1193" w:type="dxa"/>
            <w:gridSpan w:val="2"/>
            <w:vMerge w:val="restart"/>
            <w:tcBorders>
              <w:top w:val="single" w:sz="4" w:space="0" w:color="000000"/>
              <w:left w:val="single" w:sz="4" w:space="0" w:color="000000"/>
              <w:right w:val="single" w:sz="4" w:space="0" w:color="000000"/>
            </w:tcBorders>
            <w:shd w:val="clear" w:color="auto" w:fill="D2D2D2"/>
          </w:tcPr>
          <w:p>
            <w:pPr/>
          </w:p>
        </w:tc>
        <w:tc>
          <w:tcPr>
            <w:tcW w:w="158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000000"/>
            </w:tcBorders>
            <w:shd w:val="clear" w:color="auto" w:fill="D2D2D2"/>
          </w:tcPr>
          <w:p>
            <w:pPr/>
          </w:p>
        </w:tc>
        <w:tc>
          <w:tcPr>
            <w:tcW w:w="1151" w:type="dxa"/>
            <w:vMerge w:val="restart"/>
            <w:tcBorders>
              <w:top w:val="single" w:sz="4" w:space="0" w:color="000000"/>
              <w:left w:val="single" w:sz="4" w:space="0" w:color="000000"/>
              <w:right w:val="single" w:sz="4" w:space="0" w:color="000000"/>
            </w:tcBorders>
            <w:shd w:val="clear" w:color="auto" w:fill="D2D2D2"/>
          </w:tcPr>
          <w:p>
            <w:pPr/>
          </w:p>
        </w:tc>
        <w:tc>
          <w:tcPr>
            <w:tcW w:w="7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188" w:hRule="exact"/>
        </w:trPr>
        <w:tc>
          <w:tcPr>
            <w:tcW w:w="35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gridSpan w:val="2"/>
            <w:vMerge/>
            <w:tcBorders>
              <w:left w:val="single" w:sz="4" w:space="0" w:color="000000"/>
              <w:bottom w:val="single" w:sz="14" w:space="0" w:color="FFFFFF"/>
              <w:right w:val="single" w:sz="4" w:space="0" w:color="000000"/>
            </w:tcBorders>
            <w:shd w:val="clear" w:color="auto" w:fill="D2D2D2"/>
          </w:tcPr>
          <w:p>
            <w:pPr/>
          </w:p>
        </w:tc>
        <w:tc>
          <w:tcPr>
            <w:tcW w:w="1580" w:type="dxa"/>
            <w:gridSpan w:val="3"/>
            <w:vMerge/>
            <w:tcBorders>
              <w:left w:val="single" w:sz="4" w:space="0" w:color="000000"/>
              <w:bottom w:val="single" w:sz="14" w:space="0" w:color="FFFFFF"/>
              <w:right w:val="single" w:sz="4" w:space="0" w:color="000000"/>
            </w:tcBorders>
            <w:shd w:val="clear" w:color="auto" w:fill="D2D2D2"/>
          </w:tcPr>
          <w:p>
            <w:pPr/>
          </w:p>
        </w:tc>
        <w:tc>
          <w:tcPr>
            <w:tcW w:w="1181" w:type="dxa"/>
            <w:vMerge/>
            <w:tcBorders>
              <w:left w:val="single" w:sz="4" w:space="0" w:color="000000"/>
              <w:bottom w:val="single" w:sz="14" w:space="0" w:color="FFFFFF"/>
              <w:right w:val="single" w:sz="4" w:space="0" w:color="000000"/>
            </w:tcBorders>
            <w:shd w:val="clear" w:color="auto" w:fill="D2D2D2"/>
          </w:tcPr>
          <w:p>
            <w:pPr/>
          </w:p>
        </w:tc>
        <w:tc>
          <w:tcPr>
            <w:tcW w:w="1092" w:type="dxa"/>
            <w:vMerge/>
            <w:tcBorders>
              <w:left w:val="single" w:sz="4" w:space="0" w:color="000000"/>
              <w:bottom w:val="single" w:sz="14" w:space="0" w:color="FFFFFF"/>
              <w:right w:val="single" w:sz="4" w:space="0" w:color="000000"/>
            </w:tcBorders>
            <w:shd w:val="clear" w:color="auto" w:fill="D2D2D2"/>
          </w:tcPr>
          <w:p>
            <w:pPr/>
          </w:p>
        </w:tc>
        <w:tc>
          <w:tcPr>
            <w:tcW w:w="1151" w:type="dxa"/>
            <w:vMerge/>
            <w:tcBorders>
              <w:left w:val="single" w:sz="4" w:space="0" w:color="000000"/>
              <w:bottom w:val="single" w:sz="14" w:space="0" w:color="FFFFFF"/>
              <w:right w:val="single" w:sz="4" w:space="0" w:color="000000"/>
            </w:tcBorders>
            <w:shd w:val="clear" w:color="auto" w:fill="D2D2D2"/>
          </w:tcPr>
          <w:p>
            <w:pPr/>
          </w:p>
        </w:tc>
        <w:tc>
          <w:tcPr>
            <w:tcW w:w="7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4" w:right="10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1"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3521" w:type="dxa"/>
            <w:vMerge/>
            <w:tcBorders>
              <w:left w:val="single" w:sz="4" w:space="0" w:color="000000"/>
              <w:bottom w:val="nil" w:sz="6" w:space="0" w:color="auto"/>
              <w:right w:val="single" w:sz="4" w:space="0" w:color="000000"/>
            </w:tcBorders>
            <w:shd w:val="clear" w:color="auto" w:fill="D2D2D2"/>
          </w:tcPr>
          <w:p>
            <w:pPr/>
          </w:p>
        </w:tc>
        <w:tc>
          <w:tcPr>
            <w:tcW w:w="1193" w:type="dxa"/>
            <w:gridSpan w:val="2"/>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5"/>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8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9"/>
              <w:ind w:left="196" w:right="107"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86"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9"/>
              <w:ind w:left="196" w:right="10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10"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9"/>
              <w:ind w:left="110" w:right="108"/>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5"/>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2"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5"/>
              <w:ind w:left="9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51"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5"/>
              <w:ind w:left="29"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760"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9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0" w:hRule="exact"/>
        </w:trPr>
        <w:tc>
          <w:tcPr>
            <w:tcW w:w="3521" w:type="dxa"/>
            <w:vMerge w:val="restart"/>
            <w:tcBorders>
              <w:top w:val="nil" w:sz="6" w:space="0" w:color="auto"/>
              <w:left w:val="single" w:sz="4" w:space="0" w:color="000000"/>
              <w:right w:val="single" w:sz="4" w:space="0" w:color="000000"/>
            </w:tcBorders>
            <w:shd w:val="clear" w:color="auto" w:fill="D2D2D2"/>
          </w:tcPr>
          <w:p>
            <w:pPr/>
          </w:p>
        </w:tc>
        <w:tc>
          <w:tcPr>
            <w:tcW w:w="1193" w:type="dxa"/>
            <w:gridSpan w:val="2"/>
            <w:vMerge/>
            <w:tcBorders>
              <w:left w:val="single" w:sz="4" w:space="0" w:color="000000"/>
              <w:bottom w:val="nil" w:sz="6" w:space="0" w:color="auto"/>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410"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1151" w:type="dxa"/>
            <w:vMerge/>
            <w:tcBorders>
              <w:left w:val="single" w:sz="4" w:space="0" w:color="000000"/>
              <w:bottom w:val="nil" w:sz="6" w:space="0" w:color="auto"/>
              <w:right w:val="single" w:sz="4" w:space="0" w:color="000000"/>
            </w:tcBorders>
            <w:shd w:val="clear" w:color="auto" w:fill="D2D2D2"/>
          </w:tcPr>
          <w:p>
            <w:pPr/>
          </w:p>
        </w:tc>
        <w:tc>
          <w:tcPr>
            <w:tcW w:w="760"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3521" w:type="dxa"/>
            <w:vMerge/>
            <w:tcBorders>
              <w:left w:val="single" w:sz="4" w:space="0" w:color="000000"/>
              <w:right w:val="single" w:sz="4" w:space="0" w:color="000000"/>
            </w:tcBorders>
            <w:shd w:val="clear" w:color="auto" w:fill="D2D2D2"/>
          </w:tcPr>
          <w:p>
            <w:pPr/>
          </w:p>
        </w:tc>
        <w:tc>
          <w:tcPr>
            <w:tcW w:w="1193" w:type="dxa"/>
            <w:gridSpan w:val="2"/>
            <w:vMerge w:val="restart"/>
            <w:tcBorders>
              <w:top w:val="nil" w:sz="6" w:space="0" w:color="auto"/>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410"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c>
          <w:tcPr>
            <w:tcW w:w="1151" w:type="dxa"/>
            <w:vMerge w:val="restart"/>
            <w:tcBorders>
              <w:top w:val="nil" w:sz="6" w:space="0" w:color="auto"/>
              <w:left w:val="single" w:sz="4" w:space="0" w:color="000000"/>
              <w:right w:val="single" w:sz="4" w:space="0" w:color="000000"/>
            </w:tcBorders>
            <w:shd w:val="clear" w:color="auto" w:fill="D2D2D2"/>
          </w:tcPr>
          <w:p>
            <w:pPr/>
          </w:p>
        </w:tc>
        <w:tc>
          <w:tcPr>
            <w:tcW w:w="760"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206" w:hRule="exact"/>
        </w:trPr>
        <w:tc>
          <w:tcPr>
            <w:tcW w:w="3521" w:type="dxa"/>
            <w:vMerge/>
            <w:tcBorders>
              <w:left w:val="single" w:sz="4" w:space="0" w:color="000000"/>
              <w:bottom w:val="single" w:sz="4" w:space="0" w:color="000000"/>
              <w:right w:val="single" w:sz="4" w:space="0" w:color="000000"/>
            </w:tcBorders>
            <w:shd w:val="clear" w:color="auto" w:fill="D2D2D2"/>
          </w:tcPr>
          <w:p>
            <w:pPr/>
          </w:p>
        </w:tc>
        <w:tc>
          <w:tcPr>
            <w:tcW w:w="1193" w:type="dxa"/>
            <w:gridSpan w:val="2"/>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410"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7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787,380,220.00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854,578,190.98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15,960,000.00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42,093,637.06</w:t>
            </w:r>
          </w:p>
        </w:tc>
        <w:tc>
          <w:tcPr>
            <w:tcW w:w="7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89,953,459.93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84,224,236.20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1,842,269,744.17</w:t>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787,380,220.00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854,578,190.98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15,960,000.00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42,093,637.06</w:t>
            </w:r>
          </w:p>
        </w:tc>
        <w:tc>
          <w:tcPr>
            <w:tcW w:w="7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89,953,459.93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84,224,236.20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1,842,269,744.17</w:t>
            </w:r>
          </w:p>
        </w:tc>
      </w:tr>
      <w:tr>
        <w:trPr>
          <w:trHeight w:val="402" w:hRule="exact"/>
        </w:trPr>
        <w:tc>
          <w:tcPr>
            <w:tcW w:w="352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1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7,600,000.00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17,700,800.00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19,380,000.00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-17,199,351.33</w:t>
            </w:r>
          </w:p>
        </w:tc>
        <w:tc>
          <w:tcPr>
            <w:tcW w:w="7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778,281.44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7,004,532.97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-3,495,736.92</w:t>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gridSpan w:val="2"/>
            <w:tcBorders>
              <w:top w:val="single" w:sz="4" w:space="0" w:color="000000"/>
              <w:left w:val="single" w:sz="13" w:space="0" w:color="D2D2D2"/>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-17,199,351.33</w:t>
            </w:r>
          </w:p>
        </w:tc>
        <w:tc>
          <w:tcPr>
            <w:tcW w:w="7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7,782,814.41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-9,416,536.92</w:t>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9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7,600,000.00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17,700,800.00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19,380,000.00</w:t>
            </w:r>
          </w:p>
        </w:tc>
        <w:tc>
          <w:tcPr>
            <w:tcW w:w="1151"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5,920,800.00</w:t>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9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7,600,000.00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19,380,000.00</w:t>
            </w:r>
          </w:p>
        </w:tc>
        <w:tc>
          <w:tcPr>
            <w:tcW w:w="1151"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193" w:type="dxa"/>
            <w:gridSpan w:val="2"/>
            <w:tcBorders>
              <w:top w:val="single" w:sz="4" w:space="0" w:color="000000"/>
              <w:left w:val="single" w:sz="13" w:space="0" w:color="D2D2D2"/>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5,920,800.00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5,920,800.00</w:t>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3" w:type="dxa"/>
            <w:gridSpan w:val="2"/>
            <w:tcBorders>
              <w:top w:val="single" w:sz="4" w:space="0" w:color="000000"/>
              <w:left w:val="single" w:sz="13" w:space="0" w:color="D2D2D2"/>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778,281.44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center"/>
              <w:rPr>
                <w:rFonts w:ascii="Times New Roman" w:hAnsi="Times New Roman" w:cs="Times New Roman" w:eastAsia="Times New Roman" w:hint="default"/>
                <w:sz w:val="18"/>
                <w:szCs w:val="18"/>
              </w:rPr>
            </w:pPr>
            <w:r>
              <w:rPr>
                <w:rFonts w:ascii="Times New Roman"/>
                <w:sz w:val="18"/>
              </w:rPr>
              <w:t>-778,281.44</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gridSpan w:val="2"/>
            <w:tcBorders>
              <w:top w:val="single" w:sz="4" w:space="0" w:color="000000"/>
              <w:left w:val="single" w:sz="13" w:space="0" w:color="D2D2D2"/>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778,281.44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center"/>
              <w:rPr>
                <w:rFonts w:ascii="Times New Roman" w:hAnsi="Times New Roman" w:cs="Times New Roman" w:eastAsia="Times New Roman" w:hint="default"/>
                <w:sz w:val="18"/>
                <w:szCs w:val="18"/>
              </w:rPr>
            </w:pPr>
            <w:r>
              <w:rPr>
                <w:rFonts w:ascii="Times New Roman"/>
                <w:sz w:val="18"/>
              </w:rPr>
              <w:t>-778,281.44</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93" w:type="dxa"/>
            <w:gridSpan w:val="2"/>
            <w:tcBorders>
              <w:top w:val="single" w:sz="4" w:space="0" w:color="000000"/>
              <w:left w:val="single" w:sz="13" w:space="0" w:color="D2D2D2"/>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93" w:type="dxa"/>
            <w:gridSpan w:val="2"/>
            <w:tcBorders>
              <w:top w:val="single" w:sz="4" w:space="0" w:color="000000"/>
              <w:left w:val="single" w:sz="13" w:space="0" w:color="D2D2D2"/>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93" w:type="dxa"/>
            <w:gridSpan w:val="2"/>
            <w:tcBorders>
              <w:top w:val="single" w:sz="4" w:space="0" w:color="000000"/>
              <w:left w:val="single" w:sz="13" w:space="0" w:color="D2D2D2"/>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93" w:type="dxa"/>
            <w:gridSpan w:val="2"/>
            <w:tcBorders>
              <w:top w:val="single" w:sz="4" w:space="0" w:color="000000"/>
              <w:left w:val="single" w:sz="13" w:space="0" w:color="D2D2D2"/>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3" w:type="dxa"/>
            <w:gridSpan w:val="2"/>
            <w:tcBorders>
              <w:top w:val="single" w:sz="4" w:space="0" w:color="000000"/>
              <w:left w:val="single" w:sz="13" w:space="0" w:color="D2D2D2"/>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794,980,220.00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872,278,990.98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35,340,000.00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24,894,285.73</w:t>
            </w:r>
          </w:p>
        </w:tc>
        <w:tc>
          <w:tcPr>
            <w:tcW w:w="7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90,731,741.37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91,228,769.17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1,838,774,007.25</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00" w:right="1300"/>
        </w:sectPr>
      </w:pPr>
    </w:p>
    <w:p>
      <w:pPr>
        <w:spacing w:line="240" w:lineRule="auto" w:before="12"/>
        <w:rPr>
          <w:rFonts w:ascii="宋体" w:hAnsi="宋体" w:cs="宋体" w:eastAsia="宋体" w:hint="default"/>
          <w:sz w:val="2"/>
          <w:szCs w:val="2"/>
        </w:rPr>
      </w:pPr>
      <w:r>
        <w:rPr/>
        <w:pict>
          <v:group style="position:absolute;margin-left:247.940002pt;margin-top:207.920013pt;width:57.45pt;height:20.85pt;mso-position-horizontal-relative:page;mso-position-vertical-relative:page;z-index:-1003648" coordorigin="4959,4158" coordsize="1149,417">
            <v:group style="position:absolute;left:4971;top:4170;width:2;height:393" coordorigin="4971,4170" coordsize="2,393">
              <v:shape style="position:absolute;left:4971;top:4170;width:2;height:393" coordorigin="4971,4170" coordsize="0,393" path="m4971,4170l4971,4563e" filled="false" stroked="true" strokeweight="1.2pt" strokecolor="#ffffff">
                <v:path arrowok="t"/>
              </v:shape>
            </v:group>
            <v:group style="position:absolute;left:4983;top:4170;width:1125;height:393" coordorigin="4983,4170" coordsize="1125,393">
              <v:shape style="position:absolute;left:4983;top:4170;width:1125;height:393" coordorigin="4983,4170" coordsize="1125,393" path="m4983,4563l6107,4563,6107,4170,4983,4170,4983,4563xe" filled="true" fillcolor="#ffffff" stroked="false">
                <v:path arrowok="t"/>
                <v:fill type="solid"/>
              </v:shape>
            </v:group>
            <w10:wrap type="none"/>
          </v:group>
        </w:pict>
      </w: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0"/>
        <w:ind w:left="140" w:right="3908"/>
        <w:jc w:val="left"/>
      </w:pPr>
      <w:r>
        <w:rPr/>
        <w:t>上期金额</w:t>
      </w:r>
    </w:p>
    <w:p>
      <w:pPr>
        <w:pStyle w:val="BodyText"/>
        <w:spacing w:line="240" w:lineRule="auto" w:before="116"/>
        <w:ind w:left="0" w:right="136"/>
        <w:jc w:val="right"/>
      </w:pPr>
      <w:r>
        <w:rPr/>
        <w:t>单位：元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491"/>
        <w:gridCol w:w="118"/>
        <w:gridCol w:w="1076"/>
        <w:gridCol w:w="582"/>
        <w:gridCol w:w="582"/>
        <w:gridCol w:w="408"/>
        <w:gridCol w:w="1182"/>
        <w:gridCol w:w="1151"/>
        <w:gridCol w:w="1134"/>
        <w:gridCol w:w="754"/>
        <w:gridCol w:w="1091"/>
        <w:gridCol w:w="1091"/>
        <w:gridCol w:w="1316"/>
      </w:tblGrid>
      <w:tr>
        <w:trPr>
          <w:trHeight w:val="397" w:hRule="exact"/>
        </w:trPr>
        <w:tc>
          <w:tcPr>
            <w:tcW w:w="3491" w:type="dxa"/>
            <w:vMerge w:val="restart"/>
            <w:tcBorders>
              <w:top w:val="single" w:sz="4" w:space="0" w:color="000000"/>
              <w:left w:val="single" w:sz="4" w:space="0" w:color="000000"/>
              <w:right w:val="single" w:sz="4" w:space="0" w:color="000000"/>
            </w:tcBorders>
            <w:shd w:val="clear" w:color="auto" w:fill="D2D2D2"/>
          </w:tcPr>
          <w:p>
            <w:pPr/>
          </w:p>
        </w:tc>
        <w:tc>
          <w:tcPr>
            <w:tcW w:w="1048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88" w:hRule="exact"/>
        </w:trPr>
        <w:tc>
          <w:tcPr>
            <w:tcW w:w="3491" w:type="dxa"/>
            <w:vMerge/>
            <w:tcBorders>
              <w:left w:val="single" w:sz="4" w:space="0" w:color="000000"/>
              <w:bottom w:val="nil" w:sz="6" w:space="0" w:color="auto"/>
              <w:right w:val="single" w:sz="4" w:space="0" w:color="000000"/>
            </w:tcBorders>
            <w:shd w:val="clear" w:color="auto" w:fill="D2D2D2"/>
          </w:tcPr>
          <w:p>
            <w:pPr/>
          </w:p>
        </w:tc>
        <w:tc>
          <w:tcPr>
            <w:tcW w:w="1193" w:type="dxa"/>
            <w:gridSpan w:val="2"/>
            <w:vMerge w:val="restart"/>
            <w:tcBorders>
              <w:top w:val="single" w:sz="4" w:space="0" w:color="000000"/>
              <w:left w:val="single" w:sz="4" w:space="0" w:color="000000"/>
              <w:right w:val="single" w:sz="4" w:space="0" w:color="000000"/>
            </w:tcBorders>
            <w:shd w:val="clear" w:color="auto" w:fill="D2D2D2"/>
          </w:tcPr>
          <w:p>
            <w:pPr/>
          </w:p>
        </w:tc>
        <w:tc>
          <w:tcPr>
            <w:tcW w:w="15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2" w:type="dxa"/>
            <w:vMerge w:val="restart"/>
            <w:tcBorders>
              <w:top w:val="single" w:sz="4" w:space="0" w:color="000000"/>
              <w:left w:val="single" w:sz="4" w:space="0" w:color="000000"/>
              <w:right w:val="single" w:sz="4" w:space="0" w:color="000000"/>
            </w:tcBorders>
            <w:shd w:val="clear" w:color="auto" w:fill="D2D2D2"/>
          </w:tcPr>
          <w:p>
            <w:pPr/>
          </w:p>
        </w:tc>
        <w:tc>
          <w:tcPr>
            <w:tcW w:w="1151" w:type="dxa"/>
            <w:vMerge w:val="restart"/>
            <w:tcBorders>
              <w:top w:val="single" w:sz="4" w:space="0" w:color="000000"/>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187" w:hRule="exact"/>
        </w:trPr>
        <w:tc>
          <w:tcPr>
            <w:tcW w:w="34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gridSpan w:val="2"/>
            <w:vMerge/>
            <w:tcBorders>
              <w:left w:val="single" w:sz="4" w:space="0" w:color="000000"/>
              <w:bottom w:val="single" w:sz="14" w:space="0" w:color="FFFFFF"/>
              <w:right w:val="single" w:sz="4" w:space="0" w:color="000000"/>
            </w:tcBorders>
            <w:shd w:val="clear" w:color="auto" w:fill="D2D2D2"/>
          </w:tcPr>
          <w:p>
            <w:pPr/>
          </w:p>
        </w:tc>
        <w:tc>
          <w:tcPr>
            <w:tcW w:w="1572" w:type="dxa"/>
            <w:gridSpan w:val="3"/>
            <w:vMerge/>
            <w:tcBorders>
              <w:left w:val="single" w:sz="4" w:space="0" w:color="000000"/>
              <w:bottom w:val="single" w:sz="14" w:space="0" w:color="FFFFFF"/>
              <w:right w:val="single" w:sz="4" w:space="0" w:color="000000"/>
            </w:tcBorders>
            <w:shd w:val="clear" w:color="auto" w:fill="D2D2D2"/>
          </w:tcPr>
          <w:p>
            <w:pPr/>
          </w:p>
        </w:tc>
        <w:tc>
          <w:tcPr>
            <w:tcW w:w="1182" w:type="dxa"/>
            <w:vMerge/>
            <w:tcBorders>
              <w:left w:val="single" w:sz="4" w:space="0" w:color="000000"/>
              <w:bottom w:val="single" w:sz="14" w:space="0" w:color="FFFFFF"/>
              <w:right w:val="single" w:sz="4" w:space="0" w:color="000000"/>
            </w:tcBorders>
            <w:shd w:val="clear" w:color="auto" w:fill="D2D2D2"/>
          </w:tcPr>
          <w:p>
            <w:pPr/>
          </w:p>
        </w:tc>
        <w:tc>
          <w:tcPr>
            <w:tcW w:w="1151" w:type="dxa"/>
            <w:vMerge/>
            <w:tcBorders>
              <w:left w:val="single" w:sz="4" w:space="0" w:color="000000"/>
              <w:bottom w:val="single" w:sz="14" w:space="0" w:color="FFFFFF"/>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471"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5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1" w:right="10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1"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83" w:hRule="exact"/>
        </w:trPr>
        <w:tc>
          <w:tcPr>
            <w:tcW w:w="3491" w:type="dxa"/>
            <w:vMerge/>
            <w:tcBorders>
              <w:left w:val="single" w:sz="4" w:space="0" w:color="000000"/>
              <w:bottom w:val="nil" w:sz="6" w:space="0" w:color="auto"/>
              <w:right w:val="single" w:sz="4" w:space="0" w:color="000000"/>
            </w:tcBorders>
            <w:shd w:val="clear" w:color="auto" w:fill="D2D2D2"/>
          </w:tcPr>
          <w:p>
            <w:pPr/>
          </w:p>
        </w:tc>
        <w:tc>
          <w:tcPr>
            <w:tcW w:w="1193" w:type="dxa"/>
            <w:gridSpan w:val="2"/>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4"/>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82"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70"/>
              <w:ind w:left="195" w:right="104"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82"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70"/>
              <w:ind w:left="195" w:right="104"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08"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70"/>
              <w:ind w:left="109" w:right="107"/>
              <w:jc w:val="left"/>
              <w:rPr>
                <w:rFonts w:ascii="宋体" w:hAnsi="宋体" w:cs="宋体" w:eastAsia="宋体" w:hint="default"/>
                <w:sz w:val="18"/>
                <w:szCs w:val="18"/>
              </w:rPr>
            </w:pPr>
            <w:r>
              <w:rPr>
                <w:rFonts w:ascii="宋体" w:hAnsi="宋体" w:cs="宋体" w:eastAsia="宋体" w:hint="default"/>
                <w:sz w:val="18"/>
                <w:szCs w:val="18"/>
              </w:rPr>
              <w:t>其 他</w:t>
            </w:r>
          </w:p>
        </w:tc>
        <w:tc>
          <w:tcPr>
            <w:tcW w:w="1182"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4"/>
              <w:ind w:left="22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51"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4"/>
              <w:ind w:left="12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4" w:type="dxa"/>
            <w:vMerge/>
            <w:tcBorders>
              <w:left w:val="single" w:sz="4" w:space="0" w:color="000000"/>
              <w:right w:val="single" w:sz="4" w:space="0" w:color="000000"/>
            </w:tcBorders>
            <w:shd w:val="clear" w:color="auto" w:fill="D2D2D2"/>
          </w:tcPr>
          <w:p>
            <w:pPr/>
          </w:p>
        </w:tc>
        <w:tc>
          <w:tcPr>
            <w:tcW w:w="754"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9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0" w:hRule="exact"/>
        </w:trPr>
        <w:tc>
          <w:tcPr>
            <w:tcW w:w="3491" w:type="dxa"/>
            <w:vMerge w:val="restart"/>
            <w:tcBorders>
              <w:top w:val="nil" w:sz="6" w:space="0" w:color="auto"/>
              <w:left w:val="single" w:sz="4" w:space="0" w:color="000000"/>
              <w:right w:val="single" w:sz="4" w:space="0" w:color="000000"/>
            </w:tcBorders>
            <w:shd w:val="clear" w:color="auto" w:fill="D2D2D2"/>
          </w:tcPr>
          <w:p>
            <w:pPr/>
          </w:p>
        </w:tc>
        <w:tc>
          <w:tcPr>
            <w:tcW w:w="1193" w:type="dxa"/>
            <w:gridSpan w:val="2"/>
            <w:vMerge/>
            <w:tcBorders>
              <w:left w:val="single" w:sz="4" w:space="0" w:color="000000"/>
              <w:bottom w:val="nil" w:sz="6" w:space="0" w:color="auto"/>
              <w:right w:val="single" w:sz="4" w:space="0" w:color="000000"/>
            </w:tcBorders>
            <w:shd w:val="clear" w:color="auto" w:fill="D2D2D2"/>
          </w:tcPr>
          <w:p>
            <w:pPr/>
          </w:p>
        </w:tc>
        <w:tc>
          <w:tcPr>
            <w:tcW w:w="582" w:type="dxa"/>
            <w:vMerge/>
            <w:tcBorders>
              <w:left w:val="single" w:sz="4" w:space="0" w:color="000000"/>
              <w:right w:val="single" w:sz="4" w:space="0" w:color="000000"/>
            </w:tcBorders>
            <w:shd w:val="clear" w:color="auto" w:fill="D2D2D2"/>
          </w:tcPr>
          <w:p>
            <w:pPr/>
          </w:p>
        </w:tc>
        <w:tc>
          <w:tcPr>
            <w:tcW w:w="582" w:type="dxa"/>
            <w:vMerge/>
            <w:tcBorders>
              <w:left w:val="single" w:sz="4" w:space="0" w:color="000000"/>
              <w:right w:val="single" w:sz="4" w:space="0" w:color="000000"/>
            </w:tcBorders>
            <w:shd w:val="clear" w:color="auto" w:fill="D2D2D2"/>
          </w:tcPr>
          <w:p>
            <w:pPr/>
          </w:p>
        </w:tc>
        <w:tc>
          <w:tcPr>
            <w:tcW w:w="408" w:type="dxa"/>
            <w:vMerge/>
            <w:tcBorders>
              <w:left w:val="single" w:sz="4" w:space="0" w:color="000000"/>
              <w:right w:val="single" w:sz="4" w:space="0" w:color="000000"/>
            </w:tcBorders>
            <w:shd w:val="clear" w:color="auto" w:fill="D2D2D2"/>
          </w:tcPr>
          <w:p>
            <w:pPr/>
          </w:p>
        </w:tc>
        <w:tc>
          <w:tcPr>
            <w:tcW w:w="1182" w:type="dxa"/>
            <w:vMerge/>
            <w:tcBorders>
              <w:left w:val="single" w:sz="4" w:space="0" w:color="000000"/>
              <w:bottom w:val="nil" w:sz="6" w:space="0" w:color="auto"/>
              <w:right w:val="single" w:sz="4" w:space="0" w:color="000000"/>
            </w:tcBorders>
            <w:shd w:val="clear" w:color="auto" w:fill="D2D2D2"/>
          </w:tcPr>
          <w:p>
            <w:pPr/>
          </w:p>
        </w:tc>
        <w:tc>
          <w:tcPr>
            <w:tcW w:w="1151"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754"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3491" w:type="dxa"/>
            <w:vMerge/>
            <w:tcBorders>
              <w:left w:val="single" w:sz="4" w:space="0" w:color="000000"/>
              <w:right w:val="single" w:sz="4" w:space="0" w:color="000000"/>
            </w:tcBorders>
            <w:shd w:val="clear" w:color="auto" w:fill="D2D2D2"/>
          </w:tcPr>
          <w:p>
            <w:pPr/>
          </w:p>
        </w:tc>
        <w:tc>
          <w:tcPr>
            <w:tcW w:w="1193" w:type="dxa"/>
            <w:gridSpan w:val="2"/>
            <w:vMerge w:val="restart"/>
            <w:tcBorders>
              <w:top w:val="nil" w:sz="6" w:space="0" w:color="auto"/>
              <w:left w:val="single" w:sz="4" w:space="0" w:color="000000"/>
              <w:right w:val="single" w:sz="4" w:space="0" w:color="000000"/>
            </w:tcBorders>
            <w:shd w:val="clear" w:color="auto" w:fill="D2D2D2"/>
          </w:tcPr>
          <w:p>
            <w:pPr/>
          </w:p>
        </w:tc>
        <w:tc>
          <w:tcPr>
            <w:tcW w:w="582" w:type="dxa"/>
            <w:vMerge/>
            <w:tcBorders>
              <w:left w:val="single" w:sz="4" w:space="0" w:color="000000"/>
              <w:right w:val="single" w:sz="4" w:space="0" w:color="000000"/>
            </w:tcBorders>
            <w:shd w:val="clear" w:color="auto" w:fill="D2D2D2"/>
          </w:tcPr>
          <w:p>
            <w:pPr/>
          </w:p>
        </w:tc>
        <w:tc>
          <w:tcPr>
            <w:tcW w:w="582" w:type="dxa"/>
            <w:vMerge/>
            <w:tcBorders>
              <w:left w:val="single" w:sz="4" w:space="0" w:color="000000"/>
              <w:right w:val="single" w:sz="4" w:space="0" w:color="000000"/>
            </w:tcBorders>
            <w:shd w:val="clear" w:color="auto" w:fill="D2D2D2"/>
          </w:tcPr>
          <w:p>
            <w:pPr/>
          </w:p>
        </w:tc>
        <w:tc>
          <w:tcPr>
            <w:tcW w:w="408" w:type="dxa"/>
            <w:vMerge/>
            <w:tcBorders>
              <w:left w:val="single" w:sz="4" w:space="0" w:color="000000"/>
              <w:right w:val="single" w:sz="4" w:space="0" w:color="000000"/>
            </w:tcBorders>
            <w:shd w:val="clear" w:color="auto" w:fill="D2D2D2"/>
          </w:tcPr>
          <w:p>
            <w:pPr/>
          </w:p>
        </w:tc>
        <w:tc>
          <w:tcPr>
            <w:tcW w:w="1182" w:type="dxa"/>
            <w:vMerge w:val="restart"/>
            <w:tcBorders>
              <w:top w:val="nil" w:sz="6" w:space="0" w:color="auto"/>
              <w:left w:val="single" w:sz="4" w:space="0" w:color="000000"/>
              <w:right w:val="single" w:sz="4" w:space="0" w:color="000000"/>
            </w:tcBorders>
            <w:shd w:val="clear" w:color="auto" w:fill="D2D2D2"/>
          </w:tcPr>
          <w:p>
            <w:pPr/>
          </w:p>
        </w:tc>
        <w:tc>
          <w:tcPr>
            <w:tcW w:w="1151" w:type="dxa"/>
            <w:vMerge w:val="restart"/>
            <w:tcBorders>
              <w:top w:val="nil" w:sz="6" w:space="0" w:color="auto"/>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54"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206" w:hRule="exact"/>
        </w:trPr>
        <w:tc>
          <w:tcPr>
            <w:tcW w:w="3491" w:type="dxa"/>
            <w:vMerge/>
            <w:tcBorders>
              <w:left w:val="single" w:sz="4" w:space="0" w:color="000000"/>
              <w:bottom w:val="single" w:sz="4" w:space="0" w:color="000000"/>
              <w:right w:val="single" w:sz="4" w:space="0" w:color="000000"/>
            </w:tcBorders>
            <w:shd w:val="clear" w:color="auto" w:fill="D2D2D2"/>
          </w:tcPr>
          <w:p>
            <w:pPr/>
          </w:p>
        </w:tc>
        <w:tc>
          <w:tcPr>
            <w:tcW w:w="1193" w:type="dxa"/>
            <w:gridSpan w:val="2"/>
            <w:vMerge/>
            <w:tcBorders>
              <w:left w:val="single" w:sz="4" w:space="0" w:color="000000"/>
              <w:bottom w:val="single" w:sz="4" w:space="0" w:color="000000"/>
              <w:right w:val="single" w:sz="4" w:space="0" w:color="000000"/>
            </w:tcBorders>
            <w:shd w:val="clear" w:color="auto" w:fill="D2D2D2"/>
          </w:tcPr>
          <w:p>
            <w:pPr/>
          </w:p>
        </w:tc>
        <w:tc>
          <w:tcPr>
            <w:tcW w:w="582" w:type="dxa"/>
            <w:vMerge/>
            <w:tcBorders>
              <w:left w:val="single" w:sz="4" w:space="0" w:color="000000"/>
              <w:bottom w:val="single" w:sz="4" w:space="0" w:color="000000"/>
              <w:right w:val="single" w:sz="4" w:space="0" w:color="000000"/>
            </w:tcBorders>
            <w:shd w:val="clear" w:color="auto" w:fill="D2D2D2"/>
          </w:tcPr>
          <w:p>
            <w:pPr/>
          </w:p>
        </w:tc>
        <w:tc>
          <w:tcPr>
            <w:tcW w:w="582" w:type="dxa"/>
            <w:vMerge/>
            <w:tcBorders>
              <w:left w:val="single" w:sz="4" w:space="0" w:color="000000"/>
              <w:bottom w:val="single" w:sz="4" w:space="0" w:color="000000"/>
              <w:right w:val="single" w:sz="4" w:space="0" w:color="000000"/>
            </w:tcBorders>
            <w:shd w:val="clear" w:color="auto" w:fill="D2D2D2"/>
          </w:tcPr>
          <w:p>
            <w:pPr/>
          </w:p>
        </w:tc>
        <w:tc>
          <w:tcPr>
            <w:tcW w:w="408" w:type="dxa"/>
            <w:vMerge/>
            <w:tcBorders>
              <w:left w:val="single" w:sz="4" w:space="0" w:color="000000"/>
              <w:bottom w:val="single" w:sz="4" w:space="0" w:color="000000"/>
              <w:right w:val="single" w:sz="4" w:space="0" w:color="000000"/>
            </w:tcBorders>
            <w:shd w:val="clear" w:color="auto" w:fill="D2D2D2"/>
          </w:tcPr>
          <w:p>
            <w:pPr/>
          </w:p>
        </w:tc>
        <w:tc>
          <w:tcPr>
            <w:tcW w:w="1182"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796,907,220.00</w:t>
            </w:r>
          </w:p>
        </w:tc>
        <w:tc>
          <w:tcPr>
            <w:tcW w:w="58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919,598,829.05</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94,355,160.00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36,127,192.95</w:t>
            </w:r>
          </w:p>
        </w:tc>
        <w:tc>
          <w:tcPr>
            <w:tcW w:w="75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88,735,613.49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73,263,618.24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1,820,277,313.73</w:t>
            </w:r>
          </w:p>
        </w:tc>
      </w:tr>
      <w:tr>
        <w:trPr>
          <w:trHeight w:val="402" w:hRule="exact"/>
        </w:trPr>
        <w:tc>
          <w:tcPr>
            <w:tcW w:w="3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796,907,220.00</w:t>
            </w:r>
          </w:p>
        </w:tc>
        <w:tc>
          <w:tcPr>
            <w:tcW w:w="58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919,598,829.05</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94,355,160.00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36,127,192.95</w:t>
            </w:r>
          </w:p>
        </w:tc>
        <w:tc>
          <w:tcPr>
            <w:tcW w:w="75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88,735,613.49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73,263,618.24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1,820,277,313.73</w:t>
            </w:r>
          </w:p>
        </w:tc>
      </w:tr>
      <w:tr>
        <w:trPr>
          <w:trHeight w:val="402" w:hRule="exact"/>
        </w:trPr>
        <w:tc>
          <w:tcPr>
            <w:tcW w:w="3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-9,527,000.00</w:t>
            </w:r>
          </w:p>
        </w:tc>
        <w:tc>
          <w:tcPr>
            <w:tcW w:w="58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-65,020,638.07</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-78,395,160.00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5,966,444.11</w:t>
            </w:r>
          </w:p>
        </w:tc>
        <w:tc>
          <w:tcPr>
            <w:tcW w:w="75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1,217,846.44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10,960,617.96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21,992,430.44</w:t>
            </w:r>
          </w:p>
        </w:tc>
      </w:tr>
      <w:tr>
        <w:trPr>
          <w:trHeight w:val="402" w:hRule="exact"/>
        </w:trPr>
        <w:tc>
          <w:tcPr>
            <w:tcW w:w="3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gridSpan w:val="2"/>
            <w:tcBorders>
              <w:top w:val="single" w:sz="4" w:space="0" w:color="000000"/>
              <w:left w:val="single" w:sz="13" w:space="0" w:color="D2D2D2"/>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5,966,444.11</w:t>
            </w:r>
          </w:p>
        </w:tc>
        <w:tc>
          <w:tcPr>
            <w:tcW w:w="75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12,178,464.40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18,144,908.51</w:t>
            </w:r>
          </w:p>
        </w:tc>
      </w:tr>
      <w:tr>
        <w:trPr>
          <w:trHeight w:val="402" w:hRule="exact"/>
        </w:trPr>
        <w:tc>
          <w:tcPr>
            <w:tcW w:w="3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9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-9,527,000.00</w:t>
            </w:r>
          </w:p>
        </w:tc>
        <w:tc>
          <w:tcPr>
            <w:tcW w:w="58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-65,020,638.07</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-78,395,160.00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3,847,521.93</w:t>
            </w:r>
          </w:p>
        </w:tc>
      </w:tr>
      <w:tr>
        <w:trPr>
          <w:trHeight w:val="402" w:hRule="exact"/>
        </w:trPr>
        <w:tc>
          <w:tcPr>
            <w:tcW w:w="3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9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-9,527,000.00</w:t>
            </w:r>
          </w:p>
        </w:tc>
        <w:tc>
          <w:tcPr>
            <w:tcW w:w="58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-68,868,160.00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-78,395,160.00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193" w:type="dxa"/>
            <w:gridSpan w:val="2"/>
            <w:tcBorders>
              <w:top w:val="single" w:sz="4" w:space="0" w:color="000000"/>
              <w:left w:val="single" w:sz="13" w:space="0" w:color="D2D2D2"/>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3,847,521.93</w:t>
            </w:r>
          </w:p>
        </w:tc>
        <w:tc>
          <w:tcPr>
            <w:tcW w:w="11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3,847,521.93</w:t>
            </w:r>
          </w:p>
        </w:tc>
      </w:tr>
      <w:tr>
        <w:trPr>
          <w:trHeight w:val="402" w:hRule="exact"/>
        </w:trPr>
        <w:tc>
          <w:tcPr>
            <w:tcW w:w="3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3" w:type="dxa"/>
            <w:gridSpan w:val="2"/>
            <w:tcBorders>
              <w:top w:val="single" w:sz="4" w:space="0" w:color="000000"/>
              <w:left w:val="single" w:sz="13" w:space="0" w:color="D2D2D2"/>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1,217,846.44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-1,217,846.44</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gridSpan w:val="2"/>
            <w:tcBorders>
              <w:top w:val="single" w:sz="4" w:space="0" w:color="000000"/>
              <w:left w:val="single" w:sz="13" w:space="0" w:color="D2D2D2"/>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1,217,846.44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-1,217,846.44</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93" w:type="dxa"/>
            <w:gridSpan w:val="2"/>
            <w:tcBorders>
              <w:top w:val="single" w:sz="4" w:space="0" w:color="000000"/>
              <w:left w:val="single" w:sz="13" w:space="0" w:color="D2D2D2"/>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93" w:type="dxa"/>
            <w:gridSpan w:val="2"/>
            <w:tcBorders>
              <w:top w:val="single" w:sz="4" w:space="0" w:color="000000"/>
              <w:left w:val="single" w:sz="13" w:space="0" w:color="D2D2D2"/>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3" w:type="dxa"/>
            <w:gridSpan w:val="2"/>
            <w:tcBorders>
              <w:top w:val="single" w:sz="4" w:space="0" w:color="000000"/>
              <w:left w:val="single" w:sz="13" w:space="0" w:color="D2D2D2"/>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787,380,220.00</w:t>
            </w:r>
          </w:p>
        </w:tc>
        <w:tc>
          <w:tcPr>
            <w:tcW w:w="58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854,578,190.98</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42,093,637.06</w:t>
            </w:r>
          </w:p>
        </w:tc>
        <w:tc>
          <w:tcPr>
            <w:tcW w:w="75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89,953,459.93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84,224,236.20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1,842,269,744.17</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00" w:right="130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三、公司基本情况" w:id="164"/>
      <w:bookmarkEnd w:id="164"/>
      <w:r>
        <w:rPr>
          <w:b w:val="0"/>
          <w:bCs w:val="0"/>
        </w:rPr>
      </w:r>
      <w:r>
        <w:rPr/>
        <w:t>三、公司基本情况</w:t>
      </w:r>
      <w:r>
        <w:rPr>
          <w:b w:val="0"/>
          <w:bCs w:val="0"/>
        </w:rPr>
      </w:r>
    </w:p>
    <w:p>
      <w:pPr>
        <w:spacing w:line="240" w:lineRule="auto" w:before="9"/>
        <w:rPr>
          <w:rFonts w:ascii="宋体" w:hAnsi="宋体" w:cs="宋体" w:eastAsia="宋体" w:hint="default"/>
          <w:b/>
          <w:bCs/>
          <w:sz w:val="22"/>
          <w:szCs w:val="22"/>
        </w:rPr>
      </w:pPr>
    </w:p>
    <w:p>
      <w:pPr>
        <w:pStyle w:val="Heading2"/>
        <w:spacing w:line="240" w:lineRule="auto"/>
        <w:ind w:right="0"/>
        <w:jc w:val="left"/>
        <w:rPr>
          <w:b w:val="0"/>
          <w:bCs w:val="0"/>
        </w:rPr>
      </w:pPr>
      <w:r>
        <w:rPr>
          <w:rFonts w:ascii="Times New Roman" w:hAnsi="Times New Roman" w:cs="Times New Roman" w:eastAsia="Times New Roman" w:hint="default"/>
        </w:rPr>
        <w:t>1</w:t>
      </w:r>
      <w:r>
        <w:rPr/>
        <w:t>、公司组织形式、注册地和总部地址</w:t>
      </w:r>
      <w:r>
        <w:rPr>
          <w:b w:val="0"/>
          <w:bCs w:val="0"/>
        </w:rPr>
      </w:r>
    </w:p>
    <w:p>
      <w:pPr>
        <w:pStyle w:val="BodyText"/>
        <w:spacing w:line="319" w:lineRule="auto" w:before="29"/>
        <w:ind w:right="1196" w:firstLine="481"/>
        <w:jc w:val="both"/>
      </w:pPr>
      <w:r>
        <w:rPr/>
        <w:t>二六三网络通信股份有限公司</w:t>
      </w:r>
      <w:r>
        <w:rPr>
          <w:rFonts w:ascii="宋体" w:hAnsi="宋体" w:cs="宋体" w:eastAsia="宋体" w:hint="default"/>
        </w:rPr>
        <w:t>(</w:t>
      </w:r>
      <w:r>
        <w:rPr/>
        <w:t>以下简称“本公司”、“公司”</w:t>
      </w:r>
      <w:r>
        <w:rPr>
          <w:rFonts w:ascii="宋体" w:hAnsi="宋体" w:cs="宋体" w:eastAsia="宋体" w:hint="default"/>
        </w:rPr>
        <w:t>)</w:t>
      </w:r>
      <w:r>
        <w:rPr/>
        <w:t>于</w:t>
      </w:r>
      <w:r>
        <w:rPr>
          <w:rFonts w:ascii="宋体" w:hAnsi="宋体" w:cs="宋体" w:eastAsia="宋体" w:hint="default"/>
        </w:rPr>
        <w:t>1999</w:t>
      </w:r>
      <w:r>
        <w:rPr/>
        <w:t>年</w:t>
      </w:r>
      <w:r>
        <w:rPr>
          <w:rFonts w:ascii="宋体" w:hAnsi="宋体" w:cs="宋体" w:eastAsia="宋体" w:hint="default"/>
        </w:rPr>
        <w:t>12</w:t>
      </w:r>
      <w:r>
        <w:rPr/>
        <w:t>月</w:t>
      </w:r>
      <w:r>
        <w:rPr>
          <w:rFonts w:ascii="宋体" w:hAnsi="宋体" w:cs="宋体" w:eastAsia="宋体" w:hint="default"/>
        </w:rPr>
        <w:t>16</w:t>
      </w:r>
      <w:r>
        <w:rPr/>
        <w:t>日设立，</w:t>
      </w:r>
      <w:r>
        <w:rPr>
          <w:rFonts w:ascii="宋体" w:hAnsi="宋体" w:cs="宋体" w:eastAsia="宋体" w:hint="default"/>
        </w:rPr>
        <w:t>2003</w:t>
      </w:r>
      <w:r>
        <w:rPr/>
        <w:t>年</w:t>
      </w:r>
      <w:r>
        <w:rPr>
          <w:rFonts w:ascii="宋体" w:hAnsi="宋体" w:cs="宋体" w:eastAsia="宋体" w:hint="default"/>
        </w:rPr>
        <w:t>6</w:t>
      </w:r>
      <w:r>
        <w:rPr/>
        <w:t>月</w:t>
      </w:r>
      <w:r>
        <w:rPr>
          <w:rFonts w:ascii="宋体" w:hAnsi="宋体" w:cs="宋体" w:eastAsia="宋体" w:hint="default"/>
        </w:rPr>
        <w:t>18</w:t>
      </w:r>
      <w:r>
        <w:rPr/>
        <w:t>日整体变更为 股份有限公司，变更后股份总额为</w:t>
      </w:r>
      <w:r>
        <w:rPr>
          <w:rFonts w:ascii="宋体" w:hAnsi="宋体" w:cs="宋体" w:eastAsia="宋体" w:hint="default"/>
        </w:rPr>
        <w:t>9,000.00</w:t>
      </w:r>
      <w:r>
        <w:rPr/>
        <w:t>万股，注册资本人民币</w:t>
      </w:r>
      <w:r>
        <w:rPr>
          <w:rFonts w:ascii="宋体" w:hAnsi="宋体" w:cs="宋体" w:eastAsia="宋体" w:hint="default"/>
        </w:rPr>
        <w:t>9,000.00</w:t>
      </w:r>
      <w:r>
        <w:rPr/>
        <w:t>万元。</w:t>
      </w:r>
    </w:p>
    <w:p>
      <w:pPr>
        <w:pStyle w:val="BodyText"/>
        <w:spacing w:line="316" w:lineRule="auto" w:before="17"/>
        <w:ind w:right="1122" w:firstLine="481"/>
        <w:jc w:val="left"/>
      </w:pPr>
      <w:r>
        <w:rPr/>
        <w:t>根据本公司</w:t>
      </w:r>
      <w:r>
        <w:rPr>
          <w:rFonts w:ascii="宋体" w:hAnsi="宋体" w:cs="宋体" w:eastAsia="宋体" w:hint="default"/>
        </w:rPr>
        <w:t>2010</w:t>
      </w:r>
      <w:r>
        <w:rPr/>
        <w:t>年第一次临时股东大会通过的决议及中国证券监督管理委员会</w:t>
      </w:r>
      <w:r>
        <w:rPr>
          <w:rFonts w:ascii="宋体" w:hAnsi="宋体" w:cs="宋体" w:eastAsia="宋体" w:hint="default"/>
        </w:rPr>
        <w:t>(</w:t>
      </w:r>
      <w:r>
        <w:rPr/>
        <w:t>以下简称“证监会”</w:t>
      </w:r>
      <w:r>
        <w:rPr>
          <w:rFonts w:ascii="宋体" w:hAnsi="宋体" w:cs="宋体" w:eastAsia="宋体" w:hint="default"/>
        </w:rPr>
        <w:t>)</w:t>
      </w:r>
      <w:r>
        <w:rPr/>
        <w:t>证监许可 </w:t>
      </w:r>
      <w:r>
        <w:rPr>
          <w:rFonts w:ascii="宋体" w:hAnsi="宋体" w:cs="宋体" w:eastAsia="宋体" w:hint="default"/>
        </w:rPr>
        <w:t>[2010]871</w:t>
      </w:r>
      <w:r>
        <w:rPr/>
        <w:t>号文 《关于核准二六三网络通信股份有限公司首次公开发行股票的批复》，</w:t>
      </w:r>
      <w:r>
        <w:rPr>
          <w:rFonts w:ascii="宋体" w:hAnsi="宋体" w:cs="宋体" w:eastAsia="宋体" w:hint="default"/>
        </w:rPr>
        <w:t>2010</w:t>
      </w:r>
      <w:r>
        <w:rPr/>
        <w:t>年</w:t>
      </w:r>
      <w:r>
        <w:rPr>
          <w:rFonts w:ascii="宋体" w:hAnsi="宋体" w:cs="宋体" w:eastAsia="宋体" w:hint="default"/>
        </w:rPr>
        <w:t>8</w:t>
      </w:r>
      <w:r>
        <w:rPr/>
        <w:t>月</w:t>
      </w:r>
      <w:r>
        <w:rPr>
          <w:rFonts w:ascii="宋体" w:hAnsi="宋体" w:cs="宋体" w:eastAsia="宋体" w:hint="default"/>
        </w:rPr>
        <w:t>25</w:t>
      </w:r>
      <w:r>
        <w:rPr/>
        <w:t>日本公司首次公开发行 人民币普通股</w:t>
      </w:r>
      <w:r>
        <w:rPr>
          <w:rFonts w:ascii="宋体" w:hAnsi="宋体" w:cs="宋体" w:eastAsia="宋体" w:hint="default"/>
        </w:rPr>
        <w:t>(A</w:t>
      </w:r>
      <w:r>
        <w:rPr/>
        <w:t>股</w:t>
      </w:r>
      <w:r>
        <w:rPr>
          <w:rFonts w:ascii="宋体" w:hAnsi="宋体" w:cs="宋体" w:eastAsia="宋体" w:hint="default"/>
        </w:rPr>
        <w:t>)3,000.00</w:t>
      </w:r>
      <w:r>
        <w:rPr/>
        <w:t>万股，</w:t>
      </w:r>
      <w:r>
        <w:rPr>
          <w:rFonts w:ascii="宋体" w:hAnsi="宋体" w:cs="宋体" w:eastAsia="宋体" w:hint="default"/>
        </w:rPr>
        <w:t>2010</w:t>
      </w:r>
      <w:r>
        <w:rPr/>
        <w:t>年</w:t>
      </w:r>
      <w:r>
        <w:rPr>
          <w:rFonts w:ascii="宋体" w:hAnsi="宋体" w:cs="宋体" w:eastAsia="宋体" w:hint="default"/>
        </w:rPr>
        <w:t>9</w:t>
      </w:r>
      <w:r>
        <w:rPr/>
        <w:t>月</w:t>
      </w:r>
      <w:r>
        <w:rPr>
          <w:rFonts w:ascii="宋体" w:hAnsi="宋体" w:cs="宋体" w:eastAsia="宋体" w:hint="default"/>
        </w:rPr>
        <w:t>8</w:t>
      </w:r>
      <w:r>
        <w:rPr/>
        <w:t>日起本公司股票在深圳证券交易所上市交易。本公司于</w:t>
      </w:r>
      <w:r>
        <w:rPr>
          <w:rFonts w:ascii="宋体" w:hAnsi="宋体" w:cs="宋体" w:eastAsia="宋体" w:hint="default"/>
        </w:rPr>
        <w:t>2010</w:t>
      </w:r>
      <w:r>
        <w:rPr/>
        <w:t>年</w:t>
      </w:r>
      <w:r>
        <w:rPr>
          <w:rFonts w:ascii="宋体" w:hAnsi="宋体" w:cs="宋体" w:eastAsia="宋体" w:hint="default"/>
        </w:rPr>
        <w:t>10</w:t>
      </w:r>
      <w:r>
        <w:rPr/>
        <w:t>月</w:t>
      </w:r>
      <w:r>
        <w:rPr>
          <w:rFonts w:ascii="宋体" w:hAnsi="宋体" w:cs="宋体" w:eastAsia="宋体" w:hint="default"/>
        </w:rPr>
        <w:t>29</w:t>
      </w:r>
      <w:r>
        <w:rPr/>
        <w:t>日完成 了工商变更登记并换领了注册号为</w:t>
      </w:r>
      <w:r>
        <w:rPr>
          <w:rFonts w:ascii="宋体" w:hAnsi="宋体" w:cs="宋体" w:eastAsia="宋体" w:hint="default"/>
        </w:rPr>
        <w:t>110000000991739</w:t>
      </w:r>
      <w:r>
        <w:rPr/>
        <w:t>的企业法人营业执照，公司注册资本及股本由人民币</w:t>
      </w:r>
      <w:r>
        <w:rPr>
          <w:rFonts w:ascii="宋体" w:hAnsi="宋体" w:cs="宋体" w:eastAsia="宋体" w:hint="default"/>
        </w:rPr>
        <w:t>9,000.00</w:t>
      </w:r>
      <w:r>
        <w:rPr/>
        <w:t>万元变更 为人民币</w:t>
      </w:r>
      <w:r>
        <w:rPr>
          <w:rFonts w:ascii="宋体" w:hAnsi="宋体" w:cs="宋体" w:eastAsia="宋体" w:hint="default"/>
        </w:rPr>
        <w:t>12,000.00</w:t>
      </w:r>
      <w:r>
        <w:rPr/>
        <w:t>万元。</w:t>
      </w:r>
    </w:p>
    <w:p>
      <w:pPr>
        <w:pStyle w:val="BodyText"/>
        <w:spacing w:line="316" w:lineRule="auto" w:before="19"/>
        <w:ind w:right="1131" w:firstLine="481"/>
        <w:jc w:val="both"/>
      </w:pPr>
      <w:r>
        <w:rPr>
          <w:rFonts w:ascii="宋体" w:hAnsi="宋体" w:cs="宋体" w:eastAsia="宋体" w:hint="default"/>
          <w:spacing w:val="-1"/>
        </w:rPr>
        <w:t>2012</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18</w:t>
      </w:r>
      <w:r>
        <w:rPr>
          <w:spacing w:val="-1"/>
        </w:rPr>
        <w:t>日，根据股东大会决议，本公司以</w:t>
      </w:r>
      <w:r>
        <w:rPr>
          <w:rFonts w:ascii="宋体" w:hAnsi="宋体" w:cs="宋体" w:eastAsia="宋体" w:hint="default"/>
          <w:spacing w:val="-1"/>
        </w:rPr>
        <w:t>2011</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日总股本</w:t>
      </w:r>
      <w:r>
        <w:rPr>
          <w:rFonts w:ascii="宋体" w:hAnsi="宋体" w:cs="宋体" w:eastAsia="宋体" w:hint="default"/>
          <w:spacing w:val="-1"/>
        </w:rPr>
        <w:t>12,000.00</w:t>
      </w:r>
      <w:r>
        <w:rPr>
          <w:spacing w:val="-1"/>
        </w:rPr>
        <w:t>万股为基数，以资本公积向全体股东</w:t>
      </w:r>
      <w:r>
        <w:rPr/>
        <w:t> 每</w:t>
      </w:r>
      <w:r>
        <w:rPr>
          <w:rFonts w:ascii="宋体" w:hAnsi="宋体" w:cs="宋体" w:eastAsia="宋体" w:hint="default"/>
        </w:rPr>
        <w:t>10</w:t>
      </w:r>
      <w:r>
        <w:rPr/>
        <w:t>股转增</w:t>
      </w:r>
      <w:r>
        <w:rPr>
          <w:rFonts w:ascii="宋体" w:hAnsi="宋体" w:cs="宋体" w:eastAsia="宋体" w:hint="default"/>
        </w:rPr>
        <w:t>10</w:t>
      </w:r>
      <w:r>
        <w:rPr/>
        <w:t>股股份。上述转增经利安达会计师事务所有限责任公司于</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12</w:t>
      </w:r>
      <w:r>
        <w:rPr/>
        <w:t>日以利安达验字</w:t>
      </w:r>
      <w:r>
        <w:rPr>
          <w:rFonts w:ascii="宋体" w:hAnsi="宋体" w:cs="宋体" w:eastAsia="宋体" w:hint="default"/>
        </w:rPr>
        <w:t>[2012]</w:t>
      </w:r>
      <w:r>
        <w:rPr/>
        <w:t>第</w:t>
      </w:r>
      <w:r>
        <w:rPr>
          <w:rFonts w:ascii="宋体" w:hAnsi="宋体" w:cs="宋体" w:eastAsia="宋体" w:hint="default"/>
        </w:rPr>
        <w:t>1034</w:t>
      </w:r>
      <w:r>
        <w:rPr/>
        <w:t>号验资报 </w:t>
      </w:r>
      <w:r>
        <w:rPr>
          <w:spacing w:val="-2"/>
        </w:rPr>
        <w:t>告验证。本公司于</w:t>
      </w: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25</w:t>
      </w:r>
      <w:r>
        <w:rPr>
          <w:spacing w:val="-2"/>
        </w:rPr>
        <w:t>日完成了工商变更登记并换领了注册号为</w:t>
      </w:r>
      <w:r>
        <w:rPr>
          <w:rFonts w:ascii="宋体" w:hAnsi="宋体" w:cs="宋体" w:eastAsia="宋体" w:hint="default"/>
          <w:spacing w:val="-2"/>
        </w:rPr>
        <w:t>110000000991739</w:t>
      </w:r>
      <w:r>
        <w:rPr>
          <w:spacing w:val="-2"/>
        </w:rPr>
        <w:t>的企业法人营业执照，公司注册资</w:t>
      </w:r>
      <w:r>
        <w:rPr>
          <w:spacing w:val="-42"/>
        </w:rPr>
        <w:t> </w:t>
      </w:r>
      <w:r>
        <w:rPr>
          <w:spacing w:val="-42"/>
        </w:rPr>
      </w:r>
      <w:r>
        <w:rPr/>
        <w:t>本及股本由人民币</w:t>
      </w:r>
      <w:r>
        <w:rPr>
          <w:rFonts w:ascii="宋体" w:hAnsi="宋体" w:cs="宋体" w:eastAsia="宋体" w:hint="default"/>
        </w:rPr>
        <w:t>12,000.00</w:t>
      </w:r>
      <w:r>
        <w:rPr/>
        <w:t>万元变更为人民币</w:t>
      </w:r>
      <w:r>
        <w:rPr>
          <w:rFonts w:ascii="宋体" w:hAnsi="宋体" w:cs="宋体" w:eastAsia="宋体" w:hint="default"/>
        </w:rPr>
        <w:t>24,000.00</w:t>
      </w:r>
      <w:r>
        <w:rPr/>
        <w:t>万元。</w:t>
      </w:r>
    </w:p>
    <w:p>
      <w:pPr>
        <w:pStyle w:val="BodyText"/>
        <w:spacing w:line="316" w:lineRule="auto" w:before="19"/>
        <w:ind w:right="1132" w:firstLine="481"/>
        <w:jc w:val="both"/>
      </w:pP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20</w:t>
      </w:r>
      <w:r>
        <w:rPr/>
        <w:t>日，经证监会上市一部函</w:t>
      </w:r>
      <w:r>
        <w:rPr>
          <w:rFonts w:ascii="宋体" w:hAnsi="宋体" w:cs="宋体" w:eastAsia="宋体" w:hint="default"/>
        </w:rPr>
        <w:t>[2013]999</w:t>
      </w:r>
      <w:r>
        <w:rPr/>
        <w:t>号文批复，并经本公司第四届董事会第十六次会议及</w:t>
      </w:r>
      <w:r>
        <w:rPr>
          <w:rFonts w:ascii="宋体" w:hAnsi="宋体" w:cs="宋体" w:eastAsia="宋体" w:hint="default"/>
        </w:rPr>
        <w:t>2014</w:t>
      </w:r>
      <w:r>
        <w:rPr/>
        <w:t>年第一次 临时股东大会决议批准，公司向</w:t>
      </w:r>
      <w:r>
        <w:rPr>
          <w:rFonts w:ascii="宋体" w:hAnsi="宋体" w:cs="宋体" w:eastAsia="宋体" w:hint="default"/>
        </w:rPr>
        <w:t>91</w:t>
      </w:r>
      <w:r>
        <w:rPr/>
        <w:t>名激励对象授予限制性股票</w:t>
      </w:r>
      <w:r>
        <w:rPr>
          <w:rFonts w:ascii="宋体" w:hAnsi="宋体" w:cs="宋体" w:eastAsia="宋体" w:hint="default"/>
        </w:rPr>
        <w:t>127</w:t>
      </w:r>
      <w:r>
        <w:rPr/>
        <w:t>万股，每股面值人民币</w:t>
      </w:r>
      <w:r>
        <w:rPr>
          <w:rFonts w:ascii="宋体" w:hAnsi="宋体" w:cs="宋体" w:eastAsia="宋体" w:hint="default"/>
        </w:rPr>
        <w:t>1</w:t>
      </w:r>
      <w:r>
        <w:rPr/>
        <w:t>元，每股价格人民币</w:t>
      </w:r>
      <w:r>
        <w:rPr>
          <w:rFonts w:ascii="宋体" w:hAnsi="宋体" w:cs="宋体" w:eastAsia="宋体" w:hint="default"/>
        </w:rPr>
        <w:t>10.89</w:t>
      </w:r>
      <w:r>
        <w:rPr/>
        <w:t>元；截 </w:t>
      </w:r>
      <w:r>
        <w:rPr>
          <w:spacing w:val="-3"/>
        </w:rPr>
        <w:t>至</w:t>
      </w:r>
      <w:r>
        <w:rPr>
          <w:rFonts w:ascii="宋体" w:hAnsi="宋体" w:cs="宋体" w:eastAsia="宋体" w:hint="default"/>
          <w:spacing w:val="-3"/>
        </w:rPr>
        <w:t>2014</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22</w:t>
      </w:r>
      <w:r>
        <w:rPr>
          <w:spacing w:val="-3"/>
        </w:rPr>
        <w:t>日止，实际认购人为</w:t>
      </w:r>
      <w:r>
        <w:rPr>
          <w:rFonts w:ascii="宋体" w:hAnsi="宋体" w:cs="宋体" w:eastAsia="宋体" w:hint="default"/>
          <w:spacing w:val="-3"/>
        </w:rPr>
        <w:t>90</w:t>
      </w:r>
      <w:r>
        <w:rPr>
          <w:spacing w:val="-3"/>
        </w:rPr>
        <w:t>人，实际授予数量为</w:t>
      </w:r>
      <w:r>
        <w:rPr>
          <w:rFonts w:ascii="宋体" w:hAnsi="宋体" w:cs="宋体" w:eastAsia="宋体" w:hint="default"/>
          <w:spacing w:val="-3"/>
        </w:rPr>
        <w:t>126.70</w:t>
      </w:r>
      <w:r>
        <w:rPr>
          <w:spacing w:val="-3"/>
        </w:rPr>
        <w:t>万股。根据修改后章程，本公司增加注册资本人民币</w:t>
      </w:r>
      <w:r>
        <w:rPr>
          <w:rFonts w:ascii="宋体" w:hAnsi="宋体" w:cs="宋体" w:eastAsia="宋体" w:hint="default"/>
          <w:spacing w:val="-3"/>
        </w:rPr>
        <w:t>126.70</w:t>
      </w:r>
      <w:r>
        <w:rPr>
          <w:rFonts w:ascii="宋体" w:hAnsi="宋体" w:cs="宋体" w:eastAsia="宋体" w:hint="default"/>
          <w:spacing w:val="-71"/>
        </w:rPr>
        <w:t> </w:t>
      </w:r>
      <w:r>
        <w:rPr>
          <w:spacing w:val="-5"/>
        </w:rPr>
        <w:t>万元，由</w:t>
      </w:r>
      <w:r>
        <w:rPr>
          <w:rFonts w:ascii="宋体" w:hAnsi="宋体" w:cs="宋体" w:eastAsia="宋体" w:hint="default"/>
          <w:spacing w:val="-5"/>
        </w:rPr>
        <w:t>90</w:t>
      </w:r>
      <w:r>
        <w:rPr>
          <w:spacing w:val="-5"/>
        </w:rPr>
        <w:t>名授予的激励对象认购，变更后的注册资本及股本为人民币</w:t>
      </w:r>
      <w:r>
        <w:rPr>
          <w:rFonts w:ascii="宋体" w:hAnsi="宋体" w:cs="宋体" w:eastAsia="宋体" w:hint="default"/>
          <w:spacing w:val="-5"/>
        </w:rPr>
        <w:t>24,126.70</w:t>
      </w:r>
      <w:r>
        <w:rPr>
          <w:spacing w:val="-5"/>
        </w:rPr>
        <w:t>万元。上述增加出资经大华会计师事务所</w:t>
      </w:r>
      <w:r>
        <w:rPr>
          <w:rFonts w:ascii="宋体" w:hAnsi="宋体" w:cs="宋体" w:eastAsia="宋体" w:hint="default"/>
          <w:spacing w:val="-5"/>
        </w:rPr>
        <w:t>(</w:t>
      </w:r>
      <w:r>
        <w:rPr>
          <w:spacing w:val="-5"/>
        </w:rPr>
        <w:t>特</w:t>
      </w:r>
      <w:r>
        <w:rPr>
          <w:spacing w:val="-49"/>
        </w:rPr>
        <w:t> </w:t>
      </w:r>
      <w:r>
        <w:rPr/>
        <w:t>殊普通合伙</w:t>
      </w:r>
      <w:r>
        <w:rPr>
          <w:rFonts w:ascii="宋体" w:hAnsi="宋体" w:cs="宋体" w:eastAsia="宋体" w:hint="default"/>
        </w:rPr>
        <w:t>)</w:t>
      </w:r>
      <w:r>
        <w:rPr/>
        <w:t>于</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22</w:t>
      </w:r>
      <w:r>
        <w:rPr/>
        <w:t>日以大华验字</w:t>
      </w:r>
      <w:r>
        <w:rPr>
          <w:rFonts w:ascii="宋体" w:hAnsi="宋体" w:cs="宋体" w:eastAsia="宋体" w:hint="default"/>
        </w:rPr>
        <w:t>[2014]000053</w:t>
      </w:r>
      <w:r>
        <w:rPr/>
        <w:t>号验资报告验证。本公司于</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13</w:t>
      </w:r>
      <w:r>
        <w:rPr/>
        <w:t>日完成了工商变更登记。</w:t>
      </w:r>
    </w:p>
    <w:p>
      <w:pPr>
        <w:pStyle w:val="BodyText"/>
        <w:spacing w:line="319" w:lineRule="auto" w:before="19"/>
        <w:ind w:right="1130" w:firstLine="480"/>
        <w:jc w:val="both"/>
      </w:pPr>
      <w:r>
        <w:rPr>
          <w:rFonts w:ascii="宋体" w:hAnsi="宋体" w:cs="宋体" w:eastAsia="宋体" w:hint="default"/>
          <w:spacing w:val="-1"/>
        </w:rPr>
        <w:t>2014</w:t>
      </w:r>
      <w:r>
        <w:rPr>
          <w:spacing w:val="-1"/>
        </w:rPr>
        <w:t>年</w:t>
      </w:r>
      <w:r>
        <w:rPr>
          <w:rFonts w:ascii="宋体" w:hAnsi="宋体" w:cs="宋体" w:eastAsia="宋体" w:hint="default"/>
          <w:spacing w:val="-1"/>
        </w:rPr>
        <w:t>5</w:t>
      </w:r>
      <w:r>
        <w:rPr>
          <w:spacing w:val="-1"/>
        </w:rPr>
        <w:t>月，根据《</w:t>
      </w:r>
      <w:r>
        <w:rPr>
          <w:rFonts w:ascii="宋体" w:hAnsi="宋体" w:cs="宋体" w:eastAsia="宋体" w:hint="default"/>
          <w:spacing w:val="-1"/>
        </w:rPr>
        <w:t>2013</w:t>
      </w:r>
      <w:r>
        <w:rPr>
          <w:spacing w:val="-1"/>
        </w:rPr>
        <w:t>年限制性股票激励计划</w:t>
      </w:r>
      <w:r>
        <w:rPr>
          <w:rFonts w:ascii="宋体" w:hAnsi="宋体" w:cs="宋体" w:eastAsia="宋体" w:hint="default"/>
          <w:spacing w:val="-1"/>
        </w:rPr>
        <w:t>(</w:t>
      </w:r>
      <w:r>
        <w:rPr>
          <w:spacing w:val="-1"/>
        </w:rPr>
        <w:t>草案修订稿</w:t>
      </w:r>
      <w:r>
        <w:rPr>
          <w:rFonts w:ascii="宋体" w:hAnsi="宋体" w:cs="宋体" w:eastAsia="宋体" w:hint="default"/>
          <w:spacing w:val="-1"/>
        </w:rPr>
        <w:t>)</w:t>
      </w:r>
      <w:r>
        <w:rPr>
          <w:spacing w:val="-1"/>
        </w:rPr>
        <w:t>》及</w:t>
      </w:r>
      <w:r>
        <w:rPr>
          <w:rFonts w:ascii="宋体" w:hAnsi="宋体" w:cs="宋体" w:eastAsia="宋体" w:hint="default"/>
          <w:spacing w:val="-1"/>
        </w:rPr>
        <w:t>2014</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10</w:t>
      </w:r>
      <w:r>
        <w:rPr>
          <w:spacing w:val="-1"/>
        </w:rPr>
        <w:t>日</w:t>
      </w:r>
      <w:r>
        <w:rPr>
          <w:rFonts w:ascii="宋体" w:hAnsi="宋体" w:cs="宋体" w:eastAsia="宋体" w:hint="default"/>
          <w:spacing w:val="-1"/>
        </w:rPr>
        <w:t>2014</w:t>
      </w:r>
      <w:r>
        <w:rPr>
          <w:spacing w:val="-1"/>
        </w:rPr>
        <w:t>年第二次临时股东大会决议和修</w:t>
      </w:r>
      <w:r>
        <w:rPr/>
        <w:t> 改后章程，本公司申请减少注册资本人民币</w:t>
      </w:r>
      <w:r>
        <w:rPr>
          <w:rFonts w:ascii="宋体" w:hAnsi="宋体" w:cs="宋体" w:eastAsia="宋体" w:hint="default"/>
        </w:rPr>
        <w:t>4.00</w:t>
      </w:r>
      <w:r>
        <w:rPr/>
        <w:t>万元，变更后本公司的注册资本及股本为人民币</w:t>
      </w:r>
      <w:r>
        <w:rPr>
          <w:rFonts w:ascii="宋体" w:hAnsi="宋体" w:cs="宋体" w:eastAsia="宋体" w:hint="default"/>
        </w:rPr>
        <w:t>24,122.70</w:t>
      </w:r>
      <w:r>
        <w:rPr/>
        <w:t>万元。上述减少</w:t>
      </w:r>
      <w:r>
        <w:rPr>
          <w:spacing w:val="-84"/>
        </w:rPr>
        <w:t> </w:t>
      </w:r>
      <w:r>
        <w:rPr>
          <w:spacing w:val="-2"/>
        </w:rPr>
        <w:t>出资经大华会计师事务所</w:t>
      </w:r>
      <w:r>
        <w:rPr>
          <w:rFonts w:ascii="宋体" w:hAnsi="宋体" w:cs="宋体" w:eastAsia="宋体" w:hint="default"/>
          <w:spacing w:val="-2"/>
        </w:rPr>
        <w:t>(</w:t>
      </w:r>
      <w:r>
        <w:rPr>
          <w:spacing w:val="-2"/>
        </w:rPr>
        <w:t>特殊普通合伙</w:t>
      </w:r>
      <w:r>
        <w:rPr>
          <w:rFonts w:ascii="宋体" w:hAnsi="宋体" w:cs="宋体" w:eastAsia="宋体" w:hint="default"/>
          <w:spacing w:val="-2"/>
        </w:rPr>
        <w:t>)</w:t>
      </w:r>
      <w:r>
        <w:rPr>
          <w:spacing w:val="-2"/>
        </w:rPr>
        <w:t>于</w:t>
      </w: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12</w:t>
      </w:r>
      <w:r>
        <w:rPr>
          <w:spacing w:val="-2"/>
        </w:rPr>
        <w:t>日以大华验字</w:t>
      </w:r>
      <w:r>
        <w:rPr>
          <w:rFonts w:ascii="宋体" w:hAnsi="宋体" w:cs="宋体" w:eastAsia="宋体" w:hint="default"/>
          <w:spacing w:val="-2"/>
        </w:rPr>
        <w:t>[2014]000128</w:t>
      </w:r>
      <w:r>
        <w:rPr>
          <w:spacing w:val="-2"/>
        </w:rPr>
        <w:t>号验资报告验证。本公司于</w:t>
      </w: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21</w:t>
      </w:r>
      <w:r>
        <w:rPr>
          <w:rFonts w:ascii="宋体" w:hAnsi="宋体" w:cs="宋体" w:eastAsia="宋体" w:hint="default"/>
          <w:spacing w:val="-36"/>
        </w:rPr>
        <w:t> </w:t>
      </w:r>
      <w:r>
        <w:rPr/>
        <w:t>日完成工商变更登记。</w:t>
      </w:r>
    </w:p>
    <w:p>
      <w:pPr>
        <w:pStyle w:val="BodyText"/>
        <w:spacing w:line="316" w:lineRule="auto" w:before="17"/>
        <w:ind w:right="1130" w:firstLine="480"/>
        <w:jc w:val="both"/>
      </w:pPr>
      <w:r>
        <w:rPr>
          <w:rFonts w:ascii="宋体" w:hAnsi="宋体" w:cs="宋体" w:eastAsia="宋体" w:hint="default"/>
          <w:spacing w:val="-1"/>
        </w:rPr>
        <w:t>2014</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20</w:t>
      </w:r>
      <w:r>
        <w:rPr>
          <w:spacing w:val="-1"/>
        </w:rPr>
        <w:t>日，本公司股东大会决议批准本公司以截止到</w:t>
      </w:r>
      <w:r>
        <w:rPr>
          <w:rFonts w:ascii="宋体" w:hAnsi="宋体" w:cs="宋体" w:eastAsia="宋体" w:hint="default"/>
          <w:spacing w:val="-1"/>
        </w:rPr>
        <w:t>2014</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1</w:t>
      </w:r>
      <w:r>
        <w:rPr>
          <w:spacing w:val="-1"/>
        </w:rPr>
        <w:t>日的总股本</w:t>
      </w:r>
      <w:r>
        <w:rPr>
          <w:rFonts w:ascii="宋体" w:hAnsi="宋体" w:cs="宋体" w:eastAsia="宋体" w:hint="default"/>
          <w:spacing w:val="-1"/>
        </w:rPr>
        <w:t>24,122.70</w:t>
      </w:r>
      <w:r>
        <w:rPr>
          <w:spacing w:val="-1"/>
        </w:rPr>
        <w:t>万股为基数，以资本公积</w:t>
      </w:r>
      <w:r>
        <w:rPr/>
        <w:t> 金向全体股东每</w:t>
      </w:r>
      <w:r>
        <w:rPr>
          <w:rFonts w:ascii="宋体" w:hAnsi="宋体" w:cs="宋体" w:eastAsia="宋体" w:hint="default"/>
        </w:rPr>
        <w:t>10</w:t>
      </w:r>
      <w:r>
        <w:rPr>
          <w:rFonts w:ascii="宋体" w:hAnsi="宋体" w:cs="宋体" w:eastAsia="宋体" w:hint="default"/>
          <w:spacing w:val="40"/>
        </w:rPr>
        <w:t> </w:t>
      </w:r>
      <w:r>
        <w:rPr/>
        <w:t>股转增</w:t>
      </w:r>
      <w:r>
        <w:rPr>
          <w:rFonts w:ascii="宋体" w:hAnsi="宋体" w:cs="宋体" w:eastAsia="宋体" w:hint="default"/>
        </w:rPr>
        <w:t>10.001650</w:t>
      </w:r>
      <w:r>
        <w:rPr>
          <w:rFonts w:ascii="宋体" w:hAnsi="宋体" w:cs="宋体" w:eastAsia="宋体" w:hint="default"/>
          <w:spacing w:val="40"/>
        </w:rPr>
        <w:t> </w:t>
      </w:r>
      <w:r>
        <w:rPr/>
        <w:t>股股份。上述转增经大华会计师事务所</w:t>
      </w:r>
      <w:r>
        <w:rPr>
          <w:rFonts w:ascii="宋体" w:hAnsi="宋体" w:cs="宋体" w:eastAsia="宋体" w:hint="default"/>
        </w:rPr>
        <w:t>(</w:t>
      </w:r>
      <w:r>
        <w:rPr/>
        <w:t>特殊普通合伙</w:t>
      </w:r>
      <w:r>
        <w:rPr>
          <w:rFonts w:ascii="宋体" w:hAnsi="宋体" w:cs="宋体" w:eastAsia="宋体" w:hint="default"/>
        </w:rPr>
        <w:t>)</w:t>
      </w:r>
      <w:r>
        <w:rPr/>
        <w:t>于</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11</w:t>
      </w:r>
      <w:r>
        <w:rPr/>
        <w:t>日以大华验字</w:t>
      </w:r>
      <w:r>
        <w:rPr>
          <w:spacing w:val="-83"/>
        </w:rPr>
        <w:t> </w:t>
      </w:r>
      <w:r>
        <w:rPr>
          <w:spacing w:val="-83"/>
        </w:rPr>
      </w:r>
      <w:r>
        <w:rPr>
          <w:rFonts w:ascii="宋体" w:hAnsi="宋体" w:cs="宋体" w:eastAsia="宋体" w:hint="default"/>
        </w:rPr>
        <w:t>[2014]000258</w:t>
      </w:r>
      <w:r>
        <w:rPr/>
        <w:t>号验资报告验证。本公司于</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3</w:t>
      </w:r>
      <w:r>
        <w:rPr/>
        <w:t>日完成了工商变更登记，注册资本及股本变更为人民币</w:t>
      </w:r>
      <w:r>
        <w:rPr>
          <w:rFonts w:ascii="宋体" w:hAnsi="宋体" w:cs="宋体" w:eastAsia="宋体" w:hint="default"/>
        </w:rPr>
        <w:t>48,249.3802</w:t>
      </w:r>
      <w:r>
        <w:rPr/>
        <w:t>万</w:t>
      </w:r>
      <w:r>
        <w:rPr>
          <w:spacing w:val="-84"/>
        </w:rPr>
        <w:t> </w:t>
      </w:r>
      <w:r>
        <w:rPr/>
        <w:t>元。</w:t>
      </w:r>
    </w:p>
    <w:p>
      <w:pPr>
        <w:pStyle w:val="BodyText"/>
        <w:spacing w:line="316" w:lineRule="auto" w:before="19"/>
        <w:ind w:right="1130" w:firstLine="480"/>
        <w:jc w:val="both"/>
      </w:pP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16</w:t>
      </w:r>
      <w:r>
        <w:rPr/>
        <w:t>日，根据本公司《</w:t>
      </w:r>
      <w:r>
        <w:rPr>
          <w:rFonts w:ascii="宋体" w:hAnsi="宋体" w:cs="宋体" w:eastAsia="宋体" w:hint="default"/>
        </w:rPr>
        <w:t>2013</w:t>
      </w:r>
      <w:r>
        <w:rPr/>
        <w:t>年限制性股票激励计划</w:t>
      </w:r>
      <w:r>
        <w:rPr>
          <w:rFonts w:ascii="宋体" w:hAnsi="宋体" w:cs="宋体" w:eastAsia="宋体" w:hint="default"/>
        </w:rPr>
        <w:t>(</w:t>
      </w:r>
      <w:r>
        <w:rPr/>
        <w:t>草案修订稿</w:t>
      </w:r>
      <w:r>
        <w:rPr>
          <w:rFonts w:ascii="宋体" w:hAnsi="宋体" w:cs="宋体" w:eastAsia="宋体" w:hint="default"/>
        </w:rPr>
        <w:t>)</w:t>
      </w:r>
      <w:r>
        <w:rPr/>
        <w:t>》及</w:t>
      </w:r>
      <w:r>
        <w:rPr>
          <w:rFonts w:ascii="宋体" w:hAnsi="宋体" w:cs="宋体" w:eastAsia="宋体" w:hint="default"/>
        </w:rPr>
        <w:t>2015</w:t>
      </w:r>
      <w:r>
        <w:rPr/>
        <w:t>年第一次临时股东大会决议和修改 </w:t>
      </w:r>
      <w:r>
        <w:rPr>
          <w:spacing w:val="-2"/>
        </w:rPr>
        <w:t>后章程，本公司申请减少注册资本人民币</w:t>
      </w:r>
      <w:r>
        <w:rPr>
          <w:rFonts w:ascii="宋体" w:hAnsi="宋体" w:cs="宋体" w:eastAsia="宋体" w:hint="default"/>
          <w:spacing w:val="-2"/>
        </w:rPr>
        <w:t>25.502</w:t>
      </w:r>
      <w:r>
        <w:rPr>
          <w:spacing w:val="-2"/>
        </w:rPr>
        <w:t>万元，注册资本及股本变更为人民币</w:t>
      </w:r>
      <w:r>
        <w:rPr>
          <w:rFonts w:ascii="宋体" w:hAnsi="宋体" w:cs="宋体" w:eastAsia="宋体" w:hint="default"/>
          <w:spacing w:val="-2"/>
        </w:rPr>
        <w:t>48,223.8782</w:t>
      </w:r>
      <w:r>
        <w:rPr>
          <w:spacing w:val="-2"/>
        </w:rPr>
        <w:t>万元。</w:t>
      </w:r>
      <w:r>
        <w:rPr>
          <w:rFonts w:ascii="宋体" w:hAnsi="宋体" w:cs="宋体" w:eastAsia="宋体" w:hint="default"/>
          <w:spacing w:val="-2"/>
        </w:rPr>
        <w:t>2015</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17</w:t>
      </w:r>
      <w:r>
        <w:rPr>
          <w:spacing w:val="-2"/>
        </w:rPr>
        <w:t>日，本</w:t>
      </w:r>
      <w:r>
        <w:rPr>
          <w:spacing w:val="-43"/>
        </w:rPr>
        <w:t> </w:t>
      </w:r>
      <w:r>
        <w:rPr>
          <w:spacing w:val="-43"/>
        </w:rPr>
      </w:r>
      <w:r>
        <w:rPr/>
        <w:t>公司完成了工商变更手续。</w:t>
      </w:r>
    </w:p>
    <w:p>
      <w:pPr>
        <w:pStyle w:val="BodyText"/>
        <w:spacing w:line="316" w:lineRule="auto" w:before="19"/>
        <w:ind w:right="1129" w:firstLine="480"/>
        <w:jc w:val="right"/>
      </w:pPr>
      <w:r>
        <w:rPr>
          <w:spacing w:val="-1"/>
        </w:rPr>
        <w:t>根据</w:t>
      </w:r>
      <w:r>
        <w:rPr>
          <w:rFonts w:ascii="宋体" w:hAnsi="宋体" w:cs="宋体" w:eastAsia="宋体" w:hint="default"/>
          <w:spacing w:val="-1"/>
        </w:rPr>
        <w:t>2015</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27</w:t>
      </w:r>
      <w:r>
        <w:rPr>
          <w:spacing w:val="-1"/>
        </w:rPr>
        <w:t>日召开的第四届董事会第三十次会议及</w:t>
      </w:r>
      <w:r>
        <w:rPr>
          <w:rFonts w:ascii="宋体" w:hAnsi="宋体" w:cs="宋体" w:eastAsia="宋体" w:hint="default"/>
          <w:spacing w:val="-1"/>
        </w:rPr>
        <w:t>2015</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21</w:t>
      </w:r>
      <w:r>
        <w:rPr>
          <w:spacing w:val="-1"/>
        </w:rPr>
        <w:t>日召开的</w:t>
      </w:r>
      <w:r>
        <w:rPr>
          <w:rFonts w:ascii="宋体" w:hAnsi="宋体" w:cs="宋体" w:eastAsia="宋体" w:hint="default"/>
          <w:spacing w:val="-1"/>
        </w:rPr>
        <w:t>2014</w:t>
      </w:r>
      <w:r>
        <w:rPr>
          <w:spacing w:val="-1"/>
        </w:rPr>
        <w:t>年年度股东大会审议通过的《</w:t>
      </w:r>
      <w:r>
        <w:rPr>
          <w:rFonts w:ascii="宋体" w:hAnsi="宋体" w:cs="宋体" w:eastAsia="宋体" w:hint="default"/>
          <w:spacing w:val="-1"/>
        </w:rPr>
        <w:t>2014</w:t>
      </w:r>
      <w:r>
        <w:rPr>
          <w:rFonts w:ascii="宋体" w:hAnsi="宋体" w:cs="宋体" w:eastAsia="宋体" w:hint="default"/>
        </w:rPr>
        <w:t> </w:t>
      </w:r>
      <w:r>
        <w:rPr>
          <w:spacing w:val="-2"/>
        </w:rPr>
        <w:t>年度利润分配及资本公积金转增股本方案》，公司以截至</w:t>
      </w:r>
      <w:r>
        <w:rPr>
          <w:rFonts w:ascii="宋体" w:hAnsi="宋体" w:cs="宋体" w:eastAsia="宋体" w:hint="default"/>
          <w:spacing w:val="-2"/>
        </w:rPr>
        <w:t>2015</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12</w:t>
      </w:r>
      <w:r>
        <w:rPr>
          <w:spacing w:val="-2"/>
        </w:rPr>
        <w:t>日的总股本</w:t>
      </w:r>
      <w:r>
        <w:rPr>
          <w:rFonts w:ascii="宋体" w:hAnsi="宋体" w:cs="宋体" w:eastAsia="宋体" w:hint="default"/>
          <w:spacing w:val="-2"/>
        </w:rPr>
        <w:t>48,223.8782</w:t>
      </w:r>
      <w:r>
        <w:rPr>
          <w:spacing w:val="-2"/>
        </w:rPr>
        <w:t>万股为基数，以资本公积金向</w:t>
      </w:r>
      <w:r>
        <w:rPr>
          <w:spacing w:val="-59"/>
        </w:rPr>
        <w:t> </w:t>
      </w:r>
      <w:r>
        <w:rPr>
          <w:spacing w:val="-59"/>
        </w:rPr>
      </w:r>
      <w:r>
        <w:rPr/>
        <w:t>全体股东每</w:t>
      </w:r>
      <w:r>
        <w:rPr>
          <w:rFonts w:ascii="宋体" w:hAnsi="宋体" w:cs="宋体" w:eastAsia="宋体" w:hint="default"/>
        </w:rPr>
        <w:t>10</w:t>
      </w:r>
      <w:r>
        <w:rPr/>
        <w:t>股转增</w:t>
      </w:r>
      <w:r>
        <w:rPr>
          <w:rFonts w:ascii="宋体" w:hAnsi="宋体" w:cs="宋体" w:eastAsia="宋体" w:hint="default"/>
        </w:rPr>
        <w:t>5</w:t>
      </w:r>
      <w:r>
        <w:rPr/>
        <w:t>股，转增后公司注册资本及股本为</w:t>
      </w:r>
      <w:r>
        <w:rPr>
          <w:rFonts w:ascii="宋体" w:hAnsi="宋体" w:cs="宋体" w:eastAsia="宋体" w:hint="default"/>
        </w:rPr>
        <w:t>72,335.8173</w:t>
      </w:r>
      <w:r>
        <w:rPr/>
        <w:t>万股。</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27</w:t>
      </w:r>
      <w:r>
        <w:rPr/>
        <w:t>日，本公司完成了工商变更手续。 </w:t>
      </w:r>
      <w:r>
        <w:rPr>
          <w:spacing w:val="-1"/>
        </w:rPr>
        <w:t>根据本公司</w:t>
      </w:r>
      <w:r>
        <w:rPr>
          <w:rFonts w:ascii="宋体" w:hAnsi="宋体" w:cs="宋体" w:eastAsia="宋体" w:hint="default"/>
          <w:spacing w:val="-1"/>
        </w:rPr>
        <w:t>2015</w:t>
      </w:r>
      <w:r>
        <w:rPr>
          <w:spacing w:val="-1"/>
        </w:rPr>
        <w:t>年第四次临时股东大会决议和修改后章程，本公司申请增加注册资本人民币</w:t>
      </w:r>
      <w:r>
        <w:rPr>
          <w:rFonts w:ascii="宋体" w:hAnsi="宋体" w:cs="宋体" w:eastAsia="宋体" w:hint="default"/>
          <w:spacing w:val="-1"/>
        </w:rPr>
        <w:t>1,332.70</w:t>
      </w:r>
      <w:r>
        <w:rPr>
          <w:spacing w:val="-1"/>
        </w:rPr>
        <w:t>万元，由忻卫敏</w:t>
      </w:r>
      <w:r>
        <w:rPr/>
        <w:t> </w:t>
      </w:r>
      <w:r>
        <w:rPr>
          <w:spacing w:val="-3"/>
        </w:rPr>
        <w:t>等</w:t>
      </w:r>
      <w:r>
        <w:rPr>
          <w:rFonts w:ascii="宋体" w:hAnsi="宋体" w:cs="宋体" w:eastAsia="宋体" w:hint="default"/>
          <w:spacing w:val="-3"/>
        </w:rPr>
        <w:t>202</w:t>
      </w:r>
      <w:r>
        <w:rPr>
          <w:spacing w:val="-3"/>
        </w:rPr>
        <w:t>名授予的激励对象以货币资金认购限制性股票</w:t>
      </w:r>
      <w:r>
        <w:rPr>
          <w:rFonts w:ascii="宋体" w:hAnsi="宋体" w:cs="宋体" w:eastAsia="宋体" w:hint="default"/>
          <w:spacing w:val="-3"/>
        </w:rPr>
        <w:t>1,332.70</w:t>
      </w:r>
      <w:r>
        <w:rPr>
          <w:spacing w:val="-3"/>
        </w:rPr>
        <w:t>万股。根据公司</w:t>
      </w:r>
      <w:r>
        <w:rPr>
          <w:rFonts w:ascii="宋体" w:hAnsi="宋体" w:cs="宋体" w:eastAsia="宋体" w:hint="default"/>
          <w:spacing w:val="-3"/>
        </w:rPr>
        <w:t>2015</w:t>
      </w:r>
      <w:r>
        <w:rPr>
          <w:spacing w:val="-3"/>
        </w:rPr>
        <w:t>年第五届董事会第三次会议《关于调整</w:t>
      </w:r>
      <w:r>
        <w:rPr>
          <w:rFonts w:ascii="宋体" w:hAnsi="宋体" w:cs="宋体" w:eastAsia="宋体" w:hint="default"/>
          <w:spacing w:val="-3"/>
        </w:rPr>
        <w:t>2015</w:t>
      </w:r>
      <w:r>
        <w:rPr>
          <w:rFonts w:ascii="宋体" w:hAnsi="宋体" w:cs="宋体" w:eastAsia="宋体" w:hint="default"/>
          <w:spacing w:val="-83"/>
        </w:rPr>
        <w:t> </w:t>
      </w:r>
      <w:r>
        <w:rPr/>
        <w:t>年限制性股票激励计划授予对象、授予数量的议案》的决议，上述限制性股票激励对象变更为</w:t>
      </w:r>
      <w:r>
        <w:rPr>
          <w:rFonts w:ascii="宋体" w:hAnsi="宋体" w:cs="宋体" w:eastAsia="宋体" w:hint="default"/>
        </w:rPr>
        <w:t>203</w:t>
      </w:r>
      <w:r>
        <w:rPr/>
        <w:t>人，计划授予的限制性股 票数量变更为</w:t>
      </w:r>
      <w:r>
        <w:rPr>
          <w:rFonts w:ascii="宋体" w:hAnsi="宋体" w:cs="宋体" w:eastAsia="宋体" w:hint="default"/>
        </w:rPr>
        <w:t>1,342.70</w:t>
      </w:r>
      <w:r>
        <w:rPr/>
        <w:t>万股，其中公司前财务负责人董桂英女士在本次限制性股票授予之日前</w:t>
      </w:r>
      <w:r>
        <w:rPr>
          <w:rFonts w:ascii="宋体" w:hAnsi="宋体" w:cs="宋体" w:eastAsia="宋体" w:hint="default"/>
        </w:rPr>
        <w:t>6</w:t>
      </w:r>
      <w:r>
        <w:rPr/>
        <w:t>个月内发生减持公司股票的 </w:t>
      </w:r>
      <w:r>
        <w:rPr>
          <w:spacing w:val="-2"/>
        </w:rPr>
        <w:t>行为，因此董桂英的限制性股票将自其最后一次减持公司股票之日起</w:t>
      </w:r>
      <w:r>
        <w:rPr>
          <w:rFonts w:ascii="宋体" w:hAnsi="宋体" w:cs="宋体" w:eastAsia="宋体" w:hint="default"/>
          <w:spacing w:val="-2"/>
        </w:rPr>
        <w:t>6</w:t>
      </w:r>
      <w:r>
        <w:rPr>
          <w:spacing w:val="-2"/>
        </w:rPr>
        <w:t>个月后授予。截至</w:t>
      </w:r>
      <w:r>
        <w:rPr>
          <w:rFonts w:ascii="宋体" w:hAnsi="宋体" w:cs="宋体" w:eastAsia="宋体" w:hint="default"/>
          <w:spacing w:val="-2"/>
        </w:rPr>
        <w:t>2015</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18</w:t>
      </w:r>
      <w:r>
        <w:rPr>
          <w:spacing w:val="-2"/>
        </w:rPr>
        <w:t>日止，公司已收到由忻</w:t>
      </w:r>
      <w:r>
        <w:rPr>
          <w:spacing w:val="-71"/>
        </w:rPr>
        <w:t> </w:t>
      </w:r>
      <w:r>
        <w:rPr>
          <w:spacing w:val="-71"/>
        </w:rPr>
      </w:r>
      <w:r>
        <w:rPr/>
        <w:t>卫敏等</w:t>
      </w:r>
      <w:r>
        <w:rPr>
          <w:rFonts w:ascii="宋体" w:hAnsi="宋体" w:cs="宋体" w:eastAsia="宋体" w:hint="default"/>
        </w:rPr>
        <w:t>202</w:t>
      </w:r>
      <w:r>
        <w:rPr/>
        <w:t>名授予股权的激励对象缴纳的出资款人民币</w:t>
      </w:r>
      <w:r>
        <w:rPr>
          <w:rFonts w:ascii="宋体" w:hAnsi="宋体" w:cs="宋体" w:eastAsia="宋体" w:hint="default"/>
        </w:rPr>
        <w:t>9,488.8240</w:t>
      </w:r>
      <w:r>
        <w:rPr/>
        <w:t>万元，其中新增注册资本人民币</w:t>
      </w:r>
      <w:r>
        <w:rPr>
          <w:rFonts w:ascii="宋体" w:hAnsi="宋体" w:cs="宋体" w:eastAsia="宋体" w:hint="default"/>
        </w:rPr>
        <w:t>1,332.70</w:t>
      </w:r>
      <w:r>
        <w:rPr/>
        <w:t>万元，变更后的 </w:t>
      </w:r>
      <w:r>
        <w:rPr>
          <w:spacing w:val="4"/>
        </w:rPr>
        <w:t>注册资本及股本为人民币</w:t>
      </w:r>
      <w:r>
        <w:rPr>
          <w:rFonts w:ascii="宋体" w:hAnsi="宋体" w:cs="宋体" w:eastAsia="宋体" w:hint="default"/>
          <w:spacing w:val="4"/>
        </w:rPr>
        <w:t>73,668.5173</w:t>
      </w:r>
      <w:r>
        <w:rPr>
          <w:spacing w:val="4"/>
        </w:rPr>
        <w:t>万元。上述增资经大华会计师事务所</w:t>
      </w:r>
      <w:r>
        <w:rPr>
          <w:rFonts w:ascii="宋体" w:hAnsi="宋体" w:cs="宋体" w:eastAsia="宋体" w:hint="default"/>
          <w:spacing w:val="4"/>
        </w:rPr>
        <w:t>(</w:t>
      </w:r>
      <w:r>
        <w:rPr>
          <w:spacing w:val="4"/>
        </w:rPr>
        <w:t>特殊普通合伙</w:t>
      </w:r>
      <w:r>
        <w:rPr>
          <w:rFonts w:ascii="宋体" w:hAnsi="宋体" w:cs="宋体" w:eastAsia="宋体" w:hint="default"/>
          <w:spacing w:val="4"/>
        </w:rPr>
        <w:t>)</w:t>
      </w:r>
      <w:r>
        <w:rPr>
          <w:spacing w:val="4"/>
        </w:rPr>
        <w:t>于</w:t>
      </w:r>
      <w:r>
        <w:rPr>
          <w:rFonts w:ascii="宋体" w:hAnsi="宋体" w:cs="宋体" w:eastAsia="宋体" w:hint="default"/>
          <w:spacing w:val="4"/>
        </w:rPr>
        <w:t>2015</w:t>
      </w:r>
      <w:r>
        <w:rPr>
          <w:spacing w:val="4"/>
        </w:rPr>
        <w:t>年</w:t>
      </w:r>
      <w:r>
        <w:rPr>
          <w:rFonts w:ascii="宋体" w:hAnsi="宋体" w:cs="宋体" w:eastAsia="宋体" w:hint="default"/>
          <w:spacing w:val="4"/>
        </w:rPr>
        <w:t>9</w:t>
      </w:r>
      <w:r>
        <w:rPr>
          <w:spacing w:val="4"/>
        </w:rPr>
        <w:t>月</w:t>
      </w:r>
      <w:r>
        <w:rPr>
          <w:rFonts w:ascii="宋体" w:hAnsi="宋体" w:cs="宋体" w:eastAsia="宋体" w:hint="default"/>
          <w:spacing w:val="4"/>
        </w:rPr>
        <w:t>18</w:t>
      </w:r>
      <w:r>
        <w:rPr>
          <w:spacing w:val="4"/>
        </w:rPr>
        <w:t>日以大华验字</w:t>
      </w:r>
    </w:p>
    <w:p>
      <w:pPr>
        <w:pStyle w:val="BodyText"/>
        <w:spacing w:line="316" w:lineRule="auto" w:before="19"/>
        <w:ind w:left="634" w:right="0" w:hanging="480"/>
        <w:jc w:val="left"/>
      </w:pPr>
      <w:r>
        <w:rPr>
          <w:rFonts w:ascii="宋体" w:hAnsi="宋体" w:cs="宋体" w:eastAsia="宋体" w:hint="default"/>
        </w:rPr>
        <w:t>[2015]000961</w:t>
      </w:r>
      <w:r>
        <w:rPr/>
        <w:t>号验资报告验证。</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19</w:t>
      </w:r>
      <w:r>
        <w:rPr/>
        <w:t>日，公司完成了工商变更手续。 </w:t>
      </w:r>
      <w:r>
        <w:rPr>
          <w:spacing w:val="-1"/>
        </w:rPr>
        <w:t>根据公司</w:t>
      </w:r>
      <w:r>
        <w:rPr>
          <w:rFonts w:ascii="宋体" w:hAnsi="宋体" w:cs="宋体" w:eastAsia="宋体" w:hint="default"/>
          <w:spacing w:val="-1"/>
        </w:rPr>
        <w:t>2014</w:t>
      </w:r>
      <w:r>
        <w:rPr>
          <w:spacing w:val="-1"/>
        </w:rPr>
        <w:t>年年度股东大会决议，并经证监会证监许可</w:t>
      </w:r>
      <w:r>
        <w:rPr>
          <w:rFonts w:ascii="宋体" w:hAnsi="宋体" w:cs="宋体" w:eastAsia="宋体" w:hint="default"/>
          <w:spacing w:val="-1"/>
        </w:rPr>
        <w:t>[2015]2587</w:t>
      </w:r>
      <w:r>
        <w:rPr>
          <w:spacing w:val="-1"/>
        </w:rPr>
        <w:t>号《关于核准二六三网络通信股份有限公司非公</w:t>
      </w:r>
    </w:p>
    <w:p>
      <w:pPr>
        <w:pStyle w:val="BodyText"/>
        <w:spacing w:line="316" w:lineRule="auto" w:before="19"/>
        <w:ind w:right="1034"/>
        <w:jc w:val="left"/>
      </w:pPr>
      <w:r>
        <w:rPr>
          <w:spacing w:val="-1"/>
        </w:rPr>
        <w:t>开发行股票的批复》核准，公司于</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9</w:t>
      </w:r>
      <w:r>
        <w:rPr>
          <w:spacing w:val="-1"/>
        </w:rPr>
        <w:t>日非公开发行人民币普通股</w:t>
      </w:r>
      <w:r>
        <w:rPr>
          <w:rFonts w:ascii="宋体" w:hAnsi="宋体" w:cs="宋体" w:eastAsia="宋体" w:hint="default"/>
          <w:spacing w:val="-1"/>
        </w:rPr>
        <w:t>(A</w:t>
      </w:r>
      <w:r>
        <w:rPr>
          <w:spacing w:val="-1"/>
        </w:rPr>
        <w:t>股</w:t>
      </w:r>
      <w:r>
        <w:rPr>
          <w:rFonts w:ascii="宋体" w:hAnsi="宋体" w:cs="宋体" w:eastAsia="宋体" w:hint="default"/>
          <w:spacing w:val="-1"/>
        </w:rPr>
        <w:t>)</w:t>
      </w:r>
      <w:r>
        <w:rPr>
          <w:rFonts w:ascii="宋体" w:hAnsi="宋体" w:cs="宋体" w:eastAsia="宋体" w:hint="default"/>
          <w:spacing w:val="-26"/>
        </w:rPr>
        <w:t> </w:t>
      </w:r>
      <w:r>
        <w:rPr>
          <w:rFonts w:ascii="宋体" w:hAnsi="宋体" w:cs="宋体" w:eastAsia="宋体" w:hint="default"/>
          <w:spacing w:val="-1"/>
        </w:rPr>
        <w:t>6,163.5220</w:t>
      </w:r>
      <w:r>
        <w:rPr>
          <w:spacing w:val="-1"/>
        </w:rPr>
        <w:t>万股，每股面值人民币</w:t>
      </w:r>
      <w:r>
        <w:rPr>
          <w:rFonts w:ascii="宋体" w:hAnsi="宋体" w:cs="宋体" w:eastAsia="宋体" w:hint="default"/>
          <w:spacing w:val="-1"/>
        </w:rPr>
        <w:t>1.00</w:t>
      </w:r>
      <w:r>
        <w:rPr>
          <w:spacing w:val="-1"/>
        </w:rPr>
        <w:t>元，</w:t>
      </w:r>
      <w:r>
        <w:rPr>
          <w:spacing w:val="-86"/>
        </w:rPr>
        <w:t> </w:t>
      </w:r>
      <w:r>
        <w:rPr>
          <w:spacing w:val="-2"/>
        </w:rPr>
        <w:t>每股发行认购价格为人民币</w:t>
      </w:r>
      <w:r>
        <w:rPr>
          <w:rFonts w:ascii="宋体" w:hAnsi="宋体" w:cs="宋体" w:eastAsia="宋体" w:hint="default"/>
          <w:spacing w:val="-2"/>
        </w:rPr>
        <w:t>12.72</w:t>
      </w:r>
      <w:r>
        <w:rPr>
          <w:spacing w:val="-2"/>
        </w:rPr>
        <w:t>元。本次股票发行后，公司的股份总数变更为</w:t>
      </w:r>
      <w:r>
        <w:rPr>
          <w:rFonts w:ascii="宋体" w:hAnsi="宋体" w:cs="宋体" w:eastAsia="宋体" w:hint="default"/>
          <w:spacing w:val="-2"/>
        </w:rPr>
        <w:t>79,832.0393</w:t>
      </w:r>
      <w:r>
        <w:rPr>
          <w:spacing w:val="-2"/>
        </w:rPr>
        <w:t>万股，注册资本及股本总额为人</w:t>
      </w:r>
    </w:p>
    <w:p>
      <w:pPr>
        <w:spacing w:after="0" w:line="316" w:lineRule="auto"/>
        <w:jc w:val="left"/>
        <w:sectPr>
          <w:headerReference w:type="default" r:id="rId24"/>
          <w:footerReference w:type="default" r:id="rId25"/>
          <w:pgSz w:w="11910" w:h="16840"/>
          <w:pgMar w:header="877" w:footer="979" w:top="1100" w:bottom="1160" w:left="980" w:right="0"/>
          <w:pgNumType w:start="86"/>
        </w:sectPr>
      </w:pPr>
    </w:p>
    <w:p>
      <w:pPr>
        <w:spacing w:line="240" w:lineRule="auto" w:before="12"/>
        <w:rPr>
          <w:rFonts w:ascii="宋体" w:hAnsi="宋体" w:cs="宋体" w:eastAsia="宋体" w:hint="default"/>
          <w:sz w:val="21"/>
          <w:szCs w:val="21"/>
        </w:rPr>
      </w:pPr>
    </w:p>
    <w:p>
      <w:pPr>
        <w:pStyle w:val="BodyText"/>
        <w:spacing w:line="316" w:lineRule="auto" w:before="44"/>
        <w:ind w:right="1132"/>
        <w:jc w:val="both"/>
      </w:pPr>
      <w:r>
        <w:rPr/>
        <w:t>民币</w:t>
      </w:r>
      <w:r>
        <w:rPr>
          <w:rFonts w:ascii="宋体" w:hAnsi="宋体" w:cs="宋体" w:eastAsia="宋体" w:hint="default"/>
        </w:rPr>
        <w:t>79,832.0393</w:t>
      </w:r>
      <w:r>
        <w:rPr/>
        <w:t>万元。上述增资经大华会计师事务所</w:t>
      </w:r>
      <w:r>
        <w:rPr>
          <w:rFonts w:ascii="宋体" w:hAnsi="宋体" w:cs="宋体" w:eastAsia="宋体" w:hint="default"/>
        </w:rPr>
        <w:t>(</w:t>
      </w:r>
      <w:r>
        <w:rPr/>
        <w:t>特殊普通合伙</w:t>
      </w:r>
      <w:r>
        <w:rPr>
          <w:rFonts w:ascii="宋体" w:hAnsi="宋体" w:cs="宋体" w:eastAsia="宋体" w:hint="default"/>
        </w:rPr>
        <w:t>)</w:t>
      </w:r>
      <w:r>
        <w:rPr/>
        <w:t>于</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11</w:t>
      </w:r>
      <w:r>
        <w:rPr/>
        <w:t>日以大华验字</w:t>
      </w:r>
      <w:r>
        <w:rPr>
          <w:rFonts w:ascii="宋体" w:hAnsi="宋体" w:cs="宋体" w:eastAsia="宋体" w:hint="default"/>
        </w:rPr>
        <w:t>[2015]001255</w:t>
      </w:r>
      <w:r>
        <w:rPr/>
        <w:t>号验资报</w:t>
      </w:r>
      <w:r>
        <w:rPr>
          <w:spacing w:val="-85"/>
        </w:rPr>
        <w:t> </w:t>
      </w:r>
      <w:r>
        <w:rPr/>
        <w:t>告验证。</w:t>
      </w:r>
    </w:p>
    <w:p>
      <w:pPr>
        <w:pStyle w:val="BodyText"/>
        <w:spacing w:line="319" w:lineRule="auto" w:before="19"/>
        <w:ind w:right="1129" w:firstLine="480"/>
        <w:jc w:val="both"/>
      </w:pPr>
      <w:r>
        <w:rPr>
          <w:spacing w:val="-1"/>
        </w:rPr>
        <w:t>根据</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25</w:t>
      </w:r>
      <w:r>
        <w:rPr>
          <w:spacing w:val="-1"/>
        </w:rPr>
        <w:t>日公司第五届董事会第八次会议决议，董桂英女士已符合限制性股票授予条件，公司将第五届董事</w:t>
      </w:r>
      <w:r>
        <w:rPr/>
        <w:t> 会第三次会议审议通过的</w:t>
      </w:r>
      <w:r>
        <w:rPr>
          <w:rFonts w:ascii="宋体" w:hAnsi="宋体" w:cs="宋体" w:eastAsia="宋体" w:hint="default"/>
        </w:rPr>
        <w:t>10</w:t>
      </w:r>
      <w:r>
        <w:rPr/>
        <w:t>万股限制性股票授予董桂英女士，每股面值人民币</w:t>
      </w:r>
      <w:r>
        <w:rPr>
          <w:rFonts w:ascii="宋体" w:hAnsi="宋体" w:cs="宋体" w:eastAsia="宋体" w:hint="default"/>
        </w:rPr>
        <w:t>1</w:t>
      </w:r>
      <w:r>
        <w:rPr/>
        <w:t>元，每股发行认购价格人民币</w:t>
      </w:r>
      <w:r>
        <w:rPr>
          <w:rFonts w:ascii="宋体" w:hAnsi="宋体" w:cs="宋体" w:eastAsia="宋体" w:hint="default"/>
        </w:rPr>
        <w:t>7.12</w:t>
      </w:r>
      <w:r>
        <w:rPr/>
        <w:t>元。本次</w:t>
      </w:r>
      <w:r>
        <w:rPr>
          <w:spacing w:val="-83"/>
        </w:rPr>
        <w:t> </w:t>
      </w:r>
      <w:r>
        <w:rPr>
          <w:spacing w:val="-2"/>
        </w:rPr>
        <w:t>股票发行后，公司的股份总数变更为</w:t>
      </w:r>
      <w:r>
        <w:rPr>
          <w:rFonts w:ascii="宋体" w:hAnsi="宋体" w:cs="宋体" w:eastAsia="宋体" w:hint="default"/>
          <w:spacing w:val="-2"/>
        </w:rPr>
        <w:t>79,842.0393</w:t>
      </w:r>
      <w:r>
        <w:rPr>
          <w:spacing w:val="-2"/>
        </w:rPr>
        <w:t>万股，注册资本及股本总额为人民币</w:t>
      </w:r>
      <w:r>
        <w:rPr>
          <w:rFonts w:ascii="宋体" w:hAnsi="宋体" w:cs="宋体" w:eastAsia="宋体" w:hint="default"/>
          <w:spacing w:val="-2"/>
        </w:rPr>
        <w:t>79,842.0393</w:t>
      </w:r>
      <w:r>
        <w:rPr>
          <w:spacing w:val="-2"/>
        </w:rPr>
        <w:t>万元。上述增资经大华会</w:t>
      </w:r>
      <w:r>
        <w:rPr>
          <w:spacing w:val="-44"/>
        </w:rPr>
        <w:t> </w:t>
      </w:r>
      <w:r>
        <w:rPr>
          <w:spacing w:val="-44"/>
        </w:rPr>
      </w:r>
      <w:r>
        <w:rPr/>
        <w:t>计师事务所</w:t>
      </w:r>
      <w:r>
        <w:rPr>
          <w:rFonts w:ascii="宋体" w:hAnsi="宋体" w:cs="宋体" w:eastAsia="宋体" w:hint="default"/>
        </w:rPr>
        <w:t>(</w:t>
      </w:r>
      <w:r>
        <w:rPr/>
        <w:t>特殊普通合伙</w:t>
      </w:r>
      <w:r>
        <w:rPr>
          <w:rFonts w:ascii="宋体" w:hAnsi="宋体" w:cs="宋体" w:eastAsia="宋体" w:hint="default"/>
        </w:rPr>
        <w:t>)</w:t>
      </w:r>
      <w:r>
        <w:rPr/>
        <w:t>于</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29</w:t>
      </w:r>
      <w:r>
        <w:rPr/>
        <w:t>日以大华验字</w:t>
      </w:r>
      <w:r>
        <w:rPr>
          <w:rFonts w:ascii="宋体" w:hAnsi="宋体" w:cs="宋体" w:eastAsia="宋体" w:hint="default"/>
        </w:rPr>
        <w:t>[2015]001365</w:t>
      </w:r>
      <w:r>
        <w:rPr/>
        <w:t>号验资报告验证。</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25</w:t>
      </w:r>
      <w:r>
        <w:rPr/>
        <w:t>日，公司完成了注册</w:t>
      </w:r>
      <w:r>
        <w:rPr>
          <w:spacing w:val="-84"/>
        </w:rPr>
        <w:t> </w:t>
      </w:r>
      <w:r>
        <w:rPr>
          <w:spacing w:val="-84"/>
        </w:rPr>
      </w:r>
      <w:r>
        <w:rPr/>
        <w:t>资本的工商变更手续。</w:t>
      </w:r>
    </w:p>
    <w:p>
      <w:pPr>
        <w:pStyle w:val="BodyText"/>
        <w:spacing w:line="240" w:lineRule="auto" w:before="17"/>
        <w:ind w:left="634" w:right="0"/>
        <w:jc w:val="left"/>
      </w:pPr>
      <w:r>
        <w:rPr>
          <w:rFonts w:ascii="宋体" w:hAnsi="宋体" w:cs="宋体" w:eastAsia="宋体" w:hint="default"/>
        </w:rPr>
        <w:t>2016</w:t>
      </w:r>
      <w:r>
        <w:rPr/>
        <w:t>年</w:t>
      </w:r>
      <w:r>
        <w:rPr>
          <w:rFonts w:ascii="宋体" w:hAnsi="宋体" w:cs="宋体" w:eastAsia="宋体" w:hint="default"/>
        </w:rPr>
        <w:t>1</w:t>
      </w:r>
      <w:r>
        <w:rPr/>
        <w:t>月，根据公司《</w:t>
      </w:r>
      <w:r>
        <w:rPr>
          <w:rFonts w:ascii="宋体" w:hAnsi="宋体" w:cs="宋体" w:eastAsia="宋体" w:hint="default"/>
        </w:rPr>
        <w:t>2013</w:t>
      </w:r>
      <w:r>
        <w:rPr/>
        <w:t>年限制性股票激励计划</w:t>
      </w:r>
      <w:r>
        <w:rPr>
          <w:rFonts w:ascii="宋体" w:hAnsi="宋体" w:cs="宋体" w:eastAsia="宋体" w:hint="default"/>
        </w:rPr>
        <w:t>(</w:t>
      </w:r>
      <w:r>
        <w:rPr/>
        <w:t>草案修订稿</w:t>
      </w:r>
      <w:r>
        <w:rPr>
          <w:rFonts w:ascii="宋体" w:hAnsi="宋体" w:cs="宋体" w:eastAsia="宋体" w:hint="default"/>
        </w:rPr>
        <w:t>)</w:t>
      </w:r>
      <w:r>
        <w:rPr/>
        <w:t>》、《</w:t>
      </w:r>
      <w:r>
        <w:rPr>
          <w:rFonts w:ascii="宋体" w:hAnsi="宋体" w:cs="宋体" w:eastAsia="宋体" w:hint="default"/>
        </w:rPr>
        <w:t>2015</w:t>
      </w:r>
      <w:r>
        <w:rPr/>
        <w:t>年限制性股票激励计划</w:t>
      </w:r>
      <w:r>
        <w:rPr>
          <w:rFonts w:ascii="宋体" w:hAnsi="宋体" w:cs="宋体" w:eastAsia="宋体" w:hint="default"/>
        </w:rPr>
        <w:t>(</w:t>
      </w:r>
      <w:r>
        <w:rPr/>
        <w:t>草案</w:t>
      </w:r>
      <w:r>
        <w:rPr>
          <w:rFonts w:ascii="宋体" w:hAnsi="宋体" w:cs="宋体" w:eastAsia="宋体" w:hint="default"/>
        </w:rPr>
        <w:t>)</w:t>
      </w:r>
      <w:r>
        <w:rPr/>
        <w:t>》、公司</w:t>
      </w:r>
    </w:p>
    <w:p>
      <w:pPr>
        <w:pStyle w:val="BodyText"/>
        <w:spacing w:line="240" w:lineRule="auto" w:before="76"/>
        <w:ind w:right="0"/>
        <w:jc w:val="both"/>
      </w:pPr>
      <w:r>
        <w:rPr>
          <w:rFonts w:ascii="宋体" w:hAnsi="宋体" w:cs="宋体" w:eastAsia="宋体" w:hint="default"/>
        </w:rPr>
        <w:t>2015</w:t>
      </w:r>
      <w:r>
        <w:rPr/>
        <w:t>年第五届董事会第九次会议决定减少麦卫冲等八名自然人投入的注册资本人民币</w:t>
      </w:r>
      <w:r>
        <w:rPr>
          <w:rFonts w:ascii="宋体" w:hAnsi="宋体" w:cs="宋体" w:eastAsia="宋体" w:hint="default"/>
        </w:rPr>
        <w:t>28.1025</w:t>
      </w:r>
      <w:r>
        <w:rPr/>
        <w:t>万元。</w:t>
      </w:r>
      <w:r>
        <w:rPr>
          <w:rFonts w:ascii="宋体" w:hAnsi="宋体" w:cs="宋体" w:eastAsia="宋体" w:hint="default"/>
        </w:rPr>
        <w:t>2016</w:t>
      </w:r>
      <w:r>
        <w:rPr/>
        <w:t>年</w:t>
      </w:r>
      <w:r>
        <w:rPr>
          <w:rFonts w:ascii="宋体" w:hAnsi="宋体" w:cs="宋体" w:eastAsia="宋体" w:hint="default"/>
        </w:rPr>
        <w:t>3</w:t>
      </w:r>
      <w:r>
        <w:rPr/>
        <w:t>月，根据公司</w:t>
      </w:r>
    </w:p>
    <w:p>
      <w:pPr>
        <w:pStyle w:val="BodyText"/>
        <w:spacing w:line="316" w:lineRule="auto" w:before="76"/>
        <w:ind w:right="1130"/>
        <w:jc w:val="both"/>
      </w:pPr>
      <w:r>
        <w:rPr>
          <w:spacing w:val="-2"/>
        </w:rPr>
        <w:t>《</w:t>
      </w:r>
      <w:r>
        <w:rPr>
          <w:rFonts w:ascii="宋体" w:hAnsi="宋体" w:cs="宋体" w:eastAsia="宋体" w:hint="default"/>
          <w:spacing w:val="-2"/>
        </w:rPr>
        <w:t>2013</w:t>
      </w:r>
      <w:r>
        <w:rPr>
          <w:spacing w:val="-2"/>
        </w:rPr>
        <w:t>年限制性股票激励计划</w:t>
      </w:r>
      <w:r>
        <w:rPr>
          <w:rFonts w:ascii="宋体" w:hAnsi="宋体" w:cs="宋体" w:eastAsia="宋体" w:hint="default"/>
          <w:spacing w:val="-2"/>
        </w:rPr>
        <w:t>(</w:t>
      </w:r>
      <w:r>
        <w:rPr>
          <w:spacing w:val="-2"/>
        </w:rPr>
        <w:t>草案修订稿</w:t>
      </w:r>
      <w:r>
        <w:rPr>
          <w:rFonts w:ascii="宋体" w:hAnsi="宋体" w:cs="宋体" w:eastAsia="宋体" w:hint="default"/>
          <w:spacing w:val="-2"/>
        </w:rPr>
        <w:t>)</w:t>
      </w:r>
      <w:r>
        <w:rPr>
          <w:spacing w:val="-2"/>
        </w:rPr>
        <w:t>》、《</w:t>
      </w:r>
      <w:r>
        <w:rPr>
          <w:rFonts w:ascii="宋体" w:hAnsi="宋体" w:cs="宋体" w:eastAsia="宋体" w:hint="default"/>
          <w:spacing w:val="-2"/>
        </w:rPr>
        <w:t>2015</w:t>
      </w:r>
      <w:r>
        <w:rPr>
          <w:spacing w:val="-2"/>
        </w:rPr>
        <w:t>年限制性股票激励计划</w:t>
      </w:r>
      <w:r>
        <w:rPr>
          <w:rFonts w:ascii="宋体" w:hAnsi="宋体" w:cs="宋体" w:eastAsia="宋体" w:hint="default"/>
          <w:spacing w:val="-2"/>
        </w:rPr>
        <w:t>(</w:t>
      </w:r>
      <w:r>
        <w:rPr>
          <w:spacing w:val="-2"/>
        </w:rPr>
        <w:t>草案</w:t>
      </w:r>
      <w:r>
        <w:rPr>
          <w:rFonts w:ascii="宋体" w:hAnsi="宋体" w:cs="宋体" w:eastAsia="宋体" w:hint="default"/>
          <w:spacing w:val="-2"/>
        </w:rPr>
        <w:t>)</w:t>
      </w:r>
      <w:r>
        <w:rPr>
          <w:spacing w:val="-2"/>
        </w:rPr>
        <w:t>》，公司第五届董事会第十二次会议决</w:t>
      </w:r>
      <w:r>
        <w:rPr>
          <w:spacing w:val="-53"/>
        </w:rPr>
        <w:t> </w:t>
      </w:r>
      <w:r>
        <w:rPr>
          <w:spacing w:val="-53"/>
        </w:rPr>
      </w:r>
      <w:r>
        <w:rPr/>
        <w:t>定减少赵旭等七十名自然人投入的注册资本人民币</w:t>
      </w:r>
      <w:r>
        <w:rPr>
          <w:rFonts w:ascii="宋体" w:hAnsi="宋体" w:cs="宋体" w:eastAsia="宋体" w:hint="default"/>
        </w:rPr>
        <w:t>118.2148</w:t>
      </w:r>
      <w:r>
        <w:rPr/>
        <w:t>万元和王昌双等三名自然人投入的注册资本人民币</w:t>
      </w:r>
      <w:r>
        <w:rPr>
          <w:rFonts w:ascii="宋体" w:hAnsi="宋体" w:cs="宋体" w:eastAsia="宋体" w:hint="default"/>
        </w:rPr>
        <w:t>5</w:t>
      </w:r>
      <w:r>
        <w:rPr/>
        <w:t>万元。上述</w:t>
      </w:r>
      <w:r>
        <w:rPr>
          <w:spacing w:val="-83"/>
        </w:rPr>
        <w:t> </w:t>
      </w:r>
      <w:r>
        <w:rPr>
          <w:spacing w:val="-83"/>
        </w:rPr>
      </w:r>
      <w:r>
        <w:rPr>
          <w:spacing w:val="-2"/>
        </w:rPr>
        <w:t>减资经大华会计师事务所</w:t>
      </w:r>
      <w:r>
        <w:rPr>
          <w:rFonts w:ascii="宋体" w:hAnsi="宋体" w:cs="宋体" w:eastAsia="宋体" w:hint="default"/>
          <w:spacing w:val="-2"/>
        </w:rPr>
        <w:t>(</w:t>
      </w:r>
      <w:r>
        <w:rPr>
          <w:spacing w:val="-2"/>
        </w:rPr>
        <w:t>特殊普通合伙</w:t>
      </w:r>
      <w:r>
        <w:rPr>
          <w:rFonts w:ascii="宋体" w:hAnsi="宋体" w:cs="宋体" w:eastAsia="宋体" w:hint="default"/>
          <w:spacing w:val="-2"/>
        </w:rPr>
        <w:t>)</w:t>
      </w:r>
      <w:r>
        <w:rPr>
          <w:spacing w:val="-2"/>
        </w:rPr>
        <w:t>于</w:t>
      </w:r>
      <w:r>
        <w:rPr>
          <w:rFonts w:ascii="宋体" w:hAnsi="宋体" w:cs="宋体" w:eastAsia="宋体" w:hint="default"/>
          <w:spacing w:val="-2"/>
        </w:rPr>
        <w:t>2016</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5</w:t>
      </w:r>
      <w:r>
        <w:rPr>
          <w:spacing w:val="-2"/>
        </w:rPr>
        <w:t>日以大华验字</w:t>
      </w:r>
      <w:r>
        <w:rPr>
          <w:rFonts w:ascii="宋体" w:hAnsi="宋体" w:cs="宋体" w:eastAsia="宋体" w:hint="default"/>
          <w:spacing w:val="-2"/>
        </w:rPr>
        <w:t>[2016]000304</w:t>
      </w:r>
      <w:r>
        <w:rPr>
          <w:spacing w:val="-2"/>
        </w:rPr>
        <w:t>号验资报告验证。</w:t>
      </w:r>
      <w:r>
        <w:rPr>
          <w:rFonts w:ascii="宋体" w:hAnsi="宋体" w:cs="宋体" w:eastAsia="宋体" w:hint="default"/>
          <w:spacing w:val="-2"/>
        </w:rPr>
        <w:t>2016</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3</w:t>
      </w:r>
      <w:r>
        <w:rPr>
          <w:spacing w:val="-2"/>
        </w:rPr>
        <w:t>日，公司完</w:t>
      </w:r>
      <w:r>
        <w:rPr>
          <w:spacing w:val="-38"/>
        </w:rPr>
        <w:t> </w:t>
      </w:r>
      <w:r>
        <w:rPr>
          <w:spacing w:val="-38"/>
        </w:rPr>
      </w:r>
      <w:r>
        <w:rPr/>
        <w:t>成了工商变更手续。上述减资完成后，公司注册资本及股本变更为人民币</w:t>
      </w:r>
      <w:r>
        <w:rPr>
          <w:rFonts w:ascii="宋体" w:hAnsi="宋体" w:cs="宋体" w:eastAsia="宋体" w:hint="default"/>
        </w:rPr>
        <w:t>79,690.722</w:t>
      </w:r>
      <w:r>
        <w:rPr/>
        <w:t>万元。</w:t>
      </w:r>
    </w:p>
    <w:p>
      <w:pPr>
        <w:pStyle w:val="BodyText"/>
        <w:spacing w:line="316" w:lineRule="auto" w:before="19"/>
        <w:ind w:right="1131" w:firstLine="480"/>
        <w:jc w:val="both"/>
      </w:pPr>
      <w:r>
        <w:rPr/>
        <w:t>根据公司</w:t>
      </w:r>
      <w:r>
        <w:rPr>
          <w:rFonts w:ascii="宋体" w:hAnsi="宋体" w:cs="宋体" w:eastAsia="宋体" w:hint="default"/>
        </w:rPr>
        <w:t>2017</w:t>
      </w:r>
      <w:r>
        <w:rPr/>
        <w:t>年</w:t>
      </w:r>
      <w:r>
        <w:rPr>
          <w:rFonts w:ascii="宋体" w:hAnsi="宋体" w:cs="宋体" w:eastAsia="宋体" w:hint="default"/>
        </w:rPr>
        <w:t>2</w:t>
      </w:r>
      <w:r>
        <w:rPr/>
        <w:t>月</w:t>
      </w:r>
      <w:r>
        <w:rPr>
          <w:rFonts w:ascii="宋体" w:hAnsi="宋体" w:cs="宋体" w:eastAsia="宋体" w:hint="default"/>
        </w:rPr>
        <w:t>28</w:t>
      </w:r>
      <w:r>
        <w:rPr/>
        <w:t>日第五届董事会第二十次会议和第五届监事会第十二次会议审议通过的《关于回购</w:t>
      </w:r>
      <w:r>
        <w:rPr>
          <w:rFonts w:ascii="宋体" w:hAnsi="宋体" w:cs="宋体" w:eastAsia="宋体" w:hint="default"/>
        </w:rPr>
        <w:t>2015</w:t>
      </w:r>
      <w:r>
        <w:rPr/>
        <w:t>年股权 </w:t>
      </w:r>
      <w:r>
        <w:rPr>
          <w:spacing w:val="-2"/>
        </w:rPr>
        <w:t>激励计划中已离职股权激励对象所持已获授但尚未解锁的限制性股票》议案，本公司回购已离职股权激励对象初金霞等二十</w:t>
      </w:r>
      <w:r>
        <w:rPr>
          <w:spacing w:val="-64"/>
        </w:rPr>
        <w:t> </w:t>
      </w:r>
      <w:r>
        <w:rPr>
          <w:spacing w:val="-64"/>
        </w:rPr>
      </w:r>
      <w:r>
        <w:rPr>
          <w:spacing w:val="-2"/>
        </w:rPr>
        <w:t>七人所持</w:t>
      </w:r>
      <w:r>
        <w:rPr>
          <w:rFonts w:ascii="宋体" w:hAnsi="宋体" w:cs="宋体" w:eastAsia="宋体" w:hint="default"/>
          <w:spacing w:val="-2"/>
        </w:rPr>
        <w:t>74</w:t>
      </w:r>
      <w:r>
        <w:rPr>
          <w:spacing w:val="-2"/>
        </w:rPr>
        <w:t>万股已获授但尚未解锁的限制性股票，回购完成后，公司注册资本变更为人民币</w:t>
      </w:r>
      <w:r>
        <w:rPr>
          <w:rFonts w:ascii="宋体" w:hAnsi="宋体" w:cs="宋体" w:eastAsia="宋体" w:hint="default"/>
          <w:spacing w:val="-2"/>
        </w:rPr>
        <w:t>79,616.722</w:t>
      </w:r>
      <w:r>
        <w:rPr>
          <w:spacing w:val="-2"/>
        </w:rPr>
        <w:t>万元。上述减资经德</w:t>
      </w:r>
      <w:r>
        <w:rPr>
          <w:spacing w:val="-54"/>
        </w:rPr>
        <w:t> </w:t>
      </w:r>
      <w:r>
        <w:rPr>
          <w:spacing w:val="-54"/>
        </w:rPr>
      </w:r>
      <w:r>
        <w:rPr/>
        <w:t>勤会计师事务所</w:t>
      </w:r>
      <w:r>
        <w:rPr>
          <w:rFonts w:ascii="宋体" w:hAnsi="宋体" w:cs="宋体" w:eastAsia="宋体" w:hint="default"/>
        </w:rPr>
        <w:t>(</w:t>
      </w:r>
      <w:r>
        <w:rPr/>
        <w:t>特殊普通合伙</w:t>
      </w:r>
      <w:r>
        <w:rPr>
          <w:rFonts w:ascii="宋体" w:hAnsi="宋体" w:cs="宋体" w:eastAsia="宋体" w:hint="default"/>
        </w:rPr>
        <w:t>)</w:t>
      </w:r>
      <w:r>
        <w:rPr/>
        <w:t>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11</w:t>
      </w:r>
      <w:r>
        <w:rPr/>
        <w:t>日以德师报</w:t>
      </w:r>
      <w:r>
        <w:rPr>
          <w:rFonts w:ascii="宋体" w:hAnsi="宋体" w:cs="宋体" w:eastAsia="宋体" w:hint="default"/>
        </w:rPr>
        <w:t>(</w:t>
      </w:r>
      <w:r>
        <w:rPr/>
        <w:t>验</w:t>
      </w:r>
      <w:r>
        <w:rPr>
          <w:rFonts w:ascii="宋体" w:hAnsi="宋体" w:cs="宋体" w:eastAsia="宋体" w:hint="default"/>
        </w:rPr>
        <w:t>)</w:t>
      </w:r>
      <w:r>
        <w:rPr/>
        <w:t>字</w:t>
      </w:r>
      <w:r>
        <w:rPr>
          <w:rFonts w:ascii="宋体" w:hAnsi="宋体" w:cs="宋体" w:eastAsia="宋体" w:hint="default"/>
        </w:rPr>
        <w:t>(17)</w:t>
      </w:r>
      <w:r>
        <w:rPr/>
        <w:t>第</w:t>
      </w:r>
      <w:r>
        <w:rPr>
          <w:rFonts w:ascii="宋体" w:hAnsi="宋体" w:cs="宋体" w:eastAsia="宋体" w:hint="default"/>
        </w:rPr>
        <w:t>00168</w:t>
      </w:r>
      <w:r>
        <w:rPr/>
        <w:t>号验资报告验证。</w:t>
      </w:r>
    </w:p>
    <w:p>
      <w:pPr>
        <w:pStyle w:val="BodyText"/>
        <w:spacing w:line="316" w:lineRule="auto" w:before="19"/>
        <w:ind w:right="0" w:firstLine="480"/>
        <w:jc w:val="left"/>
      </w:pPr>
      <w:r>
        <w:rPr/>
        <w:t>根据公司</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15</w:t>
      </w:r>
      <w:r>
        <w:rPr/>
        <w:t>日第五届董事会第二十四次会议和第五届监事会第十五次会议审议通过的《关于终止实施</w:t>
      </w:r>
      <w:r>
        <w:rPr>
          <w:rFonts w:ascii="宋体" w:hAnsi="宋体" w:cs="宋体" w:eastAsia="宋体" w:hint="default"/>
        </w:rPr>
        <w:t>2015 </w:t>
      </w:r>
      <w:r>
        <w:rPr/>
        <w:t>年股权激励计划暨回购注销已授予未解锁的全部限制性股票》议案，公司以货币方式回购</w:t>
      </w:r>
      <w:r>
        <w:rPr>
          <w:rFonts w:ascii="宋体" w:hAnsi="宋体" w:cs="宋体" w:eastAsia="宋体" w:hint="default"/>
        </w:rPr>
        <w:t>2015</w:t>
      </w:r>
      <w:r>
        <w:rPr/>
        <w:t>年股权激励计划剩余全部</w:t>
      </w:r>
      <w:r>
        <w:rPr>
          <w:rFonts w:ascii="宋体" w:hAnsi="宋体" w:cs="宋体" w:eastAsia="宋体" w:hint="default"/>
        </w:rPr>
        <w:t>171</w:t>
      </w:r>
      <w:r>
        <w:rPr>
          <w:rFonts w:ascii="宋体" w:hAnsi="宋体" w:cs="宋体" w:eastAsia="宋体" w:hint="default"/>
          <w:spacing w:val="-82"/>
        </w:rPr>
        <w:t> </w:t>
      </w:r>
      <w:r>
        <w:rPr>
          <w:spacing w:val="-2"/>
        </w:rPr>
        <w:t>名被激励对象所持已授权但尚未解锁的</w:t>
      </w:r>
      <w:r>
        <w:rPr>
          <w:rFonts w:ascii="宋体" w:hAnsi="宋体" w:cs="宋体" w:eastAsia="宋体" w:hint="default"/>
          <w:spacing w:val="-2"/>
        </w:rPr>
        <w:t>1,258.7</w:t>
      </w:r>
      <w:r>
        <w:rPr>
          <w:spacing w:val="-2"/>
        </w:rPr>
        <w:t>万股限制性股票。回购完成后，公司注册资本变更为人民币</w:t>
      </w:r>
      <w:r>
        <w:rPr>
          <w:rFonts w:ascii="宋体" w:hAnsi="宋体" w:cs="宋体" w:eastAsia="宋体" w:hint="default"/>
          <w:spacing w:val="-2"/>
        </w:rPr>
        <w:t>78,358.022</w:t>
      </w:r>
      <w:r>
        <w:rPr>
          <w:spacing w:val="-2"/>
        </w:rPr>
        <w:t>万元。</w:t>
      </w:r>
      <w:r>
        <w:rPr>
          <w:spacing w:val="-46"/>
        </w:rPr>
        <w:t> </w:t>
      </w:r>
      <w:r>
        <w:rPr/>
        <w:t>上述减资经德勤华永会计师事务所</w:t>
      </w:r>
      <w:r>
        <w:rPr>
          <w:rFonts w:ascii="宋体" w:hAnsi="宋体" w:cs="宋体" w:eastAsia="宋体" w:hint="default"/>
        </w:rPr>
        <w:t>(</w:t>
      </w:r>
      <w:r>
        <w:rPr/>
        <w:t>特殊普通合伙</w:t>
      </w:r>
      <w:r>
        <w:rPr>
          <w:rFonts w:ascii="宋体" w:hAnsi="宋体" w:cs="宋体" w:eastAsia="宋体" w:hint="default"/>
        </w:rPr>
        <w:t>)</w:t>
      </w:r>
      <w:r>
        <w:rPr/>
        <w:t>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23</w:t>
      </w:r>
      <w:r>
        <w:rPr/>
        <w:t>日出具的德师报</w:t>
      </w:r>
      <w:r>
        <w:rPr>
          <w:rFonts w:ascii="宋体" w:hAnsi="宋体" w:cs="宋体" w:eastAsia="宋体" w:hint="default"/>
        </w:rPr>
        <w:t>(</w:t>
      </w:r>
      <w:r>
        <w:rPr/>
        <w:t>验</w:t>
      </w:r>
      <w:r>
        <w:rPr>
          <w:rFonts w:ascii="宋体" w:hAnsi="宋体" w:cs="宋体" w:eastAsia="宋体" w:hint="default"/>
        </w:rPr>
        <w:t>)</w:t>
      </w:r>
      <w:r>
        <w:rPr/>
        <w:t>字</w:t>
      </w:r>
      <w:r>
        <w:rPr>
          <w:rFonts w:ascii="宋体" w:hAnsi="宋体" w:cs="宋体" w:eastAsia="宋体" w:hint="default"/>
        </w:rPr>
        <w:t>(17)</w:t>
      </w:r>
      <w:r>
        <w:rPr/>
        <w:t>第</w:t>
      </w:r>
      <w:r>
        <w:rPr>
          <w:rFonts w:ascii="宋体" w:hAnsi="宋体" w:cs="宋体" w:eastAsia="宋体" w:hint="default"/>
        </w:rPr>
        <w:t>00299</w:t>
      </w:r>
      <w:r>
        <w:rPr/>
        <w:t>号验资报告验证。</w:t>
      </w:r>
    </w:p>
    <w:p>
      <w:pPr>
        <w:pStyle w:val="BodyText"/>
        <w:spacing w:line="316" w:lineRule="auto" w:before="19"/>
        <w:ind w:right="1129" w:firstLine="480"/>
        <w:jc w:val="both"/>
      </w:pPr>
      <w:r>
        <w:rPr/>
        <w:t>根据公司</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8</w:t>
      </w:r>
      <w:r>
        <w:rPr/>
        <w:t>日第五届董事会第二十九次会议、第五届监事会第十九次会议及</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25</w:t>
      </w:r>
      <w:r>
        <w:rPr/>
        <w:t>日的</w:t>
      </w:r>
      <w:r>
        <w:rPr>
          <w:rFonts w:ascii="宋体" w:hAnsi="宋体" w:cs="宋体" w:eastAsia="宋体" w:hint="default"/>
        </w:rPr>
        <w:t>2017</w:t>
      </w:r>
      <w:r>
        <w:rPr/>
        <w:t>年第三 次临时股东大会审议通过的《</w:t>
      </w:r>
      <w:r>
        <w:rPr>
          <w:rFonts w:ascii="宋体" w:hAnsi="宋体" w:cs="宋体" w:eastAsia="宋体" w:hint="default"/>
        </w:rPr>
        <w:t>2017</w:t>
      </w:r>
      <w:r>
        <w:rPr/>
        <w:t>年限制性股票激励计划</w:t>
      </w:r>
      <w:r>
        <w:rPr>
          <w:rFonts w:ascii="宋体" w:hAnsi="宋体" w:cs="宋体" w:eastAsia="宋体" w:hint="default"/>
        </w:rPr>
        <w:t>(</w:t>
      </w:r>
      <w:r>
        <w:rPr/>
        <w:t>草案</w:t>
      </w:r>
      <w:r>
        <w:rPr>
          <w:rFonts w:ascii="宋体" w:hAnsi="宋体" w:cs="宋体" w:eastAsia="宋体" w:hint="default"/>
        </w:rPr>
        <w:t>)</w:t>
      </w:r>
      <w:r>
        <w:rPr/>
        <w:t>》及其摘要等议案审议，公司申请增加注册资本人民币</w:t>
      </w:r>
      <w:r>
        <w:rPr>
          <w:rFonts w:ascii="宋体" w:hAnsi="宋体" w:cs="宋体" w:eastAsia="宋体" w:hint="default"/>
        </w:rPr>
        <w:t>380</w:t>
      </w:r>
      <w:r>
        <w:rPr>
          <w:rFonts w:ascii="宋体" w:hAnsi="宋体" w:cs="宋体" w:eastAsia="宋体" w:hint="default"/>
          <w:spacing w:val="-83"/>
        </w:rPr>
        <w:t> </w:t>
      </w:r>
      <w:r>
        <w:rPr>
          <w:spacing w:val="-2"/>
        </w:rPr>
        <w:t>万元，由芦兵等</w:t>
      </w:r>
      <w:r>
        <w:rPr>
          <w:rFonts w:ascii="宋体" w:hAnsi="宋体" w:cs="宋体" w:eastAsia="宋体" w:hint="default"/>
          <w:spacing w:val="-2"/>
        </w:rPr>
        <w:t>9</w:t>
      </w:r>
      <w:r>
        <w:rPr>
          <w:spacing w:val="-2"/>
        </w:rPr>
        <w:t>名授予的激励对象以货币资金认购</w:t>
      </w:r>
      <w:r>
        <w:rPr>
          <w:rFonts w:ascii="宋体" w:hAnsi="宋体" w:cs="宋体" w:eastAsia="宋体" w:hint="default"/>
          <w:spacing w:val="-2"/>
        </w:rPr>
        <w:t>380</w:t>
      </w:r>
      <w:r>
        <w:rPr>
          <w:spacing w:val="-2"/>
        </w:rPr>
        <w:t>万股限制性股票。截至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25</w:t>
      </w:r>
      <w:r>
        <w:rPr>
          <w:spacing w:val="-2"/>
        </w:rPr>
        <w:t>日止，公司收到芦兵等九名自然</w:t>
      </w:r>
      <w:r>
        <w:rPr>
          <w:spacing w:val="-55"/>
        </w:rPr>
        <w:t> </w:t>
      </w:r>
      <w:r>
        <w:rPr>
          <w:spacing w:val="-55"/>
        </w:rPr>
      </w:r>
      <w:r>
        <w:rPr>
          <w:spacing w:val="7"/>
        </w:rPr>
        <w:t>人认购的限制性股票认购款人民币</w:t>
      </w:r>
      <w:r>
        <w:rPr>
          <w:rFonts w:ascii="宋体" w:hAnsi="宋体" w:cs="宋体" w:eastAsia="宋体" w:hint="default"/>
          <w:spacing w:val="7"/>
        </w:rPr>
        <w:t>1,596</w:t>
      </w:r>
      <w:r>
        <w:rPr>
          <w:spacing w:val="7"/>
        </w:rPr>
        <w:t>万元，其中新增注册资本人民币</w:t>
      </w:r>
      <w:r>
        <w:rPr>
          <w:rFonts w:ascii="宋体" w:hAnsi="宋体" w:cs="宋体" w:eastAsia="宋体" w:hint="default"/>
          <w:spacing w:val="7"/>
        </w:rPr>
        <w:t>380</w:t>
      </w:r>
      <w:r>
        <w:rPr>
          <w:spacing w:val="7"/>
        </w:rPr>
        <w:t>万元，变更后的注册资本及股本为人民币</w:t>
      </w:r>
      <w:r>
        <w:rPr>
          <w:spacing w:val="-43"/>
        </w:rPr>
        <w:t> </w:t>
      </w:r>
      <w:r>
        <w:rPr>
          <w:spacing w:val="-43"/>
        </w:rPr>
      </w:r>
      <w:r>
        <w:rPr>
          <w:rFonts w:ascii="宋体" w:hAnsi="宋体" w:cs="宋体" w:eastAsia="宋体" w:hint="default"/>
        </w:rPr>
        <w:t>78,738.022</w:t>
      </w:r>
      <w:r>
        <w:rPr/>
        <w:t>万元。上述增资经德勤华永会计师事务所</w:t>
      </w:r>
      <w:r>
        <w:rPr>
          <w:rFonts w:ascii="宋体" w:hAnsi="宋体" w:cs="宋体" w:eastAsia="宋体" w:hint="default"/>
        </w:rPr>
        <w:t>(</w:t>
      </w:r>
      <w:r>
        <w:rPr/>
        <w:t>特殊普通合伙</w:t>
      </w:r>
      <w:r>
        <w:rPr>
          <w:rFonts w:ascii="宋体" w:hAnsi="宋体" w:cs="宋体" w:eastAsia="宋体" w:hint="default"/>
        </w:rPr>
        <w:t>)</w:t>
      </w:r>
      <w:r>
        <w:rPr/>
        <w:t>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25</w:t>
      </w:r>
      <w:r>
        <w:rPr/>
        <w:t>日出具的德师报</w:t>
      </w:r>
      <w:r>
        <w:rPr>
          <w:rFonts w:ascii="宋体" w:hAnsi="宋体" w:cs="宋体" w:eastAsia="宋体" w:hint="default"/>
        </w:rPr>
        <w:t>(</w:t>
      </w:r>
      <w:r>
        <w:rPr/>
        <w:t>验</w:t>
      </w:r>
      <w:r>
        <w:rPr>
          <w:rFonts w:ascii="宋体" w:hAnsi="宋体" w:cs="宋体" w:eastAsia="宋体" w:hint="default"/>
        </w:rPr>
        <w:t>)</w:t>
      </w:r>
      <w:r>
        <w:rPr/>
        <w:t>字</w:t>
      </w:r>
      <w:r>
        <w:rPr>
          <w:rFonts w:ascii="宋体" w:hAnsi="宋体" w:cs="宋体" w:eastAsia="宋体" w:hint="default"/>
        </w:rPr>
        <w:t>(18)</w:t>
      </w:r>
      <w:r>
        <w:rPr/>
        <w:t>第</w:t>
      </w:r>
      <w:r>
        <w:rPr>
          <w:rFonts w:ascii="宋体" w:hAnsi="宋体" w:cs="宋体" w:eastAsia="宋体" w:hint="default"/>
        </w:rPr>
        <w:t>00032</w:t>
      </w:r>
      <w:r>
        <w:rPr/>
        <w:t>号</w:t>
      </w:r>
      <w:r>
        <w:rPr>
          <w:spacing w:val="-84"/>
        </w:rPr>
        <w:t> </w:t>
      </w:r>
      <w:r>
        <w:rPr/>
        <w:t>验资报告验证。</w:t>
      </w:r>
    </w:p>
    <w:p>
      <w:pPr>
        <w:pStyle w:val="BodyText"/>
        <w:spacing w:line="316" w:lineRule="auto" w:before="19"/>
        <w:ind w:right="1129" w:firstLine="480"/>
        <w:jc w:val="both"/>
      </w:pPr>
      <w:r>
        <w:rPr/>
        <w:t>根据公司</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7</w:t>
      </w:r>
      <w:r>
        <w:rPr/>
        <w:t>日第六届董事会第三次会议及</w:t>
      </w:r>
      <w:r>
        <w:rPr>
          <w:rFonts w:ascii="宋体" w:hAnsi="宋体" w:cs="宋体" w:eastAsia="宋体" w:hint="default"/>
        </w:rPr>
        <w:t>2018</w:t>
      </w:r>
      <w:r>
        <w:rPr/>
        <w:t>年第四次临时股东大会审议通过的《</w:t>
      </w:r>
      <w:r>
        <w:rPr>
          <w:rFonts w:ascii="宋体" w:hAnsi="宋体" w:cs="宋体" w:eastAsia="宋体" w:hint="default"/>
        </w:rPr>
        <w:t>2018</w:t>
      </w:r>
      <w:r>
        <w:rPr/>
        <w:t>年限制性股票与股 票期权激励计划</w:t>
      </w:r>
      <w:r>
        <w:rPr>
          <w:rFonts w:ascii="宋体" w:hAnsi="宋体" w:cs="宋体" w:eastAsia="宋体" w:hint="default"/>
        </w:rPr>
        <w:t>(</w:t>
      </w:r>
      <w:r>
        <w:rPr/>
        <w:t>草案</w:t>
      </w:r>
      <w:r>
        <w:rPr>
          <w:rFonts w:ascii="宋体" w:hAnsi="宋体" w:cs="宋体" w:eastAsia="宋体" w:hint="default"/>
        </w:rPr>
        <w:t>)</w:t>
      </w:r>
      <w:r>
        <w:rPr/>
        <w:t>》等议案，公司申请增加注册资本人民币</w:t>
      </w:r>
      <w:r>
        <w:rPr>
          <w:rFonts w:ascii="宋体" w:hAnsi="宋体" w:cs="宋体" w:eastAsia="宋体" w:hint="default"/>
        </w:rPr>
        <w:t>760</w:t>
      </w:r>
      <w:r>
        <w:rPr/>
        <w:t>万元，由芦兵等</w:t>
      </w:r>
      <w:r>
        <w:rPr>
          <w:rFonts w:ascii="宋体" w:hAnsi="宋体" w:cs="宋体" w:eastAsia="宋体" w:hint="default"/>
        </w:rPr>
        <w:t>9</w:t>
      </w:r>
      <w:r>
        <w:rPr/>
        <w:t>名被激励对象以货币资金认购</w:t>
      </w:r>
      <w:r>
        <w:rPr>
          <w:rFonts w:ascii="宋体" w:hAnsi="宋体" w:cs="宋体" w:eastAsia="宋体" w:hint="default"/>
        </w:rPr>
        <w:t>760</w:t>
      </w:r>
      <w:r>
        <w:rPr/>
        <w:t>万股</w:t>
      </w:r>
      <w:r>
        <w:rPr>
          <w:spacing w:val="-83"/>
        </w:rPr>
        <w:t> </w:t>
      </w:r>
      <w:r>
        <w:rPr/>
        <w:t>限制性股票。截至</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15</w:t>
      </w:r>
      <w:r>
        <w:rPr/>
        <w:t>日止，公司收到芦兵等九名自然人认购的限制性股票认购款人民币</w:t>
      </w:r>
      <w:r>
        <w:rPr>
          <w:rFonts w:ascii="宋体" w:hAnsi="宋体" w:cs="宋体" w:eastAsia="宋体" w:hint="default"/>
        </w:rPr>
        <w:t>1,938</w:t>
      </w:r>
      <w:r>
        <w:rPr/>
        <w:t>万元，其中新增注</w:t>
      </w:r>
      <w:r>
        <w:rPr>
          <w:spacing w:val="-82"/>
        </w:rPr>
        <w:t> </w:t>
      </w:r>
      <w:r>
        <w:rPr>
          <w:spacing w:val="-82"/>
        </w:rPr>
      </w:r>
      <w:r>
        <w:rPr>
          <w:spacing w:val="-2"/>
        </w:rPr>
        <w:t>册资本人民币</w:t>
      </w:r>
      <w:r>
        <w:rPr>
          <w:rFonts w:ascii="宋体" w:hAnsi="宋体" w:cs="宋体" w:eastAsia="宋体" w:hint="default"/>
          <w:spacing w:val="-2"/>
        </w:rPr>
        <w:t>760</w:t>
      </w:r>
      <w:r>
        <w:rPr>
          <w:spacing w:val="-2"/>
        </w:rPr>
        <w:t>万元，变更后的注册资本及股本为人民币</w:t>
      </w:r>
      <w:r>
        <w:rPr>
          <w:rFonts w:ascii="宋体" w:hAnsi="宋体" w:cs="宋体" w:eastAsia="宋体" w:hint="default"/>
          <w:spacing w:val="-2"/>
        </w:rPr>
        <w:t>79,498.022</w:t>
      </w:r>
      <w:r>
        <w:rPr>
          <w:spacing w:val="-2"/>
        </w:rPr>
        <w:t>万元。上述增资已经德勤华永会计师事务所</w:t>
      </w:r>
      <w:r>
        <w:rPr>
          <w:rFonts w:ascii="宋体" w:hAnsi="宋体" w:cs="宋体" w:eastAsia="宋体" w:hint="default"/>
          <w:spacing w:val="-2"/>
        </w:rPr>
        <w:t>(</w:t>
      </w:r>
      <w:r>
        <w:rPr>
          <w:spacing w:val="-2"/>
        </w:rPr>
        <w:t>特殊普通</w:t>
      </w:r>
      <w:r>
        <w:rPr>
          <w:spacing w:val="-50"/>
        </w:rPr>
        <w:t> </w:t>
      </w:r>
      <w:r>
        <w:rPr/>
        <w:t>合伙</w:t>
      </w:r>
      <w:r>
        <w:rPr>
          <w:rFonts w:ascii="宋体" w:hAnsi="宋体" w:cs="宋体" w:eastAsia="宋体" w:hint="default"/>
        </w:rPr>
        <w:t>)</w:t>
      </w:r>
      <w:r>
        <w:rPr/>
        <w:t>于</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23</w:t>
      </w:r>
      <w:r>
        <w:rPr/>
        <w:t>日出具的德师报</w:t>
      </w:r>
      <w:r>
        <w:rPr>
          <w:rFonts w:ascii="宋体" w:hAnsi="宋体" w:cs="宋体" w:eastAsia="宋体" w:hint="default"/>
        </w:rPr>
        <w:t>(</w:t>
      </w:r>
      <w:r>
        <w:rPr/>
        <w:t>验</w:t>
      </w:r>
      <w:r>
        <w:rPr>
          <w:rFonts w:ascii="宋体" w:hAnsi="宋体" w:cs="宋体" w:eastAsia="宋体" w:hint="default"/>
        </w:rPr>
        <w:t>)</w:t>
      </w:r>
      <w:r>
        <w:rPr/>
        <w:t>字</w:t>
      </w:r>
      <w:r>
        <w:rPr>
          <w:rFonts w:ascii="宋体" w:hAnsi="宋体" w:cs="宋体" w:eastAsia="宋体" w:hint="default"/>
        </w:rPr>
        <w:t>(18)</w:t>
      </w:r>
      <w:r>
        <w:rPr/>
        <w:t>第</w:t>
      </w:r>
      <w:r>
        <w:rPr>
          <w:rFonts w:ascii="宋体" w:hAnsi="宋体" w:cs="宋体" w:eastAsia="宋体" w:hint="default"/>
        </w:rPr>
        <w:t>00499</w:t>
      </w:r>
      <w:r>
        <w:rPr/>
        <w:t>号验资报告验证。</w:t>
      </w:r>
    </w:p>
    <w:p>
      <w:pPr>
        <w:pStyle w:val="BodyText"/>
        <w:spacing w:line="240" w:lineRule="auto" w:before="19"/>
        <w:ind w:left="634" w:right="0"/>
        <w:jc w:val="left"/>
      </w:pPr>
      <w:r>
        <w:rPr/>
        <w:t>本公司的注册地址为北京市昌平区城区镇超前路</w:t>
      </w:r>
      <w:r>
        <w:rPr>
          <w:rFonts w:ascii="宋体" w:hAnsi="宋体" w:cs="宋体" w:eastAsia="宋体" w:hint="default"/>
        </w:rPr>
        <w:t>13</w:t>
      </w:r>
      <w:r>
        <w:rPr/>
        <w:t>号，总部地址为朝阳区和平里东土城路甲</w:t>
      </w:r>
      <w:r>
        <w:rPr>
          <w:rFonts w:ascii="宋体" w:hAnsi="宋体" w:cs="宋体" w:eastAsia="宋体" w:hint="default"/>
        </w:rPr>
        <w:t>14</w:t>
      </w:r>
      <w:r>
        <w:rPr/>
        <w:t>号建达大厦。</w:t>
      </w:r>
    </w:p>
    <w:p>
      <w:pPr>
        <w:pStyle w:val="Heading2"/>
        <w:spacing w:line="240" w:lineRule="auto" w:before="26"/>
        <w:ind w:left="874" w:right="0"/>
        <w:jc w:val="left"/>
        <w:rPr>
          <w:b w:val="0"/>
          <w:bCs w:val="0"/>
        </w:rPr>
      </w:pPr>
      <w:r>
        <w:rPr>
          <w:rFonts w:ascii="Times New Roman" w:hAnsi="Times New Roman" w:cs="Times New Roman" w:eastAsia="Times New Roman" w:hint="default"/>
        </w:rPr>
        <w:t>2</w:t>
      </w:r>
      <w:r>
        <w:rPr/>
        <w:t>、经营范围</w:t>
      </w:r>
      <w:r>
        <w:rPr>
          <w:b w:val="0"/>
          <w:bCs w:val="0"/>
        </w:rPr>
      </w:r>
    </w:p>
    <w:p>
      <w:pPr>
        <w:pStyle w:val="BodyText"/>
        <w:spacing w:line="316" w:lineRule="auto" w:before="29"/>
        <w:ind w:right="1132" w:firstLine="480"/>
        <w:jc w:val="both"/>
      </w:pPr>
      <w:r>
        <w:rPr>
          <w:spacing w:val="-1"/>
        </w:rPr>
        <w:t>本公司的经营范围为：增值电信业务；互联网信息服务；计算机信息网络国际联网经营业务；电子商务；设计和制作</w:t>
      </w:r>
      <w:r>
        <w:rPr/>
        <w:t> 网络广告；利用</w:t>
      </w:r>
      <w:r>
        <w:rPr>
          <w:rFonts w:ascii="宋体" w:hAnsi="宋体" w:cs="宋体" w:eastAsia="宋体" w:hint="default"/>
        </w:rPr>
        <w:t>263</w:t>
      </w:r>
      <w:r>
        <w:rPr/>
        <w:t>网站</w:t>
      </w:r>
      <w:r>
        <w:rPr>
          <w:rFonts w:ascii="宋体" w:hAnsi="宋体" w:cs="宋体" w:eastAsia="宋体" w:hint="default"/>
        </w:rPr>
        <w:t>(www.263.net.cn)</w:t>
      </w:r>
      <w:r>
        <w:rPr/>
        <w:t>发布网络广告；电子技术、网络技术、计算机软件开发；销售自行开发后产品；</w:t>
      </w:r>
      <w:r>
        <w:rPr>
          <w:spacing w:val="-84"/>
        </w:rPr>
        <w:t> </w:t>
      </w:r>
      <w:r>
        <w:rPr>
          <w:spacing w:val="-84"/>
        </w:rPr>
      </w:r>
      <w:r>
        <w:rPr/>
        <w:t>物业管理</w:t>
      </w:r>
      <w:r>
        <w:rPr>
          <w:rFonts w:ascii="宋体" w:hAnsi="宋体" w:cs="宋体" w:eastAsia="宋体" w:hint="default"/>
        </w:rPr>
        <w:t>(</w:t>
      </w:r>
      <w:r>
        <w:rPr/>
        <w:t>限分支机构经营</w:t>
      </w:r>
      <w:r>
        <w:rPr>
          <w:rFonts w:ascii="宋体" w:hAnsi="宋体" w:cs="宋体" w:eastAsia="宋体" w:hint="default"/>
        </w:rPr>
        <w:t>) </w:t>
      </w:r>
      <w:r>
        <w:rPr/>
        <w:t>。</w:t>
      </w:r>
    </w:p>
    <w:p>
      <w:pPr>
        <w:pStyle w:val="Heading2"/>
        <w:spacing w:line="301" w:lineRule="exact"/>
        <w:ind w:left="874" w:right="0"/>
        <w:jc w:val="left"/>
        <w:rPr>
          <w:b w:val="0"/>
          <w:bCs w:val="0"/>
        </w:rPr>
      </w:pPr>
      <w:r>
        <w:rPr>
          <w:rFonts w:ascii="Times New Roman" w:hAnsi="Times New Roman" w:cs="Times New Roman" w:eastAsia="Times New Roman" w:hint="default"/>
        </w:rPr>
        <w:t>3</w:t>
      </w:r>
      <w:r>
        <w:rPr/>
        <w:t>、公司及子公司业务性质和主要经营活动</w:t>
      </w:r>
      <w:r>
        <w:rPr>
          <w:b w:val="0"/>
          <w:bCs w:val="0"/>
        </w:rPr>
      </w:r>
    </w:p>
    <w:p>
      <w:pPr>
        <w:pStyle w:val="BodyText"/>
        <w:spacing w:line="316" w:lineRule="auto" w:before="29"/>
        <w:ind w:left="634" w:right="0" w:firstLine="60"/>
        <w:jc w:val="left"/>
      </w:pPr>
      <w:r>
        <w:rPr>
          <w:rFonts w:ascii="宋体" w:hAnsi="宋体" w:cs="宋体" w:eastAsia="宋体" w:hint="default"/>
        </w:rPr>
      </w:r>
      <w:r>
        <w:rPr>
          <w:rFonts w:ascii="宋体" w:hAnsi="宋体" w:cs="宋体" w:eastAsia="宋体" w:hint="default"/>
          <w:u w:val="single" w:color="000000"/>
        </w:rPr>
        <w:t>3.1</w:t>
      </w:r>
      <w:r>
        <w:rPr>
          <w:u w:val="single" w:color="000000"/>
        </w:rPr>
        <w:t>．业务性质</w:t>
      </w:r>
      <w:r>
        <w:rPr/>
      </w:r>
      <w:r>
        <w:rPr/>
        <w:t> </w:t>
      </w:r>
      <w:r>
        <w:rPr>
          <w:spacing w:val="-1"/>
        </w:rPr>
        <w:t>本公司及其子公司</w:t>
      </w:r>
      <w:r>
        <w:rPr>
          <w:rFonts w:ascii="宋体" w:hAnsi="宋体" w:cs="宋体" w:eastAsia="宋体" w:hint="default"/>
          <w:spacing w:val="-1"/>
        </w:rPr>
        <w:t>(</w:t>
      </w:r>
      <w:r>
        <w:rPr>
          <w:spacing w:val="-1"/>
        </w:rPr>
        <w:t>以下简称“本集团”</w:t>
      </w:r>
      <w:r>
        <w:rPr>
          <w:rFonts w:ascii="宋体" w:hAnsi="宋体" w:cs="宋体" w:eastAsia="宋体" w:hint="default"/>
          <w:spacing w:val="-1"/>
        </w:rPr>
        <w:t>)</w:t>
      </w:r>
      <w:r>
        <w:rPr>
          <w:spacing w:val="-1"/>
        </w:rPr>
        <w:t>是运用互联网技术和转售方式为企业和个人提供虚拟运营服务的新型通信服</w:t>
      </w:r>
    </w:p>
    <w:p>
      <w:pPr>
        <w:pStyle w:val="BodyText"/>
        <w:spacing w:line="240" w:lineRule="auto" w:before="19"/>
        <w:ind w:right="0"/>
        <w:jc w:val="both"/>
      </w:pPr>
      <w:r>
        <w:rPr/>
        <w:t>务商。</w:t>
      </w:r>
    </w:p>
    <w:p>
      <w:pPr>
        <w:pStyle w:val="BodyText"/>
        <w:spacing w:line="316" w:lineRule="auto" w:before="76"/>
        <w:ind w:right="1129" w:firstLine="480"/>
        <w:jc w:val="both"/>
      </w:pPr>
      <w:r>
        <w:rPr/>
        <w:t>本公司于</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3</w:t>
      </w:r>
      <w:r>
        <w:rPr/>
        <w:t>日取得中华人民共和国工业与信息化部颁发的编号为</w:t>
      </w:r>
      <w:r>
        <w:rPr>
          <w:rFonts w:ascii="宋体" w:hAnsi="宋体" w:cs="宋体" w:eastAsia="宋体" w:hint="default"/>
        </w:rPr>
        <w:t>B1.B2-20090386</w:t>
      </w:r>
      <w:r>
        <w:rPr/>
        <w:t>的增值电信业务经营许可 证，有效期至</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3</w:t>
      </w:r>
      <w:r>
        <w:rPr/>
        <w:t>日，获准经营第一类增值电信业务中的国内多方通信服务业务、第二类增值电信业务中的呼叫中</w:t>
      </w:r>
      <w:r>
        <w:rPr>
          <w:spacing w:val="-83"/>
        </w:rPr>
        <w:t> </w:t>
      </w:r>
      <w:r>
        <w:rPr>
          <w:spacing w:val="-83"/>
        </w:rPr>
      </w:r>
      <w:r>
        <w:rPr/>
        <w:t>心业务、因特网接入服务业务和信息服务业务、</w:t>
      </w:r>
      <w:r>
        <w:rPr>
          <w:spacing w:val="8"/>
        </w:rPr>
        <w:t> </w:t>
      </w:r>
      <w:r>
        <w:rPr/>
        <w:t>信息服务业务</w:t>
      </w:r>
      <w:r>
        <w:rPr>
          <w:rFonts w:ascii="宋体" w:hAnsi="宋体" w:cs="宋体" w:eastAsia="宋体" w:hint="default"/>
        </w:rPr>
        <w:t>(</w:t>
      </w:r>
      <w:r>
        <w:rPr/>
        <w:t>不含固定网电话信息服务和互联网信息服务</w:t>
      </w:r>
      <w:r>
        <w:rPr>
          <w:rFonts w:ascii="宋体" w:hAnsi="宋体" w:cs="宋体" w:eastAsia="宋体" w:hint="default"/>
        </w:rPr>
        <w:t>)</w:t>
      </w:r>
      <w:r>
        <w:rPr/>
        <w:t>。其中，国内</w:t>
      </w:r>
    </w:p>
    <w:p>
      <w:pPr>
        <w:spacing w:after="0" w:line="316"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0"/>
        <w:jc w:val="left"/>
      </w:pPr>
      <w:r>
        <w:rPr/>
        <w:t>多方通信服务业务获准全国经营；呼叫中心业务获准全国经营；因特网接入服务业务获准在北京、上海</w:t>
      </w:r>
      <w:r>
        <w:rPr>
          <w:rFonts w:ascii="宋体" w:hAnsi="宋体" w:cs="宋体" w:eastAsia="宋体" w:hint="default"/>
        </w:rPr>
        <w:t>2</w:t>
      </w:r>
      <w:r>
        <w:rPr/>
        <w:t>个直辖市以及沈阳</w:t>
      </w:r>
      <w:r>
        <w:rPr>
          <w:spacing w:val="-81"/>
        </w:rPr>
        <w:t> </w:t>
      </w:r>
      <w:r>
        <w:rPr>
          <w:spacing w:val="-81"/>
        </w:rPr>
      </w:r>
      <w:r>
        <w:rPr>
          <w:spacing w:val="-2"/>
        </w:rPr>
        <w:t>等</w:t>
      </w:r>
      <w:r>
        <w:rPr>
          <w:rFonts w:ascii="宋体" w:hAnsi="宋体" w:cs="宋体" w:eastAsia="宋体" w:hint="default"/>
          <w:spacing w:val="-2"/>
        </w:rPr>
        <w:t>10</w:t>
      </w:r>
      <w:r>
        <w:rPr>
          <w:spacing w:val="-2"/>
        </w:rPr>
        <w:t>个城市经营；信息服务业务</w:t>
      </w:r>
      <w:r>
        <w:rPr>
          <w:rFonts w:ascii="宋体" w:hAnsi="宋体" w:cs="宋体" w:eastAsia="宋体" w:hint="default"/>
          <w:spacing w:val="-2"/>
        </w:rPr>
        <w:t>(</w:t>
      </w:r>
      <w:r>
        <w:rPr>
          <w:spacing w:val="-2"/>
        </w:rPr>
        <w:t>不包括固定网电话信息服务和互联网信息服务</w:t>
      </w:r>
      <w:r>
        <w:rPr>
          <w:rFonts w:ascii="宋体" w:hAnsi="宋体" w:cs="宋体" w:eastAsia="宋体" w:hint="default"/>
          <w:spacing w:val="-2"/>
        </w:rPr>
        <w:t>)</w:t>
      </w:r>
      <w:r>
        <w:rPr>
          <w:spacing w:val="-2"/>
        </w:rPr>
        <w:t>获准在北京、天津、上海等</w:t>
      </w:r>
      <w:r>
        <w:rPr>
          <w:rFonts w:ascii="宋体" w:hAnsi="宋体" w:cs="宋体" w:eastAsia="宋体" w:hint="default"/>
          <w:spacing w:val="-2"/>
        </w:rPr>
        <w:t>18</w:t>
      </w:r>
      <w:r>
        <w:rPr>
          <w:spacing w:val="-2"/>
        </w:rPr>
        <w:t>个省</w:t>
      </w:r>
      <w:r>
        <w:rPr>
          <w:rFonts w:ascii="宋体" w:hAnsi="宋体" w:cs="宋体" w:eastAsia="宋体" w:hint="default"/>
          <w:spacing w:val="-2"/>
        </w:rPr>
        <w:t>(</w:t>
      </w:r>
      <w:r>
        <w:rPr>
          <w:spacing w:val="-2"/>
        </w:rPr>
        <w:t>自治区、</w:t>
      </w:r>
      <w:r>
        <w:rPr>
          <w:spacing w:val="-58"/>
        </w:rPr>
        <w:t> </w:t>
      </w:r>
      <w:r>
        <w:rPr/>
        <w:t>直辖市</w:t>
      </w:r>
      <w:r>
        <w:rPr>
          <w:rFonts w:ascii="宋体" w:hAnsi="宋体" w:cs="宋体" w:eastAsia="宋体" w:hint="default"/>
        </w:rPr>
        <w:t>)</w:t>
      </w:r>
      <w:r>
        <w:rPr/>
        <w:t>经营。</w:t>
      </w:r>
    </w:p>
    <w:p>
      <w:pPr>
        <w:pStyle w:val="BodyText"/>
        <w:spacing w:line="319" w:lineRule="auto" w:before="19"/>
        <w:ind w:right="1130" w:firstLine="480"/>
        <w:jc w:val="both"/>
      </w:pPr>
      <w:r>
        <w:rPr/>
        <w:t>本公司之三级子公司</w:t>
      </w:r>
      <w:r>
        <w:rPr>
          <w:rFonts w:ascii="宋体" w:hAnsi="宋体" w:cs="宋体" w:eastAsia="宋体" w:hint="default"/>
        </w:rPr>
        <w:t>iTalk Mobile</w:t>
      </w:r>
      <w:r>
        <w:rPr>
          <w:rFonts w:ascii="宋体" w:hAnsi="宋体" w:cs="宋体" w:eastAsia="宋体" w:hint="default"/>
          <w:spacing w:val="-22"/>
        </w:rPr>
        <w:t> </w:t>
      </w:r>
      <w:r>
        <w:rPr>
          <w:rFonts w:ascii="宋体" w:hAnsi="宋体" w:cs="宋体" w:eastAsia="宋体" w:hint="default"/>
        </w:rPr>
        <w:t>Corporation</w:t>
      </w:r>
      <w:r>
        <w:rPr/>
        <w:t>，于</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22</w:t>
      </w:r>
      <w:r>
        <w:rPr/>
        <w:t>日获得美国联邦通讯委员会颁发的</w:t>
      </w:r>
      <w:r>
        <w:rPr>
          <w:rFonts w:ascii="宋体" w:hAnsi="宋体" w:cs="宋体" w:eastAsia="宋体" w:hint="default"/>
        </w:rPr>
        <w:t>FCC214</w:t>
      </w:r>
      <w:r>
        <w:rPr/>
        <w:t>牌照，获 准基于美国主要移动运营商的网络基础设施为美国用户提供本地及国际移动通信服务。</w:t>
      </w:r>
    </w:p>
    <w:p>
      <w:pPr>
        <w:pStyle w:val="BodyText"/>
        <w:spacing w:line="316" w:lineRule="auto" w:before="17"/>
        <w:ind w:right="1130" w:firstLine="480"/>
        <w:jc w:val="both"/>
      </w:pPr>
      <w:r>
        <w:rPr/>
        <w:t>本公司之三级子公司上海奈盛通信科技有限公司于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26</w:t>
      </w:r>
      <w:r>
        <w:rPr/>
        <w:t>日取得中华人民共和国工业与信息化部颁发的编号为 </w:t>
      </w:r>
      <w:r>
        <w:rPr>
          <w:rFonts w:ascii="宋体" w:hAnsi="宋体" w:cs="宋体" w:eastAsia="宋体" w:hint="default"/>
        </w:rPr>
        <w:t>B1-2017009</w:t>
      </w:r>
      <w:r>
        <w:rPr/>
        <w:t>的增值电信业务经营许可证</w:t>
      </w:r>
      <w:r>
        <w:rPr>
          <w:rFonts w:ascii="宋体" w:hAnsi="宋体" w:cs="宋体" w:eastAsia="宋体" w:hint="default"/>
        </w:rPr>
        <w:t>(</w:t>
      </w:r>
      <w:r>
        <w:rPr/>
        <w:t>有效期至</w:t>
      </w:r>
      <w:r>
        <w:rPr>
          <w:rFonts w:ascii="宋体" w:hAnsi="宋体" w:cs="宋体" w:eastAsia="宋体" w:hint="default"/>
        </w:rPr>
        <w:t>2022</w:t>
      </w:r>
      <w:r>
        <w:rPr/>
        <w:t>年</w:t>
      </w:r>
      <w:r>
        <w:rPr>
          <w:rFonts w:ascii="宋体" w:hAnsi="宋体" w:cs="宋体" w:eastAsia="宋体" w:hint="default"/>
        </w:rPr>
        <w:t>5</w:t>
      </w:r>
      <w:r>
        <w:rPr/>
        <w:t>月</w:t>
      </w:r>
      <w:r>
        <w:rPr>
          <w:rFonts w:ascii="宋体" w:hAnsi="宋体" w:cs="宋体" w:eastAsia="宋体" w:hint="default"/>
        </w:rPr>
        <w:t>26</w:t>
      </w:r>
      <w:r>
        <w:rPr/>
        <w:t>日</w:t>
      </w:r>
      <w:r>
        <w:rPr>
          <w:rFonts w:ascii="宋体" w:hAnsi="宋体" w:cs="宋体" w:eastAsia="宋体" w:hint="default"/>
        </w:rPr>
        <w:t>)</w:t>
      </w:r>
      <w:r>
        <w:rPr/>
        <w:t>，获准在上海市经营第一类增值电信业务中的互联网数据</w:t>
      </w:r>
      <w:r>
        <w:rPr>
          <w:spacing w:val="-84"/>
        </w:rPr>
        <w:t> </w:t>
      </w:r>
      <w:r>
        <w:rPr>
          <w:spacing w:val="-84"/>
        </w:rPr>
      </w:r>
      <w:r>
        <w:rPr/>
        <w:t>中心业务</w:t>
      </w:r>
      <w:r>
        <w:rPr>
          <w:rFonts w:ascii="宋体" w:hAnsi="宋体" w:cs="宋体" w:eastAsia="宋体" w:hint="default"/>
        </w:rPr>
        <w:t>(</w:t>
      </w:r>
      <w:r>
        <w:rPr/>
        <w:t>不含互联网资源协作服务</w:t>
      </w:r>
      <w:r>
        <w:rPr>
          <w:rFonts w:ascii="宋体" w:hAnsi="宋体" w:cs="宋体" w:eastAsia="宋体" w:hint="default"/>
        </w:rPr>
        <w:t>)</w:t>
      </w:r>
      <w:r>
        <w:rPr/>
        <w:t>。</w:t>
      </w:r>
      <w:r>
        <w:rPr>
          <w:rFonts w:ascii="宋体" w:hAnsi="宋体" w:cs="宋体" w:eastAsia="宋体" w:hint="default"/>
        </w:rPr>
        <w:t>2018</w:t>
      </w:r>
      <w:r>
        <w:rPr/>
        <w:t>年，该证书业务种类增加了互联网资源协作服务</w:t>
      </w:r>
      <w:r>
        <w:rPr>
          <w:rFonts w:ascii="宋体" w:hAnsi="宋体" w:cs="宋体" w:eastAsia="宋体" w:hint="default"/>
        </w:rPr>
        <w:t>(</w:t>
      </w:r>
      <w:r>
        <w:rPr/>
        <w:t>即云服务</w:t>
      </w:r>
      <w:r>
        <w:rPr>
          <w:rFonts w:ascii="宋体" w:hAnsi="宋体" w:cs="宋体" w:eastAsia="宋体" w:hint="default"/>
        </w:rPr>
        <w:t>)</w:t>
      </w:r>
      <w:r>
        <w:rPr/>
        <w:t>。</w:t>
      </w:r>
    </w:p>
    <w:p>
      <w:pPr>
        <w:pStyle w:val="BodyText"/>
        <w:spacing w:line="316" w:lineRule="auto" w:before="19"/>
        <w:ind w:left="634" w:right="0" w:firstLine="60"/>
        <w:jc w:val="left"/>
      </w:pPr>
      <w:r>
        <w:rPr>
          <w:rFonts w:ascii="宋体" w:hAnsi="宋体" w:cs="宋体" w:eastAsia="宋体" w:hint="default"/>
        </w:rPr>
      </w:r>
      <w:r>
        <w:rPr>
          <w:rFonts w:ascii="宋体" w:hAnsi="宋体" w:cs="宋体" w:eastAsia="宋体" w:hint="default"/>
          <w:u w:val="single" w:color="000000"/>
        </w:rPr>
        <w:t>3.2</w:t>
      </w:r>
      <w:r>
        <w:rPr>
          <w:u w:val="single" w:color="000000"/>
        </w:rPr>
        <w:t>．主要经营活动</w:t>
      </w:r>
      <w:r>
        <w:rPr/>
      </w:r>
      <w:r>
        <w:rPr/>
        <w:t> 在企业客户市场，本集团运用互联网技术和转售方式为企业提供全方位、一站式的通信产品和服务，包括：</w:t>
      </w:r>
      <w:r>
        <w:rPr>
          <w:rFonts w:ascii="宋体" w:hAnsi="宋体" w:cs="宋体" w:eastAsia="宋体" w:hint="default"/>
        </w:rPr>
        <w:t>263</w:t>
      </w:r>
      <w:r>
        <w:rPr/>
        <w:t>云通</w:t>
      </w:r>
    </w:p>
    <w:p>
      <w:pPr>
        <w:pStyle w:val="BodyText"/>
        <w:spacing w:line="316" w:lineRule="auto" w:before="19"/>
        <w:ind w:right="0"/>
        <w:jc w:val="left"/>
      </w:pPr>
      <w:r>
        <w:rPr>
          <w:spacing w:val="-2"/>
        </w:rPr>
        <w:t>信</w:t>
      </w:r>
      <w:r>
        <w:rPr>
          <w:rFonts w:ascii="宋体" w:hAnsi="宋体" w:cs="宋体" w:eastAsia="宋体" w:hint="default"/>
          <w:spacing w:val="-2"/>
        </w:rPr>
        <w:t>(</w:t>
      </w:r>
      <w:r>
        <w:rPr>
          <w:spacing w:val="-2"/>
        </w:rPr>
        <w:t>融合企业邮箱、电话会议、网络会议、视频会议、网络直播、企业网盘、即时通信、协同办公等产品</w:t>
      </w:r>
      <w:r>
        <w:rPr>
          <w:rFonts w:ascii="宋体" w:hAnsi="宋体" w:cs="宋体" w:eastAsia="宋体" w:hint="default"/>
          <w:spacing w:val="-2"/>
        </w:rPr>
        <w:t>)</w:t>
      </w:r>
      <w:r>
        <w:rPr>
          <w:spacing w:val="-2"/>
        </w:rPr>
        <w:t>、企业云电话、企</w:t>
      </w:r>
      <w:r>
        <w:rPr>
          <w:spacing w:val="-67"/>
        </w:rPr>
        <w:t> </w:t>
      </w:r>
      <w:r>
        <w:rPr>
          <w:spacing w:val="-67"/>
        </w:rPr>
      </w:r>
      <w:r>
        <w:rPr/>
        <w:t>业短信、企业</w:t>
      </w:r>
      <w:r>
        <w:rPr>
          <w:rFonts w:ascii="宋体" w:hAnsi="宋体" w:cs="宋体" w:eastAsia="宋体" w:hint="default"/>
        </w:rPr>
        <w:t>VPN</w:t>
      </w:r>
      <w:r>
        <w:rPr/>
        <w:t>、企业无线、</w:t>
      </w:r>
      <w:r>
        <w:rPr>
          <w:rFonts w:ascii="宋体" w:hAnsi="宋体" w:cs="宋体" w:eastAsia="宋体" w:hint="default"/>
        </w:rPr>
        <w:t>IDC</w:t>
      </w:r>
      <w:r>
        <w:rPr/>
        <w:t>及云计算、设计和制作网络广告等服务。</w:t>
      </w:r>
    </w:p>
    <w:p>
      <w:pPr>
        <w:pStyle w:val="BodyText"/>
        <w:spacing w:line="316" w:lineRule="auto" w:before="19"/>
        <w:ind w:right="1132" w:firstLine="480"/>
        <w:jc w:val="both"/>
      </w:pPr>
      <w:r>
        <w:rPr>
          <w:spacing w:val="-1"/>
        </w:rPr>
        <w:t>在个人客户市场，本集团针对全球华人跨境通信需求，为海外华人家庭提供</w:t>
      </w:r>
      <w:r>
        <w:rPr>
          <w:rFonts w:ascii="宋体" w:hAnsi="宋体" w:cs="宋体" w:eastAsia="宋体" w:hint="default"/>
          <w:spacing w:val="-1"/>
        </w:rPr>
        <w:t>VoIP</w:t>
      </w:r>
      <w:r>
        <w:rPr>
          <w:spacing w:val="-1"/>
        </w:rPr>
        <w:t>、</w:t>
      </w:r>
      <w:r>
        <w:rPr>
          <w:rFonts w:ascii="宋体" w:hAnsi="宋体" w:cs="宋体" w:eastAsia="宋体" w:hint="default"/>
          <w:spacing w:val="-1"/>
        </w:rPr>
        <w:t>IPTV</w:t>
      </w:r>
      <w:r>
        <w:rPr>
          <w:spacing w:val="-1"/>
        </w:rPr>
        <w:t>等互联网综合通信服务，为全</w:t>
      </w:r>
      <w:r>
        <w:rPr/>
        <w:t> 球商旅华人提供虚拟移动通信服务</w:t>
      </w:r>
      <w:r>
        <w:rPr>
          <w:rFonts w:ascii="宋体" w:hAnsi="宋体" w:cs="宋体" w:eastAsia="宋体" w:hint="default"/>
        </w:rPr>
        <w:t>(MVNO)</w:t>
      </w:r>
      <w:r>
        <w:rPr/>
        <w:t>。此外，本集团也为运营商提供漫游系统解决方案与服务。</w:t>
      </w:r>
    </w:p>
    <w:p>
      <w:pPr>
        <w:pStyle w:val="BodyText"/>
        <w:spacing w:line="240" w:lineRule="auto" w:before="19"/>
        <w:ind w:left="634" w:right="0"/>
        <w:jc w:val="left"/>
      </w:pPr>
      <w:r>
        <w:rPr/>
        <w:t>本集团还开展固网语音增值服务</w:t>
      </w:r>
      <w:r>
        <w:rPr>
          <w:rFonts w:ascii="宋体" w:hAnsi="宋体" w:cs="宋体" w:eastAsia="宋体" w:hint="default"/>
        </w:rPr>
        <w:t>(</w:t>
      </w:r>
      <w:r>
        <w:rPr/>
        <w:t>即：</w:t>
      </w:r>
      <w:r>
        <w:rPr>
          <w:rFonts w:ascii="宋体" w:hAnsi="宋体" w:cs="宋体" w:eastAsia="宋体" w:hint="default"/>
        </w:rPr>
        <w:t>96446IP</w:t>
      </w:r>
      <w:r>
        <w:rPr/>
        <w:t>长途转售和</w:t>
      </w:r>
      <w:r>
        <w:rPr>
          <w:rFonts w:ascii="宋体" w:hAnsi="宋体" w:cs="宋体" w:eastAsia="宋体" w:hint="default"/>
        </w:rPr>
        <w:t>95050</w:t>
      </w:r>
      <w:r>
        <w:rPr/>
        <w:t>多方通话服务</w:t>
      </w:r>
      <w:r>
        <w:rPr>
          <w:rFonts w:ascii="宋体" w:hAnsi="宋体" w:cs="宋体" w:eastAsia="宋体" w:hint="default"/>
        </w:rPr>
        <w:t>)</w:t>
      </w:r>
      <w:r>
        <w:rPr/>
        <w:t>。</w:t>
      </w:r>
    </w:p>
    <w:p>
      <w:pPr>
        <w:pStyle w:val="Heading2"/>
        <w:spacing w:line="240" w:lineRule="auto" w:before="26"/>
        <w:ind w:left="874" w:right="0"/>
        <w:jc w:val="left"/>
        <w:rPr>
          <w:b w:val="0"/>
          <w:bCs w:val="0"/>
        </w:rPr>
      </w:pPr>
      <w:r>
        <w:rPr>
          <w:rFonts w:ascii="Times New Roman" w:hAnsi="Times New Roman" w:cs="Times New Roman" w:eastAsia="Times New Roman" w:hint="default"/>
        </w:rPr>
        <w:t>4</w:t>
      </w:r>
      <w:r>
        <w:rPr/>
        <w:t>、财务报表的批准报出</w:t>
      </w:r>
      <w:r>
        <w:rPr>
          <w:b w:val="0"/>
          <w:bCs w:val="0"/>
        </w:rPr>
      </w:r>
    </w:p>
    <w:p>
      <w:pPr>
        <w:pStyle w:val="BodyText"/>
        <w:spacing w:line="316" w:lineRule="auto" w:before="29"/>
        <w:ind w:left="874" w:right="4272"/>
        <w:jc w:val="left"/>
      </w:pPr>
      <w:r>
        <w:rPr/>
        <w:t>本公司的公司及合并财务报表于</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-28-</w:t>
      </w:r>
      <w:r>
        <w:rPr/>
        <w:t>日经本公司董事会批准。 本年度纳入合并财务报表范围的主体共</w:t>
      </w:r>
      <w:r>
        <w:rPr>
          <w:rFonts w:ascii="宋体" w:hAnsi="宋体" w:cs="宋体" w:eastAsia="宋体" w:hint="default"/>
        </w:rPr>
        <w:t>29</w:t>
      </w:r>
      <w:r>
        <w:rPr/>
        <w:t>户，具体包括：</w:t>
      </w:r>
    </w:p>
    <w:tbl>
      <w:tblPr>
        <w:tblW w:w="0" w:type="auto"/>
        <w:jc w:val="left"/>
        <w:tblInd w:w="137" w:type="dxa"/>
        <w:tblLayout w:type="fixed"/>
        <w:tblCellMar>
          <w:top w:w="0" w:type="dxa"/>
          <w:left w:w="0" w:type="dxa"/>
          <w:bottom w:w="0" w:type="dxa"/>
          <w:right w:w="0" w:type="dxa"/>
        </w:tblCellMar>
        <w:tblLook w:val="01E0"/>
      </w:tblPr>
      <w:tblGrid>
        <w:gridCol w:w="3056"/>
        <w:gridCol w:w="974"/>
        <w:gridCol w:w="541"/>
        <w:gridCol w:w="724"/>
        <w:gridCol w:w="1324"/>
        <w:gridCol w:w="818"/>
        <w:gridCol w:w="634"/>
        <w:gridCol w:w="265"/>
        <w:gridCol w:w="616"/>
        <w:gridCol w:w="709"/>
      </w:tblGrid>
      <w:tr>
        <w:trPr>
          <w:trHeight w:val="965" w:hRule="exact"/>
        </w:trPr>
        <w:tc>
          <w:tcPr>
            <w:tcW w:w="305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color w:val="0D0D0D"/>
                <w:sz w:val="18"/>
                <w:szCs w:val="18"/>
              </w:rPr>
              <w:t>子公司名称</w:t>
            </w:r>
            <w:r>
              <w:rPr>
                <w:rFonts w:ascii="宋体" w:hAnsi="宋体" w:cs="宋体" w:eastAsia="宋体" w:hint="default"/>
                <w:sz w:val="18"/>
                <w:szCs w:val="18"/>
              </w:rPr>
            </w:r>
          </w:p>
        </w:tc>
        <w:tc>
          <w:tcPr>
            <w:tcW w:w="97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color w:val="0D0D0D"/>
                <w:sz w:val="18"/>
                <w:szCs w:val="18"/>
              </w:rPr>
              <w:t>公司简称</w:t>
            </w:r>
            <w:r>
              <w:rPr>
                <w:rFonts w:ascii="宋体" w:hAnsi="宋体" w:cs="宋体" w:eastAsia="宋体" w:hint="default"/>
                <w:sz w:val="18"/>
                <w:szCs w:val="18"/>
              </w:rPr>
            </w:r>
          </w:p>
        </w:tc>
        <w:tc>
          <w:tcPr>
            <w:tcW w:w="54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6"/>
              <w:ind w:left="82" w:right="83"/>
              <w:jc w:val="both"/>
              <w:rPr>
                <w:rFonts w:ascii="宋体" w:hAnsi="宋体" w:cs="宋体" w:eastAsia="宋体" w:hint="default"/>
                <w:sz w:val="18"/>
                <w:szCs w:val="18"/>
              </w:rPr>
            </w:pPr>
            <w:r>
              <w:rPr>
                <w:rFonts w:ascii="宋体" w:hAnsi="宋体" w:cs="宋体" w:eastAsia="宋体" w:hint="default"/>
                <w:color w:val="0D0D0D"/>
                <w:sz w:val="18"/>
                <w:szCs w:val="18"/>
              </w:rPr>
              <w:t>主要 经营 地</w:t>
            </w:r>
            <w:r>
              <w:rPr>
                <w:rFonts w:ascii="宋体" w:hAnsi="宋体" w:cs="宋体" w:eastAsia="宋体" w:hint="default"/>
                <w:sz w:val="18"/>
                <w:szCs w:val="18"/>
              </w:rPr>
            </w:r>
          </w:p>
        </w:tc>
        <w:tc>
          <w:tcPr>
            <w:tcW w:w="7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color w:val="0D0D0D"/>
                <w:sz w:val="18"/>
                <w:szCs w:val="18"/>
              </w:rPr>
              <w:t>注册地</w:t>
            </w:r>
            <w:r>
              <w:rPr>
                <w:rFonts w:ascii="宋体" w:hAnsi="宋体" w:cs="宋体" w:eastAsia="宋体" w:hint="default"/>
                <w:sz w:val="18"/>
                <w:szCs w:val="18"/>
              </w:rPr>
            </w:r>
          </w:p>
        </w:tc>
        <w:tc>
          <w:tcPr>
            <w:tcW w:w="13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left="295" w:right="0"/>
              <w:jc w:val="left"/>
              <w:rPr>
                <w:rFonts w:ascii="宋体" w:hAnsi="宋体" w:cs="宋体" w:eastAsia="宋体" w:hint="default"/>
                <w:sz w:val="18"/>
                <w:szCs w:val="18"/>
              </w:rPr>
            </w:pPr>
            <w:r>
              <w:rPr>
                <w:rFonts w:ascii="宋体" w:hAnsi="宋体" w:cs="宋体" w:eastAsia="宋体" w:hint="default"/>
                <w:color w:val="0D0D0D"/>
                <w:sz w:val="18"/>
                <w:szCs w:val="18"/>
              </w:rPr>
              <w:t>业务性质</w:t>
            </w:r>
            <w:r>
              <w:rPr>
                <w:rFonts w:ascii="宋体" w:hAnsi="宋体" w:cs="宋体" w:eastAsia="宋体" w:hint="default"/>
                <w:sz w:val="18"/>
                <w:szCs w:val="18"/>
              </w:rPr>
            </w:r>
          </w:p>
        </w:tc>
        <w:tc>
          <w:tcPr>
            <w:tcW w:w="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color w:val="0D0D0D"/>
                <w:sz w:val="18"/>
                <w:szCs w:val="18"/>
              </w:rPr>
              <w:t>取得方式</w:t>
            </w:r>
            <w:r>
              <w:rPr>
                <w:rFonts w:ascii="宋体" w:hAnsi="宋体" w:cs="宋体" w:eastAsia="宋体" w:hint="default"/>
                <w:sz w:val="18"/>
                <w:szCs w:val="18"/>
              </w:rPr>
            </w:r>
          </w:p>
        </w:tc>
        <w:tc>
          <w:tcPr>
            <w:tcW w:w="63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6"/>
              <w:ind w:left="129" w:right="37" w:hanging="90"/>
              <w:jc w:val="left"/>
              <w:rPr>
                <w:rFonts w:ascii="宋体" w:hAnsi="宋体" w:cs="宋体" w:eastAsia="宋体" w:hint="default"/>
                <w:sz w:val="18"/>
                <w:szCs w:val="18"/>
              </w:rPr>
            </w:pPr>
            <w:r>
              <w:rPr>
                <w:rFonts w:ascii="宋体" w:hAnsi="宋体" w:cs="宋体" w:eastAsia="宋体" w:hint="default"/>
                <w:color w:val="0D0D0D"/>
                <w:sz w:val="18"/>
                <w:szCs w:val="18"/>
              </w:rPr>
              <w:t>子公司 类型</w:t>
            </w:r>
            <w:r>
              <w:rPr>
                <w:rFonts w:ascii="宋体" w:hAnsi="宋体" w:cs="宋体" w:eastAsia="宋体" w:hint="default"/>
                <w:sz w:val="18"/>
                <w:szCs w:val="18"/>
              </w:rPr>
            </w:r>
          </w:p>
        </w:tc>
        <w:tc>
          <w:tcPr>
            <w:tcW w:w="2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6"/>
              <w:ind w:left="34" w:right="35"/>
              <w:jc w:val="left"/>
              <w:rPr>
                <w:rFonts w:ascii="宋体" w:hAnsi="宋体" w:cs="宋体" w:eastAsia="宋体" w:hint="default"/>
                <w:sz w:val="18"/>
                <w:szCs w:val="18"/>
              </w:rPr>
            </w:pPr>
            <w:r>
              <w:rPr>
                <w:rFonts w:ascii="宋体" w:hAnsi="宋体" w:cs="宋体" w:eastAsia="宋体" w:hint="default"/>
                <w:color w:val="0D0D0D"/>
                <w:sz w:val="18"/>
                <w:szCs w:val="18"/>
              </w:rPr>
              <w:t>级 次</w:t>
            </w:r>
            <w:r>
              <w:rPr>
                <w:rFonts w:ascii="宋体" w:hAnsi="宋体" w:cs="宋体" w:eastAsia="宋体" w:hint="default"/>
                <w:sz w:val="18"/>
                <w:szCs w:val="18"/>
              </w:rPr>
            </w:r>
          </w:p>
        </w:tc>
        <w:tc>
          <w:tcPr>
            <w:tcW w:w="6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6"/>
              <w:ind w:left="75" w:right="29" w:hanging="46"/>
              <w:jc w:val="left"/>
              <w:rPr>
                <w:rFonts w:ascii="Times New Roman" w:hAnsi="Times New Roman" w:cs="Times New Roman" w:eastAsia="Times New Roman" w:hint="default"/>
                <w:sz w:val="18"/>
                <w:szCs w:val="18"/>
              </w:rPr>
            </w:pPr>
            <w:r>
              <w:rPr>
                <w:rFonts w:ascii="宋体" w:hAnsi="宋体" w:cs="宋体" w:eastAsia="宋体" w:hint="default"/>
                <w:color w:val="0D0D0D"/>
                <w:sz w:val="18"/>
                <w:szCs w:val="18"/>
              </w:rPr>
              <w:t>持股比 例</w:t>
            </w:r>
            <w:r>
              <w:rPr>
                <w:rFonts w:ascii="Times New Roman" w:hAnsi="Times New Roman" w:cs="Times New Roman" w:eastAsia="Times New Roman" w:hint="default"/>
                <w:color w:val="0D0D0D"/>
                <w:sz w:val="18"/>
                <w:szCs w:val="18"/>
              </w:rPr>
              <w:t>(%)</w:t>
            </w:r>
            <w:r>
              <w:rPr>
                <w:rFonts w:ascii="Times New Roman" w:hAnsi="Times New Roman" w:cs="Times New Roman" w:eastAsia="Times New Roman" w:hint="default"/>
                <w:sz w:val="18"/>
                <w:szCs w:val="18"/>
              </w:rPr>
            </w:r>
          </w:p>
        </w:tc>
        <w:tc>
          <w:tcPr>
            <w:tcW w:w="7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6"/>
              <w:ind w:left="31" w:right="31" w:firstLine="45"/>
              <w:jc w:val="left"/>
              <w:rPr>
                <w:rFonts w:ascii="Times New Roman" w:hAnsi="Times New Roman" w:cs="Times New Roman" w:eastAsia="Times New Roman" w:hint="default"/>
                <w:sz w:val="18"/>
                <w:szCs w:val="18"/>
              </w:rPr>
            </w:pPr>
            <w:r>
              <w:rPr>
                <w:rFonts w:ascii="宋体" w:hAnsi="宋体" w:cs="宋体" w:eastAsia="宋体" w:hint="default"/>
                <w:color w:val="0D0D0D"/>
                <w:sz w:val="18"/>
                <w:szCs w:val="18"/>
              </w:rPr>
              <w:t>表决权 比例</w:t>
            </w:r>
            <w:r>
              <w:rPr>
                <w:rFonts w:ascii="Times New Roman" w:hAnsi="Times New Roman" w:cs="Times New Roman" w:eastAsia="Times New Roman" w:hint="default"/>
                <w:color w:val="0D0D0D"/>
                <w:sz w:val="18"/>
                <w:szCs w:val="18"/>
              </w:rPr>
              <w:t>(%)</w:t>
            </w:r>
            <w:r>
              <w:rPr>
                <w:rFonts w:ascii="Times New Roman" w:hAnsi="Times New Roman" w:cs="Times New Roman" w:eastAsia="Times New Roman" w:hint="default"/>
                <w:sz w:val="18"/>
                <w:szCs w:val="18"/>
              </w:rPr>
            </w:r>
          </w:p>
        </w:tc>
      </w:tr>
      <w:tr>
        <w:trPr>
          <w:trHeight w:val="347"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color w:val="0D0D0D"/>
                <w:sz w:val="18"/>
                <w:szCs w:val="18"/>
              </w:rPr>
              <w:t>本公司</w:t>
            </w:r>
            <w:r>
              <w:rPr>
                <w:rFonts w:ascii="宋体" w:hAnsi="宋体" w:cs="宋体" w:eastAsia="宋体" w:hint="default"/>
                <w:sz w:val="18"/>
                <w:szCs w:val="18"/>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本公司</w:t>
            </w:r>
            <w:r>
              <w:rPr>
                <w:rFonts w:ascii="宋体" w:hAnsi="宋体" w:cs="宋体" w:eastAsia="宋体" w:hint="default"/>
                <w:sz w:val="18"/>
                <w:szCs w:val="18"/>
              </w:rPr>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3"/>
              <w:jc w:val="right"/>
              <w:rPr>
                <w:rFonts w:ascii="宋体" w:hAnsi="宋体" w:cs="宋体" w:eastAsia="宋体" w:hint="default"/>
                <w:sz w:val="18"/>
                <w:szCs w:val="18"/>
              </w:rPr>
            </w:pPr>
            <w:r>
              <w:rPr>
                <w:rFonts w:ascii="宋体" w:hAnsi="宋体" w:cs="宋体" w:eastAsia="宋体" w:hint="default"/>
                <w:color w:val="0D0D0D"/>
                <w:sz w:val="18"/>
                <w:szCs w:val="18"/>
              </w:rPr>
              <w:t>北京</w:t>
            </w:r>
            <w:r>
              <w:rPr>
                <w:rFonts w:ascii="宋体" w:hAnsi="宋体" w:cs="宋体" w:eastAsia="宋体" w:hint="default"/>
                <w:sz w:val="18"/>
                <w:szCs w:val="18"/>
              </w:rPr>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北京</w:t>
            </w:r>
            <w:r>
              <w:rPr>
                <w:rFonts w:ascii="宋体" w:hAnsi="宋体" w:cs="宋体" w:eastAsia="宋体" w:hint="default"/>
                <w:sz w:val="18"/>
                <w:szCs w:val="18"/>
              </w:rPr>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9" w:right="0"/>
              <w:jc w:val="left"/>
              <w:rPr>
                <w:rFonts w:ascii="Times New Roman" w:hAnsi="Times New Roman" w:cs="Times New Roman" w:eastAsia="Times New Roman" w:hint="default"/>
                <w:sz w:val="18"/>
                <w:szCs w:val="18"/>
              </w:rPr>
            </w:pPr>
            <w:r>
              <w:rPr>
                <w:rFonts w:ascii="宋体" w:hAnsi="宋体" w:cs="宋体" w:eastAsia="宋体" w:hint="default"/>
                <w:color w:val="0D0D0D"/>
                <w:sz w:val="18"/>
                <w:szCs w:val="18"/>
              </w:rPr>
              <w:t>附注</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一</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w:t>
            </w:r>
            <w:r>
              <w:rPr>
                <w:rFonts w:ascii="Times New Roman" w:hAnsi="Times New Roman" w:cs="Times New Roman" w:eastAsia="Times New Roman" w:hint="default"/>
                <w:color w:val="0D0D0D"/>
                <w:sz w:val="18"/>
                <w:szCs w:val="18"/>
              </w:rPr>
              <w:t>3</w:t>
            </w:r>
            <w:r>
              <w:rPr>
                <w:rFonts w:ascii="Times New Roman" w:hAnsi="Times New Roman" w:cs="Times New Roman" w:eastAsia="Times New Roman" w:hint="default"/>
                <w:sz w:val="18"/>
                <w:szCs w:val="18"/>
              </w:rPr>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不适用</w:t>
            </w:r>
            <w:r>
              <w:rPr>
                <w:rFonts w:ascii="宋体" w:hAnsi="宋体" w:cs="宋体" w:eastAsia="宋体" w:hint="default"/>
                <w:sz w:val="18"/>
                <w:szCs w:val="18"/>
              </w:rPr>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9" w:right="0"/>
              <w:jc w:val="left"/>
              <w:rPr>
                <w:rFonts w:ascii="宋体" w:hAnsi="宋体" w:cs="宋体" w:eastAsia="宋体" w:hint="default"/>
                <w:sz w:val="18"/>
                <w:szCs w:val="18"/>
              </w:rPr>
            </w:pPr>
            <w:r>
              <w:rPr>
                <w:rFonts w:ascii="宋体" w:hAnsi="宋体" w:cs="宋体" w:eastAsia="宋体" w:hint="default"/>
                <w:color w:val="0D0D0D"/>
                <w:sz w:val="18"/>
                <w:szCs w:val="18"/>
              </w:rPr>
              <w:t>不适用</w:t>
            </w:r>
            <w:r>
              <w:rPr>
                <w:rFonts w:ascii="宋体" w:hAnsi="宋体" w:cs="宋体" w:eastAsia="宋体" w:hint="default"/>
                <w:sz w:val="18"/>
                <w:szCs w:val="18"/>
              </w:rPr>
            </w:r>
          </w:p>
        </w:tc>
        <w:tc>
          <w:tcPr>
            <w:tcW w:w="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1</w:t>
            </w:r>
            <w:r>
              <w:rPr>
                <w:rFonts w:ascii="Times New Roman"/>
                <w:sz w:val="18"/>
              </w:rPr>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不适用</w:t>
            </w:r>
            <w:r>
              <w:rPr>
                <w:rFonts w:ascii="宋体" w:hAnsi="宋体" w:cs="宋体" w:eastAsia="宋体" w:hint="default"/>
                <w:sz w:val="18"/>
                <w:szCs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不适用</w:t>
            </w:r>
            <w:r>
              <w:rPr>
                <w:rFonts w:ascii="宋体" w:hAnsi="宋体" w:cs="宋体" w:eastAsia="宋体" w:hint="default"/>
                <w:sz w:val="18"/>
                <w:szCs w:val="18"/>
              </w:rPr>
            </w:r>
          </w:p>
        </w:tc>
      </w:tr>
      <w:tr>
        <w:trPr>
          <w:trHeight w:val="659"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color w:val="0D0D0D"/>
                <w:sz w:val="18"/>
                <w:szCs w:val="18"/>
              </w:rPr>
              <w:t>北京二六三企业通信有限公司</w:t>
            </w:r>
            <w:r>
              <w:rPr>
                <w:rFonts w:ascii="宋体" w:hAnsi="宋体" w:cs="宋体" w:eastAsia="宋体" w:hint="default"/>
                <w:sz w:val="18"/>
                <w:szCs w:val="18"/>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企业通信</w:t>
            </w:r>
            <w:r>
              <w:rPr>
                <w:rFonts w:ascii="宋体" w:hAnsi="宋体" w:cs="宋体" w:eastAsia="宋体" w:hint="default"/>
                <w:sz w:val="18"/>
                <w:szCs w:val="18"/>
              </w:rPr>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3"/>
              <w:jc w:val="right"/>
              <w:rPr>
                <w:rFonts w:ascii="宋体" w:hAnsi="宋体" w:cs="宋体" w:eastAsia="宋体" w:hint="default"/>
                <w:sz w:val="18"/>
                <w:szCs w:val="18"/>
              </w:rPr>
            </w:pPr>
            <w:r>
              <w:rPr>
                <w:rFonts w:ascii="宋体" w:hAnsi="宋体" w:cs="宋体" w:eastAsia="宋体" w:hint="default"/>
                <w:sz w:val="18"/>
                <w:szCs w:val="18"/>
              </w:rPr>
              <w:t>北京</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北京</w:t>
            </w:r>
            <w:r>
              <w:rPr>
                <w:rFonts w:ascii="宋体" w:hAnsi="宋体" w:cs="宋体" w:eastAsia="宋体" w:hint="default"/>
                <w:sz w:val="18"/>
                <w:szCs w:val="18"/>
              </w:rPr>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39"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29" w:right="37" w:hanging="90"/>
              <w:jc w:val="left"/>
              <w:rPr>
                <w:rFonts w:ascii="宋体" w:hAnsi="宋体" w:cs="宋体" w:eastAsia="宋体" w:hint="default"/>
                <w:sz w:val="18"/>
                <w:szCs w:val="18"/>
              </w:rPr>
            </w:pPr>
            <w:r>
              <w:rPr>
                <w:rFonts w:ascii="宋体" w:hAnsi="宋体" w:cs="宋体" w:eastAsia="宋体" w:hint="default"/>
                <w:color w:val="0D0D0D"/>
                <w:sz w:val="18"/>
                <w:szCs w:val="18"/>
              </w:rPr>
              <w:t>全资子 公司</w:t>
            </w:r>
            <w:r>
              <w:rPr>
                <w:rFonts w:ascii="宋体" w:hAnsi="宋体" w:cs="宋体" w:eastAsia="宋体" w:hint="default"/>
                <w:sz w:val="18"/>
                <w:szCs w:val="18"/>
              </w:rPr>
            </w:r>
          </w:p>
        </w:tc>
        <w:tc>
          <w:tcPr>
            <w:tcW w:w="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2</w:t>
            </w:r>
            <w:r>
              <w:rPr>
                <w:rFonts w:ascii="Times New Roman"/>
                <w:sz w:val="18"/>
              </w:rPr>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60"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color w:val="0D0D0D"/>
                <w:sz w:val="18"/>
                <w:szCs w:val="18"/>
              </w:rPr>
              <w:t>上海二六三通信有限公司</w:t>
            </w:r>
            <w:r>
              <w:rPr>
                <w:rFonts w:ascii="宋体" w:hAnsi="宋体" w:cs="宋体" w:eastAsia="宋体" w:hint="default"/>
                <w:sz w:val="18"/>
                <w:szCs w:val="18"/>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上海通信</w:t>
            </w:r>
            <w:r>
              <w:rPr>
                <w:rFonts w:ascii="宋体" w:hAnsi="宋体" w:cs="宋体" w:eastAsia="宋体" w:hint="default"/>
                <w:sz w:val="18"/>
                <w:szCs w:val="18"/>
              </w:rPr>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3"/>
              <w:jc w:val="right"/>
              <w:rPr>
                <w:rFonts w:ascii="宋体" w:hAnsi="宋体" w:cs="宋体" w:eastAsia="宋体" w:hint="default"/>
                <w:sz w:val="18"/>
                <w:szCs w:val="18"/>
              </w:rPr>
            </w:pPr>
            <w:r>
              <w:rPr>
                <w:rFonts w:ascii="宋体" w:hAnsi="宋体" w:cs="宋体" w:eastAsia="宋体" w:hint="default"/>
                <w:sz w:val="18"/>
                <w:szCs w:val="18"/>
              </w:rPr>
              <w:t>北京</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上海</w:t>
            </w:r>
            <w:r>
              <w:rPr>
                <w:rFonts w:ascii="宋体" w:hAnsi="宋体" w:cs="宋体" w:eastAsia="宋体" w:hint="default"/>
                <w:sz w:val="18"/>
                <w:szCs w:val="18"/>
              </w:rPr>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增值通信、</w:t>
            </w:r>
            <w:r>
              <w:rPr>
                <w:rFonts w:ascii="Times New Roman" w:hAnsi="Times New Roman" w:cs="Times New Roman" w:eastAsia="Times New Roman" w:hint="default"/>
                <w:sz w:val="18"/>
                <w:szCs w:val="18"/>
              </w:rPr>
              <w:t>VPN</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29" w:right="37" w:hanging="90"/>
              <w:jc w:val="left"/>
              <w:rPr>
                <w:rFonts w:ascii="宋体" w:hAnsi="宋体" w:cs="宋体" w:eastAsia="宋体" w:hint="default"/>
                <w:sz w:val="18"/>
                <w:szCs w:val="18"/>
              </w:rPr>
            </w:pPr>
            <w:r>
              <w:rPr>
                <w:rFonts w:ascii="宋体" w:hAnsi="宋体" w:cs="宋体" w:eastAsia="宋体" w:hint="default"/>
                <w:color w:val="0D0D0D"/>
                <w:sz w:val="18"/>
                <w:szCs w:val="18"/>
              </w:rPr>
              <w:t>全资子 公司</w:t>
            </w:r>
            <w:r>
              <w:rPr>
                <w:rFonts w:ascii="宋体" w:hAnsi="宋体" w:cs="宋体" w:eastAsia="宋体" w:hint="default"/>
                <w:sz w:val="18"/>
                <w:szCs w:val="18"/>
              </w:rPr>
            </w:r>
          </w:p>
        </w:tc>
        <w:tc>
          <w:tcPr>
            <w:tcW w:w="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2</w:t>
            </w:r>
            <w:r>
              <w:rPr>
                <w:rFonts w:ascii="Times New Roman"/>
                <w:sz w:val="18"/>
              </w:rPr>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971"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20"/>
              <w:ind w:left="2" w:right="12"/>
              <w:jc w:val="left"/>
              <w:rPr>
                <w:rFonts w:ascii="Times New Roman" w:hAnsi="Times New Roman" w:cs="Times New Roman" w:eastAsia="Times New Roman" w:hint="default"/>
                <w:sz w:val="18"/>
                <w:szCs w:val="18"/>
              </w:rPr>
            </w:pPr>
            <w:r>
              <w:rPr>
                <w:rFonts w:ascii="宋体" w:hAnsi="宋体" w:cs="宋体" w:eastAsia="宋体" w:hint="default"/>
                <w:color w:val="0D0D0D"/>
                <w:sz w:val="18"/>
                <w:szCs w:val="18"/>
              </w:rPr>
              <w:t>二六三增值通信香港有限公司 </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英文名：</w:t>
            </w:r>
            <w:r>
              <w:rPr>
                <w:rFonts w:ascii="Times New Roman" w:hAnsi="Times New Roman" w:cs="Times New Roman" w:eastAsia="Times New Roman" w:hint="default"/>
                <w:color w:val="0D0D0D"/>
                <w:sz w:val="18"/>
                <w:szCs w:val="18"/>
              </w:rPr>
              <w:t>263 Value Added Communication Hong Kong</w:t>
            </w:r>
            <w:r>
              <w:rPr>
                <w:rFonts w:ascii="Times New Roman" w:hAnsi="Times New Roman" w:cs="Times New Roman" w:eastAsia="Times New Roman" w:hint="default"/>
                <w:color w:val="0D0D0D"/>
                <w:spacing w:val="-6"/>
                <w:sz w:val="18"/>
                <w:szCs w:val="18"/>
              </w:rPr>
              <w:t> </w:t>
            </w:r>
            <w:r>
              <w:rPr>
                <w:rFonts w:ascii="Times New Roman" w:hAnsi="Times New Roman" w:cs="Times New Roman" w:eastAsia="Times New Roman" w:hint="default"/>
                <w:color w:val="0D0D0D"/>
                <w:sz w:val="18"/>
                <w:szCs w:val="18"/>
              </w:rPr>
              <w:t>Co.,Limited)</w:t>
            </w:r>
            <w:r>
              <w:rPr>
                <w:rFonts w:ascii="Times New Roman" w:hAnsi="Times New Roman" w:cs="Times New Roman" w:eastAsia="Times New Roman" w:hint="default"/>
                <w:sz w:val="18"/>
                <w:szCs w:val="18"/>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color w:val="0D0D0D"/>
                <w:sz w:val="18"/>
                <w:szCs w:val="18"/>
              </w:rPr>
              <w:t>香港增值</w:t>
            </w:r>
            <w:r>
              <w:rPr>
                <w:rFonts w:ascii="宋体" w:hAnsi="宋体" w:cs="宋体" w:eastAsia="宋体" w:hint="default"/>
                <w:sz w:val="18"/>
                <w:szCs w:val="18"/>
              </w:rPr>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宋体" w:hAnsi="宋体" w:cs="宋体" w:eastAsia="宋体" w:hint="default"/>
                <w:sz w:val="18"/>
                <w:szCs w:val="18"/>
              </w:rPr>
            </w:pPr>
            <w:r>
              <w:rPr>
                <w:rFonts w:ascii="宋体" w:hAnsi="宋体" w:cs="宋体" w:eastAsia="宋体" w:hint="default"/>
                <w:sz w:val="18"/>
                <w:szCs w:val="18"/>
              </w:rPr>
              <w:t>香港</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color w:val="0D0D0D"/>
                <w:sz w:val="18"/>
                <w:szCs w:val="18"/>
              </w:rPr>
              <w:t>香港</w:t>
            </w:r>
            <w:r>
              <w:rPr>
                <w:rFonts w:ascii="宋体" w:hAnsi="宋体" w:cs="宋体" w:eastAsia="宋体" w:hint="default"/>
                <w:sz w:val="18"/>
                <w:szCs w:val="18"/>
              </w:rPr>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VPN</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29" w:right="37" w:hanging="90"/>
              <w:jc w:val="left"/>
              <w:rPr>
                <w:rFonts w:ascii="宋体" w:hAnsi="宋体" w:cs="宋体" w:eastAsia="宋体" w:hint="default"/>
                <w:sz w:val="18"/>
                <w:szCs w:val="18"/>
              </w:rPr>
            </w:pPr>
            <w:r>
              <w:rPr>
                <w:rFonts w:ascii="宋体" w:hAnsi="宋体" w:cs="宋体" w:eastAsia="宋体" w:hint="default"/>
                <w:color w:val="0D0D0D"/>
                <w:sz w:val="18"/>
                <w:szCs w:val="18"/>
              </w:rPr>
              <w:t>全资子 公司</w:t>
            </w:r>
            <w:r>
              <w:rPr>
                <w:rFonts w:ascii="宋体" w:hAnsi="宋体" w:cs="宋体" w:eastAsia="宋体" w:hint="default"/>
                <w:sz w:val="18"/>
                <w:szCs w:val="18"/>
              </w:rPr>
            </w:r>
          </w:p>
        </w:tc>
        <w:tc>
          <w:tcPr>
            <w:tcW w:w="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color w:val="0D0D0D"/>
                <w:sz w:val="18"/>
              </w:rPr>
              <w:t>3</w:t>
            </w:r>
            <w:r>
              <w:rPr>
                <w:rFonts w:ascii="Times New Roman"/>
                <w:sz w:val="18"/>
              </w:rPr>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9"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color w:val="0D0D0D"/>
                <w:sz w:val="18"/>
                <w:szCs w:val="18"/>
              </w:rPr>
              <w:t>北京二六三网络科技有限公司</w:t>
            </w:r>
            <w:r>
              <w:rPr>
                <w:rFonts w:ascii="宋体" w:hAnsi="宋体" w:cs="宋体" w:eastAsia="宋体" w:hint="default"/>
                <w:sz w:val="18"/>
                <w:szCs w:val="18"/>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网络科技</w:t>
            </w:r>
            <w:r>
              <w:rPr>
                <w:rFonts w:ascii="宋体" w:hAnsi="宋体" w:cs="宋体" w:eastAsia="宋体" w:hint="default"/>
                <w:sz w:val="18"/>
                <w:szCs w:val="18"/>
              </w:rPr>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3"/>
              <w:jc w:val="right"/>
              <w:rPr>
                <w:rFonts w:ascii="宋体" w:hAnsi="宋体" w:cs="宋体" w:eastAsia="宋体" w:hint="default"/>
                <w:sz w:val="18"/>
                <w:szCs w:val="18"/>
              </w:rPr>
            </w:pPr>
            <w:r>
              <w:rPr>
                <w:rFonts w:ascii="宋体" w:hAnsi="宋体" w:cs="宋体" w:eastAsia="宋体" w:hint="default"/>
                <w:sz w:val="18"/>
                <w:szCs w:val="18"/>
              </w:rPr>
              <w:t>北京</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北京</w:t>
            </w:r>
            <w:r>
              <w:rPr>
                <w:rFonts w:ascii="宋体" w:hAnsi="宋体" w:cs="宋体" w:eastAsia="宋体" w:hint="default"/>
                <w:sz w:val="18"/>
                <w:szCs w:val="18"/>
              </w:rPr>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VOIP</w:t>
            </w:r>
            <w:r>
              <w:rPr>
                <w:rFonts w:ascii="宋体" w:hAnsi="宋体" w:cs="宋体" w:eastAsia="宋体" w:hint="default"/>
                <w:sz w:val="18"/>
                <w:szCs w:val="18"/>
              </w:rPr>
              <w:t>、</w:t>
            </w:r>
            <w:r>
              <w:rPr>
                <w:rFonts w:ascii="Times New Roman" w:hAnsi="Times New Roman" w:cs="Times New Roman" w:eastAsia="Times New Roman" w:hint="default"/>
                <w:sz w:val="18"/>
                <w:szCs w:val="18"/>
              </w:rPr>
              <w:t>IPTV</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29" w:right="37" w:hanging="90"/>
              <w:jc w:val="left"/>
              <w:rPr>
                <w:rFonts w:ascii="宋体" w:hAnsi="宋体" w:cs="宋体" w:eastAsia="宋体" w:hint="default"/>
                <w:sz w:val="18"/>
                <w:szCs w:val="18"/>
              </w:rPr>
            </w:pPr>
            <w:r>
              <w:rPr>
                <w:rFonts w:ascii="宋体" w:hAnsi="宋体" w:cs="宋体" w:eastAsia="宋体" w:hint="default"/>
                <w:color w:val="0D0D0D"/>
                <w:sz w:val="18"/>
                <w:szCs w:val="18"/>
              </w:rPr>
              <w:t>全资子 公司</w:t>
            </w:r>
            <w:r>
              <w:rPr>
                <w:rFonts w:ascii="宋体" w:hAnsi="宋体" w:cs="宋体" w:eastAsia="宋体" w:hint="default"/>
                <w:sz w:val="18"/>
                <w:szCs w:val="18"/>
              </w:rPr>
            </w:r>
          </w:p>
        </w:tc>
        <w:tc>
          <w:tcPr>
            <w:tcW w:w="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2</w:t>
            </w:r>
            <w:r>
              <w:rPr>
                <w:rFonts w:ascii="Times New Roman"/>
                <w:sz w:val="18"/>
              </w:rPr>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9"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color w:val="0D0D0D"/>
                <w:sz w:val="18"/>
                <w:szCs w:val="18"/>
              </w:rPr>
              <w:t>二六三软件技术</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北京</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有限公司</w:t>
            </w:r>
            <w:r>
              <w:rPr>
                <w:rFonts w:ascii="宋体" w:hAnsi="宋体" w:cs="宋体" w:eastAsia="宋体" w:hint="default"/>
                <w:sz w:val="18"/>
                <w:szCs w:val="18"/>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软件技术</w:t>
            </w:r>
            <w:r>
              <w:rPr>
                <w:rFonts w:ascii="宋体" w:hAnsi="宋体" w:cs="宋体" w:eastAsia="宋体" w:hint="default"/>
                <w:sz w:val="18"/>
                <w:szCs w:val="18"/>
              </w:rPr>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3"/>
              <w:jc w:val="right"/>
              <w:rPr>
                <w:rFonts w:ascii="宋体" w:hAnsi="宋体" w:cs="宋体" w:eastAsia="宋体" w:hint="default"/>
                <w:sz w:val="18"/>
                <w:szCs w:val="18"/>
              </w:rPr>
            </w:pPr>
            <w:r>
              <w:rPr>
                <w:rFonts w:ascii="宋体" w:hAnsi="宋体" w:cs="宋体" w:eastAsia="宋体" w:hint="default"/>
                <w:sz w:val="18"/>
                <w:szCs w:val="18"/>
              </w:rPr>
              <w:t>北京</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北京</w:t>
            </w:r>
            <w:r>
              <w:rPr>
                <w:rFonts w:ascii="宋体" w:hAnsi="宋体" w:cs="宋体" w:eastAsia="宋体" w:hint="default"/>
                <w:sz w:val="18"/>
                <w:szCs w:val="18"/>
              </w:rPr>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宋体" w:hAnsi="宋体" w:cs="宋体" w:eastAsia="宋体" w:hint="default"/>
                <w:sz w:val="18"/>
                <w:szCs w:val="18"/>
              </w:rPr>
              <w:t>业务</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29" w:right="37" w:hanging="90"/>
              <w:jc w:val="left"/>
              <w:rPr>
                <w:rFonts w:ascii="宋体" w:hAnsi="宋体" w:cs="宋体" w:eastAsia="宋体" w:hint="default"/>
                <w:sz w:val="18"/>
                <w:szCs w:val="18"/>
              </w:rPr>
            </w:pPr>
            <w:r>
              <w:rPr>
                <w:rFonts w:ascii="宋体" w:hAnsi="宋体" w:cs="宋体" w:eastAsia="宋体" w:hint="default"/>
                <w:color w:val="0D0D0D"/>
                <w:sz w:val="18"/>
                <w:szCs w:val="18"/>
              </w:rPr>
              <w:t>全资子 公司</w:t>
            </w:r>
            <w:r>
              <w:rPr>
                <w:rFonts w:ascii="宋体" w:hAnsi="宋体" w:cs="宋体" w:eastAsia="宋体" w:hint="default"/>
                <w:sz w:val="18"/>
                <w:szCs w:val="18"/>
              </w:rPr>
            </w:r>
          </w:p>
        </w:tc>
        <w:tc>
          <w:tcPr>
            <w:tcW w:w="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3</w:t>
            </w:r>
            <w:r>
              <w:rPr>
                <w:rFonts w:ascii="Times New Roman"/>
                <w:sz w:val="18"/>
              </w:rPr>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9"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color w:val="0D0D0D"/>
                <w:sz w:val="18"/>
              </w:rPr>
              <w:t>iTalk Global Communications,</w:t>
            </w:r>
            <w:r>
              <w:rPr>
                <w:rFonts w:ascii="Times New Roman"/>
                <w:color w:val="0D0D0D"/>
                <w:spacing w:val="-8"/>
                <w:sz w:val="18"/>
              </w:rPr>
              <w:t> </w:t>
            </w:r>
            <w:r>
              <w:rPr>
                <w:rFonts w:ascii="Times New Roman"/>
                <w:color w:val="0D0D0D"/>
                <w:sz w:val="18"/>
              </w:rPr>
              <w:t>Inc.</w:t>
            </w:r>
            <w:r>
              <w:rPr>
                <w:rFonts w:ascii="Times New Roman"/>
                <w:sz w:val="18"/>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color w:val="0D0D0D"/>
                <w:sz w:val="18"/>
              </w:rPr>
              <w:t>iTalk</w:t>
            </w:r>
            <w:r>
              <w:rPr>
                <w:rFonts w:ascii="Times New Roman"/>
                <w:color w:val="0D0D0D"/>
                <w:spacing w:val="-2"/>
                <w:sz w:val="18"/>
              </w:rPr>
              <w:t> </w:t>
            </w:r>
            <w:r>
              <w:rPr>
                <w:rFonts w:ascii="Times New Roman"/>
                <w:color w:val="0D0D0D"/>
                <w:sz w:val="18"/>
              </w:rPr>
              <w:t>Global</w:t>
            </w:r>
            <w:r>
              <w:rPr>
                <w:rFonts w:ascii="Times New Roman"/>
                <w:sz w:val="18"/>
              </w:rPr>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3"/>
              <w:jc w:val="right"/>
              <w:rPr>
                <w:rFonts w:ascii="宋体" w:hAnsi="宋体" w:cs="宋体" w:eastAsia="宋体" w:hint="default"/>
                <w:sz w:val="18"/>
                <w:szCs w:val="18"/>
              </w:rPr>
            </w:pPr>
            <w:r>
              <w:rPr>
                <w:rFonts w:ascii="宋体" w:hAnsi="宋体" w:cs="宋体" w:eastAsia="宋体" w:hint="default"/>
                <w:sz w:val="18"/>
                <w:szCs w:val="18"/>
              </w:rPr>
              <w:t>美国</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美国</w:t>
            </w:r>
            <w:r>
              <w:rPr>
                <w:rFonts w:ascii="宋体" w:hAnsi="宋体" w:cs="宋体" w:eastAsia="宋体" w:hint="default"/>
                <w:sz w:val="18"/>
                <w:szCs w:val="18"/>
              </w:rPr>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VOIP</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0" w:right="40"/>
              <w:jc w:val="left"/>
              <w:rPr>
                <w:rFonts w:ascii="宋体" w:hAnsi="宋体" w:cs="宋体" w:eastAsia="宋体" w:hint="default"/>
                <w:sz w:val="18"/>
                <w:szCs w:val="18"/>
              </w:rPr>
            </w:pPr>
            <w:r>
              <w:rPr>
                <w:rFonts w:ascii="宋体" w:hAnsi="宋体" w:cs="宋体" w:eastAsia="宋体" w:hint="default"/>
                <w:sz w:val="18"/>
                <w:szCs w:val="18"/>
              </w:rPr>
              <w:t>非同一控 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29" w:right="37" w:hanging="90"/>
              <w:jc w:val="left"/>
              <w:rPr>
                <w:rFonts w:ascii="宋体" w:hAnsi="宋体" w:cs="宋体" w:eastAsia="宋体" w:hint="default"/>
                <w:sz w:val="18"/>
                <w:szCs w:val="18"/>
              </w:rPr>
            </w:pPr>
            <w:r>
              <w:rPr>
                <w:rFonts w:ascii="宋体" w:hAnsi="宋体" w:cs="宋体" w:eastAsia="宋体" w:hint="default"/>
                <w:color w:val="0D0D0D"/>
                <w:sz w:val="18"/>
                <w:szCs w:val="18"/>
              </w:rPr>
              <w:t>全资子 公司</w:t>
            </w:r>
            <w:r>
              <w:rPr>
                <w:rFonts w:ascii="宋体" w:hAnsi="宋体" w:cs="宋体" w:eastAsia="宋体" w:hint="default"/>
                <w:sz w:val="18"/>
                <w:szCs w:val="18"/>
              </w:rPr>
            </w:r>
          </w:p>
        </w:tc>
        <w:tc>
          <w:tcPr>
            <w:tcW w:w="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3</w:t>
            </w:r>
            <w:r>
              <w:rPr>
                <w:rFonts w:ascii="Times New Roman"/>
                <w:sz w:val="18"/>
              </w:rPr>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9"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color w:val="0D0D0D"/>
                <w:sz w:val="18"/>
              </w:rPr>
              <w:t>iTalkBB Canada</w:t>
            </w:r>
            <w:r>
              <w:rPr>
                <w:rFonts w:ascii="Times New Roman"/>
                <w:color w:val="0D0D0D"/>
                <w:spacing w:val="-2"/>
                <w:sz w:val="18"/>
              </w:rPr>
              <w:t> </w:t>
            </w:r>
            <w:r>
              <w:rPr>
                <w:rFonts w:ascii="Times New Roman"/>
                <w:color w:val="0D0D0D"/>
                <w:sz w:val="18"/>
              </w:rPr>
              <w:t>Inc.</w:t>
            </w:r>
            <w:r>
              <w:rPr>
                <w:rFonts w:ascii="Times New Roman"/>
                <w:sz w:val="18"/>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1"/>
              <w:ind w:left="208" w:right="166" w:hanging="40"/>
              <w:jc w:val="left"/>
              <w:rPr>
                <w:rFonts w:ascii="Times New Roman" w:hAnsi="Times New Roman" w:cs="Times New Roman" w:eastAsia="Times New Roman" w:hint="default"/>
                <w:sz w:val="18"/>
                <w:szCs w:val="18"/>
              </w:rPr>
            </w:pPr>
            <w:r>
              <w:rPr>
                <w:rFonts w:ascii="Times New Roman"/>
                <w:color w:val="0D0D0D"/>
                <w:sz w:val="18"/>
              </w:rPr>
              <w:t>iTalkBB Canada</w:t>
            </w:r>
            <w:r>
              <w:rPr>
                <w:rFonts w:ascii="Times New Roman"/>
                <w:sz w:val="18"/>
              </w:rPr>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72" w:right="83" w:hanging="90"/>
              <w:jc w:val="left"/>
              <w:rPr>
                <w:rFonts w:ascii="宋体" w:hAnsi="宋体" w:cs="宋体" w:eastAsia="宋体" w:hint="default"/>
                <w:sz w:val="18"/>
                <w:szCs w:val="18"/>
              </w:rPr>
            </w:pPr>
            <w:r>
              <w:rPr>
                <w:rFonts w:ascii="宋体" w:hAnsi="宋体" w:cs="宋体" w:eastAsia="宋体" w:hint="default"/>
                <w:sz w:val="18"/>
                <w:szCs w:val="18"/>
              </w:rPr>
              <w:t>加拿 大</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加拿大</w:t>
            </w:r>
            <w:r>
              <w:rPr>
                <w:rFonts w:ascii="宋体" w:hAnsi="宋体" w:cs="宋体" w:eastAsia="宋体" w:hint="default"/>
                <w:sz w:val="18"/>
                <w:szCs w:val="18"/>
              </w:rPr>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宋体" w:hAnsi="宋体" w:cs="宋体" w:eastAsia="宋体" w:hint="default"/>
                <w:sz w:val="18"/>
                <w:szCs w:val="18"/>
              </w:rPr>
              <w:t>经营推广</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0" w:right="40"/>
              <w:jc w:val="left"/>
              <w:rPr>
                <w:rFonts w:ascii="宋体" w:hAnsi="宋体" w:cs="宋体" w:eastAsia="宋体" w:hint="default"/>
                <w:sz w:val="18"/>
                <w:szCs w:val="18"/>
              </w:rPr>
            </w:pPr>
            <w:r>
              <w:rPr>
                <w:rFonts w:ascii="宋体" w:hAnsi="宋体" w:cs="宋体" w:eastAsia="宋体" w:hint="default"/>
                <w:sz w:val="18"/>
                <w:szCs w:val="18"/>
              </w:rPr>
              <w:t>非同一控 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29" w:right="37" w:hanging="90"/>
              <w:jc w:val="left"/>
              <w:rPr>
                <w:rFonts w:ascii="宋体" w:hAnsi="宋体" w:cs="宋体" w:eastAsia="宋体" w:hint="default"/>
                <w:sz w:val="18"/>
                <w:szCs w:val="18"/>
              </w:rPr>
            </w:pPr>
            <w:r>
              <w:rPr>
                <w:rFonts w:ascii="宋体" w:hAnsi="宋体" w:cs="宋体" w:eastAsia="宋体" w:hint="default"/>
                <w:color w:val="0D0D0D"/>
                <w:sz w:val="18"/>
                <w:szCs w:val="18"/>
              </w:rPr>
              <w:t>全资子 公司</w:t>
            </w:r>
            <w:r>
              <w:rPr>
                <w:rFonts w:ascii="宋体" w:hAnsi="宋体" w:cs="宋体" w:eastAsia="宋体" w:hint="default"/>
                <w:sz w:val="18"/>
                <w:szCs w:val="18"/>
              </w:rPr>
            </w:r>
          </w:p>
        </w:tc>
        <w:tc>
          <w:tcPr>
            <w:tcW w:w="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3</w:t>
            </w:r>
            <w:r>
              <w:rPr>
                <w:rFonts w:ascii="Times New Roman"/>
                <w:sz w:val="18"/>
              </w:rPr>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60"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color w:val="0D0D0D"/>
                <w:sz w:val="18"/>
              </w:rPr>
              <w:t>iTalkBB Australia Pty</w:t>
            </w:r>
            <w:r>
              <w:rPr>
                <w:rFonts w:ascii="Times New Roman"/>
                <w:color w:val="0D0D0D"/>
                <w:spacing w:val="-7"/>
                <w:sz w:val="18"/>
              </w:rPr>
              <w:t> </w:t>
            </w:r>
            <w:r>
              <w:rPr>
                <w:rFonts w:ascii="Times New Roman"/>
                <w:color w:val="0D0D0D"/>
                <w:sz w:val="18"/>
              </w:rPr>
              <w:t>Ltd.</w:t>
            </w:r>
            <w:r>
              <w:rPr>
                <w:rFonts w:ascii="Times New Roman"/>
                <w:sz w:val="18"/>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1"/>
              <w:ind w:left="148" w:right="148" w:firstLine="20"/>
              <w:jc w:val="left"/>
              <w:rPr>
                <w:rFonts w:ascii="Times New Roman" w:hAnsi="Times New Roman" w:cs="Times New Roman" w:eastAsia="Times New Roman" w:hint="default"/>
                <w:sz w:val="18"/>
                <w:szCs w:val="18"/>
              </w:rPr>
            </w:pPr>
            <w:r>
              <w:rPr>
                <w:rFonts w:ascii="Times New Roman"/>
                <w:color w:val="0D0D0D"/>
                <w:sz w:val="18"/>
              </w:rPr>
              <w:t>iTalkBB Australia</w:t>
            </w:r>
            <w:r>
              <w:rPr>
                <w:rFonts w:ascii="Times New Roman"/>
                <w:sz w:val="18"/>
              </w:rPr>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82" w:right="83"/>
              <w:jc w:val="left"/>
              <w:rPr>
                <w:rFonts w:ascii="宋体" w:hAnsi="宋体" w:cs="宋体" w:eastAsia="宋体" w:hint="default"/>
                <w:sz w:val="18"/>
                <w:szCs w:val="18"/>
              </w:rPr>
            </w:pPr>
            <w:r>
              <w:rPr>
                <w:rFonts w:ascii="宋体" w:hAnsi="宋体" w:cs="宋体" w:eastAsia="宋体" w:hint="default"/>
                <w:sz w:val="18"/>
                <w:szCs w:val="18"/>
              </w:rPr>
              <w:t>澳大 利亚</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63" w:right="83" w:hanging="180"/>
              <w:jc w:val="left"/>
              <w:rPr>
                <w:rFonts w:ascii="宋体" w:hAnsi="宋体" w:cs="宋体" w:eastAsia="宋体" w:hint="default"/>
                <w:sz w:val="18"/>
                <w:szCs w:val="18"/>
              </w:rPr>
            </w:pPr>
            <w:r>
              <w:rPr>
                <w:rFonts w:ascii="宋体" w:hAnsi="宋体" w:cs="宋体" w:eastAsia="宋体" w:hint="default"/>
                <w:color w:val="0D0D0D"/>
                <w:sz w:val="18"/>
                <w:szCs w:val="18"/>
              </w:rPr>
              <w:t>澳大利 亚</w:t>
            </w:r>
            <w:r>
              <w:rPr>
                <w:rFonts w:ascii="宋体" w:hAnsi="宋体" w:cs="宋体" w:eastAsia="宋体" w:hint="default"/>
                <w:sz w:val="18"/>
                <w:szCs w:val="18"/>
              </w:rPr>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宋体" w:hAnsi="宋体" w:cs="宋体" w:eastAsia="宋体" w:hint="default"/>
                <w:sz w:val="18"/>
                <w:szCs w:val="18"/>
              </w:rPr>
              <w:t>经营推广</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0" w:right="40"/>
              <w:jc w:val="left"/>
              <w:rPr>
                <w:rFonts w:ascii="宋体" w:hAnsi="宋体" w:cs="宋体" w:eastAsia="宋体" w:hint="default"/>
                <w:sz w:val="18"/>
                <w:szCs w:val="18"/>
              </w:rPr>
            </w:pPr>
            <w:r>
              <w:rPr>
                <w:rFonts w:ascii="宋体" w:hAnsi="宋体" w:cs="宋体" w:eastAsia="宋体" w:hint="default"/>
                <w:sz w:val="18"/>
                <w:szCs w:val="18"/>
              </w:rPr>
              <w:t>非同一控 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29" w:right="37" w:hanging="90"/>
              <w:jc w:val="left"/>
              <w:rPr>
                <w:rFonts w:ascii="宋体" w:hAnsi="宋体" w:cs="宋体" w:eastAsia="宋体" w:hint="default"/>
                <w:sz w:val="18"/>
                <w:szCs w:val="18"/>
              </w:rPr>
            </w:pPr>
            <w:r>
              <w:rPr>
                <w:rFonts w:ascii="宋体" w:hAnsi="宋体" w:cs="宋体" w:eastAsia="宋体" w:hint="default"/>
                <w:color w:val="0D0D0D"/>
                <w:sz w:val="18"/>
                <w:szCs w:val="18"/>
              </w:rPr>
              <w:t>全资子 公司</w:t>
            </w:r>
            <w:r>
              <w:rPr>
                <w:rFonts w:ascii="宋体" w:hAnsi="宋体" w:cs="宋体" w:eastAsia="宋体" w:hint="default"/>
                <w:sz w:val="18"/>
                <w:szCs w:val="18"/>
              </w:rPr>
            </w:r>
          </w:p>
        </w:tc>
        <w:tc>
          <w:tcPr>
            <w:tcW w:w="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3</w:t>
            </w:r>
            <w:r>
              <w:rPr>
                <w:rFonts w:ascii="Times New Roman"/>
                <w:sz w:val="18"/>
              </w:rPr>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9"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color w:val="0D0D0D"/>
                <w:sz w:val="18"/>
              </w:rPr>
              <w:t>Freedom Enterprise,</w:t>
            </w:r>
            <w:r>
              <w:rPr>
                <w:rFonts w:ascii="Times New Roman"/>
                <w:color w:val="0D0D0D"/>
                <w:spacing w:val="-5"/>
                <w:sz w:val="18"/>
              </w:rPr>
              <w:t> </w:t>
            </w:r>
            <w:r>
              <w:rPr>
                <w:rFonts w:ascii="Times New Roman"/>
                <w:color w:val="0D0D0D"/>
                <w:sz w:val="18"/>
              </w:rPr>
              <w:t>L.L.C</w:t>
            </w:r>
            <w:r>
              <w:rPr>
                <w:rFonts w:ascii="Times New Roman"/>
                <w:sz w:val="18"/>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color w:val="0D0D0D"/>
                <w:sz w:val="18"/>
              </w:rPr>
              <w:t>Freedom</w:t>
            </w:r>
            <w:r>
              <w:rPr>
                <w:rFonts w:ascii="Times New Roman"/>
                <w:sz w:val="18"/>
              </w:rPr>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宋体" w:hAnsi="宋体" w:cs="宋体" w:eastAsia="宋体" w:hint="default"/>
                <w:sz w:val="18"/>
                <w:szCs w:val="18"/>
              </w:rPr>
            </w:pPr>
            <w:r>
              <w:rPr>
                <w:rFonts w:ascii="宋体" w:hAnsi="宋体" w:cs="宋体" w:eastAsia="宋体" w:hint="default"/>
                <w:sz w:val="18"/>
                <w:szCs w:val="18"/>
              </w:rPr>
              <w:t>美国</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color w:val="0D0D0D"/>
                <w:sz w:val="18"/>
                <w:szCs w:val="18"/>
              </w:rPr>
              <w:t>美国</w:t>
            </w:r>
            <w:r>
              <w:rPr>
                <w:rFonts w:ascii="宋体" w:hAnsi="宋体" w:cs="宋体" w:eastAsia="宋体" w:hint="default"/>
                <w:sz w:val="18"/>
                <w:szCs w:val="18"/>
              </w:rPr>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95"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0" w:right="40"/>
              <w:jc w:val="left"/>
              <w:rPr>
                <w:rFonts w:ascii="宋体" w:hAnsi="宋体" w:cs="宋体" w:eastAsia="宋体" w:hint="default"/>
                <w:sz w:val="18"/>
                <w:szCs w:val="18"/>
              </w:rPr>
            </w:pPr>
            <w:r>
              <w:rPr>
                <w:rFonts w:ascii="宋体" w:hAnsi="宋体" w:cs="宋体" w:eastAsia="宋体" w:hint="default"/>
                <w:sz w:val="18"/>
                <w:szCs w:val="18"/>
              </w:rPr>
              <w:t>非同一控 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29" w:right="37" w:hanging="90"/>
              <w:jc w:val="left"/>
              <w:rPr>
                <w:rFonts w:ascii="宋体" w:hAnsi="宋体" w:cs="宋体" w:eastAsia="宋体" w:hint="default"/>
                <w:sz w:val="18"/>
                <w:szCs w:val="18"/>
              </w:rPr>
            </w:pPr>
            <w:r>
              <w:rPr>
                <w:rFonts w:ascii="宋体" w:hAnsi="宋体" w:cs="宋体" w:eastAsia="宋体" w:hint="default"/>
                <w:color w:val="0D0D0D"/>
                <w:sz w:val="18"/>
                <w:szCs w:val="18"/>
              </w:rPr>
              <w:t>全资子 公司</w:t>
            </w:r>
            <w:r>
              <w:rPr>
                <w:rFonts w:ascii="宋体" w:hAnsi="宋体" w:cs="宋体" w:eastAsia="宋体" w:hint="default"/>
                <w:sz w:val="18"/>
                <w:szCs w:val="18"/>
              </w:rPr>
            </w:r>
          </w:p>
        </w:tc>
        <w:tc>
          <w:tcPr>
            <w:tcW w:w="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color w:val="0D0D0D"/>
                <w:sz w:val="18"/>
              </w:rPr>
              <w:t>4</w:t>
            </w:r>
            <w:r>
              <w:rPr>
                <w:rFonts w:ascii="Times New Roman"/>
                <w:sz w:val="18"/>
              </w:rPr>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9"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1"/>
              <w:ind w:left="2" w:right="533"/>
              <w:jc w:val="left"/>
              <w:rPr>
                <w:rFonts w:ascii="Times New Roman" w:hAnsi="Times New Roman" w:cs="Times New Roman" w:eastAsia="Times New Roman" w:hint="default"/>
                <w:sz w:val="18"/>
                <w:szCs w:val="18"/>
              </w:rPr>
            </w:pPr>
            <w:r>
              <w:rPr>
                <w:rFonts w:ascii="Times New Roman"/>
                <w:color w:val="0D0D0D"/>
                <w:sz w:val="18"/>
              </w:rPr>
              <w:t>Digital Technology Marketing</w:t>
            </w:r>
            <w:r>
              <w:rPr>
                <w:rFonts w:ascii="Times New Roman"/>
                <w:color w:val="0D0D0D"/>
                <w:spacing w:val="-6"/>
                <w:sz w:val="18"/>
              </w:rPr>
              <w:t> </w:t>
            </w:r>
            <w:r>
              <w:rPr>
                <w:rFonts w:ascii="Times New Roman"/>
                <w:color w:val="0D0D0D"/>
                <w:sz w:val="18"/>
              </w:rPr>
              <w:t>and</w:t>
            </w:r>
            <w:r>
              <w:rPr>
                <w:rFonts w:ascii="Times New Roman"/>
                <w:color w:val="0D0D0D"/>
                <w:w w:val="99"/>
                <w:sz w:val="18"/>
              </w:rPr>
              <w:t> </w:t>
            </w:r>
            <w:r>
              <w:rPr>
                <w:rFonts w:ascii="Times New Roman"/>
                <w:color w:val="0D0D0D"/>
                <w:sz w:val="18"/>
              </w:rPr>
              <w:t>Information,</w:t>
            </w:r>
            <w:r>
              <w:rPr>
                <w:rFonts w:ascii="Times New Roman"/>
                <w:color w:val="0D0D0D"/>
                <w:spacing w:val="-3"/>
                <w:sz w:val="18"/>
              </w:rPr>
              <w:t> </w:t>
            </w:r>
            <w:r>
              <w:rPr>
                <w:rFonts w:ascii="Times New Roman"/>
                <w:color w:val="0D0D0D"/>
                <w:sz w:val="18"/>
              </w:rPr>
              <w:t>Inc.</w:t>
            </w:r>
            <w:r>
              <w:rPr>
                <w:rFonts w:ascii="Times New Roman"/>
                <w:sz w:val="18"/>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DTMI</w:t>
            </w:r>
            <w:r>
              <w:rPr>
                <w:rFonts w:ascii="Times New Roman"/>
                <w:sz w:val="18"/>
              </w:rPr>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3"/>
              <w:jc w:val="right"/>
              <w:rPr>
                <w:rFonts w:ascii="宋体" w:hAnsi="宋体" w:cs="宋体" w:eastAsia="宋体" w:hint="default"/>
                <w:sz w:val="18"/>
                <w:szCs w:val="18"/>
              </w:rPr>
            </w:pPr>
            <w:r>
              <w:rPr>
                <w:rFonts w:ascii="宋体" w:hAnsi="宋体" w:cs="宋体" w:eastAsia="宋体" w:hint="default"/>
                <w:sz w:val="18"/>
                <w:szCs w:val="18"/>
              </w:rPr>
              <w:t>美国</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美国</w:t>
            </w:r>
            <w:r>
              <w:rPr>
                <w:rFonts w:ascii="宋体" w:hAnsi="宋体" w:cs="宋体" w:eastAsia="宋体" w:hint="default"/>
                <w:sz w:val="18"/>
                <w:szCs w:val="18"/>
              </w:rPr>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宋体" w:hAnsi="宋体" w:cs="宋体" w:eastAsia="宋体" w:hint="default"/>
                <w:sz w:val="18"/>
                <w:szCs w:val="18"/>
              </w:rPr>
              <w:t>经营推广</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0" w:right="40"/>
              <w:jc w:val="left"/>
              <w:rPr>
                <w:rFonts w:ascii="宋体" w:hAnsi="宋体" w:cs="宋体" w:eastAsia="宋体" w:hint="default"/>
                <w:sz w:val="18"/>
                <w:szCs w:val="18"/>
              </w:rPr>
            </w:pPr>
            <w:r>
              <w:rPr>
                <w:rFonts w:ascii="宋体" w:hAnsi="宋体" w:cs="宋体" w:eastAsia="宋体" w:hint="default"/>
                <w:sz w:val="18"/>
                <w:szCs w:val="18"/>
              </w:rPr>
              <w:t>非同一控 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29" w:right="37" w:hanging="90"/>
              <w:jc w:val="left"/>
              <w:rPr>
                <w:rFonts w:ascii="宋体" w:hAnsi="宋体" w:cs="宋体" w:eastAsia="宋体" w:hint="default"/>
                <w:sz w:val="18"/>
                <w:szCs w:val="18"/>
              </w:rPr>
            </w:pPr>
            <w:r>
              <w:rPr>
                <w:rFonts w:ascii="宋体" w:hAnsi="宋体" w:cs="宋体" w:eastAsia="宋体" w:hint="default"/>
                <w:color w:val="0D0D0D"/>
                <w:sz w:val="18"/>
                <w:szCs w:val="18"/>
              </w:rPr>
              <w:t>全资子 公司</w:t>
            </w:r>
            <w:r>
              <w:rPr>
                <w:rFonts w:ascii="宋体" w:hAnsi="宋体" w:cs="宋体" w:eastAsia="宋体" w:hint="default"/>
                <w:sz w:val="18"/>
                <w:szCs w:val="18"/>
              </w:rPr>
            </w:r>
          </w:p>
        </w:tc>
        <w:tc>
          <w:tcPr>
            <w:tcW w:w="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3</w:t>
            </w:r>
            <w:r>
              <w:rPr>
                <w:rFonts w:ascii="Times New Roman"/>
                <w:sz w:val="18"/>
              </w:rPr>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3056"/>
        <w:gridCol w:w="974"/>
        <w:gridCol w:w="541"/>
        <w:gridCol w:w="724"/>
        <w:gridCol w:w="1324"/>
        <w:gridCol w:w="818"/>
        <w:gridCol w:w="634"/>
        <w:gridCol w:w="265"/>
        <w:gridCol w:w="616"/>
        <w:gridCol w:w="709"/>
      </w:tblGrid>
      <w:tr>
        <w:trPr>
          <w:trHeight w:val="965" w:hRule="exact"/>
        </w:trPr>
        <w:tc>
          <w:tcPr>
            <w:tcW w:w="305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color w:val="0D0D0D"/>
                <w:sz w:val="18"/>
                <w:szCs w:val="18"/>
              </w:rPr>
              <w:t>子公司名称</w:t>
            </w:r>
            <w:r>
              <w:rPr>
                <w:rFonts w:ascii="宋体" w:hAnsi="宋体" w:cs="宋体" w:eastAsia="宋体" w:hint="default"/>
                <w:sz w:val="18"/>
                <w:szCs w:val="18"/>
              </w:rPr>
            </w:r>
          </w:p>
        </w:tc>
        <w:tc>
          <w:tcPr>
            <w:tcW w:w="97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color w:val="0D0D0D"/>
                <w:sz w:val="18"/>
                <w:szCs w:val="18"/>
              </w:rPr>
              <w:t>公司简称</w:t>
            </w:r>
            <w:r>
              <w:rPr>
                <w:rFonts w:ascii="宋体" w:hAnsi="宋体" w:cs="宋体" w:eastAsia="宋体" w:hint="default"/>
                <w:sz w:val="18"/>
                <w:szCs w:val="18"/>
              </w:rPr>
            </w:r>
          </w:p>
        </w:tc>
        <w:tc>
          <w:tcPr>
            <w:tcW w:w="54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6"/>
              <w:ind w:left="82" w:right="83"/>
              <w:jc w:val="both"/>
              <w:rPr>
                <w:rFonts w:ascii="宋体" w:hAnsi="宋体" w:cs="宋体" w:eastAsia="宋体" w:hint="default"/>
                <w:sz w:val="18"/>
                <w:szCs w:val="18"/>
              </w:rPr>
            </w:pPr>
            <w:r>
              <w:rPr>
                <w:rFonts w:ascii="宋体" w:hAnsi="宋体" w:cs="宋体" w:eastAsia="宋体" w:hint="default"/>
                <w:color w:val="0D0D0D"/>
                <w:sz w:val="18"/>
                <w:szCs w:val="18"/>
              </w:rPr>
              <w:t>主要 经营 地</w:t>
            </w:r>
            <w:r>
              <w:rPr>
                <w:rFonts w:ascii="宋体" w:hAnsi="宋体" w:cs="宋体" w:eastAsia="宋体" w:hint="default"/>
                <w:sz w:val="18"/>
                <w:szCs w:val="18"/>
              </w:rPr>
            </w:r>
          </w:p>
        </w:tc>
        <w:tc>
          <w:tcPr>
            <w:tcW w:w="7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color w:val="0D0D0D"/>
                <w:sz w:val="18"/>
                <w:szCs w:val="18"/>
              </w:rPr>
              <w:t>注册地</w:t>
            </w:r>
            <w:r>
              <w:rPr>
                <w:rFonts w:ascii="宋体" w:hAnsi="宋体" w:cs="宋体" w:eastAsia="宋体" w:hint="default"/>
                <w:sz w:val="18"/>
                <w:szCs w:val="18"/>
              </w:rPr>
            </w:r>
          </w:p>
        </w:tc>
        <w:tc>
          <w:tcPr>
            <w:tcW w:w="13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color w:val="0D0D0D"/>
                <w:sz w:val="18"/>
                <w:szCs w:val="18"/>
              </w:rPr>
              <w:t>业务性质</w:t>
            </w:r>
            <w:r>
              <w:rPr>
                <w:rFonts w:ascii="宋体" w:hAnsi="宋体" w:cs="宋体" w:eastAsia="宋体" w:hint="default"/>
                <w:sz w:val="18"/>
                <w:szCs w:val="18"/>
              </w:rPr>
            </w:r>
          </w:p>
        </w:tc>
        <w:tc>
          <w:tcPr>
            <w:tcW w:w="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left="40" w:right="0"/>
              <w:jc w:val="left"/>
              <w:rPr>
                <w:rFonts w:ascii="宋体" w:hAnsi="宋体" w:cs="宋体" w:eastAsia="宋体" w:hint="default"/>
                <w:sz w:val="18"/>
                <w:szCs w:val="18"/>
              </w:rPr>
            </w:pPr>
            <w:r>
              <w:rPr>
                <w:rFonts w:ascii="宋体" w:hAnsi="宋体" w:cs="宋体" w:eastAsia="宋体" w:hint="default"/>
                <w:color w:val="0D0D0D"/>
                <w:sz w:val="18"/>
                <w:szCs w:val="18"/>
              </w:rPr>
              <w:t>取得方式</w:t>
            </w:r>
            <w:r>
              <w:rPr>
                <w:rFonts w:ascii="宋体" w:hAnsi="宋体" w:cs="宋体" w:eastAsia="宋体" w:hint="default"/>
                <w:sz w:val="18"/>
                <w:szCs w:val="18"/>
              </w:rPr>
            </w:r>
          </w:p>
        </w:tc>
        <w:tc>
          <w:tcPr>
            <w:tcW w:w="63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6"/>
              <w:ind w:left="129" w:right="37" w:hanging="90"/>
              <w:jc w:val="left"/>
              <w:rPr>
                <w:rFonts w:ascii="宋体" w:hAnsi="宋体" w:cs="宋体" w:eastAsia="宋体" w:hint="default"/>
                <w:sz w:val="18"/>
                <w:szCs w:val="18"/>
              </w:rPr>
            </w:pPr>
            <w:r>
              <w:rPr>
                <w:rFonts w:ascii="宋体" w:hAnsi="宋体" w:cs="宋体" w:eastAsia="宋体" w:hint="default"/>
                <w:color w:val="0D0D0D"/>
                <w:sz w:val="18"/>
                <w:szCs w:val="18"/>
              </w:rPr>
              <w:t>子公司 类型</w:t>
            </w:r>
            <w:r>
              <w:rPr>
                <w:rFonts w:ascii="宋体" w:hAnsi="宋体" w:cs="宋体" w:eastAsia="宋体" w:hint="default"/>
                <w:sz w:val="18"/>
                <w:szCs w:val="18"/>
              </w:rPr>
            </w:r>
          </w:p>
        </w:tc>
        <w:tc>
          <w:tcPr>
            <w:tcW w:w="2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6"/>
              <w:ind w:left="34" w:right="35"/>
              <w:jc w:val="left"/>
              <w:rPr>
                <w:rFonts w:ascii="宋体" w:hAnsi="宋体" w:cs="宋体" w:eastAsia="宋体" w:hint="default"/>
                <w:sz w:val="18"/>
                <w:szCs w:val="18"/>
              </w:rPr>
            </w:pPr>
            <w:r>
              <w:rPr>
                <w:rFonts w:ascii="宋体" w:hAnsi="宋体" w:cs="宋体" w:eastAsia="宋体" w:hint="default"/>
                <w:color w:val="0D0D0D"/>
                <w:sz w:val="18"/>
                <w:szCs w:val="18"/>
              </w:rPr>
              <w:t>级 次</w:t>
            </w:r>
            <w:r>
              <w:rPr>
                <w:rFonts w:ascii="宋体" w:hAnsi="宋体" w:cs="宋体" w:eastAsia="宋体" w:hint="default"/>
                <w:sz w:val="18"/>
                <w:szCs w:val="18"/>
              </w:rPr>
            </w:r>
          </w:p>
        </w:tc>
        <w:tc>
          <w:tcPr>
            <w:tcW w:w="6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6"/>
              <w:ind w:left="75" w:right="29" w:hanging="46"/>
              <w:jc w:val="left"/>
              <w:rPr>
                <w:rFonts w:ascii="Times New Roman" w:hAnsi="Times New Roman" w:cs="Times New Roman" w:eastAsia="Times New Roman" w:hint="default"/>
                <w:sz w:val="18"/>
                <w:szCs w:val="18"/>
              </w:rPr>
            </w:pPr>
            <w:r>
              <w:rPr>
                <w:rFonts w:ascii="宋体" w:hAnsi="宋体" w:cs="宋体" w:eastAsia="宋体" w:hint="default"/>
                <w:color w:val="0D0D0D"/>
                <w:sz w:val="18"/>
                <w:szCs w:val="18"/>
              </w:rPr>
              <w:t>持股比 例</w:t>
            </w:r>
            <w:r>
              <w:rPr>
                <w:rFonts w:ascii="Times New Roman" w:hAnsi="Times New Roman" w:cs="Times New Roman" w:eastAsia="Times New Roman" w:hint="default"/>
                <w:color w:val="0D0D0D"/>
                <w:sz w:val="18"/>
                <w:szCs w:val="18"/>
              </w:rPr>
              <w:t>(%)</w:t>
            </w:r>
            <w:r>
              <w:rPr>
                <w:rFonts w:ascii="Times New Roman" w:hAnsi="Times New Roman" w:cs="Times New Roman" w:eastAsia="Times New Roman" w:hint="default"/>
                <w:sz w:val="18"/>
                <w:szCs w:val="18"/>
              </w:rPr>
            </w:r>
          </w:p>
        </w:tc>
        <w:tc>
          <w:tcPr>
            <w:tcW w:w="7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6"/>
              <w:ind w:left="31" w:right="31" w:firstLine="45"/>
              <w:jc w:val="left"/>
              <w:rPr>
                <w:rFonts w:ascii="Times New Roman" w:hAnsi="Times New Roman" w:cs="Times New Roman" w:eastAsia="Times New Roman" w:hint="default"/>
                <w:sz w:val="18"/>
                <w:szCs w:val="18"/>
              </w:rPr>
            </w:pPr>
            <w:r>
              <w:rPr>
                <w:rFonts w:ascii="宋体" w:hAnsi="宋体" w:cs="宋体" w:eastAsia="宋体" w:hint="default"/>
                <w:color w:val="0D0D0D"/>
                <w:sz w:val="18"/>
                <w:szCs w:val="18"/>
              </w:rPr>
              <w:t>表决权 比例</w:t>
            </w:r>
            <w:r>
              <w:rPr>
                <w:rFonts w:ascii="Times New Roman" w:hAnsi="Times New Roman" w:cs="Times New Roman" w:eastAsia="Times New Roman" w:hint="default"/>
                <w:color w:val="0D0D0D"/>
                <w:sz w:val="18"/>
                <w:szCs w:val="18"/>
              </w:rPr>
              <w:t>(%)</w:t>
            </w:r>
            <w:r>
              <w:rPr>
                <w:rFonts w:ascii="Times New Roman" w:hAnsi="Times New Roman" w:cs="Times New Roman" w:eastAsia="Times New Roman" w:hint="default"/>
                <w:sz w:val="18"/>
                <w:szCs w:val="18"/>
              </w:rPr>
            </w:r>
          </w:p>
        </w:tc>
      </w:tr>
      <w:tr>
        <w:trPr>
          <w:trHeight w:val="659"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color w:val="0D0D0D"/>
                <w:sz w:val="18"/>
              </w:rPr>
              <w:t>iTalkBB Singapore Pte,</w:t>
            </w:r>
            <w:r>
              <w:rPr>
                <w:rFonts w:ascii="Times New Roman"/>
                <w:color w:val="0D0D0D"/>
                <w:spacing w:val="-6"/>
                <w:sz w:val="18"/>
              </w:rPr>
              <w:t> </w:t>
            </w:r>
            <w:r>
              <w:rPr>
                <w:rFonts w:ascii="Times New Roman"/>
                <w:color w:val="0D0D0D"/>
                <w:sz w:val="18"/>
              </w:rPr>
              <w:t>Ltd.</w:t>
            </w:r>
            <w:r>
              <w:rPr>
                <w:rFonts w:ascii="Times New Roman"/>
                <w:sz w:val="18"/>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1"/>
              <w:ind w:left="113" w:right="113" w:firstLine="55"/>
              <w:jc w:val="left"/>
              <w:rPr>
                <w:rFonts w:ascii="Times New Roman" w:hAnsi="Times New Roman" w:cs="Times New Roman" w:eastAsia="Times New Roman" w:hint="default"/>
                <w:sz w:val="18"/>
                <w:szCs w:val="18"/>
              </w:rPr>
            </w:pPr>
            <w:r>
              <w:rPr>
                <w:rFonts w:ascii="Times New Roman"/>
                <w:color w:val="0D0D0D"/>
                <w:sz w:val="18"/>
              </w:rPr>
              <w:t>iTalkBB Singapore</w:t>
            </w:r>
            <w:r>
              <w:rPr>
                <w:rFonts w:ascii="Times New Roman"/>
                <w:sz w:val="18"/>
              </w:rPr>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172" w:right="83" w:hanging="90"/>
              <w:jc w:val="left"/>
              <w:rPr>
                <w:rFonts w:ascii="宋体" w:hAnsi="宋体" w:cs="宋体" w:eastAsia="宋体" w:hint="default"/>
                <w:sz w:val="18"/>
                <w:szCs w:val="18"/>
              </w:rPr>
            </w:pPr>
            <w:r>
              <w:rPr>
                <w:rFonts w:ascii="宋体" w:hAnsi="宋体" w:cs="宋体" w:eastAsia="宋体" w:hint="default"/>
                <w:sz w:val="18"/>
                <w:szCs w:val="18"/>
              </w:rPr>
              <w:t>新加 坡</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加拿大</w:t>
            </w:r>
            <w:r>
              <w:rPr>
                <w:rFonts w:ascii="宋体" w:hAnsi="宋体" w:cs="宋体" w:eastAsia="宋体" w:hint="default"/>
                <w:sz w:val="18"/>
                <w:szCs w:val="18"/>
              </w:rPr>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VOIP</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40" w:right="40"/>
              <w:jc w:val="left"/>
              <w:rPr>
                <w:rFonts w:ascii="宋体" w:hAnsi="宋体" w:cs="宋体" w:eastAsia="宋体" w:hint="default"/>
                <w:sz w:val="18"/>
                <w:szCs w:val="18"/>
              </w:rPr>
            </w:pPr>
            <w:r>
              <w:rPr>
                <w:rFonts w:ascii="宋体" w:hAnsi="宋体" w:cs="宋体" w:eastAsia="宋体" w:hint="default"/>
                <w:sz w:val="18"/>
                <w:szCs w:val="18"/>
              </w:rPr>
              <w:t>非同一控 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129" w:right="37" w:hanging="90"/>
              <w:jc w:val="left"/>
              <w:rPr>
                <w:rFonts w:ascii="宋体" w:hAnsi="宋体" w:cs="宋体" w:eastAsia="宋体" w:hint="default"/>
                <w:sz w:val="18"/>
                <w:szCs w:val="18"/>
              </w:rPr>
            </w:pPr>
            <w:r>
              <w:rPr>
                <w:rFonts w:ascii="宋体" w:hAnsi="宋体" w:cs="宋体" w:eastAsia="宋体" w:hint="default"/>
                <w:color w:val="0D0D0D"/>
                <w:sz w:val="18"/>
                <w:szCs w:val="18"/>
              </w:rPr>
              <w:t>全资子 公司</w:t>
            </w:r>
            <w:r>
              <w:rPr>
                <w:rFonts w:ascii="宋体" w:hAnsi="宋体" w:cs="宋体" w:eastAsia="宋体" w:hint="default"/>
                <w:sz w:val="18"/>
                <w:szCs w:val="18"/>
              </w:rPr>
            </w:r>
          </w:p>
        </w:tc>
        <w:tc>
          <w:tcPr>
            <w:tcW w:w="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4</w:t>
            </w:r>
            <w:r>
              <w:rPr>
                <w:rFonts w:ascii="Times New Roman"/>
                <w:sz w:val="18"/>
              </w:rPr>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5" w:right="0"/>
              <w:jc w:val="lef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9"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color w:val="0D0D0D"/>
                <w:sz w:val="18"/>
              </w:rPr>
              <w:t>iTalk Mobile</w:t>
            </w:r>
            <w:r>
              <w:rPr>
                <w:rFonts w:ascii="Times New Roman"/>
                <w:color w:val="0D0D0D"/>
                <w:spacing w:val="-4"/>
                <w:sz w:val="18"/>
              </w:rPr>
              <w:t> </w:t>
            </w:r>
            <w:r>
              <w:rPr>
                <w:rFonts w:ascii="Times New Roman"/>
                <w:color w:val="0D0D0D"/>
                <w:sz w:val="18"/>
              </w:rPr>
              <w:t>Corporation</w:t>
            </w:r>
            <w:r>
              <w:rPr>
                <w:rFonts w:ascii="Times New Roman"/>
                <w:sz w:val="18"/>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iTalk</w:t>
            </w:r>
            <w:r>
              <w:rPr>
                <w:rFonts w:ascii="Times New Roman"/>
                <w:color w:val="0D0D0D"/>
                <w:spacing w:val="-2"/>
                <w:sz w:val="18"/>
              </w:rPr>
              <w:t> </w:t>
            </w:r>
            <w:r>
              <w:rPr>
                <w:rFonts w:ascii="Times New Roman"/>
                <w:color w:val="0D0D0D"/>
                <w:sz w:val="18"/>
              </w:rPr>
              <w:t>Mobile</w:t>
            </w:r>
            <w:r>
              <w:rPr>
                <w:rFonts w:ascii="Times New Roman"/>
                <w:sz w:val="18"/>
              </w:rPr>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美国</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美国</w:t>
            </w:r>
            <w:r>
              <w:rPr>
                <w:rFonts w:ascii="宋体" w:hAnsi="宋体" w:cs="宋体" w:eastAsia="宋体" w:hint="default"/>
                <w:sz w:val="18"/>
                <w:szCs w:val="18"/>
              </w:rPr>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05" w:right="23" w:hanging="180"/>
              <w:jc w:val="left"/>
              <w:rPr>
                <w:rFonts w:ascii="宋体" w:hAnsi="宋体" w:cs="宋体" w:eastAsia="宋体" w:hint="default"/>
                <w:sz w:val="18"/>
                <w:szCs w:val="18"/>
              </w:rPr>
            </w:pPr>
            <w:r>
              <w:rPr>
                <w:rFonts w:ascii="宋体" w:hAnsi="宋体" w:cs="宋体" w:eastAsia="宋体" w:hint="default"/>
                <w:sz w:val="18"/>
                <w:szCs w:val="18"/>
              </w:rPr>
              <w:t>海外移动虚拟网 络运营业务</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29" w:right="37" w:hanging="90"/>
              <w:jc w:val="left"/>
              <w:rPr>
                <w:rFonts w:ascii="宋体" w:hAnsi="宋体" w:cs="宋体" w:eastAsia="宋体" w:hint="default"/>
                <w:sz w:val="18"/>
                <w:szCs w:val="18"/>
              </w:rPr>
            </w:pPr>
            <w:r>
              <w:rPr>
                <w:rFonts w:ascii="宋体" w:hAnsi="宋体" w:cs="宋体" w:eastAsia="宋体" w:hint="default"/>
                <w:color w:val="0D0D0D"/>
                <w:sz w:val="18"/>
                <w:szCs w:val="18"/>
              </w:rPr>
              <w:t>全资子 公司</w:t>
            </w:r>
            <w:r>
              <w:rPr>
                <w:rFonts w:ascii="宋体" w:hAnsi="宋体" w:cs="宋体" w:eastAsia="宋体" w:hint="default"/>
                <w:sz w:val="18"/>
                <w:szCs w:val="18"/>
              </w:rPr>
            </w:r>
          </w:p>
        </w:tc>
        <w:tc>
          <w:tcPr>
            <w:tcW w:w="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3</w:t>
            </w:r>
            <w:r>
              <w:rPr>
                <w:rFonts w:ascii="Times New Roman"/>
                <w:sz w:val="18"/>
              </w:rPr>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5" w:right="0"/>
              <w:jc w:val="lef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60"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color w:val="0D0D0D"/>
                <w:sz w:val="18"/>
                <w:szCs w:val="18"/>
              </w:rPr>
              <w:t>北京首都在线网络技术有限公司</w:t>
            </w:r>
            <w:r>
              <w:rPr>
                <w:rFonts w:ascii="宋体" w:hAnsi="宋体" w:cs="宋体" w:eastAsia="宋体" w:hint="default"/>
                <w:sz w:val="18"/>
                <w:szCs w:val="18"/>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首都在线</w:t>
            </w:r>
            <w:r>
              <w:rPr>
                <w:rFonts w:ascii="宋体" w:hAnsi="宋体" w:cs="宋体" w:eastAsia="宋体" w:hint="default"/>
                <w:sz w:val="18"/>
                <w:szCs w:val="18"/>
              </w:rPr>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北京</w:t>
            </w:r>
            <w:r>
              <w:rPr>
                <w:rFonts w:ascii="宋体" w:hAnsi="宋体" w:cs="宋体" w:eastAsia="宋体" w:hint="default"/>
                <w:sz w:val="18"/>
                <w:szCs w:val="18"/>
              </w:rPr>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IPTV</w:t>
            </w:r>
            <w:r>
              <w:rPr>
                <w:rFonts w:ascii="宋体" w:hAnsi="宋体" w:cs="宋体" w:eastAsia="宋体" w:hint="default"/>
                <w:sz w:val="18"/>
                <w:szCs w:val="18"/>
              </w:rPr>
              <w:t>业务</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0" w:right="40"/>
              <w:jc w:val="left"/>
              <w:rPr>
                <w:rFonts w:ascii="宋体" w:hAnsi="宋体" w:cs="宋体" w:eastAsia="宋体" w:hint="default"/>
                <w:sz w:val="18"/>
                <w:szCs w:val="18"/>
              </w:rPr>
            </w:pPr>
            <w:r>
              <w:rPr>
                <w:rFonts w:ascii="宋体" w:hAnsi="宋体" w:cs="宋体" w:eastAsia="宋体" w:hint="default"/>
                <w:sz w:val="18"/>
                <w:szCs w:val="18"/>
              </w:rPr>
              <w:t>非同一控 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29" w:right="37" w:hanging="90"/>
              <w:jc w:val="left"/>
              <w:rPr>
                <w:rFonts w:ascii="宋体" w:hAnsi="宋体" w:cs="宋体" w:eastAsia="宋体" w:hint="default"/>
                <w:sz w:val="18"/>
                <w:szCs w:val="18"/>
              </w:rPr>
            </w:pPr>
            <w:r>
              <w:rPr>
                <w:rFonts w:ascii="宋体" w:hAnsi="宋体" w:cs="宋体" w:eastAsia="宋体" w:hint="default"/>
                <w:color w:val="0D0D0D"/>
                <w:sz w:val="18"/>
                <w:szCs w:val="18"/>
              </w:rPr>
              <w:t>全资子 公司</w:t>
            </w:r>
            <w:r>
              <w:rPr>
                <w:rFonts w:ascii="宋体" w:hAnsi="宋体" w:cs="宋体" w:eastAsia="宋体" w:hint="default"/>
                <w:sz w:val="18"/>
                <w:szCs w:val="18"/>
              </w:rPr>
            </w:r>
          </w:p>
        </w:tc>
        <w:tc>
          <w:tcPr>
            <w:tcW w:w="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3</w:t>
            </w:r>
            <w:r>
              <w:rPr>
                <w:rFonts w:ascii="Times New Roman"/>
                <w:sz w:val="18"/>
              </w:rPr>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5" w:right="0"/>
              <w:jc w:val="lef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9"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color w:val="0D0D0D"/>
                <w:sz w:val="18"/>
                <w:szCs w:val="18"/>
              </w:rPr>
              <w:t>爱涛网络电视香港有限公司</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英文名：</w:t>
            </w:r>
            <w:r>
              <w:rPr>
                <w:rFonts w:ascii="宋体" w:hAnsi="宋体" w:cs="宋体" w:eastAsia="宋体" w:hint="default"/>
                <w:sz w:val="18"/>
                <w:szCs w:val="18"/>
              </w:rPr>
            </w:r>
          </w:p>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color w:val="0D0D0D"/>
                <w:sz w:val="18"/>
              </w:rPr>
              <w:t>iTalkTV Hongkong</w:t>
            </w:r>
            <w:r>
              <w:rPr>
                <w:rFonts w:ascii="Times New Roman"/>
                <w:color w:val="0D0D0D"/>
                <w:spacing w:val="-5"/>
                <w:sz w:val="18"/>
              </w:rPr>
              <w:t> </w:t>
            </w:r>
            <w:r>
              <w:rPr>
                <w:rFonts w:ascii="Times New Roman"/>
                <w:color w:val="0D0D0D"/>
                <w:sz w:val="18"/>
              </w:rPr>
              <w:t>Limited)</w:t>
            </w:r>
            <w:r>
              <w:rPr>
                <w:rFonts w:ascii="Times New Roman"/>
                <w:sz w:val="18"/>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color w:val="0D0D0D"/>
                <w:sz w:val="18"/>
                <w:szCs w:val="18"/>
              </w:rPr>
              <w:t>爱涛网络</w:t>
            </w:r>
            <w:r>
              <w:rPr>
                <w:rFonts w:ascii="宋体" w:hAnsi="宋体" w:cs="宋体" w:eastAsia="宋体" w:hint="default"/>
                <w:sz w:val="18"/>
                <w:szCs w:val="18"/>
              </w:rPr>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color w:val="0D0D0D"/>
                <w:sz w:val="18"/>
                <w:szCs w:val="18"/>
              </w:rPr>
              <w:t>香港</w:t>
            </w:r>
            <w:r>
              <w:rPr>
                <w:rFonts w:ascii="宋体" w:hAnsi="宋体" w:cs="宋体" w:eastAsia="宋体" w:hint="default"/>
                <w:sz w:val="18"/>
                <w:szCs w:val="18"/>
              </w:rPr>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IPTV</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0" w:right="40"/>
              <w:jc w:val="left"/>
              <w:rPr>
                <w:rFonts w:ascii="宋体" w:hAnsi="宋体" w:cs="宋体" w:eastAsia="宋体" w:hint="default"/>
                <w:sz w:val="18"/>
                <w:szCs w:val="18"/>
              </w:rPr>
            </w:pPr>
            <w:r>
              <w:rPr>
                <w:rFonts w:ascii="宋体" w:hAnsi="宋体" w:cs="宋体" w:eastAsia="宋体" w:hint="default"/>
                <w:sz w:val="18"/>
                <w:szCs w:val="18"/>
              </w:rPr>
              <w:t>非同一控 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29" w:right="37" w:hanging="90"/>
              <w:jc w:val="left"/>
              <w:rPr>
                <w:rFonts w:ascii="宋体" w:hAnsi="宋体" w:cs="宋体" w:eastAsia="宋体" w:hint="default"/>
                <w:sz w:val="18"/>
                <w:szCs w:val="18"/>
              </w:rPr>
            </w:pPr>
            <w:r>
              <w:rPr>
                <w:rFonts w:ascii="宋体" w:hAnsi="宋体" w:cs="宋体" w:eastAsia="宋体" w:hint="default"/>
                <w:color w:val="0D0D0D"/>
                <w:sz w:val="18"/>
                <w:szCs w:val="18"/>
              </w:rPr>
              <w:t>全资子 公司</w:t>
            </w:r>
            <w:r>
              <w:rPr>
                <w:rFonts w:ascii="宋体" w:hAnsi="宋体" w:cs="宋体" w:eastAsia="宋体" w:hint="default"/>
                <w:sz w:val="18"/>
                <w:szCs w:val="18"/>
              </w:rPr>
            </w:r>
          </w:p>
        </w:tc>
        <w:tc>
          <w:tcPr>
            <w:tcW w:w="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color w:val="0D0D0D"/>
                <w:sz w:val="18"/>
              </w:rPr>
              <w:t>4</w:t>
            </w:r>
            <w:r>
              <w:rPr>
                <w:rFonts w:ascii="Times New Roman"/>
                <w:sz w:val="18"/>
              </w:rPr>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5" w:right="0"/>
              <w:jc w:val="lef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9"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color w:val="0D0D0D"/>
                <w:sz w:val="18"/>
                <w:szCs w:val="18"/>
              </w:rPr>
              <w:t>二六三香港控股有限公司</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英文名：</w:t>
            </w:r>
            <w:r>
              <w:rPr>
                <w:rFonts w:ascii="宋体" w:hAnsi="宋体" w:cs="宋体" w:eastAsia="宋体" w:hint="default"/>
                <w:sz w:val="18"/>
                <w:szCs w:val="18"/>
              </w:rPr>
            </w:r>
          </w:p>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color w:val="0D0D0D"/>
                <w:sz w:val="18"/>
              </w:rPr>
              <w:t>NET263 Holdings Limited</w:t>
            </w:r>
            <w:r>
              <w:rPr>
                <w:rFonts w:ascii="Times New Roman"/>
                <w:color w:val="0D0D0D"/>
                <w:spacing w:val="-3"/>
                <w:sz w:val="18"/>
              </w:rPr>
              <w:t> </w:t>
            </w:r>
            <w:r>
              <w:rPr>
                <w:rFonts w:ascii="Times New Roman"/>
                <w:color w:val="0D0D0D"/>
                <w:sz w:val="18"/>
              </w:rPr>
              <w:t>)</w:t>
            </w:r>
            <w:r>
              <w:rPr>
                <w:rFonts w:ascii="Times New Roman"/>
                <w:sz w:val="18"/>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98" w:right="28" w:hanging="270"/>
              <w:jc w:val="left"/>
              <w:rPr>
                <w:rFonts w:ascii="宋体" w:hAnsi="宋体" w:cs="宋体" w:eastAsia="宋体" w:hint="default"/>
                <w:sz w:val="18"/>
                <w:szCs w:val="18"/>
              </w:rPr>
            </w:pPr>
            <w:r>
              <w:rPr>
                <w:rFonts w:ascii="宋体" w:hAnsi="宋体" w:cs="宋体" w:eastAsia="宋体" w:hint="default"/>
                <w:color w:val="0D0D0D"/>
                <w:sz w:val="18"/>
                <w:szCs w:val="18"/>
              </w:rPr>
              <w:t>二六三香港 控股</w:t>
            </w:r>
            <w:r>
              <w:rPr>
                <w:rFonts w:ascii="宋体" w:hAnsi="宋体" w:cs="宋体" w:eastAsia="宋体" w:hint="default"/>
                <w:sz w:val="18"/>
                <w:szCs w:val="18"/>
              </w:rPr>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香港</w:t>
            </w:r>
            <w:r>
              <w:rPr>
                <w:rFonts w:ascii="宋体" w:hAnsi="宋体" w:cs="宋体" w:eastAsia="宋体" w:hint="default"/>
                <w:sz w:val="18"/>
                <w:szCs w:val="18"/>
              </w:rPr>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投资控股</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29" w:right="37" w:hanging="90"/>
              <w:jc w:val="left"/>
              <w:rPr>
                <w:rFonts w:ascii="宋体" w:hAnsi="宋体" w:cs="宋体" w:eastAsia="宋体" w:hint="default"/>
                <w:sz w:val="18"/>
                <w:szCs w:val="18"/>
              </w:rPr>
            </w:pPr>
            <w:r>
              <w:rPr>
                <w:rFonts w:ascii="宋体" w:hAnsi="宋体" w:cs="宋体" w:eastAsia="宋体" w:hint="default"/>
                <w:color w:val="0D0D0D"/>
                <w:sz w:val="18"/>
                <w:szCs w:val="18"/>
              </w:rPr>
              <w:t>全资子 公司</w:t>
            </w:r>
            <w:r>
              <w:rPr>
                <w:rFonts w:ascii="宋体" w:hAnsi="宋体" w:cs="宋体" w:eastAsia="宋体" w:hint="default"/>
                <w:sz w:val="18"/>
                <w:szCs w:val="18"/>
              </w:rPr>
            </w:r>
          </w:p>
        </w:tc>
        <w:tc>
          <w:tcPr>
            <w:tcW w:w="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2</w:t>
            </w:r>
            <w:r>
              <w:rPr>
                <w:rFonts w:ascii="Times New Roman"/>
                <w:sz w:val="18"/>
              </w:rPr>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5" w:right="0"/>
              <w:jc w:val="lef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971"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color w:val="0D0D0D"/>
                <w:sz w:val="18"/>
              </w:rPr>
              <w:t>United Wise Services</w:t>
            </w:r>
            <w:r>
              <w:rPr>
                <w:rFonts w:ascii="Times New Roman"/>
                <w:color w:val="0D0D0D"/>
                <w:spacing w:val="-7"/>
                <w:sz w:val="18"/>
              </w:rPr>
              <w:t> </w:t>
            </w:r>
            <w:r>
              <w:rPr>
                <w:rFonts w:ascii="Times New Roman"/>
                <w:color w:val="0D0D0D"/>
                <w:sz w:val="18"/>
              </w:rPr>
              <w:t>Limited</w:t>
            </w:r>
            <w:r>
              <w:rPr>
                <w:rFonts w:ascii="Times New Roman"/>
                <w:sz w:val="18"/>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color w:val="0D0D0D"/>
                <w:sz w:val="18"/>
              </w:rPr>
              <w:t>United</w:t>
            </w:r>
            <w:r>
              <w:rPr>
                <w:rFonts w:ascii="Times New Roman"/>
                <w:color w:val="0D0D0D"/>
                <w:spacing w:val="-2"/>
                <w:sz w:val="18"/>
              </w:rPr>
              <w:t> </w:t>
            </w:r>
            <w:r>
              <w:rPr>
                <w:rFonts w:ascii="Times New Roman"/>
                <w:color w:val="0D0D0D"/>
                <w:sz w:val="18"/>
              </w:rPr>
              <w:t>Wise</w:t>
            </w:r>
            <w:r>
              <w:rPr>
                <w:rFonts w:ascii="Times New Roman"/>
                <w:sz w:val="18"/>
              </w:rPr>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83" w:right="83"/>
              <w:jc w:val="center"/>
              <w:rPr>
                <w:rFonts w:ascii="宋体" w:hAnsi="宋体" w:cs="宋体" w:eastAsia="宋体" w:hint="default"/>
                <w:sz w:val="18"/>
                <w:szCs w:val="18"/>
              </w:rPr>
            </w:pPr>
            <w:r>
              <w:rPr>
                <w:rFonts w:ascii="宋体" w:hAnsi="宋体" w:cs="宋体" w:eastAsia="宋体" w:hint="default"/>
                <w:color w:val="0D0D0D"/>
                <w:sz w:val="18"/>
                <w:szCs w:val="18"/>
              </w:rPr>
              <w:t>英属维 尔京群 岛</w:t>
            </w:r>
            <w:r>
              <w:rPr>
                <w:rFonts w:ascii="宋体" w:hAnsi="宋体" w:cs="宋体" w:eastAsia="宋体" w:hint="default"/>
                <w:sz w:val="18"/>
                <w:szCs w:val="18"/>
              </w:rPr>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投资控股</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29" w:right="37" w:hanging="90"/>
              <w:jc w:val="left"/>
              <w:rPr>
                <w:rFonts w:ascii="宋体" w:hAnsi="宋体" w:cs="宋体" w:eastAsia="宋体" w:hint="default"/>
                <w:sz w:val="18"/>
                <w:szCs w:val="18"/>
              </w:rPr>
            </w:pPr>
            <w:r>
              <w:rPr>
                <w:rFonts w:ascii="宋体" w:hAnsi="宋体" w:cs="宋体" w:eastAsia="宋体" w:hint="default"/>
                <w:color w:val="0D0D0D"/>
                <w:sz w:val="18"/>
                <w:szCs w:val="18"/>
              </w:rPr>
              <w:t>全资子 公司</w:t>
            </w:r>
            <w:r>
              <w:rPr>
                <w:rFonts w:ascii="宋体" w:hAnsi="宋体" w:cs="宋体" w:eastAsia="宋体" w:hint="default"/>
                <w:sz w:val="18"/>
                <w:szCs w:val="18"/>
              </w:rPr>
            </w:r>
          </w:p>
        </w:tc>
        <w:tc>
          <w:tcPr>
            <w:tcW w:w="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3</w:t>
            </w:r>
            <w:r>
              <w:rPr>
                <w:rFonts w:ascii="Times New Roman"/>
                <w:sz w:val="18"/>
              </w:rPr>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5" w:right="0"/>
              <w:jc w:val="lef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9"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color w:val="0D0D0D"/>
                <w:sz w:val="18"/>
                <w:szCs w:val="18"/>
              </w:rPr>
              <w:t>广州二六三移动通信有限公司</w:t>
            </w:r>
            <w:r>
              <w:rPr>
                <w:rFonts w:ascii="宋体" w:hAnsi="宋体" w:cs="宋体" w:eastAsia="宋体" w:hint="default"/>
                <w:sz w:val="18"/>
                <w:szCs w:val="18"/>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广州二六三</w:t>
            </w:r>
            <w:r>
              <w:rPr>
                <w:rFonts w:ascii="宋体" w:hAnsi="宋体" w:cs="宋体" w:eastAsia="宋体" w:hint="default"/>
                <w:sz w:val="18"/>
                <w:szCs w:val="18"/>
              </w:rPr>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广州</w:t>
            </w:r>
            <w:r>
              <w:rPr>
                <w:rFonts w:ascii="宋体" w:hAnsi="宋体" w:cs="宋体" w:eastAsia="宋体" w:hint="default"/>
                <w:sz w:val="18"/>
                <w:szCs w:val="18"/>
              </w:rPr>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移动通信业务</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29" w:right="37" w:hanging="90"/>
              <w:jc w:val="left"/>
              <w:rPr>
                <w:rFonts w:ascii="宋体" w:hAnsi="宋体" w:cs="宋体" w:eastAsia="宋体" w:hint="default"/>
                <w:sz w:val="18"/>
                <w:szCs w:val="18"/>
              </w:rPr>
            </w:pPr>
            <w:r>
              <w:rPr>
                <w:rFonts w:ascii="宋体" w:hAnsi="宋体" w:cs="宋体" w:eastAsia="宋体" w:hint="default"/>
                <w:color w:val="0D0D0D"/>
                <w:sz w:val="18"/>
                <w:szCs w:val="18"/>
              </w:rPr>
              <w:t>全资子 公司</w:t>
            </w:r>
            <w:r>
              <w:rPr>
                <w:rFonts w:ascii="宋体" w:hAnsi="宋体" w:cs="宋体" w:eastAsia="宋体" w:hint="default"/>
                <w:sz w:val="18"/>
                <w:szCs w:val="18"/>
              </w:rPr>
            </w:r>
          </w:p>
        </w:tc>
        <w:tc>
          <w:tcPr>
            <w:tcW w:w="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2</w:t>
            </w:r>
            <w:r>
              <w:rPr>
                <w:rFonts w:ascii="Times New Roman"/>
                <w:sz w:val="18"/>
              </w:rPr>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5" w:right="0"/>
              <w:jc w:val="lef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9"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color w:val="0D0D0D"/>
                <w:sz w:val="18"/>
                <w:szCs w:val="18"/>
              </w:rPr>
              <w:t>二六三移动通信</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香港</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有限公司</w:t>
            </w:r>
            <w:r>
              <w:rPr>
                <w:rFonts w:ascii="宋体" w:hAnsi="宋体" w:cs="宋体" w:eastAsia="宋体" w:hint="default"/>
                <w:sz w:val="18"/>
                <w:szCs w:val="18"/>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98" w:right="28" w:hanging="270"/>
              <w:jc w:val="left"/>
              <w:rPr>
                <w:rFonts w:ascii="宋体" w:hAnsi="宋体" w:cs="宋体" w:eastAsia="宋体" w:hint="default"/>
                <w:sz w:val="18"/>
                <w:szCs w:val="18"/>
              </w:rPr>
            </w:pPr>
            <w:r>
              <w:rPr>
                <w:rFonts w:ascii="宋体" w:hAnsi="宋体" w:cs="宋体" w:eastAsia="宋体" w:hint="default"/>
                <w:color w:val="0D0D0D"/>
                <w:sz w:val="18"/>
                <w:szCs w:val="18"/>
              </w:rPr>
              <w:t>二六三移动 香港</w:t>
            </w:r>
            <w:r>
              <w:rPr>
                <w:rFonts w:ascii="宋体" w:hAnsi="宋体" w:cs="宋体" w:eastAsia="宋体" w:hint="default"/>
                <w:sz w:val="18"/>
                <w:szCs w:val="18"/>
              </w:rPr>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香港</w:t>
            </w:r>
            <w:r>
              <w:rPr>
                <w:rFonts w:ascii="宋体" w:hAnsi="宋体" w:cs="宋体" w:eastAsia="宋体" w:hint="default"/>
                <w:sz w:val="18"/>
                <w:szCs w:val="18"/>
              </w:rPr>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移动通信业务</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29" w:right="37" w:hanging="90"/>
              <w:jc w:val="left"/>
              <w:rPr>
                <w:rFonts w:ascii="宋体" w:hAnsi="宋体" w:cs="宋体" w:eastAsia="宋体" w:hint="default"/>
                <w:sz w:val="18"/>
                <w:szCs w:val="18"/>
              </w:rPr>
            </w:pPr>
            <w:r>
              <w:rPr>
                <w:rFonts w:ascii="宋体" w:hAnsi="宋体" w:cs="宋体" w:eastAsia="宋体" w:hint="default"/>
                <w:color w:val="0D0D0D"/>
                <w:sz w:val="18"/>
                <w:szCs w:val="18"/>
              </w:rPr>
              <w:t>全资子 公司</w:t>
            </w:r>
            <w:r>
              <w:rPr>
                <w:rFonts w:ascii="宋体" w:hAnsi="宋体" w:cs="宋体" w:eastAsia="宋体" w:hint="default"/>
                <w:sz w:val="18"/>
                <w:szCs w:val="18"/>
              </w:rPr>
            </w:r>
          </w:p>
        </w:tc>
        <w:tc>
          <w:tcPr>
            <w:tcW w:w="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3</w:t>
            </w:r>
            <w:r>
              <w:rPr>
                <w:rFonts w:ascii="Times New Roman"/>
                <w:sz w:val="18"/>
              </w:rPr>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5" w:right="0"/>
              <w:jc w:val="lef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60"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25"/>
              <w:jc w:val="left"/>
              <w:rPr>
                <w:rFonts w:ascii="Times New Roman" w:hAnsi="Times New Roman" w:cs="Times New Roman" w:eastAsia="Times New Roman" w:hint="default"/>
                <w:sz w:val="18"/>
                <w:szCs w:val="18"/>
              </w:rPr>
            </w:pPr>
            <w:r>
              <w:rPr>
                <w:rFonts w:ascii="宋体" w:hAnsi="宋体" w:cs="宋体" w:eastAsia="宋体" w:hint="default"/>
                <w:color w:val="0D0D0D"/>
                <w:sz w:val="18"/>
                <w:szCs w:val="18"/>
              </w:rPr>
              <w:t>迪讯</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香港</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有限公司</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英文名：</w:t>
            </w:r>
            <w:r>
              <w:rPr>
                <w:rFonts w:ascii="Times New Roman" w:hAnsi="Times New Roman" w:cs="Times New Roman" w:eastAsia="Times New Roman" w:hint="default"/>
                <w:color w:val="0D0D0D"/>
                <w:sz w:val="18"/>
                <w:szCs w:val="18"/>
              </w:rPr>
              <w:t>Delcom (HK)</w:t>
            </w:r>
            <w:r>
              <w:rPr>
                <w:rFonts w:ascii="Times New Roman" w:hAnsi="Times New Roman" w:cs="Times New Roman" w:eastAsia="Times New Roman" w:hint="default"/>
                <w:color w:val="0D0D0D"/>
                <w:spacing w:val="-3"/>
                <w:sz w:val="18"/>
                <w:szCs w:val="18"/>
              </w:rPr>
              <w:t> </w:t>
            </w:r>
            <w:r>
              <w:rPr>
                <w:rFonts w:ascii="Times New Roman" w:hAnsi="Times New Roman" w:cs="Times New Roman" w:eastAsia="Times New Roman" w:hint="default"/>
                <w:color w:val="0D0D0D"/>
                <w:sz w:val="18"/>
                <w:szCs w:val="18"/>
              </w:rPr>
              <w:t>Limited)(</w:t>
            </w:r>
            <w:r>
              <w:rPr>
                <w:rFonts w:ascii="宋体" w:hAnsi="宋体" w:cs="宋体" w:eastAsia="宋体" w:hint="default"/>
                <w:color w:val="0D0D0D"/>
                <w:sz w:val="18"/>
                <w:szCs w:val="18"/>
              </w:rPr>
              <w:t>注</w:t>
            </w:r>
            <w:r>
              <w:rPr>
                <w:rFonts w:ascii="Times New Roman" w:hAnsi="Times New Roman" w:cs="Times New Roman" w:eastAsia="Times New Roman" w:hint="default"/>
                <w:color w:val="0D0D0D"/>
                <w:sz w:val="18"/>
                <w:szCs w:val="18"/>
              </w:rPr>
              <w:t>1)</w:t>
            </w:r>
            <w:r>
              <w:rPr>
                <w:rFonts w:ascii="Times New Roman" w:hAnsi="Times New Roman" w:cs="Times New Roman" w:eastAsia="Times New Roman" w:hint="default"/>
                <w:sz w:val="18"/>
                <w:szCs w:val="18"/>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迪讯香港</w:t>
            </w:r>
            <w:r>
              <w:rPr>
                <w:rFonts w:ascii="宋体" w:hAnsi="宋体" w:cs="宋体" w:eastAsia="宋体" w:hint="default"/>
                <w:sz w:val="18"/>
                <w:szCs w:val="18"/>
              </w:rPr>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香港</w:t>
            </w:r>
            <w:r>
              <w:rPr>
                <w:rFonts w:ascii="宋体" w:hAnsi="宋体" w:cs="宋体" w:eastAsia="宋体" w:hint="default"/>
                <w:sz w:val="18"/>
                <w:szCs w:val="18"/>
              </w:rPr>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移动通信业务</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40" w:right="40"/>
              <w:jc w:val="left"/>
              <w:rPr>
                <w:rFonts w:ascii="宋体" w:hAnsi="宋体" w:cs="宋体" w:eastAsia="宋体" w:hint="default"/>
                <w:sz w:val="18"/>
                <w:szCs w:val="18"/>
              </w:rPr>
            </w:pPr>
            <w:r>
              <w:rPr>
                <w:rFonts w:ascii="宋体" w:hAnsi="宋体" w:cs="宋体" w:eastAsia="宋体" w:hint="default"/>
                <w:sz w:val="18"/>
                <w:szCs w:val="18"/>
              </w:rPr>
              <w:t>非同一控 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129" w:right="37" w:hanging="90"/>
              <w:jc w:val="left"/>
              <w:rPr>
                <w:rFonts w:ascii="宋体" w:hAnsi="宋体" w:cs="宋体" w:eastAsia="宋体" w:hint="default"/>
                <w:sz w:val="18"/>
                <w:szCs w:val="18"/>
              </w:rPr>
            </w:pPr>
            <w:r>
              <w:rPr>
                <w:rFonts w:ascii="宋体" w:hAnsi="宋体" w:cs="宋体" w:eastAsia="宋体" w:hint="default"/>
                <w:color w:val="0D0D0D"/>
                <w:sz w:val="18"/>
                <w:szCs w:val="18"/>
              </w:rPr>
              <w:t>全资子 公司</w:t>
            </w:r>
            <w:r>
              <w:rPr>
                <w:rFonts w:ascii="宋体" w:hAnsi="宋体" w:cs="宋体" w:eastAsia="宋体" w:hint="default"/>
                <w:sz w:val="18"/>
                <w:szCs w:val="18"/>
              </w:rPr>
            </w:r>
          </w:p>
        </w:tc>
        <w:tc>
          <w:tcPr>
            <w:tcW w:w="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4</w:t>
            </w:r>
            <w:r>
              <w:rPr>
                <w:rFonts w:ascii="Times New Roman"/>
                <w:sz w:val="18"/>
              </w:rPr>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5" w:right="0"/>
              <w:jc w:val="lef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9"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color w:val="0D0D0D"/>
                <w:sz w:val="18"/>
                <w:szCs w:val="18"/>
              </w:rPr>
              <w:t>前海迪迅</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深圳</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有限公司</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注</w:t>
            </w:r>
            <w:r>
              <w:rPr>
                <w:rFonts w:ascii="Times New Roman" w:hAnsi="Times New Roman" w:cs="Times New Roman" w:eastAsia="Times New Roman" w:hint="default"/>
                <w:color w:val="0D0D0D"/>
                <w:sz w:val="18"/>
                <w:szCs w:val="18"/>
              </w:rPr>
              <w:t>1)</w:t>
            </w:r>
            <w:r>
              <w:rPr>
                <w:rFonts w:ascii="Times New Roman" w:hAnsi="Times New Roman" w:cs="Times New Roman" w:eastAsia="Times New Roman" w:hint="default"/>
                <w:sz w:val="18"/>
                <w:szCs w:val="18"/>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color w:val="0D0D0D"/>
                <w:sz w:val="18"/>
                <w:szCs w:val="18"/>
              </w:rPr>
              <w:t>前海迪迅</w:t>
            </w:r>
            <w:r>
              <w:rPr>
                <w:rFonts w:ascii="宋体" w:hAnsi="宋体" w:cs="宋体" w:eastAsia="宋体" w:hint="default"/>
                <w:sz w:val="18"/>
                <w:szCs w:val="18"/>
              </w:rPr>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color w:val="0D0D0D"/>
                <w:sz w:val="18"/>
                <w:szCs w:val="18"/>
              </w:rPr>
              <w:t>深圳</w:t>
            </w:r>
            <w:r>
              <w:rPr>
                <w:rFonts w:ascii="宋体" w:hAnsi="宋体" w:cs="宋体" w:eastAsia="宋体" w:hint="default"/>
                <w:sz w:val="18"/>
                <w:szCs w:val="18"/>
              </w:rPr>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移动通信业务</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0" w:right="40"/>
              <w:jc w:val="left"/>
              <w:rPr>
                <w:rFonts w:ascii="宋体" w:hAnsi="宋体" w:cs="宋体" w:eastAsia="宋体" w:hint="default"/>
                <w:sz w:val="18"/>
                <w:szCs w:val="18"/>
              </w:rPr>
            </w:pPr>
            <w:r>
              <w:rPr>
                <w:rFonts w:ascii="宋体" w:hAnsi="宋体" w:cs="宋体" w:eastAsia="宋体" w:hint="default"/>
                <w:sz w:val="18"/>
                <w:szCs w:val="18"/>
              </w:rPr>
              <w:t>非同一控 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29" w:right="37" w:hanging="90"/>
              <w:jc w:val="left"/>
              <w:rPr>
                <w:rFonts w:ascii="宋体" w:hAnsi="宋体" w:cs="宋体" w:eastAsia="宋体" w:hint="default"/>
                <w:sz w:val="18"/>
                <w:szCs w:val="18"/>
              </w:rPr>
            </w:pPr>
            <w:r>
              <w:rPr>
                <w:rFonts w:ascii="宋体" w:hAnsi="宋体" w:cs="宋体" w:eastAsia="宋体" w:hint="default"/>
                <w:color w:val="0D0D0D"/>
                <w:sz w:val="18"/>
                <w:szCs w:val="18"/>
              </w:rPr>
              <w:t>全资子 公司</w:t>
            </w:r>
            <w:r>
              <w:rPr>
                <w:rFonts w:ascii="宋体" w:hAnsi="宋体" w:cs="宋体" w:eastAsia="宋体" w:hint="default"/>
                <w:sz w:val="18"/>
                <w:szCs w:val="18"/>
              </w:rPr>
            </w:r>
          </w:p>
        </w:tc>
        <w:tc>
          <w:tcPr>
            <w:tcW w:w="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color w:val="0D0D0D"/>
                <w:sz w:val="18"/>
              </w:rPr>
              <w:t>5</w:t>
            </w:r>
            <w:r>
              <w:rPr>
                <w:rFonts w:ascii="Times New Roman"/>
                <w:sz w:val="18"/>
              </w:rPr>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5" w:right="0"/>
              <w:jc w:val="lef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9"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color w:val="0D0D0D"/>
                <w:sz w:val="18"/>
                <w:szCs w:val="18"/>
              </w:rPr>
              <w:t>展动科技</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北京</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有限公司</w:t>
            </w:r>
            <w:r>
              <w:rPr>
                <w:rFonts w:ascii="宋体" w:hAnsi="宋体" w:cs="宋体" w:eastAsia="宋体" w:hint="default"/>
                <w:sz w:val="18"/>
                <w:szCs w:val="18"/>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展动科技</w:t>
            </w:r>
            <w:r>
              <w:rPr>
                <w:rFonts w:ascii="宋体" w:hAnsi="宋体" w:cs="宋体" w:eastAsia="宋体" w:hint="default"/>
                <w:sz w:val="18"/>
                <w:szCs w:val="18"/>
              </w:rPr>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北京</w:t>
            </w:r>
            <w:r>
              <w:rPr>
                <w:rFonts w:ascii="宋体" w:hAnsi="宋体" w:cs="宋体" w:eastAsia="宋体" w:hint="default"/>
                <w:sz w:val="18"/>
                <w:szCs w:val="18"/>
              </w:rPr>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直播业务</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0" w:right="41"/>
              <w:jc w:val="left"/>
              <w:rPr>
                <w:rFonts w:ascii="宋体" w:hAnsi="宋体" w:cs="宋体" w:eastAsia="宋体" w:hint="default"/>
                <w:sz w:val="18"/>
                <w:szCs w:val="18"/>
              </w:rPr>
            </w:pPr>
            <w:r>
              <w:rPr>
                <w:rFonts w:ascii="宋体" w:hAnsi="宋体" w:cs="宋体" w:eastAsia="宋体" w:hint="default"/>
                <w:sz w:val="18"/>
                <w:szCs w:val="18"/>
              </w:rPr>
              <w:t>非同一控 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29" w:right="37" w:hanging="90"/>
              <w:jc w:val="left"/>
              <w:rPr>
                <w:rFonts w:ascii="宋体" w:hAnsi="宋体" w:cs="宋体" w:eastAsia="宋体" w:hint="default"/>
                <w:sz w:val="18"/>
                <w:szCs w:val="18"/>
              </w:rPr>
            </w:pPr>
            <w:r>
              <w:rPr>
                <w:rFonts w:ascii="宋体" w:hAnsi="宋体" w:cs="宋体" w:eastAsia="宋体" w:hint="default"/>
                <w:color w:val="0D0D0D"/>
                <w:sz w:val="18"/>
                <w:szCs w:val="18"/>
              </w:rPr>
              <w:t>全资子 公司</w:t>
            </w:r>
            <w:r>
              <w:rPr>
                <w:rFonts w:ascii="宋体" w:hAnsi="宋体" w:cs="宋体" w:eastAsia="宋体" w:hint="default"/>
                <w:sz w:val="18"/>
                <w:szCs w:val="18"/>
              </w:rPr>
            </w:r>
          </w:p>
        </w:tc>
        <w:tc>
          <w:tcPr>
            <w:tcW w:w="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3</w:t>
            </w:r>
            <w:r>
              <w:rPr>
                <w:rFonts w:ascii="Times New Roman"/>
                <w:sz w:val="18"/>
              </w:rPr>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5" w:right="0"/>
              <w:jc w:val="lef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9"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color w:val="0D0D0D"/>
                <w:sz w:val="18"/>
                <w:szCs w:val="18"/>
              </w:rPr>
              <w:t>北京展视互动科技有限公司</w:t>
            </w:r>
            <w:r>
              <w:rPr>
                <w:rFonts w:ascii="宋体" w:hAnsi="宋体" w:cs="宋体" w:eastAsia="宋体" w:hint="default"/>
                <w:sz w:val="18"/>
                <w:szCs w:val="18"/>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北京展视</w:t>
            </w:r>
            <w:r>
              <w:rPr>
                <w:rFonts w:ascii="宋体" w:hAnsi="宋体" w:cs="宋体" w:eastAsia="宋体" w:hint="default"/>
                <w:sz w:val="18"/>
                <w:szCs w:val="18"/>
              </w:rPr>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北京</w:t>
            </w:r>
            <w:r>
              <w:rPr>
                <w:rFonts w:ascii="宋体" w:hAnsi="宋体" w:cs="宋体" w:eastAsia="宋体" w:hint="default"/>
                <w:sz w:val="18"/>
                <w:szCs w:val="18"/>
              </w:rPr>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直播业务</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0" w:right="40"/>
              <w:jc w:val="left"/>
              <w:rPr>
                <w:rFonts w:ascii="宋体" w:hAnsi="宋体" w:cs="宋体" w:eastAsia="宋体" w:hint="default"/>
                <w:sz w:val="18"/>
                <w:szCs w:val="18"/>
              </w:rPr>
            </w:pPr>
            <w:r>
              <w:rPr>
                <w:rFonts w:ascii="宋体" w:hAnsi="宋体" w:cs="宋体" w:eastAsia="宋体" w:hint="default"/>
                <w:sz w:val="18"/>
                <w:szCs w:val="18"/>
              </w:rPr>
              <w:t>非同一控 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29" w:right="37" w:hanging="90"/>
              <w:jc w:val="left"/>
              <w:rPr>
                <w:rFonts w:ascii="宋体" w:hAnsi="宋体" w:cs="宋体" w:eastAsia="宋体" w:hint="default"/>
                <w:sz w:val="18"/>
                <w:szCs w:val="18"/>
              </w:rPr>
            </w:pPr>
            <w:r>
              <w:rPr>
                <w:rFonts w:ascii="宋体" w:hAnsi="宋体" w:cs="宋体" w:eastAsia="宋体" w:hint="default"/>
                <w:color w:val="0D0D0D"/>
                <w:sz w:val="18"/>
                <w:szCs w:val="18"/>
              </w:rPr>
              <w:t>全资子 公司</w:t>
            </w:r>
            <w:r>
              <w:rPr>
                <w:rFonts w:ascii="宋体" w:hAnsi="宋体" w:cs="宋体" w:eastAsia="宋体" w:hint="default"/>
                <w:sz w:val="18"/>
                <w:szCs w:val="18"/>
              </w:rPr>
            </w:r>
          </w:p>
        </w:tc>
        <w:tc>
          <w:tcPr>
            <w:tcW w:w="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4</w:t>
            </w:r>
            <w:r>
              <w:rPr>
                <w:rFonts w:ascii="Times New Roman"/>
                <w:sz w:val="18"/>
              </w:rPr>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5" w:right="0"/>
              <w:jc w:val="lef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9"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color w:val="0D0D0D"/>
                <w:sz w:val="18"/>
              </w:rPr>
              <w:t>iTalkBB Media</w:t>
            </w:r>
            <w:r>
              <w:rPr>
                <w:rFonts w:ascii="Times New Roman"/>
                <w:color w:val="0D0D0D"/>
                <w:spacing w:val="-2"/>
                <w:sz w:val="18"/>
              </w:rPr>
              <w:t> </w:t>
            </w:r>
            <w:r>
              <w:rPr>
                <w:rFonts w:ascii="Times New Roman"/>
                <w:color w:val="0D0D0D"/>
                <w:sz w:val="18"/>
              </w:rPr>
              <w:t>Inc.</w:t>
            </w:r>
            <w:r>
              <w:rPr>
                <w:rFonts w:ascii="Times New Roman"/>
                <w:sz w:val="18"/>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iTalk</w:t>
            </w:r>
            <w:r>
              <w:rPr>
                <w:rFonts w:ascii="Times New Roman"/>
                <w:color w:val="0D0D0D"/>
                <w:spacing w:val="-2"/>
                <w:sz w:val="18"/>
              </w:rPr>
              <w:t> </w:t>
            </w:r>
            <w:r>
              <w:rPr>
                <w:rFonts w:ascii="Times New Roman"/>
                <w:color w:val="0D0D0D"/>
                <w:sz w:val="18"/>
              </w:rPr>
              <w:t>Media</w:t>
            </w:r>
            <w:r>
              <w:rPr>
                <w:rFonts w:ascii="Times New Roman"/>
                <w:sz w:val="18"/>
              </w:rPr>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美国</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美国</w:t>
            </w:r>
            <w:r>
              <w:rPr>
                <w:rFonts w:ascii="宋体" w:hAnsi="宋体" w:cs="宋体" w:eastAsia="宋体" w:hint="default"/>
                <w:sz w:val="18"/>
                <w:szCs w:val="18"/>
              </w:rPr>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color w:val="0D0D0D"/>
                <w:sz w:val="18"/>
                <w:szCs w:val="18"/>
              </w:rPr>
              <w:t>广告业务</w:t>
            </w:r>
            <w:r>
              <w:rPr>
                <w:rFonts w:ascii="宋体" w:hAnsi="宋体" w:cs="宋体" w:eastAsia="宋体" w:hint="default"/>
                <w:sz w:val="18"/>
                <w:szCs w:val="18"/>
              </w:rPr>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0" w:right="40"/>
              <w:jc w:val="left"/>
              <w:rPr>
                <w:rFonts w:ascii="宋体" w:hAnsi="宋体" w:cs="宋体" w:eastAsia="宋体" w:hint="default"/>
                <w:sz w:val="18"/>
                <w:szCs w:val="18"/>
              </w:rPr>
            </w:pPr>
            <w:r>
              <w:rPr>
                <w:rFonts w:ascii="宋体" w:hAnsi="宋体" w:cs="宋体" w:eastAsia="宋体" w:hint="default"/>
                <w:sz w:val="18"/>
                <w:szCs w:val="18"/>
              </w:rPr>
              <w:t>非同一控 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29" w:right="37" w:hanging="90"/>
              <w:jc w:val="left"/>
              <w:rPr>
                <w:rFonts w:ascii="宋体" w:hAnsi="宋体" w:cs="宋体" w:eastAsia="宋体" w:hint="default"/>
                <w:sz w:val="18"/>
                <w:szCs w:val="18"/>
              </w:rPr>
            </w:pPr>
            <w:r>
              <w:rPr>
                <w:rFonts w:ascii="宋体" w:hAnsi="宋体" w:cs="宋体" w:eastAsia="宋体" w:hint="default"/>
                <w:color w:val="0D0D0D"/>
                <w:sz w:val="18"/>
                <w:szCs w:val="18"/>
              </w:rPr>
              <w:t>全资子 公司</w:t>
            </w:r>
            <w:r>
              <w:rPr>
                <w:rFonts w:ascii="宋体" w:hAnsi="宋体" w:cs="宋体" w:eastAsia="宋体" w:hint="default"/>
                <w:sz w:val="18"/>
                <w:szCs w:val="18"/>
              </w:rPr>
            </w:r>
          </w:p>
        </w:tc>
        <w:tc>
          <w:tcPr>
            <w:tcW w:w="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4</w:t>
            </w:r>
            <w:r>
              <w:rPr>
                <w:rFonts w:ascii="Times New Roman"/>
                <w:sz w:val="18"/>
              </w:rPr>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5" w:right="0"/>
              <w:jc w:val="lef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9"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color w:val="0D0D0D"/>
                <w:sz w:val="18"/>
              </w:rPr>
              <w:t>iTalk Media</w:t>
            </w:r>
            <w:r>
              <w:rPr>
                <w:rFonts w:ascii="Times New Roman"/>
                <w:color w:val="0D0D0D"/>
                <w:spacing w:val="-4"/>
                <w:sz w:val="18"/>
              </w:rPr>
              <w:t> </w:t>
            </w:r>
            <w:r>
              <w:rPr>
                <w:rFonts w:ascii="Times New Roman"/>
                <w:color w:val="0D0D0D"/>
                <w:sz w:val="18"/>
              </w:rPr>
              <w:t>Corporation</w:t>
            </w:r>
            <w:r>
              <w:rPr>
                <w:rFonts w:ascii="Times New Roman"/>
                <w:sz w:val="18"/>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1"/>
              <w:ind w:left="353" w:right="36" w:hanging="318"/>
              <w:jc w:val="left"/>
              <w:rPr>
                <w:rFonts w:ascii="Times New Roman" w:hAnsi="Times New Roman" w:cs="Times New Roman" w:eastAsia="Times New Roman" w:hint="default"/>
                <w:sz w:val="18"/>
                <w:szCs w:val="18"/>
              </w:rPr>
            </w:pPr>
            <w:r>
              <w:rPr>
                <w:rFonts w:ascii="Times New Roman"/>
                <w:color w:val="0D0D0D"/>
                <w:sz w:val="18"/>
              </w:rPr>
              <w:t>iTalk</w:t>
            </w:r>
            <w:r>
              <w:rPr>
                <w:rFonts w:ascii="Times New Roman"/>
                <w:color w:val="0D0D0D"/>
                <w:spacing w:val="-2"/>
                <w:sz w:val="18"/>
              </w:rPr>
              <w:t> </w:t>
            </w:r>
            <w:r>
              <w:rPr>
                <w:rFonts w:ascii="Times New Roman"/>
                <w:color w:val="0D0D0D"/>
                <w:sz w:val="18"/>
              </w:rPr>
              <w:t>Media</w:t>
            </w:r>
            <w:r>
              <w:rPr>
                <w:rFonts w:ascii="Times New Roman"/>
                <w:color w:val="0D0D0D"/>
                <w:sz w:val="18"/>
              </w:rPr>
              <w:t> CA</w:t>
            </w:r>
            <w:r>
              <w:rPr>
                <w:rFonts w:ascii="Times New Roman"/>
                <w:sz w:val="18"/>
              </w:rPr>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72" w:right="83" w:hanging="90"/>
              <w:jc w:val="left"/>
              <w:rPr>
                <w:rFonts w:ascii="宋体" w:hAnsi="宋体" w:cs="宋体" w:eastAsia="宋体" w:hint="default"/>
                <w:sz w:val="18"/>
                <w:szCs w:val="18"/>
              </w:rPr>
            </w:pPr>
            <w:r>
              <w:rPr>
                <w:rFonts w:ascii="宋体" w:hAnsi="宋体" w:cs="宋体" w:eastAsia="宋体" w:hint="default"/>
                <w:color w:val="0D0D0D"/>
                <w:sz w:val="18"/>
                <w:szCs w:val="18"/>
              </w:rPr>
              <w:t>加拿 大</w:t>
            </w:r>
            <w:r>
              <w:rPr>
                <w:rFonts w:ascii="宋体" w:hAnsi="宋体" w:cs="宋体" w:eastAsia="宋体" w:hint="default"/>
                <w:sz w:val="18"/>
                <w:szCs w:val="18"/>
              </w:rPr>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加拿大</w:t>
            </w:r>
            <w:r>
              <w:rPr>
                <w:rFonts w:ascii="宋体" w:hAnsi="宋体" w:cs="宋体" w:eastAsia="宋体" w:hint="default"/>
                <w:sz w:val="18"/>
                <w:szCs w:val="18"/>
              </w:rPr>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color w:val="0D0D0D"/>
                <w:sz w:val="18"/>
                <w:szCs w:val="18"/>
              </w:rPr>
              <w:t>广告业务</w:t>
            </w:r>
            <w:r>
              <w:rPr>
                <w:rFonts w:ascii="宋体" w:hAnsi="宋体" w:cs="宋体" w:eastAsia="宋体" w:hint="default"/>
                <w:sz w:val="18"/>
                <w:szCs w:val="18"/>
              </w:rPr>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0" w:right="40"/>
              <w:jc w:val="left"/>
              <w:rPr>
                <w:rFonts w:ascii="宋体" w:hAnsi="宋体" w:cs="宋体" w:eastAsia="宋体" w:hint="default"/>
                <w:sz w:val="18"/>
                <w:szCs w:val="18"/>
              </w:rPr>
            </w:pPr>
            <w:r>
              <w:rPr>
                <w:rFonts w:ascii="宋体" w:hAnsi="宋体" w:cs="宋体" w:eastAsia="宋体" w:hint="default"/>
                <w:sz w:val="18"/>
                <w:szCs w:val="18"/>
              </w:rPr>
              <w:t>非同一控 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29" w:right="37" w:hanging="90"/>
              <w:jc w:val="left"/>
              <w:rPr>
                <w:rFonts w:ascii="宋体" w:hAnsi="宋体" w:cs="宋体" w:eastAsia="宋体" w:hint="default"/>
                <w:sz w:val="18"/>
                <w:szCs w:val="18"/>
              </w:rPr>
            </w:pPr>
            <w:r>
              <w:rPr>
                <w:rFonts w:ascii="宋体" w:hAnsi="宋体" w:cs="宋体" w:eastAsia="宋体" w:hint="default"/>
                <w:color w:val="0D0D0D"/>
                <w:sz w:val="18"/>
                <w:szCs w:val="18"/>
              </w:rPr>
              <w:t>全资子 公司</w:t>
            </w:r>
            <w:r>
              <w:rPr>
                <w:rFonts w:ascii="宋体" w:hAnsi="宋体" w:cs="宋体" w:eastAsia="宋体" w:hint="default"/>
                <w:sz w:val="18"/>
                <w:szCs w:val="18"/>
              </w:rPr>
            </w:r>
          </w:p>
        </w:tc>
        <w:tc>
          <w:tcPr>
            <w:tcW w:w="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5</w:t>
            </w:r>
            <w:r>
              <w:rPr>
                <w:rFonts w:ascii="Times New Roman"/>
                <w:sz w:val="18"/>
              </w:rPr>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5" w:right="0"/>
              <w:jc w:val="lef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60"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color w:val="0D0D0D"/>
                <w:sz w:val="18"/>
                <w:szCs w:val="18"/>
              </w:rPr>
              <w:t>上海奈盛通信科技有限公司</w:t>
            </w:r>
            <w:r>
              <w:rPr>
                <w:rFonts w:ascii="宋体" w:hAnsi="宋体" w:cs="宋体" w:eastAsia="宋体" w:hint="default"/>
                <w:sz w:val="18"/>
                <w:szCs w:val="18"/>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上海奈盛</w:t>
            </w:r>
            <w:r>
              <w:rPr>
                <w:rFonts w:ascii="宋体" w:hAnsi="宋体" w:cs="宋体" w:eastAsia="宋体" w:hint="default"/>
                <w:sz w:val="18"/>
                <w:szCs w:val="18"/>
              </w:rPr>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上海</w:t>
            </w:r>
            <w:r>
              <w:rPr>
                <w:rFonts w:ascii="宋体" w:hAnsi="宋体" w:cs="宋体" w:eastAsia="宋体" w:hint="default"/>
                <w:sz w:val="18"/>
                <w:szCs w:val="18"/>
              </w:rPr>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宋体" w:hAnsi="宋体" w:cs="宋体" w:eastAsia="宋体" w:hint="default"/>
                <w:sz w:val="18"/>
                <w:szCs w:val="18"/>
              </w:rPr>
              <w:t>业务</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0" w:right="41"/>
              <w:jc w:val="left"/>
              <w:rPr>
                <w:rFonts w:ascii="宋体" w:hAnsi="宋体" w:cs="宋体" w:eastAsia="宋体" w:hint="default"/>
                <w:sz w:val="18"/>
                <w:szCs w:val="18"/>
              </w:rPr>
            </w:pPr>
            <w:r>
              <w:rPr>
                <w:rFonts w:ascii="宋体" w:hAnsi="宋体" w:cs="宋体" w:eastAsia="宋体" w:hint="default"/>
                <w:sz w:val="18"/>
                <w:szCs w:val="18"/>
              </w:rPr>
              <w:t>非同一控 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9" w:right="37"/>
              <w:jc w:val="left"/>
              <w:rPr>
                <w:rFonts w:ascii="宋体" w:hAnsi="宋体" w:cs="宋体" w:eastAsia="宋体" w:hint="default"/>
                <w:sz w:val="18"/>
                <w:szCs w:val="18"/>
              </w:rPr>
            </w:pPr>
            <w:r>
              <w:rPr>
                <w:rFonts w:ascii="宋体" w:hAnsi="宋体" w:cs="宋体" w:eastAsia="宋体" w:hint="default"/>
                <w:color w:val="0D0D0D"/>
                <w:sz w:val="18"/>
                <w:szCs w:val="18"/>
              </w:rPr>
              <w:t>非全资 子公司</w:t>
            </w:r>
            <w:r>
              <w:rPr>
                <w:rFonts w:ascii="宋体" w:hAnsi="宋体" w:cs="宋体" w:eastAsia="宋体" w:hint="default"/>
                <w:sz w:val="18"/>
                <w:szCs w:val="18"/>
              </w:rPr>
            </w:r>
          </w:p>
        </w:tc>
        <w:tc>
          <w:tcPr>
            <w:tcW w:w="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3</w:t>
            </w:r>
            <w:r>
              <w:rPr>
                <w:rFonts w:ascii="Times New Roman"/>
                <w:sz w:val="18"/>
              </w:rPr>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9" w:right="0"/>
              <w:jc w:val="left"/>
              <w:rPr>
                <w:rFonts w:ascii="Times New Roman" w:hAnsi="Times New Roman" w:cs="Times New Roman" w:eastAsia="Times New Roman" w:hint="default"/>
                <w:sz w:val="18"/>
                <w:szCs w:val="18"/>
              </w:rPr>
            </w:pPr>
            <w:r>
              <w:rPr>
                <w:rFonts w:ascii="Times New Roman"/>
                <w:color w:val="0D0D0D"/>
                <w:sz w:val="18"/>
              </w:rPr>
              <w:t>51</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color w:val="0D0D0D"/>
                <w:sz w:val="18"/>
              </w:rPr>
              <w:t>51</w:t>
            </w:r>
            <w:r>
              <w:rPr>
                <w:rFonts w:ascii="Times New Roman"/>
                <w:sz w:val="18"/>
              </w:rPr>
            </w:r>
          </w:p>
        </w:tc>
      </w:tr>
      <w:tr>
        <w:trPr>
          <w:trHeight w:val="659"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color w:val="0D0D0D"/>
                <w:sz w:val="18"/>
                <w:szCs w:val="18"/>
              </w:rPr>
              <w:t>深圳市日升科技有限公司</w:t>
            </w:r>
            <w:r>
              <w:rPr>
                <w:rFonts w:ascii="宋体" w:hAnsi="宋体" w:cs="宋体" w:eastAsia="宋体" w:hint="default"/>
                <w:sz w:val="18"/>
                <w:szCs w:val="18"/>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color w:val="0D0D0D"/>
                <w:sz w:val="18"/>
                <w:szCs w:val="18"/>
              </w:rPr>
              <w:t>深圳日升</w:t>
            </w:r>
            <w:r>
              <w:rPr>
                <w:rFonts w:ascii="宋体" w:hAnsi="宋体" w:cs="宋体" w:eastAsia="宋体" w:hint="default"/>
                <w:sz w:val="18"/>
                <w:szCs w:val="18"/>
              </w:rPr>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color w:val="0D0D0D"/>
                <w:sz w:val="18"/>
                <w:szCs w:val="18"/>
              </w:rPr>
              <w:t>深圳</w:t>
            </w:r>
            <w:r>
              <w:rPr>
                <w:rFonts w:ascii="宋体" w:hAnsi="宋体" w:cs="宋体" w:eastAsia="宋体" w:hint="default"/>
                <w:sz w:val="18"/>
                <w:szCs w:val="18"/>
              </w:rPr>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增值通信、</w:t>
            </w:r>
            <w:r>
              <w:rPr>
                <w:rFonts w:ascii="Times New Roman" w:hAnsi="Times New Roman" w:cs="Times New Roman" w:eastAsia="Times New Roman" w:hint="default"/>
                <w:sz w:val="18"/>
                <w:szCs w:val="18"/>
              </w:rPr>
              <w:t>VPN</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0" w:right="40"/>
              <w:jc w:val="left"/>
              <w:rPr>
                <w:rFonts w:ascii="宋体" w:hAnsi="宋体" w:cs="宋体" w:eastAsia="宋体" w:hint="default"/>
                <w:sz w:val="18"/>
                <w:szCs w:val="18"/>
              </w:rPr>
            </w:pPr>
            <w:r>
              <w:rPr>
                <w:rFonts w:ascii="宋体" w:hAnsi="宋体" w:cs="宋体" w:eastAsia="宋体" w:hint="default"/>
                <w:sz w:val="18"/>
                <w:szCs w:val="18"/>
              </w:rPr>
              <w:t>非同一控 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29" w:right="37" w:hanging="90"/>
              <w:jc w:val="left"/>
              <w:rPr>
                <w:rFonts w:ascii="宋体" w:hAnsi="宋体" w:cs="宋体" w:eastAsia="宋体" w:hint="default"/>
                <w:sz w:val="18"/>
                <w:szCs w:val="18"/>
              </w:rPr>
            </w:pPr>
            <w:r>
              <w:rPr>
                <w:rFonts w:ascii="宋体" w:hAnsi="宋体" w:cs="宋体" w:eastAsia="宋体" w:hint="default"/>
                <w:color w:val="0D0D0D"/>
                <w:sz w:val="18"/>
                <w:szCs w:val="18"/>
              </w:rPr>
              <w:t>全资子 公司</w:t>
            </w:r>
            <w:r>
              <w:rPr>
                <w:rFonts w:ascii="宋体" w:hAnsi="宋体" w:cs="宋体" w:eastAsia="宋体" w:hint="default"/>
                <w:sz w:val="18"/>
                <w:szCs w:val="18"/>
              </w:rPr>
            </w:r>
          </w:p>
        </w:tc>
        <w:tc>
          <w:tcPr>
            <w:tcW w:w="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color w:val="0D0D0D"/>
                <w:sz w:val="18"/>
              </w:rPr>
              <w:t>3</w:t>
            </w:r>
            <w:r>
              <w:rPr>
                <w:rFonts w:ascii="Times New Roman"/>
                <w:sz w:val="18"/>
              </w:rPr>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5" w:right="0"/>
              <w:jc w:val="lef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9"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color w:val="0D0D0D"/>
                <w:sz w:val="18"/>
              </w:rPr>
              <w:t>I-Access Network</w:t>
            </w:r>
            <w:r>
              <w:rPr>
                <w:rFonts w:ascii="Times New Roman"/>
                <w:color w:val="0D0D0D"/>
                <w:spacing w:val="-5"/>
                <w:sz w:val="18"/>
              </w:rPr>
              <w:t> </w:t>
            </w:r>
            <w:r>
              <w:rPr>
                <w:rFonts w:ascii="Times New Roman"/>
                <w:color w:val="0D0D0D"/>
                <w:sz w:val="18"/>
              </w:rPr>
              <w:t>Limited</w:t>
            </w:r>
            <w:r>
              <w:rPr>
                <w:rFonts w:ascii="Times New Roman"/>
                <w:sz w:val="18"/>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I-Access</w:t>
            </w:r>
            <w:r>
              <w:rPr>
                <w:rFonts w:ascii="Times New Roman"/>
                <w:sz w:val="18"/>
              </w:rPr>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香港</w:t>
            </w:r>
            <w:r>
              <w:rPr>
                <w:rFonts w:ascii="宋体" w:hAnsi="宋体" w:cs="宋体" w:eastAsia="宋体" w:hint="default"/>
                <w:sz w:val="18"/>
                <w:szCs w:val="18"/>
              </w:rPr>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增值通信、</w:t>
            </w:r>
            <w:r>
              <w:rPr>
                <w:rFonts w:ascii="Times New Roman" w:hAnsi="Times New Roman" w:cs="Times New Roman" w:eastAsia="Times New Roman" w:hint="default"/>
                <w:sz w:val="18"/>
                <w:szCs w:val="18"/>
              </w:rPr>
              <w:t>VPN</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0" w:right="40"/>
              <w:jc w:val="left"/>
              <w:rPr>
                <w:rFonts w:ascii="宋体" w:hAnsi="宋体" w:cs="宋体" w:eastAsia="宋体" w:hint="default"/>
                <w:sz w:val="18"/>
                <w:szCs w:val="18"/>
              </w:rPr>
            </w:pPr>
            <w:r>
              <w:rPr>
                <w:rFonts w:ascii="宋体" w:hAnsi="宋体" w:cs="宋体" w:eastAsia="宋体" w:hint="default"/>
                <w:sz w:val="18"/>
                <w:szCs w:val="18"/>
              </w:rPr>
              <w:t>非同一控 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29" w:right="37" w:hanging="90"/>
              <w:jc w:val="left"/>
              <w:rPr>
                <w:rFonts w:ascii="宋体" w:hAnsi="宋体" w:cs="宋体" w:eastAsia="宋体" w:hint="default"/>
                <w:sz w:val="18"/>
                <w:szCs w:val="18"/>
              </w:rPr>
            </w:pPr>
            <w:r>
              <w:rPr>
                <w:rFonts w:ascii="宋体" w:hAnsi="宋体" w:cs="宋体" w:eastAsia="宋体" w:hint="default"/>
                <w:color w:val="0D0D0D"/>
                <w:sz w:val="18"/>
                <w:szCs w:val="18"/>
              </w:rPr>
              <w:t>全资子 公司</w:t>
            </w:r>
            <w:r>
              <w:rPr>
                <w:rFonts w:ascii="宋体" w:hAnsi="宋体" w:cs="宋体" w:eastAsia="宋体" w:hint="default"/>
                <w:sz w:val="18"/>
                <w:szCs w:val="18"/>
              </w:rPr>
            </w:r>
          </w:p>
        </w:tc>
        <w:tc>
          <w:tcPr>
            <w:tcW w:w="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3</w:t>
            </w:r>
            <w:r>
              <w:rPr>
                <w:rFonts w:ascii="Times New Roman"/>
                <w:sz w:val="18"/>
              </w:rPr>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5" w:right="0"/>
              <w:jc w:val="lef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60"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color w:val="0D0D0D"/>
                <w:sz w:val="18"/>
              </w:rPr>
              <w:t>iTalkBB VIP,</w:t>
            </w:r>
            <w:r>
              <w:rPr>
                <w:rFonts w:ascii="Times New Roman"/>
                <w:color w:val="0D0D0D"/>
                <w:spacing w:val="-5"/>
                <w:sz w:val="18"/>
              </w:rPr>
              <w:t> </w:t>
            </w:r>
            <w:r>
              <w:rPr>
                <w:rFonts w:ascii="Times New Roman"/>
                <w:color w:val="0D0D0D"/>
                <w:sz w:val="18"/>
              </w:rPr>
              <w:t>Inc.</w:t>
            </w:r>
            <w:r>
              <w:rPr>
                <w:rFonts w:ascii="Times New Roman"/>
                <w:sz w:val="18"/>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1"/>
              <w:ind w:left="333" w:right="166" w:hanging="165"/>
              <w:jc w:val="left"/>
              <w:rPr>
                <w:rFonts w:ascii="Times New Roman" w:hAnsi="Times New Roman" w:cs="Times New Roman" w:eastAsia="Times New Roman" w:hint="default"/>
                <w:sz w:val="18"/>
                <w:szCs w:val="18"/>
              </w:rPr>
            </w:pPr>
            <w:r>
              <w:rPr>
                <w:rFonts w:ascii="Times New Roman"/>
                <w:color w:val="0D0D0D"/>
                <w:sz w:val="18"/>
              </w:rPr>
              <w:t>iTalkBB VIP</w:t>
            </w:r>
            <w:r>
              <w:rPr>
                <w:rFonts w:ascii="Times New Roman"/>
                <w:sz w:val="18"/>
              </w:rPr>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美国</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美国</w:t>
            </w:r>
            <w:r>
              <w:rPr>
                <w:rFonts w:ascii="宋体" w:hAnsi="宋体" w:cs="宋体" w:eastAsia="宋体" w:hint="default"/>
                <w:sz w:val="18"/>
                <w:szCs w:val="18"/>
              </w:rPr>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29" w:right="37" w:hanging="90"/>
              <w:jc w:val="left"/>
              <w:rPr>
                <w:rFonts w:ascii="宋体" w:hAnsi="宋体" w:cs="宋体" w:eastAsia="宋体" w:hint="default"/>
                <w:sz w:val="18"/>
                <w:szCs w:val="18"/>
              </w:rPr>
            </w:pPr>
            <w:r>
              <w:rPr>
                <w:rFonts w:ascii="宋体" w:hAnsi="宋体" w:cs="宋体" w:eastAsia="宋体" w:hint="default"/>
                <w:color w:val="0D0D0D"/>
                <w:sz w:val="18"/>
                <w:szCs w:val="18"/>
              </w:rPr>
              <w:t>全资子 公司</w:t>
            </w:r>
            <w:r>
              <w:rPr>
                <w:rFonts w:ascii="宋体" w:hAnsi="宋体" w:cs="宋体" w:eastAsia="宋体" w:hint="default"/>
                <w:sz w:val="18"/>
                <w:szCs w:val="18"/>
              </w:rPr>
            </w:r>
          </w:p>
        </w:tc>
        <w:tc>
          <w:tcPr>
            <w:tcW w:w="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4</w:t>
            </w:r>
            <w:r>
              <w:rPr>
                <w:rFonts w:ascii="Times New Roman"/>
                <w:sz w:val="18"/>
              </w:rPr>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5" w:right="0"/>
              <w:jc w:val="lef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bl>
    <w:p>
      <w:pPr>
        <w:pStyle w:val="BodyText"/>
        <w:spacing w:line="240" w:lineRule="auto" w:before="10"/>
        <w:ind w:right="0"/>
        <w:jc w:val="left"/>
      </w:pPr>
      <w:r>
        <w:rPr/>
        <w:t>注</w:t>
      </w:r>
      <w:r>
        <w:rPr>
          <w:rFonts w:ascii="宋体" w:hAnsi="宋体" w:cs="宋体" w:eastAsia="宋体" w:hint="default"/>
        </w:rPr>
        <w:t>1</w:t>
      </w:r>
      <w:r>
        <w:rPr/>
        <w:t>：已于</w:t>
      </w:r>
      <w:r>
        <w:rPr>
          <w:rFonts w:ascii="宋体" w:hAnsi="宋体" w:cs="宋体" w:eastAsia="宋体" w:hint="default"/>
        </w:rPr>
        <w:t>2018</w:t>
      </w:r>
      <w:r>
        <w:rPr/>
        <w:t>年</w:t>
      </w:r>
      <w:r>
        <w:rPr>
          <w:rFonts w:ascii="宋体" w:hAnsi="宋体" w:cs="宋体" w:eastAsia="宋体" w:hint="default"/>
        </w:rPr>
        <w:t>12</w:t>
      </w:r>
      <w:r>
        <w:rPr/>
        <w:t>月完成注销。</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924" w:right="1131"/>
        <w:jc w:val="left"/>
      </w:pPr>
      <w:r>
        <w:rPr/>
        <w:t>本年度新纳入合并财务报表范围的主体为：</w:t>
      </w:r>
    </w:p>
    <w:p>
      <w:pPr>
        <w:spacing w:line="240" w:lineRule="auto" w:before="0"/>
        <w:rPr>
          <w:rFonts w:ascii="宋体" w:hAnsi="宋体" w:cs="宋体" w:eastAsia="宋体" w:hint="default"/>
          <w:sz w:val="5"/>
          <w:szCs w:val="5"/>
        </w:rPr>
      </w:pPr>
    </w:p>
    <w:tbl>
      <w:tblPr>
        <w:tblW w:w="0" w:type="auto"/>
        <w:jc w:val="left"/>
        <w:tblInd w:w="457" w:type="dxa"/>
        <w:tblLayout w:type="fixed"/>
        <w:tblCellMar>
          <w:top w:w="0" w:type="dxa"/>
          <w:left w:w="0" w:type="dxa"/>
          <w:bottom w:w="0" w:type="dxa"/>
          <w:right w:w="0" w:type="dxa"/>
        </w:tblCellMar>
        <w:tblLook w:val="01E0"/>
      </w:tblPr>
      <w:tblGrid>
        <w:gridCol w:w="4538"/>
        <w:gridCol w:w="5121"/>
      </w:tblGrid>
      <w:tr>
        <w:trPr>
          <w:trHeight w:val="347" w:hRule="exact"/>
        </w:trPr>
        <w:tc>
          <w:tcPr>
            <w:tcW w:w="453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名称</w:t>
            </w:r>
            <w:r>
              <w:rPr>
                <w:rFonts w:ascii="宋体" w:hAnsi="宋体" w:cs="宋体" w:eastAsia="宋体" w:hint="default"/>
                <w:sz w:val="18"/>
                <w:szCs w:val="18"/>
              </w:rPr>
            </w:r>
          </w:p>
        </w:tc>
        <w:tc>
          <w:tcPr>
            <w:tcW w:w="512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0D0D0D"/>
                <w:sz w:val="18"/>
                <w:szCs w:val="18"/>
              </w:rPr>
              <w:t>变更原因</w:t>
            </w:r>
            <w:r>
              <w:rPr>
                <w:rFonts w:ascii="宋体" w:hAnsi="宋体" w:cs="宋体" w:eastAsia="宋体" w:hint="default"/>
                <w:sz w:val="18"/>
                <w:szCs w:val="18"/>
              </w:rPr>
            </w: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color w:val="0D0D0D"/>
                <w:sz w:val="18"/>
                <w:szCs w:val="18"/>
              </w:rPr>
              <w:t>深圳日升</w:t>
            </w:r>
            <w:r>
              <w:rPr>
                <w:rFonts w:ascii="宋体" w:hAnsi="宋体" w:cs="宋体" w:eastAsia="宋体" w:hint="default"/>
                <w:sz w:val="18"/>
                <w:szCs w:val="18"/>
              </w:rPr>
            </w:r>
          </w:p>
        </w:tc>
        <w:tc>
          <w:tcPr>
            <w:tcW w:w="5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color w:val="0D0D0D"/>
                <w:sz w:val="18"/>
                <w:szCs w:val="18"/>
              </w:rPr>
              <w:t>2018</w:t>
            </w:r>
            <w:r>
              <w:rPr>
                <w:rFonts w:ascii="宋体" w:hAnsi="宋体" w:cs="宋体" w:eastAsia="宋体" w:hint="default"/>
                <w:color w:val="0D0D0D"/>
                <w:sz w:val="18"/>
                <w:szCs w:val="18"/>
              </w:rPr>
              <w:t>年收购</w:t>
            </w:r>
            <w:r>
              <w:rPr>
                <w:rFonts w:ascii="宋体" w:hAnsi="宋体" w:cs="宋体" w:eastAsia="宋体" w:hint="default"/>
                <w:sz w:val="18"/>
                <w:szCs w:val="18"/>
              </w:rPr>
            </w: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color w:val="0D0D0D"/>
                <w:sz w:val="18"/>
              </w:rPr>
              <w:t>I-Access</w:t>
            </w:r>
            <w:r>
              <w:rPr>
                <w:rFonts w:ascii="Times New Roman"/>
                <w:sz w:val="18"/>
              </w:rPr>
            </w:r>
          </w:p>
        </w:tc>
        <w:tc>
          <w:tcPr>
            <w:tcW w:w="5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color w:val="0D0D0D"/>
                <w:sz w:val="18"/>
                <w:szCs w:val="18"/>
              </w:rPr>
              <w:t>2018</w:t>
            </w:r>
            <w:r>
              <w:rPr>
                <w:rFonts w:ascii="宋体" w:hAnsi="宋体" w:cs="宋体" w:eastAsia="宋体" w:hint="default"/>
                <w:color w:val="0D0D0D"/>
                <w:sz w:val="18"/>
                <w:szCs w:val="18"/>
              </w:rPr>
              <w:t>年收购</w:t>
            </w:r>
            <w:r>
              <w:rPr>
                <w:rFonts w:ascii="宋体" w:hAnsi="宋体" w:cs="宋体" w:eastAsia="宋体" w:hint="default"/>
                <w:sz w:val="18"/>
                <w:szCs w:val="18"/>
              </w:rPr>
            </w:r>
          </w:p>
        </w:tc>
      </w:tr>
      <w:tr>
        <w:trPr>
          <w:trHeight w:val="348"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color w:val="0D0D0D"/>
                <w:sz w:val="18"/>
              </w:rPr>
              <w:t>iTalkBB</w:t>
            </w:r>
            <w:r>
              <w:rPr>
                <w:rFonts w:ascii="Times New Roman"/>
                <w:color w:val="0D0D0D"/>
                <w:spacing w:val="-2"/>
                <w:sz w:val="18"/>
              </w:rPr>
              <w:t> </w:t>
            </w:r>
            <w:r>
              <w:rPr>
                <w:rFonts w:ascii="Times New Roman"/>
                <w:color w:val="0D0D0D"/>
                <w:sz w:val="18"/>
              </w:rPr>
              <w:t>VIP</w:t>
            </w:r>
            <w:r>
              <w:rPr>
                <w:rFonts w:ascii="Times New Roman"/>
                <w:sz w:val="18"/>
              </w:rPr>
            </w:r>
          </w:p>
        </w:tc>
        <w:tc>
          <w:tcPr>
            <w:tcW w:w="5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color w:val="0D0D0D"/>
                <w:sz w:val="18"/>
                <w:szCs w:val="18"/>
              </w:rPr>
              <w:t>2018</w:t>
            </w:r>
            <w:r>
              <w:rPr>
                <w:rFonts w:ascii="宋体" w:hAnsi="宋体" w:cs="宋体" w:eastAsia="宋体" w:hint="default"/>
                <w:color w:val="0D0D0D"/>
                <w:sz w:val="18"/>
                <w:szCs w:val="18"/>
              </w:rPr>
              <w:t>投资设立</w:t>
            </w:r>
            <w:r>
              <w:rPr>
                <w:rFonts w:ascii="宋体" w:hAnsi="宋体" w:cs="宋体" w:eastAsia="宋体" w:hint="default"/>
                <w:sz w:val="18"/>
                <w:szCs w:val="18"/>
              </w:rPr>
            </w:r>
          </w:p>
        </w:tc>
      </w:tr>
    </w:tbl>
    <w:p>
      <w:pPr>
        <w:pStyle w:val="BodyText"/>
        <w:spacing w:line="240" w:lineRule="auto" w:before="10"/>
        <w:ind w:left="924" w:right="1131"/>
        <w:jc w:val="left"/>
      </w:pPr>
      <w:r>
        <w:rPr/>
        <w:t>合并范围变更主体的具体信息详见“附注</w:t>
      </w:r>
      <w:r>
        <w:rPr>
          <w:rFonts w:ascii="宋体" w:hAnsi="宋体" w:cs="宋体" w:eastAsia="宋体" w:hint="default"/>
        </w:rPr>
        <w:t>(</w:t>
      </w:r>
      <w:r>
        <w:rPr/>
        <w:t>八</w:t>
      </w:r>
      <w:r>
        <w:rPr>
          <w:rFonts w:ascii="宋体" w:hAnsi="宋体" w:cs="宋体" w:eastAsia="宋体" w:hint="default"/>
        </w:rPr>
        <w:t>)</w:t>
      </w:r>
      <w:r>
        <w:rPr/>
        <w:t>、合并范围的变更”。</w:t>
      </w:r>
    </w:p>
    <w:p>
      <w:pPr>
        <w:spacing w:line="240" w:lineRule="auto" w:before="2"/>
        <w:rPr>
          <w:rFonts w:ascii="宋体" w:hAnsi="宋体" w:cs="宋体" w:eastAsia="宋体" w:hint="default"/>
          <w:sz w:val="25"/>
          <w:szCs w:val="25"/>
        </w:rPr>
      </w:pPr>
    </w:p>
    <w:p>
      <w:pPr>
        <w:pStyle w:val="Heading2"/>
        <w:spacing w:line="240" w:lineRule="auto"/>
        <w:ind w:left="474" w:right="1131"/>
        <w:jc w:val="left"/>
        <w:rPr>
          <w:b w:val="0"/>
          <w:bCs w:val="0"/>
        </w:rPr>
      </w:pPr>
      <w:bookmarkStart w:name="四、财务报表的编制基础" w:id="165"/>
      <w:bookmarkEnd w:id="165"/>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474" w:right="1131"/>
        <w:jc w:val="left"/>
        <w:rPr>
          <w:b w:val="0"/>
          <w:bCs w:val="0"/>
        </w:rPr>
      </w:pPr>
      <w:bookmarkStart w:name="1、编制基础" w:id="166"/>
      <w:bookmarkEnd w:id="166"/>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954" w:right="1131" w:firstLine="60"/>
        <w:jc w:val="left"/>
      </w:pPr>
      <w:r>
        <w:rPr/>
      </w:r>
      <w:r>
        <w:rPr>
          <w:u w:val="single" w:color="000000"/>
        </w:rPr>
        <w:t>编制基础</w:t>
      </w:r>
      <w:r>
        <w:rPr/>
      </w:r>
      <w:r>
        <w:rPr/>
        <w:t> </w:t>
      </w:r>
      <w:r>
        <w:rPr>
          <w:spacing w:val="-1"/>
        </w:rPr>
        <w:t>本集团执行财政部颁布的企业会计准则相及相关规定。此外，本集团还按照《公开发行证券的公司信息披露编报规则</w:t>
      </w:r>
    </w:p>
    <w:p>
      <w:pPr>
        <w:pStyle w:val="BodyText"/>
        <w:spacing w:line="316" w:lineRule="auto" w:before="19"/>
        <w:ind w:left="1014" w:right="5353" w:hanging="541"/>
        <w:jc w:val="left"/>
      </w:pPr>
      <w:r>
        <w:rPr/>
        <w:t>第</w:t>
      </w:r>
      <w:r>
        <w:rPr>
          <w:rFonts w:ascii="宋体" w:hAnsi="宋体" w:cs="宋体" w:eastAsia="宋体" w:hint="default"/>
        </w:rPr>
        <w:t>15</w:t>
      </w:r>
      <w:r>
        <w:rPr/>
        <w:t>号——财务报告的一般规定</w:t>
      </w:r>
      <w:r>
        <w:rPr>
          <w:rFonts w:ascii="宋体" w:hAnsi="宋体" w:cs="宋体" w:eastAsia="宋体" w:hint="default"/>
        </w:rPr>
        <w:t>(2014</w:t>
      </w:r>
      <w:r>
        <w:rPr/>
        <w:t>年修订</w:t>
      </w:r>
      <w:r>
        <w:rPr>
          <w:rFonts w:ascii="宋体" w:hAnsi="宋体" w:cs="宋体" w:eastAsia="宋体" w:hint="default"/>
        </w:rPr>
        <w:t>)</w:t>
      </w:r>
      <w:r>
        <w:rPr/>
        <w:t>》披露有关财务信息。 </w:t>
      </w:r>
      <w:r>
        <w:rPr>
          <w:u w:val="single" w:color="000000"/>
        </w:rPr>
        <w:t>记账基础和计价原则</w:t>
      </w:r>
      <w:r>
        <w:rPr/>
      </w:r>
    </w:p>
    <w:p>
      <w:pPr>
        <w:pStyle w:val="BodyText"/>
        <w:spacing w:line="316" w:lineRule="auto" w:before="19"/>
        <w:ind w:left="474" w:right="1042" w:firstLine="480"/>
        <w:jc w:val="both"/>
      </w:pPr>
      <w:r>
        <w:rPr>
          <w:spacing w:val="-3"/>
        </w:rPr>
        <w:t>本集团会计核算以权责发生制为记账基础。除某些金融工具以公允价值计量外，本财务报表以历史成本作为计量基础。</w:t>
      </w:r>
      <w:r>
        <w:rPr/>
        <w:t> 资产如果发生减值，则按照相关规定计提相应的减值准备。</w:t>
      </w:r>
    </w:p>
    <w:p>
      <w:pPr>
        <w:pStyle w:val="BodyText"/>
        <w:spacing w:line="316" w:lineRule="auto" w:before="19"/>
        <w:ind w:left="474" w:right="1133" w:firstLine="480"/>
        <w:jc w:val="both"/>
      </w:pPr>
      <w:r>
        <w:rPr>
          <w:spacing w:val="-1"/>
        </w:rPr>
        <w:t>在历史成本计量下，资产按照购置时支付的现金或者现金等价物的金额或者所付出的对价的公允价值计量。负债按照</w:t>
      </w:r>
      <w:r>
        <w:rPr/>
        <w:t> </w:t>
      </w:r>
      <w:r>
        <w:rPr>
          <w:spacing w:val="-2"/>
        </w:rPr>
        <w:t>因承担现时义务而实际收到的款项或者资产的金额，或者承担现时义务的合同金额，或者按照日常活动中为偿还负债预期需</w:t>
      </w:r>
      <w:r>
        <w:rPr>
          <w:spacing w:val="-64"/>
        </w:rPr>
        <w:t> </w:t>
      </w:r>
      <w:r>
        <w:rPr>
          <w:spacing w:val="-64"/>
        </w:rPr>
      </w:r>
      <w:r>
        <w:rPr/>
        <w:t>要支付的现金或者现金等价物的金额计量。</w:t>
      </w:r>
    </w:p>
    <w:p>
      <w:pPr>
        <w:pStyle w:val="BodyText"/>
        <w:spacing w:line="316" w:lineRule="auto" w:before="19"/>
        <w:ind w:left="474" w:right="1133" w:firstLine="480"/>
        <w:jc w:val="both"/>
      </w:pPr>
      <w:r>
        <w:rPr>
          <w:spacing w:val="-1"/>
        </w:rPr>
        <w:t>公允价值是市场参与者在计量日发生的有序交易中，出售一项资产所能收到或者转移一项负债所需支付的价格。无论</w:t>
      </w:r>
      <w:r>
        <w:rPr/>
        <w:t> 公允价值是可观察到的还是采用估值技术估计的，在本财务报表中计量和披露的公允价值均在此基础上予以确定。</w:t>
      </w:r>
    </w:p>
    <w:p>
      <w:pPr>
        <w:pStyle w:val="BodyText"/>
        <w:spacing w:line="316" w:lineRule="auto" w:before="19"/>
        <w:ind w:left="474" w:right="1133" w:firstLine="480"/>
        <w:jc w:val="both"/>
      </w:pPr>
      <w:r>
        <w:rPr>
          <w:spacing w:val="-1"/>
        </w:rPr>
        <w:t>对于以交易价格作为初始确认时的公允价值，且在公允价值后续计量中使用了涉及不可观察输入值的估值技术的金融</w:t>
      </w:r>
      <w:r>
        <w:rPr/>
        <w:t> 资产，在估值过程中校正该估值技术，以使估值技术确定的初始确认结果与交易价格相等。</w:t>
      </w:r>
    </w:p>
    <w:p>
      <w:pPr>
        <w:pStyle w:val="BodyText"/>
        <w:spacing w:line="240" w:lineRule="auto" w:before="19"/>
        <w:ind w:left="954" w:right="1131"/>
        <w:jc w:val="left"/>
      </w:pPr>
      <w:r>
        <w:rPr>
          <w:spacing w:val="2"/>
        </w:rPr>
        <w:t>公允价值计量基于公允价值的输入值的可观察程度以及该等输入值对公允价值计量整体的重要性，被划分为三个层</w:t>
      </w:r>
    </w:p>
    <w:p>
      <w:pPr>
        <w:pStyle w:val="BodyText"/>
        <w:spacing w:line="240" w:lineRule="auto" w:before="76"/>
        <w:ind w:left="474" w:right="1131"/>
        <w:jc w:val="left"/>
      </w:pPr>
      <w:r>
        <w:rPr/>
        <w:t>次：</w:t>
      </w:r>
    </w:p>
    <w:p>
      <w:pPr>
        <w:pStyle w:val="BodyText"/>
        <w:tabs>
          <w:tab w:pos="1014" w:val="left" w:leader="none"/>
        </w:tabs>
        <w:spacing w:line="240" w:lineRule="auto" w:before="76"/>
        <w:ind w:left="114" w:right="1131"/>
        <w:jc w:val="left"/>
      </w:pPr>
      <w:r>
        <w:rPr/>
        <w:t>·</w:t>
        <w:tab/>
        <w:t>第一层次输入值是在计量日能够取得的相同资产或负债在活跃市场上未经调整的报价。</w:t>
      </w:r>
    </w:p>
    <w:p>
      <w:pPr>
        <w:pStyle w:val="BodyText"/>
        <w:tabs>
          <w:tab w:pos="1014" w:val="left" w:leader="none"/>
        </w:tabs>
        <w:spacing w:line="240" w:lineRule="auto" w:before="76"/>
        <w:ind w:left="114" w:right="1131"/>
        <w:jc w:val="left"/>
      </w:pPr>
      <w:r>
        <w:rPr/>
        <w:t>·</w:t>
        <w:tab/>
        <w:t>第二层次输入值是除第一层次输入值外相关资产或负债直接或间接可观察的输入值。</w:t>
      </w:r>
    </w:p>
    <w:p>
      <w:pPr>
        <w:pStyle w:val="BodyText"/>
        <w:tabs>
          <w:tab w:pos="1014" w:val="left" w:leader="none"/>
        </w:tabs>
        <w:spacing w:line="240" w:lineRule="auto" w:before="76"/>
        <w:ind w:left="114" w:right="1131"/>
        <w:jc w:val="left"/>
      </w:pPr>
      <w:r>
        <w:rPr/>
        <w:t>·</w:t>
        <w:tab/>
        <w:t>第三层次输入值是相关资产或负债的不可观察输入值。</w:t>
      </w:r>
    </w:p>
    <w:p>
      <w:pPr>
        <w:spacing w:line="240" w:lineRule="auto" w:before="12"/>
        <w:rPr>
          <w:rFonts w:ascii="宋体" w:hAnsi="宋体" w:cs="宋体" w:eastAsia="宋体" w:hint="default"/>
          <w:sz w:val="26"/>
          <w:szCs w:val="26"/>
        </w:rPr>
      </w:pPr>
    </w:p>
    <w:p>
      <w:pPr>
        <w:pStyle w:val="Heading4"/>
        <w:spacing w:line="240" w:lineRule="auto"/>
        <w:ind w:left="474" w:right="1131"/>
        <w:jc w:val="left"/>
        <w:rPr>
          <w:b w:val="0"/>
          <w:bCs w:val="0"/>
        </w:rPr>
      </w:pPr>
      <w:bookmarkStart w:name="2、持续经营" w:id="167"/>
      <w:bookmarkEnd w:id="167"/>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74" w:right="1131" w:firstLine="482"/>
        <w:jc w:val="left"/>
      </w:pPr>
      <w:r>
        <w:rPr>
          <w:spacing w:val="2"/>
        </w:rPr>
        <w:t>本集团对自</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日起</w:t>
      </w:r>
      <w:r>
        <w:rPr>
          <w:rFonts w:ascii="宋体" w:hAnsi="宋体" w:cs="宋体" w:eastAsia="宋体" w:hint="default"/>
          <w:spacing w:val="2"/>
        </w:rPr>
        <w:t>12</w:t>
      </w:r>
      <w:r>
        <w:rPr>
          <w:spacing w:val="2"/>
        </w:rPr>
        <w:t>个月的持续经营能力进行了评价，未发现对持续经营能力产生重大怀疑的事项和情</w:t>
      </w:r>
      <w:r>
        <w:rPr/>
        <w:t> 况。因此，本财务报表系在持续经营假设的基础上编制。</w:t>
      </w:r>
    </w:p>
    <w:p>
      <w:pPr>
        <w:spacing w:line="240" w:lineRule="auto" w:before="10"/>
        <w:rPr>
          <w:rFonts w:ascii="宋体" w:hAnsi="宋体" w:cs="宋体" w:eastAsia="宋体" w:hint="default"/>
          <w:sz w:val="20"/>
          <w:szCs w:val="20"/>
        </w:rPr>
      </w:pPr>
    </w:p>
    <w:p>
      <w:pPr>
        <w:pStyle w:val="Heading2"/>
        <w:spacing w:line="240" w:lineRule="auto"/>
        <w:ind w:left="474" w:right="1131"/>
        <w:jc w:val="left"/>
        <w:rPr>
          <w:b w:val="0"/>
          <w:bCs w:val="0"/>
        </w:rPr>
      </w:pPr>
      <w:bookmarkStart w:name="五、重要会计政策及会计估计" w:id="168"/>
      <w:bookmarkEnd w:id="168"/>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474" w:right="7692"/>
        <w:jc w:val="left"/>
      </w:pPr>
      <w:r>
        <w:rPr/>
        <w:t>公司是否需要遵守特殊行业的披露要求 否</w:t>
      </w:r>
    </w:p>
    <w:p>
      <w:pPr>
        <w:pStyle w:val="BodyText"/>
        <w:spacing w:line="357" w:lineRule="auto" w:before="26"/>
        <w:ind w:left="474" w:right="8232"/>
        <w:jc w:val="left"/>
      </w:pPr>
      <w:r>
        <w:rPr/>
        <w:t>具体会计政策和会计估计提示： 无</w:t>
      </w:r>
    </w:p>
    <w:p>
      <w:pPr>
        <w:spacing w:after="0" w:line="357" w:lineRule="auto"/>
        <w:jc w:val="left"/>
        <w:sectPr>
          <w:pgSz w:w="11910" w:h="16840"/>
          <w:pgMar w:header="877" w:footer="979" w:top="1100" w:bottom="1160" w:left="66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1、遵循企业会计准则的声明" w:id="169"/>
      <w:bookmarkEnd w:id="169"/>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43"/>
        <w:jc w:val="both"/>
      </w:pPr>
      <w:r>
        <w:rPr/>
        <w:t>本财务报表符合企业会计准则的要求，真实、完整地反映了本公司于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日的合并及公司财务状况以及</w:t>
      </w:r>
      <w:r>
        <w:rPr>
          <w:rFonts w:ascii="宋体" w:hAnsi="宋体" w:cs="宋体" w:eastAsia="宋体" w:hint="default"/>
        </w:rPr>
        <w:t>2018 </w:t>
      </w:r>
      <w:r>
        <w:rPr/>
        <w:t>年度的合并及公司经营成果、合并及公司股东权益变动和合并及公司现金流量。</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会计期间" w:id="170"/>
      <w:bookmarkEnd w:id="170"/>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36" w:right="0"/>
        <w:jc w:val="left"/>
      </w:pPr>
      <w:r>
        <w:rPr/>
        <w:t>本集团的会计年度为公历年度，即每年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营业周期" w:id="171"/>
      <w:bookmarkEnd w:id="171"/>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34" w:right="0"/>
        <w:jc w:val="left"/>
      </w:pPr>
      <w:r>
        <w:rPr/>
        <w:t>营业周期是指企业从购买用于加工的资产起至实现现金或现金等价物的期间。本公司的营业周期为</w:t>
      </w:r>
      <w:r>
        <w:rPr>
          <w:rFonts w:ascii="宋体" w:hAnsi="宋体" w:cs="宋体" w:eastAsia="宋体" w:hint="default"/>
        </w:rPr>
        <w:t>12</w:t>
      </w:r>
      <w:r>
        <w:rPr/>
        <w:t>个月。</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记账本位币" w:id="172"/>
      <w:bookmarkEnd w:id="172"/>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290"/>
        <w:jc w:val="both"/>
      </w:pPr>
      <w:r>
        <w:rPr>
          <w:spacing w:val="-1"/>
        </w:rPr>
        <w:t>人民币为本公司及境内子公司经营所处的主要经济环境中的货币，本公司及境内子公司以人民币为记账本位币。本公司</w:t>
      </w:r>
      <w:r>
        <w:rPr/>
        <w:t> 之境外子公司根据其经营所处的主要经济环境中的货币确定为其记账本位币。本公司编制本财务报表时采用的货币为人民</w:t>
      </w:r>
      <w:r>
        <w:rPr>
          <w:spacing w:val="-9"/>
        </w:rPr>
        <w:t> </w:t>
      </w:r>
      <w:r>
        <w:rPr>
          <w:spacing w:val="-9"/>
        </w:rPr>
      </w:r>
      <w:r>
        <w:rPr/>
        <w:t>币。</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5、同一控制下和非同一控制下企业合并的会计处理方法" w:id="173"/>
      <w:bookmarkEnd w:id="173"/>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634" w:right="0"/>
        <w:jc w:val="left"/>
      </w:pPr>
      <w:r>
        <w:rPr/>
        <w:t>参与合并的企业在合并前后不受同一方或相同的多方最终控制，为非同一控制下的企业合并。 </w:t>
      </w:r>
      <w:r>
        <w:rPr>
          <w:spacing w:val="-1"/>
        </w:rPr>
        <w:t>合并成本指购买方为取得被购买方的控制权而付出的资产、发生或承担的负债和发行的权益性工具的公允价值。通过</w:t>
      </w:r>
    </w:p>
    <w:p>
      <w:pPr>
        <w:pStyle w:val="BodyText"/>
        <w:spacing w:line="316" w:lineRule="auto" w:before="17"/>
        <w:ind w:right="1131"/>
        <w:jc w:val="both"/>
      </w:pPr>
      <w:r>
        <w:rPr>
          <w:spacing w:val="-2"/>
        </w:rPr>
        <w:t>多次交易分步实现非同一控制下的企业合并的，合并成本为购买日支付的对价与购买日之前已经持有的被购买方的股权在购</w:t>
      </w:r>
      <w:r>
        <w:rPr>
          <w:spacing w:val="-64"/>
        </w:rPr>
        <w:t> </w:t>
      </w:r>
      <w:r>
        <w:rPr>
          <w:spacing w:val="-64"/>
        </w:rPr>
      </w:r>
      <w:r>
        <w:rPr>
          <w:spacing w:val="-2"/>
        </w:rPr>
        <w:t>买日的公允价值之和。购买方为企业合并发生的审计、法律服务、评估咨询等中介费用以及其他相关管理费用，于发生时计</w:t>
      </w:r>
      <w:r>
        <w:rPr>
          <w:spacing w:val="-66"/>
        </w:rPr>
        <w:t> </w:t>
      </w:r>
      <w:r>
        <w:rPr>
          <w:spacing w:val="-66"/>
        </w:rPr>
      </w:r>
      <w:r>
        <w:rPr/>
        <w:t>入当期损益。</w:t>
      </w:r>
    </w:p>
    <w:p>
      <w:pPr>
        <w:pStyle w:val="BodyText"/>
        <w:spacing w:line="316" w:lineRule="auto" w:before="19"/>
        <w:ind w:left="634" w:right="0"/>
        <w:jc w:val="left"/>
      </w:pPr>
      <w:r>
        <w:rPr/>
        <w:t>购买方在合并中所取得的被购买方符合确认条件的可辨认资产、负债及或有负债在购买日以公允价值计量。 </w:t>
      </w:r>
      <w:r>
        <w:rPr>
          <w:spacing w:val="-1"/>
        </w:rPr>
        <w:t>当合并协议中约定根据未来一项或有事项的发生，购买方要求返还之前已经支付的合并对价时，本集团将合并协议约</w:t>
      </w:r>
    </w:p>
    <w:p>
      <w:pPr>
        <w:pStyle w:val="BodyText"/>
        <w:spacing w:line="309" w:lineRule="auto" w:before="19"/>
        <w:ind w:right="1032"/>
        <w:jc w:val="left"/>
      </w:pPr>
      <w:r>
        <w:rPr>
          <w:spacing w:val="-2"/>
        </w:rPr>
        <w:t>定的或有对价确认为一项资产，作为企业合并转移对价的一部分，按照其在购买日的公允价值计入企业合并成本。购买日后</w:t>
      </w:r>
      <w:r>
        <w:rPr>
          <w:spacing w:val="-66"/>
        </w:rPr>
        <w:t> </w:t>
      </w:r>
      <w:r>
        <w:rPr>
          <w:spacing w:val="-66"/>
        </w:rPr>
      </w:r>
      <w:r>
        <w:rPr>
          <w:rFonts w:ascii="Times New Roman" w:hAnsi="Times New Roman" w:cs="Times New Roman" w:eastAsia="Times New Roman" w:hint="default"/>
          <w:spacing w:val="-2"/>
        </w:rPr>
        <w:t>12</w:t>
      </w:r>
      <w:r>
        <w:rPr>
          <w:spacing w:val="-2"/>
        </w:rPr>
        <w:t>个月内，若出现对购买日已存在情况的新的或者进一步证据而需要调整或有对价的，将予以确认并对原计入商誉的金额进</w:t>
      </w:r>
      <w:r>
        <w:rPr>
          <w:spacing w:val="-62"/>
        </w:rPr>
        <w:t> </w:t>
      </w:r>
      <w:r>
        <w:rPr>
          <w:spacing w:val="-62"/>
        </w:rPr>
      </w:r>
      <w:r>
        <w:rPr/>
        <w:t>行调整。其他情况下发生的或有对价变化或调整，区分以下不同情况进行处理：对于权益性质的或有对价不进行会计处理； </w:t>
      </w:r>
      <w:r>
        <w:rPr>
          <w:spacing w:val="-4"/>
        </w:rPr>
        <w:t>对于资产性质的或有对价，按照《企业会计准则第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金融工具确认和计量》和《企业会计准则第</w:t>
      </w:r>
      <w:r>
        <w:rPr>
          <w:rFonts w:ascii="Times New Roman" w:hAnsi="Times New Roman" w:cs="Times New Roman" w:eastAsia="Times New Roman" w:hint="default"/>
          <w:spacing w:val="-4"/>
        </w:rPr>
        <w:t>13</w:t>
      </w:r>
      <w:r>
        <w:rPr>
          <w:spacing w:val="-4"/>
        </w:rPr>
        <w:t>号</w:t>
      </w:r>
      <w:r>
        <w:rPr>
          <w:rFonts w:ascii="Times New Roman" w:hAnsi="Times New Roman" w:cs="Times New Roman" w:eastAsia="Times New Roman" w:hint="default"/>
          <w:spacing w:val="-4"/>
        </w:rPr>
        <w:t>—</w:t>
      </w:r>
      <w:r>
        <w:rPr>
          <w:spacing w:val="-4"/>
        </w:rPr>
        <w:t>或有事项》计量，</w:t>
      </w:r>
      <w:r>
        <w:rPr>
          <w:spacing w:val="-36"/>
        </w:rPr>
        <w:t> </w:t>
      </w:r>
      <w:r>
        <w:rPr>
          <w:spacing w:val="-36"/>
        </w:rPr>
      </w:r>
      <w:r>
        <w:rPr/>
        <w:t>发生的变化或调整计入当期损益。</w:t>
      </w:r>
    </w:p>
    <w:p>
      <w:pPr>
        <w:pStyle w:val="BodyText"/>
        <w:spacing w:line="316" w:lineRule="auto" w:before="24"/>
        <w:ind w:right="1131" w:firstLine="480"/>
        <w:jc w:val="both"/>
      </w:pPr>
      <w:r>
        <w:rPr>
          <w:spacing w:val="-1"/>
        </w:rPr>
        <w:t>合并成本大于合并中取得的被购买方可辨认净资产公允价值份额的差额，作为一项资产确认为商誉并按成本进行初始</w:t>
      </w:r>
      <w:r>
        <w:rPr/>
        <w:t> </w:t>
      </w:r>
      <w:r>
        <w:rPr>
          <w:spacing w:val="-2"/>
        </w:rPr>
        <w:t>计量。合并成本小于合并中取得的被购买方可辨认净资产公允价值份额的，首先对取得的被购买方各项可辨认资产、负债及</w:t>
      </w:r>
      <w:r>
        <w:rPr>
          <w:spacing w:val="-66"/>
        </w:rPr>
        <w:t> </w:t>
      </w:r>
      <w:r>
        <w:rPr>
          <w:spacing w:val="-66"/>
        </w:rPr>
      </w:r>
      <w:r>
        <w:rPr>
          <w:spacing w:val="-2"/>
        </w:rPr>
        <w:t>或有负债的公允价值以及合并成本的计量进行复核，复核后合并成本仍小于合并中取得的被购买方可辨认净资产公允价值份</w:t>
      </w:r>
      <w:r>
        <w:rPr>
          <w:spacing w:val="-64"/>
        </w:rPr>
        <w:t> </w:t>
      </w:r>
      <w:r>
        <w:rPr>
          <w:spacing w:val="-64"/>
        </w:rPr>
      </w:r>
      <w:r>
        <w:rPr/>
        <w:t>额的，计入当期损益。</w:t>
      </w:r>
    </w:p>
    <w:p>
      <w:pPr>
        <w:pStyle w:val="BodyText"/>
        <w:spacing w:line="240" w:lineRule="auto" w:before="19"/>
        <w:ind w:left="634" w:right="0"/>
        <w:jc w:val="left"/>
      </w:pPr>
      <w:r>
        <w:rPr/>
        <w:t>因企业合并形成的商誉在合并财务报表中单独列报，并按照成本扣除累计减值准备后的金额计量。</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合并财务报表的编制方法" w:id="174"/>
      <w:bookmarkEnd w:id="174"/>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80"/>
        <w:jc w:val="both"/>
      </w:pPr>
      <w:r>
        <w:rPr>
          <w:spacing w:val="-1"/>
        </w:rPr>
        <w:t>合并财务报表的合并范围以控制为基础予以确定。控制是指投资方拥有对被投资方的权力，通过参与被投资方的相关</w:t>
      </w:r>
      <w:r>
        <w:rPr/>
        <w:t> </w:t>
      </w:r>
      <w:r>
        <w:rPr>
          <w:spacing w:val="-2"/>
        </w:rPr>
        <w:t>活动而享有可变回报，并且有能力运用对被投资方的权力影响其回报金额。一旦相关事实和情况的变化导致上述控制定义涉</w:t>
      </w:r>
      <w:r>
        <w:rPr>
          <w:spacing w:val="-64"/>
        </w:rPr>
        <w:t> </w:t>
      </w:r>
      <w:r>
        <w:rPr>
          <w:spacing w:val="-64"/>
        </w:rPr>
      </w:r>
      <w:r>
        <w:rPr/>
        <w:t>及的相关要素发生了变化，本集团将进行重新评估。</w:t>
      </w:r>
    </w:p>
    <w:p>
      <w:pPr>
        <w:pStyle w:val="BodyText"/>
        <w:spacing w:line="240" w:lineRule="auto" w:before="19"/>
        <w:ind w:left="634" w:right="0"/>
        <w:jc w:val="left"/>
      </w:pPr>
      <w:r>
        <w:rPr/>
        <w:t>子公司的合并起始于本集团获得对该子公司的控制权时，终止于本集团丧失对该子公司的控制权时。</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0" w:firstLine="480"/>
        <w:jc w:val="left"/>
      </w:pPr>
      <w:r>
        <w:rPr/>
        <w:t>对于本集团处置的子公司，处置日</w:t>
      </w:r>
      <w:r>
        <w:rPr>
          <w:rFonts w:ascii="Times New Roman" w:hAnsi="Times New Roman" w:cs="Times New Roman" w:eastAsia="Times New Roman" w:hint="default"/>
        </w:rPr>
        <w:t>(</w:t>
      </w:r>
      <w:r>
        <w:rPr/>
        <w:t>丧失控制权的日期</w:t>
      </w:r>
      <w:r>
        <w:rPr>
          <w:rFonts w:ascii="Times New Roman" w:hAnsi="Times New Roman" w:cs="Times New Roman" w:eastAsia="Times New Roman" w:hint="default"/>
        </w:rPr>
        <w:t>)</w:t>
      </w:r>
      <w:r>
        <w:rPr/>
        <w:t>前的经营成果和现金流量已经适当地包括在合并利润表和合并 现金流量表中。</w:t>
      </w:r>
    </w:p>
    <w:p>
      <w:pPr>
        <w:pStyle w:val="BodyText"/>
        <w:spacing w:line="300" w:lineRule="auto" w:before="31"/>
        <w:ind w:right="0" w:firstLine="480"/>
        <w:jc w:val="left"/>
      </w:pPr>
      <w:r>
        <w:rPr/>
        <w:t>对于通过非同一控制下的企业合并取得的子公司，其自购买日</w:t>
      </w:r>
      <w:r>
        <w:rPr>
          <w:rFonts w:ascii="Times New Roman" w:hAnsi="Times New Roman" w:cs="Times New Roman" w:eastAsia="Times New Roman" w:hint="default"/>
        </w:rPr>
        <w:t>(</w:t>
      </w:r>
      <w:r>
        <w:rPr/>
        <w:t>取得控制权的日期</w:t>
      </w:r>
      <w:r>
        <w:rPr>
          <w:rFonts w:ascii="Times New Roman" w:hAnsi="Times New Roman" w:cs="Times New Roman" w:eastAsia="Times New Roman" w:hint="default"/>
        </w:rPr>
        <w:t>)</w:t>
      </w:r>
      <w:r>
        <w:rPr/>
        <w:t>起的经营成果及现金流量已经适当 地包括在合并利润表和合并现金流量表中。</w:t>
      </w:r>
    </w:p>
    <w:p>
      <w:pPr>
        <w:pStyle w:val="BodyText"/>
        <w:spacing w:line="316" w:lineRule="auto" w:before="32"/>
        <w:ind w:right="0" w:firstLine="480"/>
        <w:jc w:val="left"/>
      </w:pPr>
      <w:r>
        <w:rPr>
          <w:spacing w:val="-1"/>
        </w:rPr>
        <w:t>子公司采用的会计政策与本公司不一致，在编制合并财务报表时，本公司已按照本公司的会计政策对子公司的财务报</w:t>
      </w:r>
      <w:r>
        <w:rPr/>
        <w:t> 表进行了必要的调整。</w:t>
      </w:r>
    </w:p>
    <w:p>
      <w:pPr>
        <w:pStyle w:val="BodyText"/>
        <w:spacing w:line="316" w:lineRule="auto" w:before="19"/>
        <w:ind w:left="634" w:right="1112"/>
        <w:jc w:val="left"/>
        <w:rPr>
          <w:rFonts w:ascii="Times New Roman" w:hAnsi="Times New Roman" w:cs="Times New Roman" w:eastAsia="Times New Roman" w:hint="default"/>
        </w:rPr>
      </w:pPr>
      <w:r>
        <w:rPr/>
        <w:t>本公司与子公司及子公司相互之间发生的内部交易对合并财务报表的影响于合并时抵销。 子公司所有者权益中不属于母公司的份额作为少数股东权益，在合并资产负债表中股东权益项目下以</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w:t>
      </w:r>
    </w:p>
    <w:p>
      <w:pPr>
        <w:pStyle w:val="BodyText"/>
        <w:spacing w:line="300" w:lineRule="auto"/>
        <w:ind w:left="634" w:right="0" w:hanging="480"/>
        <w:jc w:val="left"/>
      </w:pPr>
      <w:r>
        <w:rPr/>
        <w:t>项目列示。子公司当期净损益中属于少数股东权益的份额，在合并利润表中净利润项目下以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 </w:t>
      </w:r>
      <w:r>
        <w:rPr>
          <w:spacing w:val="-1"/>
        </w:rPr>
        <w:t>少数股东分担的子公司的亏损超过了少数股东在该子公司期初所有者权益中所享有的份额，其余额仍冲减少数股东权</w:t>
      </w:r>
    </w:p>
    <w:p>
      <w:pPr>
        <w:pStyle w:val="BodyText"/>
        <w:spacing w:line="240" w:lineRule="auto" w:before="31"/>
        <w:ind w:right="0"/>
        <w:jc w:val="both"/>
      </w:pPr>
      <w:r>
        <w:rPr/>
        <w:t>益。</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bookmarkStart w:name="7、现金及现金等价物的确定标准" w:id="175"/>
      <w:bookmarkEnd w:id="175"/>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380"/>
        <w:jc w:val="both"/>
      </w:pPr>
      <w:r>
        <w:rPr/>
        <w:t>现金是指库存现金以及可以随时用于支付的存款。现金等价物是指本集团持有的期限短、流动性强、易于转换为已知</w:t>
      </w:r>
      <w:r>
        <w:rPr>
          <w:spacing w:val="1"/>
        </w:rPr>
        <w:t> </w:t>
      </w:r>
      <w:r>
        <w:rPr/>
        <w:t>金额现金、价值变动风险很小的投资。</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bookmarkStart w:name="8、外币业务和外币报表折算" w:id="176"/>
      <w:bookmarkEnd w:id="176"/>
      <w:r>
        <w:rPr>
          <w:b w:val="0"/>
          <w:bCs w:val="0"/>
        </w:rPr>
      </w:r>
      <w:r>
        <w:rPr>
          <w:rFonts w:ascii="Times New Roman" w:hAnsi="Times New Roman" w:cs="Times New Roman" w:eastAsia="Times New Roman" w:hint="default"/>
        </w:rPr>
        <w:t>8</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4" w:right="4692" w:firstLine="6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8.1</w:t>
      </w:r>
      <w:r>
        <w:rPr>
          <w:u w:val="single" w:color="000000"/>
        </w:rPr>
        <w:t>外币业务</w:t>
      </w:r>
      <w:r>
        <w:rPr/>
      </w:r>
      <w:r>
        <w:rPr/>
        <w:t> 外币交易在初始确认时采用与交易发生日的即期汇率近似的汇率折算。</w:t>
      </w:r>
    </w:p>
    <w:p>
      <w:pPr>
        <w:pStyle w:val="BodyText"/>
        <w:spacing w:line="319" w:lineRule="auto" w:before="31"/>
        <w:ind w:right="1130" w:firstLine="480"/>
        <w:jc w:val="both"/>
      </w:pPr>
      <w:r>
        <w:rPr>
          <w:spacing w:val="-1"/>
        </w:rPr>
        <w:t>于资产负债表日，外币货币性项目采用该日即期汇率折算为人民币，因该日的即期汇率与初始确认时或者前一资产负</w:t>
      </w:r>
      <w:r>
        <w:rPr/>
        <w:t> 债表日即期汇率不同而产生的汇兑差额，均计入当期损益。</w:t>
      </w:r>
    </w:p>
    <w:p>
      <w:pPr>
        <w:pStyle w:val="BodyText"/>
        <w:spacing w:line="316" w:lineRule="auto" w:before="17"/>
        <w:ind w:right="1133" w:firstLine="480"/>
        <w:jc w:val="both"/>
      </w:pPr>
      <w:r>
        <w:rPr>
          <w:spacing w:val="-1"/>
        </w:rPr>
        <w:t>以历史成本计量的外币非货币性项目仍以交易发生日的即期汇率折算的记账本位币金额计量。以公允价值计量的外币</w:t>
      </w:r>
      <w:r>
        <w:rPr/>
        <w:t> </w:t>
      </w:r>
      <w:r>
        <w:rPr>
          <w:spacing w:val="-2"/>
        </w:rPr>
        <w:t>非货币性项目，采用公允价值确定日的即期汇率折算，折算后的记账本位币金额与原记账本位币金额的差额，作为公允价值</w:t>
      </w:r>
      <w:r>
        <w:rPr>
          <w:spacing w:val="-66"/>
        </w:rPr>
        <w:t> </w:t>
      </w:r>
      <w:r>
        <w:rPr>
          <w:spacing w:val="-66"/>
        </w:rPr>
      </w:r>
      <w:r>
        <w:rPr/>
        <w:t>变动</w:t>
      </w:r>
      <w:r>
        <w:rPr>
          <w:rFonts w:ascii="Times New Roman" w:hAnsi="Times New Roman" w:cs="Times New Roman" w:eastAsia="Times New Roman" w:hint="default"/>
        </w:rPr>
        <w:t>(</w:t>
      </w:r>
      <w:r>
        <w:rPr/>
        <w:t>含汇率变动</w:t>
      </w:r>
      <w:r>
        <w:rPr>
          <w:rFonts w:ascii="Times New Roman" w:hAnsi="Times New Roman" w:cs="Times New Roman" w:eastAsia="Times New Roman" w:hint="default"/>
        </w:rPr>
        <w:t>)</w:t>
      </w:r>
      <w:r>
        <w:rPr/>
        <w:t>处理，计入当期损益或确认为其他综合收益。</w:t>
      </w:r>
    </w:p>
    <w:p>
      <w:pPr>
        <w:pStyle w:val="BodyText"/>
        <w:spacing w:line="300" w:lineRule="auto"/>
        <w:ind w:left="634" w:right="0" w:firstLine="6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8.2</w:t>
      </w:r>
      <w:r>
        <w:rPr>
          <w:u w:val="single" w:color="000000"/>
        </w:rPr>
        <w:t>外币财务报表折算</w:t>
      </w:r>
      <w:r>
        <w:rPr/>
      </w:r>
      <w:r>
        <w:rPr/>
        <w:t> </w:t>
      </w:r>
      <w:r>
        <w:rPr>
          <w:spacing w:val="-1"/>
        </w:rPr>
        <w:t>为编制合并财务报表，境外经营的外币财务报表按以下方法折算为人民币报表：资产负债表中的所有资产、负债类项</w:t>
      </w:r>
    </w:p>
    <w:p>
      <w:pPr>
        <w:pStyle w:val="BodyText"/>
        <w:spacing w:line="312" w:lineRule="auto" w:before="31"/>
        <w:ind w:right="1131"/>
        <w:jc w:val="both"/>
      </w:pPr>
      <w:r>
        <w:rPr>
          <w:spacing w:val="-2"/>
        </w:rPr>
        <w:t>目按资产负债表日的即期汇率折算；除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项目外的股东权益项目按发生时的即期汇率折算；利润表中的所有项目</w:t>
      </w:r>
      <w:r>
        <w:rPr>
          <w:spacing w:val="-44"/>
        </w:rPr>
        <w:t> </w:t>
      </w:r>
      <w:r>
        <w:rPr>
          <w:spacing w:val="-44"/>
        </w:rPr>
      </w:r>
      <w:r>
        <w:rPr/>
        <w:t>及反映利润分配发生额的项目按与交易发生日即期汇率近似的汇率折算；年初未分配利润为上一年折算后的年末未分配利</w:t>
      </w:r>
      <w:r>
        <w:rPr>
          <w:spacing w:val="-9"/>
        </w:rPr>
        <w:t> </w:t>
      </w:r>
      <w:r>
        <w:rPr>
          <w:spacing w:val="-9"/>
        </w:rPr>
      </w:r>
      <w:r>
        <w:rPr>
          <w:spacing w:val="-2"/>
        </w:rPr>
        <w:t>润；年末未分配利润按折算后的利润分配各项目计算列示；折算后资产类项目与负债类项目和股东权益类项目合计数的差额</w:t>
      </w:r>
      <w:r>
        <w:rPr>
          <w:spacing w:val="-64"/>
        </w:rPr>
        <w:t> </w:t>
      </w:r>
      <w:r>
        <w:rPr>
          <w:spacing w:val="-64"/>
        </w:rPr>
      </w:r>
      <w:r>
        <w:rPr/>
        <w:t>确认为其他综合收益并计入股东权益。</w:t>
      </w:r>
    </w:p>
    <w:p>
      <w:pPr>
        <w:pStyle w:val="BodyText"/>
        <w:spacing w:line="316" w:lineRule="auto" w:before="22"/>
        <w:ind w:right="1133" w:firstLine="480"/>
        <w:jc w:val="both"/>
      </w:pPr>
      <w:r>
        <w:rPr>
          <w:spacing w:val="-1"/>
        </w:rPr>
        <w:t>外币现金流量以及境外子公司的现金流量，采用与现金流量发生日即期汇率近似的汇率折算，汇率变动对现金及现金</w:t>
      </w:r>
      <w:r>
        <w:rPr/>
        <w:t> 等价物的影响额，作为调节项目，在现金流量表中以</w:t>
      </w:r>
      <w:r>
        <w:rPr>
          <w:rFonts w:ascii="Times New Roman" w:hAnsi="Times New Roman" w:cs="Times New Roman" w:eastAsia="Times New Roman" w:hint="default"/>
        </w:rPr>
        <w:t>“</w:t>
      </w:r>
      <w:r>
        <w:rPr/>
        <w:t>汇率变动对现金及现金等价物的影响</w:t>
      </w:r>
      <w:r>
        <w:rPr>
          <w:rFonts w:ascii="Times New Roman" w:hAnsi="Times New Roman" w:cs="Times New Roman" w:eastAsia="Times New Roman" w:hint="default"/>
        </w:rPr>
        <w:t>”</w:t>
      </w:r>
      <w:r>
        <w:rPr/>
        <w:t>单独列示。</w:t>
      </w:r>
    </w:p>
    <w:p>
      <w:pPr>
        <w:pStyle w:val="BodyText"/>
        <w:spacing w:line="316" w:lineRule="auto"/>
        <w:ind w:left="634" w:right="0"/>
        <w:jc w:val="left"/>
      </w:pPr>
      <w:r>
        <w:rPr/>
        <w:t>年初数和上年实际数按照上年财务报表折算后的数额列示。 </w:t>
      </w:r>
      <w:r>
        <w:rPr>
          <w:spacing w:val="-1"/>
        </w:rPr>
        <w:t>在处置本集团在境外经营的全部所有者权益或因处置部分股权投资或其他原因丧失了对境外经营控制权时，将资产负</w:t>
      </w:r>
    </w:p>
    <w:p>
      <w:pPr>
        <w:pStyle w:val="BodyText"/>
        <w:spacing w:line="240" w:lineRule="auto" w:before="19"/>
        <w:ind w:right="0"/>
        <w:jc w:val="both"/>
      </w:pPr>
      <w:r>
        <w:rPr/>
        <w:t>债表中股东权益项目下列示的</w:t>
      </w:r>
      <w:r>
        <w:rPr>
          <w:spacing w:val="-87"/>
        </w:rPr>
        <w:t>、</w:t>
      </w:r>
      <w:r>
        <w:rPr/>
        <w:t>与该境外经营相关的归属于母公司所有者权益的外币报表折算差额</w:t>
      </w:r>
      <w:r>
        <w:rPr>
          <w:spacing w:val="-87"/>
        </w:rPr>
        <w:t>，</w:t>
      </w:r>
      <w:r>
        <w:rPr/>
        <w:t>全部转入处置当期损益。</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bookmarkStart w:name="9、金融工具" w:id="177"/>
      <w:bookmarkEnd w:id="177"/>
      <w:r>
        <w:rPr>
          <w:b w:val="0"/>
          <w:bCs w:val="0"/>
        </w:rPr>
      </w: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80"/>
        <w:jc w:val="both"/>
      </w:pPr>
      <w:r>
        <w:rPr>
          <w:spacing w:val="-1"/>
        </w:rPr>
        <w:t>在本集团成为金融工具合同的一方时确认一项金融资产或金融负债。金融资产和金融负债在初始确认时以公允价值计</w:t>
      </w:r>
      <w:r>
        <w:rPr/>
        <w:t>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16" w:lineRule="auto" w:before="19"/>
        <w:ind w:right="1133" w:firstLine="480"/>
        <w:jc w:val="both"/>
      </w:pPr>
      <w:r>
        <w:rPr>
          <w:spacing w:val="-1"/>
        </w:rPr>
        <w:t>对于以常规方式购买或出售金融资产的，在交易日确认将收到的资产和为此将承担的负债，或者在交易日终止确认已</w:t>
      </w:r>
      <w:r>
        <w:rPr/>
        <w:t> 出售的资产。</w:t>
      </w:r>
    </w:p>
    <w:p>
      <w:pPr>
        <w:spacing w:after="0" w:line="316"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634" w:right="1272" w:firstLine="60"/>
        <w:jc w:val="left"/>
      </w:pPr>
      <w:r>
        <w:rPr/>
        <w:pict>
          <v:group style="position:absolute;margin-left:83.720001pt;margin-top:14.331723pt;width:58.5pt;height:.1pt;mso-position-horizontal-relative:page;mso-position-vertical-relative:paragraph;z-index:-1003624" coordorigin="1674,287" coordsize="1170,2">
            <v:shape style="position:absolute;left:1674;top:287;width:1170;height:2" coordorigin="1674,287" coordsize="1170,0" path="m1674,287l2844,287e" filled="false" stroked="true" strokeweight=".48pt" strokecolor="#000000">
              <v:path arrowok="t"/>
            </v:shape>
            <w10:wrap type="none"/>
          </v:group>
        </w:pict>
      </w:r>
      <w:r>
        <w:rPr>
          <w:rFonts w:ascii="宋体" w:hAnsi="宋体" w:cs="宋体" w:eastAsia="宋体" w:hint="default"/>
        </w:rPr>
        <w:t>9.1</w:t>
      </w:r>
      <w:r>
        <w:rPr/>
        <w:t>实际利率法 实际利率法是指按照金融资产或金融负债</w:t>
      </w:r>
      <w:r>
        <w:rPr>
          <w:rFonts w:ascii="宋体" w:hAnsi="宋体" w:cs="宋体" w:eastAsia="宋体" w:hint="default"/>
        </w:rPr>
        <w:t>(</w:t>
      </w:r>
      <w:r>
        <w:rPr/>
        <w:t>含一组金融资产或金融负债</w:t>
      </w:r>
      <w:r>
        <w:rPr>
          <w:rFonts w:ascii="宋体" w:hAnsi="宋体" w:cs="宋体" w:eastAsia="宋体" w:hint="default"/>
        </w:rPr>
        <w:t>)</w:t>
      </w:r>
      <w:r>
        <w:rPr/>
        <w:t>的实际利率计算其摊余成本及各期利息收入</w:t>
      </w:r>
    </w:p>
    <w:p>
      <w:pPr>
        <w:pStyle w:val="BodyText"/>
        <w:spacing w:line="316" w:lineRule="auto" w:before="19"/>
        <w:ind w:right="0"/>
        <w:jc w:val="left"/>
      </w:pPr>
      <w:r>
        <w:rPr>
          <w:spacing w:val="-2"/>
        </w:rPr>
        <w:t>或支出的方法。实际利率是指将金融资产或金融负债在预期存续期间或适用的更短期间内的未来现金流量，折现为该金融资</w:t>
      </w:r>
      <w:r>
        <w:rPr>
          <w:spacing w:val="-64"/>
        </w:rPr>
        <w:t> </w:t>
      </w:r>
      <w:r>
        <w:rPr>
          <w:spacing w:val="-64"/>
        </w:rPr>
      </w:r>
      <w:r>
        <w:rPr/>
        <w:t>产或金融负债当前账面价值所使用的利率。</w:t>
      </w:r>
    </w:p>
    <w:p>
      <w:pPr>
        <w:pStyle w:val="BodyText"/>
        <w:spacing w:line="316" w:lineRule="auto" w:before="19"/>
        <w:ind w:right="1140" w:firstLine="480"/>
        <w:jc w:val="both"/>
      </w:pPr>
      <w:r>
        <w:rPr/>
        <w:t>在计算实际利率时，本集团在考虑金融资产或金融负债所有合同条款的基础上预计未来现金流量</w:t>
      </w:r>
      <w:r>
        <w:rPr>
          <w:rFonts w:ascii="宋体" w:hAnsi="宋体" w:cs="宋体" w:eastAsia="宋体" w:hint="default"/>
        </w:rPr>
        <w:t>(</w:t>
      </w:r>
      <w:r>
        <w:rPr/>
        <w:t>不考虑未来的信用 损失</w:t>
      </w:r>
      <w:r>
        <w:rPr>
          <w:rFonts w:ascii="宋体" w:hAnsi="宋体" w:cs="宋体" w:eastAsia="宋体" w:hint="default"/>
        </w:rPr>
        <w:t>)</w:t>
      </w:r>
      <w:r>
        <w:rPr/>
        <w:t>，同时还考虑金融资产或金融负债合同各方之间支付或收取的、属于实际利率组成部分的各项收费、交易费用及折价 或溢价等。</w:t>
      </w:r>
    </w:p>
    <w:p>
      <w:pPr>
        <w:pStyle w:val="BodyText"/>
        <w:spacing w:line="316" w:lineRule="auto" w:before="19"/>
        <w:ind w:left="634" w:right="0" w:firstLine="60"/>
        <w:jc w:val="left"/>
      </w:pPr>
      <w:r>
        <w:rPr>
          <w:rFonts w:ascii="宋体" w:hAnsi="宋体" w:cs="宋体" w:eastAsia="宋体" w:hint="default"/>
        </w:rPr>
      </w:r>
      <w:r>
        <w:rPr>
          <w:rFonts w:ascii="宋体" w:hAnsi="宋体" w:cs="宋体" w:eastAsia="宋体" w:hint="default"/>
          <w:u w:val="single" w:color="000000"/>
        </w:rPr>
        <w:t>9.2</w:t>
      </w:r>
      <w:r>
        <w:rPr>
          <w:u w:val="single" w:color="000000"/>
        </w:rPr>
        <w:t>金融资产的分类、确认和计量</w:t>
      </w:r>
      <w:r>
        <w:rPr/>
      </w:r>
      <w:r>
        <w:rPr/>
        <w:t> </w:t>
      </w:r>
      <w:r>
        <w:rPr>
          <w:spacing w:val="-1"/>
        </w:rPr>
        <w:t>金融资产在初始确认时划分为以公允价值计量且其变动计入当期损益的金融资产、持有至到期投资、贷款和应收款项</w:t>
      </w:r>
    </w:p>
    <w:p>
      <w:pPr>
        <w:pStyle w:val="BodyText"/>
        <w:spacing w:line="316" w:lineRule="auto" w:before="19"/>
        <w:ind w:right="0"/>
        <w:jc w:val="left"/>
      </w:pPr>
      <w:r>
        <w:rPr>
          <w:spacing w:val="-2"/>
        </w:rPr>
        <w:t>以及可供出售金融资产。本集团金融资产主要为贷款和应收款项以及可供出售金融资产。以常规方式买卖金融资产，按交易</w:t>
      </w:r>
      <w:r>
        <w:rPr>
          <w:spacing w:val="-66"/>
        </w:rPr>
        <w:t> </w:t>
      </w:r>
      <w:r>
        <w:rPr>
          <w:spacing w:val="-66"/>
        </w:rPr>
      </w:r>
      <w:r>
        <w:rPr/>
        <w:t>日会计进行确认和终止确认。</w:t>
      </w:r>
    </w:p>
    <w:p>
      <w:pPr>
        <w:pStyle w:val="Heading6"/>
        <w:spacing w:line="240" w:lineRule="auto"/>
        <w:ind w:right="0"/>
        <w:jc w:val="left"/>
        <w:rPr>
          <w:i w:val="0"/>
        </w:rPr>
      </w:pPr>
      <w:r>
        <w:rPr>
          <w:rFonts w:ascii="宋体" w:hAnsi="宋体" w:cs="宋体" w:eastAsia="宋体" w:hint="default"/>
          <w:w w:val="94"/>
        </w:rPr>
      </w:r>
      <w:r>
        <w:rPr>
          <w:rFonts w:ascii="宋体" w:hAnsi="宋体" w:cs="宋体" w:eastAsia="宋体" w:hint="default"/>
          <w:u w:val="single" w:color="000000"/>
        </w:rPr>
        <w:t>9.2.1</w:t>
      </w:r>
      <w:r>
        <w:rPr>
          <w:u w:val="single" w:color="000000"/>
        </w:rPr>
        <w:t>贷款和应收款项</w:t>
      </w:r>
      <w:r>
        <w:rPr/>
      </w:r>
      <w:r>
        <w:rPr>
          <w:i w:val="0"/>
        </w:rPr>
      </w:r>
    </w:p>
    <w:p>
      <w:pPr>
        <w:pStyle w:val="BodyText"/>
        <w:spacing w:line="316" w:lineRule="auto" w:before="75"/>
        <w:ind w:right="1130" w:firstLine="480"/>
        <w:jc w:val="both"/>
      </w:pPr>
      <w:r>
        <w:rPr>
          <w:spacing w:val="-1"/>
        </w:rPr>
        <w:t>贷款和应收款项是指在活跃市场中没有报价、回收金额固定或可确定的非衍生金融资产。本集团划分为贷款和应收款</w:t>
      </w:r>
      <w:r>
        <w:rPr/>
        <w:t> 项的金融资产包括货币资金、应收票据及应收账款、其他应收款及其他流动资产中的理财产品等。</w:t>
      </w:r>
    </w:p>
    <w:p>
      <w:pPr>
        <w:pStyle w:val="BodyText"/>
        <w:spacing w:line="316" w:lineRule="auto" w:before="19"/>
        <w:ind w:right="1133" w:firstLine="480"/>
        <w:jc w:val="both"/>
      </w:pPr>
      <w:r>
        <w:rPr>
          <w:spacing w:val="-1"/>
        </w:rPr>
        <w:t>贷款和应收款项采用实际利率法，按摊余成本进行后续计量，在终止确认、发生减值或摊销时产生的利得或损失，计</w:t>
      </w:r>
      <w:r>
        <w:rPr/>
        <w:t> 入当期损益。</w:t>
      </w:r>
    </w:p>
    <w:p>
      <w:pPr>
        <w:pStyle w:val="Heading6"/>
        <w:spacing w:line="240" w:lineRule="auto"/>
        <w:ind w:right="0"/>
        <w:jc w:val="left"/>
        <w:rPr>
          <w:i w:val="0"/>
        </w:rPr>
      </w:pPr>
      <w:r>
        <w:rPr>
          <w:rFonts w:ascii="宋体" w:hAnsi="宋体" w:cs="宋体" w:eastAsia="宋体" w:hint="default"/>
          <w:w w:val="94"/>
        </w:rPr>
      </w:r>
      <w:r>
        <w:rPr>
          <w:rFonts w:ascii="宋体" w:hAnsi="宋体" w:cs="宋体" w:eastAsia="宋体" w:hint="default"/>
          <w:u w:val="single" w:color="000000"/>
        </w:rPr>
        <w:t>9.2.2</w:t>
      </w:r>
      <w:r>
        <w:rPr>
          <w:u w:val="single" w:color="000000"/>
        </w:rPr>
        <w:t>可供出售金融资产</w:t>
      </w:r>
      <w:r>
        <w:rPr/>
      </w:r>
      <w:r>
        <w:rPr>
          <w:i w:val="0"/>
        </w:rPr>
      </w:r>
    </w:p>
    <w:p>
      <w:pPr>
        <w:pStyle w:val="BodyText"/>
        <w:spacing w:line="316" w:lineRule="auto" w:before="75"/>
        <w:ind w:right="1133" w:firstLine="480"/>
        <w:jc w:val="both"/>
      </w:pPr>
      <w:r>
        <w:rPr>
          <w:spacing w:val="-1"/>
        </w:rPr>
        <w:t>可供出售金融资产包括初始确认时即被指定为可供出售的非衍生金融资产，以及除了以公允价值计量且其变动计入当</w:t>
      </w:r>
      <w:r>
        <w:rPr/>
        <w:t> 期损益的金融资产、贷款和应收款项、持有至到期投资以外的金融资产。</w:t>
      </w:r>
    </w:p>
    <w:p>
      <w:pPr>
        <w:pStyle w:val="BodyText"/>
        <w:spacing w:line="316" w:lineRule="auto" w:before="19"/>
        <w:ind w:right="1133" w:firstLine="480"/>
        <w:jc w:val="both"/>
      </w:pPr>
      <w:r>
        <w:rPr>
          <w:spacing w:val="-1"/>
        </w:rPr>
        <w:t>可供出售金融资产采用公允价值进行后续计量，公允价值变动形成的利得或损失，除减值损失和外币货币性金融资产</w:t>
      </w:r>
      <w:r>
        <w:rPr/>
        <w:t> 与摊余成本相关的汇兑差额计入当期损益外，确认为其他综合收益，在该金融资产终止确认时转出，计入当期损益。</w:t>
      </w:r>
    </w:p>
    <w:p>
      <w:pPr>
        <w:pStyle w:val="BodyText"/>
        <w:spacing w:line="319" w:lineRule="auto" w:before="19"/>
        <w:ind w:left="634" w:right="3072"/>
        <w:jc w:val="left"/>
      </w:pPr>
      <w:r>
        <w:rPr/>
        <w:t>可供出售金融资产持有期间取得的利息及被投资单位宣告发放的现金股利，计入投资收益。 在活跃市场中没有报价且其公允价值不能可靠计量的权益工具投资，按照成本计量。 </w:t>
      </w:r>
      <w:r>
        <w:rPr>
          <w:rFonts w:ascii="宋体" w:hAnsi="宋体" w:cs="宋体" w:eastAsia="宋体" w:hint="default"/>
        </w:rPr>
      </w:r>
      <w:r>
        <w:rPr>
          <w:rFonts w:ascii="宋体" w:hAnsi="宋体" w:cs="宋体" w:eastAsia="宋体" w:hint="default"/>
          <w:u w:val="single" w:color="000000"/>
        </w:rPr>
        <w:t>9.3</w:t>
      </w:r>
      <w:r>
        <w:rPr>
          <w:u w:val="single" w:color="000000"/>
        </w:rPr>
        <w:t>金融资产减值</w:t>
      </w:r>
      <w:r>
        <w:rPr/>
      </w:r>
    </w:p>
    <w:p>
      <w:pPr>
        <w:pStyle w:val="BodyText"/>
        <w:spacing w:line="316" w:lineRule="auto" w:before="17"/>
        <w:ind w:right="1110" w:firstLine="480"/>
        <w:jc w:val="both"/>
      </w:pPr>
      <w:r>
        <w:rPr/>
        <w:t>本集团在每个资产负债表日对金融资产的账面价值进行检查，有客观证据表明金融资产发生减值的，计提减值准备。 </w:t>
      </w:r>
      <w:r>
        <w:rPr>
          <w:spacing w:val="-2"/>
        </w:rPr>
        <w:t>表明金融资产减值的客观证据是指金融资产初始确认后实际发生的、对该金融资产的预计未来现金流量有影响，且企业能够</w:t>
      </w:r>
      <w:r>
        <w:rPr>
          <w:spacing w:val="-64"/>
        </w:rPr>
        <w:t> </w:t>
      </w:r>
      <w:r>
        <w:rPr>
          <w:spacing w:val="-64"/>
        </w:rPr>
      </w:r>
      <w:r>
        <w:rPr/>
        <w:t>对该影响进行可靠计量的事项。</w:t>
      </w:r>
    </w:p>
    <w:p>
      <w:pPr>
        <w:pStyle w:val="BodyText"/>
        <w:spacing w:line="316" w:lineRule="auto" w:before="19"/>
        <w:ind w:left="514" w:right="5712" w:hanging="360"/>
        <w:jc w:val="left"/>
      </w:pPr>
      <w:r>
        <w:rPr/>
        <w:t>金融资产发生减值的客观证据，包括下列可观察到的各项事项： </w:t>
      </w:r>
      <w:r>
        <w:rPr>
          <w:rFonts w:ascii="宋体" w:hAnsi="宋体" w:cs="宋体" w:eastAsia="宋体" w:hint="default"/>
        </w:rPr>
        <w:t>1.</w:t>
      </w:r>
      <w:r>
        <w:rPr/>
        <w:t>发行方或债务人发生严重财务困难；</w:t>
      </w:r>
    </w:p>
    <w:p>
      <w:pPr>
        <w:pStyle w:val="BodyText"/>
        <w:spacing w:line="240" w:lineRule="auto" w:before="19"/>
        <w:ind w:left="514" w:right="0"/>
        <w:jc w:val="left"/>
      </w:pPr>
      <w:r>
        <w:rPr>
          <w:rFonts w:ascii="宋体" w:hAnsi="宋体" w:cs="宋体" w:eastAsia="宋体" w:hint="default"/>
        </w:rPr>
        <w:t>2.</w:t>
      </w:r>
      <w:r>
        <w:rPr/>
        <w:t>债务人违反了合同条款，如偿付利息或本金发生违约或逾期等；</w:t>
      </w:r>
    </w:p>
    <w:p>
      <w:pPr>
        <w:pStyle w:val="BodyText"/>
        <w:spacing w:line="240" w:lineRule="auto" w:before="76"/>
        <w:ind w:left="514" w:right="0"/>
        <w:jc w:val="left"/>
      </w:pPr>
      <w:r>
        <w:rPr>
          <w:rFonts w:ascii="宋体" w:hAnsi="宋体" w:cs="宋体" w:eastAsia="宋体" w:hint="default"/>
        </w:rPr>
        <w:t>3.</w:t>
      </w:r>
      <w:r>
        <w:rPr/>
        <w:t>本集团出于经济或法律等方面因素的考虑，对发生财务困难的债务人作出让步；</w:t>
      </w:r>
    </w:p>
    <w:p>
      <w:pPr>
        <w:pStyle w:val="BodyText"/>
        <w:spacing w:line="240" w:lineRule="auto" w:before="76"/>
        <w:ind w:left="514" w:right="0"/>
        <w:jc w:val="left"/>
      </w:pPr>
      <w:r>
        <w:rPr>
          <w:rFonts w:ascii="宋体" w:hAnsi="宋体" w:cs="宋体" w:eastAsia="宋体" w:hint="default"/>
        </w:rPr>
        <w:t>4.</w:t>
      </w:r>
      <w:r>
        <w:rPr/>
        <w:t>债务人很可能倒闭或者进行其他财务重组；</w:t>
      </w:r>
    </w:p>
    <w:p>
      <w:pPr>
        <w:pStyle w:val="BodyText"/>
        <w:spacing w:line="240" w:lineRule="auto" w:before="76"/>
        <w:ind w:left="514" w:right="0"/>
        <w:jc w:val="left"/>
      </w:pPr>
      <w:r>
        <w:rPr>
          <w:rFonts w:ascii="宋体" w:hAnsi="宋体" w:cs="宋体" w:eastAsia="宋体" w:hint="default"/>
        </w:rPr>
        <w:t>5.</w:t>
      </w:r>
      <w:r>
        <w:rPr/>
        <w:t>因发行方发生重大财务困难，导致金融资产无法在活跃市场继续交易；</w:t>
      </w:r>
    </w:p>
    <w:p>
      <w:pPr>
        <w:pStyle w:val="BodyText"/>
        <w:spacing w:line="316" w:lineRule="auto" w:before="76"/>
        <w:ind w:right="0" w:firstLine="360"/>
        <w:jc w:val="left"/>
      </w:pPr>
      <w:r>
        <w:rPr>
          <w:rFonts w:ascii="宋体" w:hAnsi="宋体" w:cs="宋体" w:eastAsia="宋体" w:hint="default"/>
          <w:spacing w:val="-2"/>
        </w:rPr>
        <w:t>6.</w:t>
      </w:r>
      <w:r>
        <w:rPr>
          <w:spacing w:val="-2"/>
        </w:rPr>
        <w:t>无法辨认一组金融资产中的某项资产的现金流量是否已经减少，但根据公开的数据对其进行总体评价后发现，该组金</w:t>
      </w:r>
      <w:r>
        <w:rPr/>
        <w:t> 融资产自初始确认以来的预计未来现金流量确已减少且可计量，包括：</w:t>
      </w:r>
    </w:p>
    <w:p>
      <w:pPr>
        <w:pStyle w:val="BodyText"/>
        <w:tabs>
          <w:tab w:pos="573" w:val="left" w:leader="none"/>
        </w:tabs>
        <w:spacing w:line="240" w:lineRule="auto" w:before="19"/>
        <w:ind w:right="0"/>
        <w:jc w:val="left"/>
      </w:pPr>
      <w:r>
        <w:rPr>
          <w:rFonts w:ascii="宋体" w:hAnsi="宋体" w:cs="宋体" w:eastAsia="宋体" w:hint="default"/>
        </w:rPr>
        <w:t>-</w:t>
        <w:tab/>
      </w:r>
      <w:r>
        <w:rPr/>
        <w:t>该组金融资产的债务人支付能力逐步恶化；</w:t>
      </w:r>
    </w:p>
    <w:p>
      <w:pPr>
        <w:pStyle w:val="BodyText"/>
        <w:tabs>
          <w:tab w:pos="573" w:val="left" w:leader="none"/>
        </w:tabs>
        <w:spacing w:line="316" w:lineRule="auto" w:before="76"/>
        <w:ind w:left="514" w:right="1132" w:hanging="360"/>
        <w:jc w:val="left"/>
      </w:pPr>
      <w:r>
        <w:rPr>
          <w:rFonts w:ascii="宋体" w:hAnsi="宋体" w:cs="宋体" w:eastAsia="宋体" w:hint="default"/>
        </w:rPr>
        <w:t>-</w:t>
        <w:tab/>
        <w:tab/>
      </w:r>
      <w:r>
        <w:rPr/>
        <w:t>债务人所在国家或地区经济出现了可能导致该组金融资产无法支付的状况； </w:t>
      </w:r>
      <w:r>
        <w:rPr>
          <w:rFonts w:ascii="宋体" w:hAnsi="宋体" w:cs="宋体" w:eastAsia="宋体" w:hint="default"/>
          <w:spacing w:val="-2"/>
        </w:rPr>
        <w:t>7.</w:t>
      </w:r>
      <w:r>
        <w:rPr>
          <w:spacing w:val="-2"/>
        </w:rPr>
        <w:t>权益工具发行人经营所处的技术、市场、经济或法律环境等发生重大不利变化，使权益工具投资人可能无法收回投资</w:t>
      </w:r>
    </w:p>
    <w:p>
      <w:pPr>
        <w:pStyle w:val="BodyText"/>
        <w:spacing w:line="240" w:lineRule="auto" w:before="19"/>
        <w:ind w:right="0"/>
        <w:jc w:val="left"/>
      </w:pPr>
      <w:r>
        <w:rPr/>
        <w:t>成本；</w:t>
      </w:r>
    </w:p>
    <w:p>
      <w:pPr>
        <w:pStyle w:val="BodyText"/>
        <w:spacing w:line="240" w:lineRule="auto" w:before="76"/>
        <w:ind w:left="514" w:right="0"/>
        <w:jc w:val="left"/>
      </w:pPr>
      <w:r>
        <w:rPr>
          <w:rFonts w:ascii="宋体" w:hAnsi="宋体" w:cs="宋体" w:eastAsia="宋体" w:hint="default"/>
        </w:rPr>
        <w:t>8.</w:t>
      </w:r>
      <w:r>
        <w:rPr/>
        <w:t>权益工具投资的公允价值发生严重或非暂时性下跌。</w:t>
      </w:r>
    </w:p>
    <w:p>
      <w:pPr>
        <w:pStyle w:val="BodyText"/>
        <w:spacing w:line="240" w:lineRule="auto" w:before="77"/>
        <w:ind w:left="514" w:right="0"/>
        <w:jc w:val="left"/>
      </w:pPr>
      <w:r>
        <w:rPr>
          <w:rFonts w:ascii="宋体" w:hAnsi="宋体" w:cs="宋体" w:eastAsia="宋体" w:hint="default"/>
        </w:rPr>
        <w:t>9.</w:t>
      </w:r>
      <w:r>
        <w:rPr/>
        <w:t>其他表明金融资产发生减值的客观的证据。</w:t>
      </w:r>
    </w:p>
    <w:p>
      <w:pPr>
        <w:pStyle w:val="BodyText"/>
        <w:spacing w:line="316" w:lineRule="auto" w:before="76"/>
        <w:ind w:left="634" w:right="0" w:hanging="480"/>
        <w:jc w:val="left"/>
      </w:pPr>
      <w:r>
        <w:rPr>
          <w:rFonts w:ascii="宋体" w:hAnsi="宋体" w:cs="宋体" w:eastAsia="宋体" w:hint="default"/>
        </w:rPr>
        <w:t>- </w:t>
      </w:r>
      <w:r>
        <w:rPr/>
        <w:t>以摊余成本计量的金融资产减值 </w:t>
      </w:r>
      <w:r>
        <w:rPr>
          <w:spacing w:val="-1"/>
        </w:rPr>
        <w:t>以摊余成本计量的金融资产发生减值时，将其账面价值减记至按照该金融资产的原实际利率折现确定的预计未来现金</w:t>
      </w:r>
    </w:p>
    <w:p>
      <w:pPr>
        <w:pStyle w:val="BodyText"/>
        <w:spacing w:line="240" w:lineRule="auto" w:before="19"/>
        <w:ind w:right="0"/>
        <w:jc w:val="left"/>
      </w:pPr>
      <w:r>
        <w:rPr/>
        <w:t>流量</w:t>
      </w:r>
      <w:r>
        <w:rPr>
          <w:rFonts w:ascii="宋体" w:hAnsi="宋体" w:cs="宋体" w:eastAsia="宋体" w:hint="default"/>
        </w:rPr>
        <w:t>(</w:t>
      </w:r>
      <w:r>
        <w:rPr/>
        <w:t>不包括尚未发生的未来信用损失</w:t>
      </w:r>
      <w:r>
        <w:rPr>
          <w:rFonts w:ascii="宋体" w:hAnsi="宋体" w:cs="宋体" w:eastAsia="宋体" w:hint="default"/>
        </w:rPr>
        <w:t>)</w:t>
      </w:r>
      <w:r>
        <w:rPr/>
        <w:t>现值，减记金额确认为减值损失，计入当期损益。金融资产确认减值损失后，如有客</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33"/>
        <w:jc w:val="both"/>
      </w:pPr>
      <w:r>
        <w:rPr>
          <w:spacing w:val="-2"/>
        </w:rPr>
        <w:t>观证据表明该金融资产价值已恢复，且客观上与确认该损失后发生的事项有关，原确认的减值损失予以转回，但金融资产转</w:t>
      </w:r>
      <w:r>
        <w:rPr>
          <w:spacing w:val="-66"/>
        </w:rPr>
        <w:t> </w:t>
      </w:r>
      <w:r>
        <w:rPr>
          <w:spacing w:val="-66"/>
        </w:rPr>
      </w:r>
      <w:r>
        <w:rPr/>
        <w:t>回减值损失后的账面价值不超过假定不计提减值准备情况下该金融资产在转回日的摊余成本。</w:t>
      </w:r>
    </w:p>
    <w:p>
      <w:pPr>
        <w:pStyle w:val="BodyText"/>
        <w:spacing w:line="319" w:lineRule="auto" w:before="19"/>
        <w:ind w:right="1133" w:firstLine="480"/>
        <w:jc w:val="both"/>
      </w:pPr>
      <w:r>
        <w:rPr>
          <w:spacing w:val="-1"/>
        </w:rPr>
        <w:t>本集团对单项金额重大的金融资产单独进行减值测试；对单项金额不重大的金融资产，单独进行减值测试或包括在具</w:t>
      </w:r>
      <w:r>
        <w:rPr/>
        <w:t> 有类似信用风险特征的金融资产组合中进行减值测试。单独测试未发生减值的金融资产</w:t>
      </w:r>
      <w:r>
        <w:rPr>
          <w:rFonts w:ascii="宋体" w:hAnsi="宋体" w:cs="宋体" w:eastAsia="宋体" w:hint="default"/>
        </w:rPr>
        <w:t>(</w:t>
      </w:r>
      <w:r>
        <w:rPr/>
        <w:t>包括单项金额重大和不重大的金融 资产</w:t>
      </w:r>
      <w:r>
        <w:rPr>
          <w:rFonts w:ascii="宋体" w:hAnsi="宋体" w:cs="宋体" w:eastAsia="宋体" w:hint="default"/>
        </w:rPr>
        <w:t>)</w:t>
      </w:r>
      <w:r>
        <w:rPr/>
        <w:t>，包括在具有类似信用风险特征的金融资产组合中再进行减值测试。已单项确认减值损失的金融资产，不包括在具有 类似信用风险特征的金融资产组合中进行减值测试。</w:t>
      </w:r>
    </w:p>
    <w:p>
      <w:pPr>
        <w:pStyle w:val="BodyText"/>
        <w:spacing w:line="316" w:lineRule="auto" w:before="17"/>
        <w:ind w:left="634" w:right="0" w:hanging="480"/>
        <w:jc w:val="left"/>
      </w:pPr>
      <w:r>
        <w:rPr>
          <w:rFonts w:ascii="宋体" w:hAnsi="宋体" w:cs="宋体" w:eastAsia="宋体" w:hint="default"/>
        </w:rPr>
        <w:t>- </w:t>
      </w:r>
      <w:r>
        <w:rPr/>
        <w:t>可供出售金融资产减值 </w:t>
      </w:r>
      <w:r>
        <w:rPr>
          <w:spacing w:val="-1"/>
        </w:rPr>
        <w:t>本集团于资产负债表日对各项可供出售权益工具投资单独进行检查，若该权益工具投资于资产负债表日的公允价值低</w:t>
      </w:r>
    </w:p>
    <w:p>
      <w:pPr>
        <w:pStyle w:val="BodyText"/>
        <w:spacing w:line="316" w:lineRule="auto" w:before="19"/>
        <w:ind w:right="1131"/>
        <w:jc w:val="both"/>
      </w:pPr>
      <w:r>
        <w:rPr>
          <w:spacing w:val="-2"/>
        </w:rPr>
        <w:t>于其成本超过</w:t>
      </w:r>
      <w:r>
        <w:rPr>
          <w:rFonts w:ascii="宋体" w:hAnsi="宋体" w:cs="宋体" w:eastAsia="宋体" w:hint="default"/>
          <w:spacing w:val="-2"/>
        </w:rPr>
        <w:t>50%(</w:t>
      </w:r>
      <w:r>
        <w:rPr>
          <w:spacing w:val="-2"/>
        </w:rPr>
        <w:t>含</w:t>
      </w:r>
      <w:r>
        <w:rPr>
          <w:rFonts w:ascii="宋体" w:hAnsi="宋体" w:cs="宋体" w:eastAsia="宋体" w:hint="default"/>
          <w:spacing w:val="-2"/>
        </w:rPr>
        <w:t>50%)</w:t>
      </w:r>
      <w:r>
        <w:rPr>
          <w:spacing w:val="-2"/>
        </w:rPr>
        <w:t>或低于其成本持续时间超过一年</w:t>
      </w:r>
      <w:r>
        <w:rPr>
          <w:rFonts w:ascii="宋体" w:hAnsi="宋体" w:cs="宋体" w:eastAsia="宋体" w:hint="default"/>
          <w:spacing w:val="-2"/>
        </w:rPr>
        <w:t>(</w:t>
      </w:r>
      <w:r>
        <w:rPr>
          <w:spacing w:val="-2"/>
        </w:rPr>
        <w:t>含一年</w:t>
      </w:r>
      <w:r>
        <w:rPr>
          <w:rFonts w:ascii="宋体" w:hAnsi="宋体" w:cs="宋体" w:eastAsia="宋体" w:hint="default"/>
          <w:spacing w:val="-2"/>
        </w:rPr>
        <w:t>)</w:t>
      </w:r>
      <w:r>
        <w:rPr>
          <w:spacing w:val="-2"/>
        </w:rPr>
        <w:t>的，则表明其发生减值；若该权益工具投资于资产负债表</w:t>
      </w:r>
      <w:r>
        <w:rPr>
          <w:spacing w:val="-54"/>
        </w:rPr>
        <w:t> </w:t>
      </w:r>
      <w:r>
        <w:rPr>
          <w:spacing w:val="-54"/>
        </w:rPr>
      </w:r>
      <w:r>
        <w:rPr/>
        <w:t>日的公允价值低于其成本超过</w:t>
      </w:r>
      <w:r>
        <w:rPr>
          <w:rFonts w:ascii="宋体" w:hAnsi="宋体" w:cs="宋体" w:eastAsia="宋体" w:hint="default"/>
        </w:rPr>
        <w:t>20%(</w:t>
      </w:r>
      <w:r>
        <w:rPr/>
        <w:t>含</w:t>
      </w:r>
      <w:r>
        <w:rPr>
          <w:rFonts w:ascii="宋体" w:hAnsi="宋体" w:cs="宋体" w:eastAsia="宋体" w:hint="default"/>
        </w:rPr>
        <w:t>20%)</w:t>
      </w:r>
      <w:r>
        <w:rPr/>
        <w:t>但尚未达到</w:t>
      </w:r>
      <w:r>
        <w:rPr>
          <w:rFonts w:ascii="宋体" w:hAnsi="宋体" w:cs="宋体" w:eastAsia="宋体" w:hint="default"/>
        </w:rPr>
        <w:t>50%</w:t>
      </w:r>
      <w:r>
        <w:rPr/>
        <w:t>的，本集团会综合考虑其他相关因素诸如价格波动率等，判断该权 益工具投资是否发生减值。</w:t>
      </w:r>
    </w:p>
    <w:p>
      <w:pPr>
        <w:pStyle w:val="BodyText"/>
        <w:spacing w:line="316" w:lineRule="auto" w:before="19"/>
        <w:ind w:right="1133" w:firstLine="480"/>
        <w:jc w:val="both"/>
      </w:pPr>
      <w:r>
        <w:rPr>
          <w:spacing w:val="-1"/>
        </w:rPr>
        <w:t>可供出售金融资产发生减值时，将原直接计入其他综合收益的因公允价值下降形成的累计损失予以转出并计入当期损</w:t>
      </w:r>
      <w:r>
        <w:rPr/>
        <w:t> </w:t>
      </w:r>
      <w:r>
        <w:rPr>
          <w:spacing w:val="-2"/>
        </w:rPr>
        <w:t>益，该转出的累计损失为该资产初始取得成本扣除已收回本金和已摊销金额、当前公允价值和原已计入损益的减值损失后的</w:t>
      </w:r>
      <w:r>
        <w:rPr>
          <w:spacing w:val="-64"/>
        </w:rPr>
        <w:t> </w:t>
      </w:r>
      <w:r>
        <w:rPr>
          <w:spacing w:val="-64"/>
        </w:rPr>
      </w:r>
      <w:r>
        <w:rPr/>
        <w:t>余额。</w:t>
      </w:r>
    </w:p>
    <w:p>
      <w:pPr>
        <w:pStyle w:val="BodyText"/>
        <w:spacing w:line="316" w:lineRule="auto" w:before="19"/>
        <w:ind w:right="1133" w:firstLine="480"/>
        <w:jc w:val="both"/>
      </w:pPr>
      <w:r>
        <w:rPr>
          <w:spacing w:val="-1"/>
        </w:rPr>
        <w:t>在确认减值损失后，期后如有客观证据表明该金融资产价值已恢复，且客观上与确认该损失后发生的事项有关，原确</w:t>
      </w:r>
      <w:r>
        <w:rPr/>
        <w:t> </w:t>
      </w:r>
      <w:r>
        <w:rPr>
          <w:spacing w:val="-2"/>
        </w:rPr>
        <w:t>认的减值损失予以转回，可供出售权益工具投资的减值损失转回确认为其他综合收益，可供出售债务工具的减值损失转回计</w:t>
      </w:r>
      <w:r>
        <w:rPr>
          <w:spacing w:val="-64"/>
        </w:rPr>
        <w:t> </w:t>
      </w:r>
      <w:r>
        <w:rPr>
          <w:spacing w:val="-64"/>
        </w:rPr>
      </w:r>
      <w:r>
        <w:rPr/>
        <w:t>入当期损益。</w:t>
      </w:r>
    </w:p>
    <w:p>
      <w:pPr>
        <w:pStyle w:val="BodyText"/>
        <w:spacing w:line="316" w:lineRule="auto" w:before="19"/>
        <w:ind w:left="634" w:right="0"/>
        <w:jc w:val="left"/>
      </w:pPr>
      <w:r>
        <w:rPr>
          <w:rFonts w:ascii="宋体" w:hAnsi="宋体" w:cs="宋体" w:eastAsia="宋体" w:hint="default"/>
        </w:rPr>
        <w:t>- </w:t>
      </w:r>
      <w:r>
        <w:rPr/>
        <w:t>以成本计量的金融资产减值 </w:t>
      </w:r>
      <w:r>
        <w:rPr>
          <w:spacing w:val="-1"/>
        </w:rPr>
        <w:t>在活跃市场中没有报价且其公允价值不能可靠计量的权益工具投资发生减值时，将其账面价值减记至与按照类似金融</w:t>
      </w:r>
    </w:p>
    <w:p>
      <w:pPr>
        <w:pStyle w:val="BodyText"/>
        <w:spacing w:line="316" w:lineRule="auto" w:before="19"/>
        <w:ind w:right="1133"/>
        <w:jc w:val="both"/>
      </w:pPr>
      <w:r>
        <w:rPr>
          <w:spacing w:val="-2"/>
        </w:rPr>
        <w:t>资产当时市场收益率对未来现金流量折现确定的现值，减记金额确认为减值损失，计入当期损益。此类金融资产的减值损失</w:t>
      </w:r>
      <w:r>
        <w:rPr>
          <w:spacing w:val="-66"/>
        </w:rPr>
        <w:t> </w:t>
      </w:r>
      <w:r>
        <w:rPr>
          <w:spacing w:val="-66"/>
        </w:rPr>
      </w:r>
      <w:r>
        <w:rPr/>
        <w:t>一经确认不予转回。</w:t>
      </w:r>
    </w:p>
    <w:p>
      <w:pPr>
        <w:pStyle w:val="BodyText"/>
        <w:spacing w:line="319" w:lineRule="auto" w:before="19"/>
        <w:ind w:left="634" w:right="0" w:firstLine="60"/>
        <w:jc w:val="left"/>
      </w:pPr>
      <w:r>
        <w:rPr>
          <w:rFonts w:ascii="宋体" w:hAnsi="宋体" w:cs="宋体" w:eastAsia="宋体" w:hint="default"/>
        </w:rPr>
      </w:r>
      <w:r>
        <w:rPr>
          <w:rFonts w:ascii="宋体" w:hAnsi="宋体" w:cs="宋体" w:eastAsia="宋体" w:hint="default"/>
          <w:u w:val="single" w:color="000000"/>
        </w:rPr>
        <w:t>9.4</w:t>
      </w:r>
      <w:r>
        <w:rPr>
          <w:u w:val="single" w:color="000000"/>
        </w:rPr>
        <w:t>金融资产的转移</w:t>
      </w:r>
      <w:r>
        <w:rPr/>
      </w:r>
      <w:r>
        <w:rPr/>
        <w:t> </w:t>
      </w:r>
      <w:r>
        <w:rPr>
          <w:spacing w:val="-3"/>
        </w:rPr>
        <w:t>满足下列条件之一的金融资产，予以终止确认：</w:t>
      </w:r>
      <w:r>
        <w:rPr>
          <w:rFonts w:ascii="宋体" w:hAnsi="宋体" w:cs="宋体" w:eastAsia="宋体" w:hint="default"/>
          <w:spacing w:val="-3"/>
        </w:rPr>
        <w:t>(1)</w:t>
      </w:r>
      <w:r>
        <w:rPr>
          <w:spacing w:val="-3"/>
        </w:rPr>
        <w:t>收取该金融资产现金流量的合同权利终止；</w:t>
      </w:r>
      <w:r>
        <w:rPr>
          <w:rFonts w:ascii="宋体" w:hAnsi="宋体" w:cs="宋体" w:eastAsia="宋体" w:hint="default"/>
          <w:spacing w:val="-3"/>
        </w:rPr>
        <w:t>(2)</w:t>
      </w:r>
      <w:r>
        <w:rPr>
          <w:spacing w:val="-3"/>
        </w:rPr>
        <w:t>该金融资产已转移，</w:t>
      </w:r>
    </w:p>
    <w:p>
      <w:pPr>
        <w:pStyle w:val="BodyText"/>
        <w:spacing w:line="316" w:lineRule="auto" w:before="17"/>
        <w:ind w:right="1139"/>
        <w:jc w:val="both"/>
      </w:pPr>
      <w:r>
        <w:rPr/>
        <w:t>且将金融资产所有权上几乎所有的风险和报酬转移给转入方；</w:t>
      </w:r>
      <w:r>
        <w:rPr>
          <w:rFonts w:ascii="宋体" w:hAnsi="宋体" w:cs="宋体" w:eastAsia="宋体" w:hint="default"/>
        </w:rPr>
        <w:t>(3)</w:t>
      </w:r>
      <w:r>
        <w:rPr/>
        <w:t>该金融资产已转移，虽然本集团既没有转移也没有保留金 融资产所有权上几乎所有的风险和报酬，但是放弃了对该金融资产的控制。</w:t>
      </w:r>
    </w:p>
    <w:p>
      <w:pPr>
        <w:pStyle w:val="BodyText"/>
        <w:spacing w:line="316" w:lineRule="auto" w:before="19"/>
        <w:ind w:right="1133" w:firstLine="480"/>
        <w:jc w:val="both"/>
      </w:pPr>
      <w:r>
        <w:rPr>
          <w:spacing w:val="-1"/>
        </w:rPr>
        <w:t>金融资产整体转移满足终止确认条件的，将所转移金融资产的账面价值及因转移而收到的对价与原计入其他综合收益</w:t>
      </w:r>
      <w:r>
        <w:rPr/>
        <w:t> 的公允价值变动累计额之和的差额计入当期损益。</w:t>
      </w:r>
    </w:p>
    <w:p>
      <w:pPr>
        <w:pStyle w:val="BodyText"/>
        <w:spacing w:line="316" w:lineRule="auto" w:before="19"/>
        <w:ind w:left="634" w:right="1272" w:firstLine="60"/>
        <w:jc w:val="left"/>
      </w:pPr>
      <w:r>
        <w:rPr>
          <w:rFonts w:ascii="宋体" w:hAnsi="宋体" w:cs="宋体" w:eastAsia="宋体" w:hint="default"/>
        </w:rPr>
      </w:r>
      <w:r>
        <w:rPr>
          <w:rFonts w:ascii="宋体" w:hAnsi="宋体" w:cs="宋体" w:eastAsia="宋体" w:hint="default"/>
          <w:u w:val="single" w:color="000000"/>
        </w:rPr>
        <w:t>9.5</w:t>
      </w:r>
      <w:r>
        <w:rPr>
          <w:u w:val="single" w:color="000000"/>
        </w:rPr>
        <w:t>金融负债的分类、确认和计量</w:t>
      </w:r>
      <w:r>
        <w:rPr/>
      </w:r>
      <w:r>
        <w:rPr/>
        <w:t> 本集团将发行的金融工具根据该金融工具合同安排的实质以及金融负债和权益工具的定义确认为金融负债或权益工</w:t>
      </w:r>
    </w:p>
    <w:p>
      <w:pPr>
        <w:pStyle w:val="BodyText"/>
        <w:spacing w:line="316" w:lineRule="auto" w:before="19"/>
        <w:ind w:right="1132"/>
        <w:jc w:val="both"/>
      </w:pPr>
      <w:r>
        <w:rPr>
          <w:spacing w:val="-2"/>
        </w:rPr>
        <w:t>具。金融负债在初始确认时划分为以公允价值计量且其变动计入当期损益的金融负债和其他金融负债，本集团的金融负债为</w:t>
      </w:r>
      <w:r>
        <w:rPr>
          <w:spacing w:val="-64"/>
        </w:rPr>
        <w:t> </w:t>
      </w:r>
      <w:r>
        <w:rPr>
          <w:spacing w:val="-64"/>
        </w:rPr>
      </w:r>
      <w:r>
        <w:rPr/>
        <w:t>其他金融负债。</w:t>
      </w:r>
    </w:p>
    <w:p>
      <w:pPr>
        <w:pStyle w:val="BodyText"/>
        <w:spacing w:line="316" w:lineRule="auto" w:before="19"/>
        <w:ind w:left="634" w:right="0"/>
        <w:jc w:val="left"/>
      </w:pPr>
      <w:r>
        <w:rPr/>
        <w:t>其他金融负债采用实际利率法，按摊余成本进行后续计量，终止确认或摊销产生的利得或损失计入当期损益。 </w:t>
      </w:r>
      <w:r>
        <w:rPr>
          <w:rFonts w:ascii="宋体" w:hAnsi="宋体" w:cs="宋体" w:eastAsia="宋体" w:hint="default"/>
        </w:rPr>
      </w:r>
      <w:r>
        <w:rPr>
          <w:rFonts w:ascii="宋体" w:hAnsi="宋体" w:cs="宋体" w:eastAsia="宋体" w:hint="default"/>
          <w:u w:val="single" w:color="000000"/>
        </w:rPr>
        <w:t>9.6</w:t>
      </w:r>
      <w:r>
        <w:rPr>
          <w:u w:val="single" w:color="000000"/>
        </w:rPr>
        <w:t>金融负债的终止确认</w:t>
      </w:r>
      <w:r>
        <w:rPr/>
      </w:r>
      <w:r>
        <w:rPr/>
        <w:t> </w:t>
      </w:r>
      <w:r>
        <w:rPr>
          <w:spacing w:val="-1"/>
        </w:rPr>
        <w:t>金融负债的现时义务全部或部分已经解除的，终止确认该金融负债或其一部分。本集团</w:t>
      </w:r>
      <w:r>
        <w:rPr>
          <w:rFonts w:ascii="宋体" w:hAnsi="宋体" w:cs="宋体" w:eastAsia="宋体" w:hint="default"/>
          <w:spacing w:val="-1"/>
        </w:rPr>
        <w:t>(</w:t>
      </w:r>
      <w:r>
        <w:rPr>
          <w:spacing w:val="-1"/>
        </w:rPr>
        <w:t>债务人</w:t>
      </w:r>
      <w:r>
        <w:rPr>
          <w:rFonts w:ascii="宋体" w:hAnsi="宋体" w:cs="宋体" w:eastAsia="宋体" w:hint="default"/>
          <w:spacing w:val="-1"/>
        </w:rPr>
        <w:t>)</w:t>
      </w:r>
      <w:r>
        <w:rPr>
          <w:spacing w:val="-1"/>
        </w:rPr>
        <w:t>与债权人之间签订协</w:t>
      </w:r>
    </w:p>
    <w:p>
      <w:pPr>
        <w:pStyle w:val="BodyText"/>
        <w:spacing w:line="316" w:lineRule="auto" w:before="19"/>
        <w:ind w:right="1133"/>
        <w:jc w:val="both"/>
      </w:pPr>
      <w:r>
        <w:rPr>
          <w:spacing w:val="-2"/>
        </w:rPr>
        <w:t>议，以承担新金融负债方式替换现存金融负债，且新金融负债与现存金融负债的合同条款实质上不同的，终止确认现存金融</w:t>
      </w:r>
      <w:r>
        <w:rPr>
          <w:spacing w:val="-66"/>
        </w:rPr>
        <w:t> </w:t>
      </w:r>
      <w:r>
        <w:rPr>
          <w:spacing w:val="-66"/>
        </w:rPr>
      </w:r>
      <w:r>
        <w:rPr/>
        <w:t>负债，并同时确认新金融债。</w:t>
      </w:r>
    </w:p>
    <w:p>
      <w:pPr>
        <w:pStyle w:val="BodyText"/>
        <w:spacing w:line="316" w:lineRule="auto" w:before="19"/>
        <w:ind w:right="1199" w:firstLine="480"/>
        <w:jc w:val="both"/>
      </w:pPr>
      <w:r>
        <w:rPr/>
        <w:t>金融负债全部或部分终止确认的，将终止确认部分的账面价值与支付的对价</w:t>
      </w:r>
      <w:r>
        <w:rPr>
          <w:rFonts w:ascii="宋体" w:hAnsi="宋体" w:cs="宋体" w:eastAsia="宋体" w:hint="default"/>
        </w:rPr>
        <w:t>(</w:t>
      </w:r>
      <w:r>
        <w:rPr/>
        <w:t>包括转出的非现金资产或承担的新金融 负债</w:t>
      </w:r>
      <w:r>
        <w:rPr>
          <w:rFonts w:ascii="宋体" w:hAnsi="宋体" w:cs="宋体" w:eastAsia="宋体" w:hint="default"/>
        </w:rPr>
        <w:t>)</w:t>
      </w:r>
      <w:r>
        <w:rPr/>
        <w:t>之间的差额，计入当期损益。</w:t>
      </w:r>
    </w:p>
    <w:p>
      <w:pPr>
        <w:pStyle w:val="BodyText"/>
        <w:spacing w:line="316" w:lineRule="auto" w:before="19"/>
        <w:ind w:left="634" w:right="0" w:firstLine="60"/>
        <w:jc w:val="left"/>
      </w:pPr>
      <w:r>
        <w:rPr>
          <w:rFonts w:ascii="宋体" w:hAnsi="宋体" w:cs="宋体" w:eastAsia="宋体" w:hint="default"/>
        </w:rPr>
      </w:r>
      <w:r>
        <w:rPr>
          <w:rFonts w:ascii="宋体" w:hAnsi="宋体" w:cs="宋体" w:eastAsia="宋体" w:hint="default"/>
          <w:u w:val="single" w:color="000000"/>
        </w:rPr>
        <w:t>9.7</w:t>
      </w:r>
      <w:r>
        <w:rPr>
          <w:u w:val="single" w:color="000000"/>
        </w:rPr>
        <w:t>金融资产与金融负债的抵销</w:t>
      </w:r>
      <w:r>
        <w:rPr/>
      </w:r>
      <w:r>
        <w:rPr/>
        <w:t> </w:t>
      </w:r>
      <w:r>
        <w:rPr>
          <w:spacing w:val="-1"/>
        </w:rPr>
        <w:t>当本集团具有抵销已确认金融资产和金融负债的法定权利，且该种法定权利是当前可执行的，同时本集团计划以净额</w:t>
      </w:r>
    </w:p>
    <w:p>
      <w:pPr>
        <w:pStyle w:val="BodyText"/>
        <w:spacing w:line="316" w:lineRule="auto" w:before="19"/>
        <w:ind w:right="1043"/>
        <w:jc w:val="both"/>
      </w:pPr>
      <w:r>
        <w:rPr>
          <w:spacing w:val="-4"/>
        </w:rPr>
        <w:t>结算或同时变现该金融资产和清偿该金融负债时，金融资产和金融负债以相互抵销后的金额在资产负债表内列示。除此以外，</w:t>
      </w:r>
      <w:r>
        <w:rPr>
          <w:spacing w:val="-44"/>
        </w:rPr>
        <w:t> </w:t>
      </w:r>
      <w:r>
        <w:rPr>
          <w:spacing w:val="-44"/>
        </w:rPr>
      </w:r>
      <w:r>
        <w:rPr/>
        <w:t>金融资产和金融负债在资产负债表内分别列示，不予相互抵销。</w:t>
      </w:r>
    </w:p>
    <w:p>
      <w:pPr>
        <w:pStyle w:val="BodyText"/>
        <w:spacing w:line="316" w:lineRule="auto" w:before="19"/>
        <w:ind w:left="634" w:right="1118" w:firstLine="60"/>
        <w:jc w:val="left"/>
      </w:pPr>
      <w:r>
        <w:rPr>
          <w:rFonts w:ascii="宋体" w:hAnsi="宋体" w:cs="宋体" w:eastAsia="宋体" w:hint="default"/>
        </w:rPr>
      </w:r>
      <w:r>
        <w:rPr>
          <w:rFonts w:ascii="宋体" w:hAnsi="宋体" w:cs="宋体" w:eastAsia="宋体" w:hint="default"/>
          <w:u w:val="single" w:color="000000"/>
        </w:rPr>
        <w:t>9.8</w:t>
      </w:r>
      <w:r>
        <w:rPr>
          <w:u w:val="single" w:color="000000"/>
        </w:rPr>
        <w:t>权益工具</w:t>
      </w:r>
      <w:r>
        <w:rPr/>
      </w:r>
      <w:r>
        <w:rPr/>
        <w:t> </w:t>
      </w:r>
      <w:r>
        <w:rPr>
          <w:spacing w:val="-1"/>
        </w:rPr>
        <w:t>权益工具是指能证明拥有本集团在扣除所有负债后的资产中的剩余权益的合同。本集团发行</w:t>
      </w:r>
      <w:r>
        <w:rPr>
          <w:rFonts w:ascii="宋体" w:hAnsi="宋体" w:cs="宋体" w:eastAsia="宋体" w:hint="default"/>
          <w:spacing w:val="-1"/>
        </w:rPr>
        <w:t>(</w:t>
      </w:r>
      <w:r>
        <w:rPr>
          <w:spacing w:val="-1"/>
        </w:rPr>
        <w:t>含再融资</w:t>
      </w:r>
      <w:r>
        <w:rPr>
          <w:rFonts w:ascii="宋体" w:hAnsi="宋体" w:cs="宋体" w:eastAsia="宋体" w:hint="default"/>
          <w:spacing w:val="-1"/>
        </w:rPr>
        <w:t>)</w:t>
      </w:r>
      <w:r>
        <w:rPr>
          <w:spacing w:val="-1"/>
        </w:rPr>
        <w:t>、回购、出售</w:t>
      </w:r>
    </w:p>
    <w:p>
      <w:pPr>
        <w:spacing w:after="0" w:line="316"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634" w:right="0" w:hanging="480"/>
        <w:jc w:val="left"/>
      </w:pPr>
      <w:r>
        <w:rPr>
          <w:spacing w:val="-4"/>
        </w:rPr>
        <w:t>或注销权益工具作为权益的变动处理。本集团不确认权益工具的公允价值变动。与权益性交易相关的交易费用从权益中扣减。</w:t>
      </w:r>
      <w:r>
        <w:rPr>
          <w:spacing w:val="-44"/>
        </w:rPr>
        <w:t> </w:t>
      </w:r>
      <w:r>
        <w:rPr>
          <w:spacing w:val="-44"/>
        </w:rPr>
      </w:r>
      <w:r>
        <w:rPr/>
        <w:t>本集团对权益工具持有方的分配作为利润分配处理，发放的股票股利不影响股东权益总额。</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10、应收票据及应收账款" w:id="178"/>
      <w:bookmarkEnd w:id="178"/>
      <w:r>
        <w:rPr>
          <w:b w:val="0"/>
          <w:bCs w:val="0"/>
        </w:rPr>
      </w:r>
      <w:r>
        <w:rPr>
          <w:rFonts w:ascii="Times New Roman" w:hAnsi="Times New Roman" w:cs="Times New Roman" w:eastAsia="Times New Roman" w:hint="default"/>
        </w:rPr>
        <w:t>10</w:t>
      </w:r>
      <w:r>
        <w:rPr/>
        <w:t>、应收票据及应收账款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单项金额重大并单独计提坏账准备的应收款项" w:id="179"/>
      <w:bookmarkEnd w:id="179"/>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本集团将金额为人民币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万元以上的应收款项认定为单项 金额重大的应收款项。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本集团对单项金额重大的应收款项单独进行减值测试，单独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按信用风险特征组合计提坏账准备的应收款项" w:id="180"/>
      <w:bookmarkEnd w:id="180"/>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集团合并范围内的应收款项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销售及服务款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余额百分比法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组合中，采用余额百分比法计提坏账准备的：</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与电信运营商的通信业务的保证金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房租押金等押金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pStyle w:val="BodyText"/>
        <w:spacing w:line="240" w:lineRule="auto" w:before="51"/>
        <w:ind w:right="0"/>
        <w:jc w:val="left"/>
      </w:pPr>
      <w:r>
        <w:rPr/>
        <w:t>组合中，采用其他方法计提坏账准备的：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企业客户应收账款账龄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企业客户应收账款账龄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企业客户应收账款账龄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企业客户应收账款账龄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企业客户应收账款账龄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个人客户应收账款账龄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个人客户应收账款账龄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个人客户应收账款账龄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个人客户应收账款账龄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单项金额不重大但单独计提坏账准备的应收款项" w:id="181"/>
      <w:bookmarkEnd w:id="181"/>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8"/>
              <w:jc w:val="both"/>
              <w:rPr>
                <w:rFonts w:ascii="宋体" w:hAnsi="宋体" w:cs="宋体" w:eastAsia="宋体" w:hint="default"/>
                <w:sz w:val="18"/>
                <w:szCs w:val="18"/>
              </w:rPr>
            </w:pPr>
            <w:r>
              <w:rPr>
                <w:rFonts w:ascii="宋体" w:hAnsi="宋体" w:cs="宋体" w:eastAsia="宋体" w:hint="default"/>
                <w:sz w:val="18"/>
                <w:szCs w:val="18"/>
              </w:rPr>
              <w:t>本集团本年度单项金额虽不重大但单独计提坏账准备的应收 款项主要系已经取消业务的海外互联网综合服务业务个人用 户应收款以及代理的会议桥业务企业用户应收款。</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对不活跃个人用户</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70%</w:t>
            </w:r>
            <w:r>
              <w:rPr>
                <w:rFonts w:ascii="宋体" w:hAnsi="宋体" w:cs="宋体" w:eastAsia="宋体" w:hint="default"/>
                <w:spacing w:val="-5"/>
                <w:sz w:val="18"/>
                <w:szCs w:val="18"/>
              </w:rPr>
              <w:t>计提，对终止业务的个人用户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计 提，对企业用户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计提。</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11、存货" w:id="182"/>
      <w:bookmarkEnd w:id="182"/>
      <w:r>
        <w:rPr>
          <w:b w:val="0"/>
          <w:bCs w:val="0"/>
        </w:rPr>
      </w:r>
      <w:r>
        <w:rPr>
          <w:rFonts w:ascii="Times New Roman" w:hAnsi="Times New Roman" w:cs="Times New Roman" w:eastAsia="Times New Roman" w:hint="default"/>
        </w:rPr>
        <w:t>11</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16" w:lineRule="auto" w:before="26"/>
        <w:ind w:left="634" w:right="0" w:firstLine="60"/>
        <w:jc w:val="left"/>
      </w:pPr>
      <w:r>
        <w:rPr>
          <w:rFonts w:ascii="宋体" w:hAnsi="宋体" w:cs="宋体" w:eastAsia="宋体" w:hint="default"/>
        </w:rPr>
      </w:r>
      <w:r>
        <w:rPr>
          <w:rFonts w:ascii="宋体" w:hAnsi="宋体" w:cs="宋体" w:eastAsia="宋体" w:hint="default"/>
          <w:u w:val="single" w:color="000000"/>
        </w:rPr>
        <w:t>11.1</w:t>
      </w:r>
      <w:r>
        <w:rPr>
          <w:u w:val="single" w:color="000000"/>
        </w:rPr>
        <w:t>存货的分类</w:t>
      </w:r>
      <w:r>
        <w:rPr/>
      </w:r>
      <w:r>
        <w:rPr/>
        <w:t> </w:t>
      </w:r>
      <w:r>
        <w:rPr>
          <w:spacing w:val="-1"/>
        </w:rPr>
        <w:t>存货是指本集团在日常活动中持有以备出售的产成品或商品、处在生产过程中的在产品、在生产过程或提供劳务过程</w:t>
      </w:r>
    </w:p>
    <w:p>
      <w:pPr>
        <w:pStyle w:val="BodyText"/>
        <w:spacing w:line="316" w:lineRule="auto" w:before="19"/>
        <w:ind w:left="694" w:right="6073" w:hanging="541"/>
        <w:jc w:val="left"/>
      </w:pPr>
      <w:r>
        <w:rPr/>
        <w:t>中耗用的材料和物料等，主要包括周转材料、库存商品等。 </w:t>
      </w:r>
      <w:r>
        <w:rPr>
          <w:rFonts w:ascii="宋体" w:hAnsi="宋体" w:cs="宋体" w:eastAsia="宋体" w:hint="default"/>
        </w:rPr>
      </w:r>
      <w:r>
        <w:rPr>
          <w:rFonts w:ascii="宋体" w:hAnsi="宋体" w:cs="宋体" w:eastAsia="宋体" w:hint="default"/>
          <w:u w:val="single" w:color="000000"/>
        </w:rPr>
        <w:t>11.2</w:t>
      </w:r>
      <w:r>
        <w:rPr>
          <w:u w:val="single" w:color="000000"/>
        </w:rPr>
        <w:t>存货的计价方法</w:t>
      </w:r>
      <w:r>
        <w:rPr/>
      </w:r>
    </w:p>
    <w:p>
      <w:pPr>
        <w:pStyle w:val="BodyText"/>
        <w:spacing w:line="319" w:lineRule="auto" w:before="19"/>
        <w:ind w:right="0" w:firstLine="480"/>
        <w:jc w:val="left"/>
      </w:pPr>
      <w:r>
        <w:rPr>
          <w:spacing w:val="-1"/>
        </w:rPr>
        <w:t>存货在取得时，按成本进行初始计量，包括采购成本、加工成本和其他成本。库存商品发出时按先进先出法计价，周</w:t>
      </w:r>
      <w:r>
        <w:rPr/>
        <w:t> 转材料按加权平均法计价。</w:t>
      </w:r>
    </w:p>
    <w:p>
      <w:pPr>
        <w:pStyle w:val="BodyText"/>
        <w:spacing w:line="316" w:lineRule="auto" w:before="17"/>
        <w:ind w:left="634" w:right="0" w:firstLine="60"/>
        <w:jc w:val="left"/>
      </w:pPr>
      <w:r>
        <w:rPr>
          <w:rFonts w:ascii="宋体" w:hAnsi="宋体" w:cs="宋体" w:eastAsia="宋体" w:hint="default"/>
        </w:rPr>
      </w:r>
      <w:r>
        <w:rPr>
          <w:rFonts w:ascii="宋体" w:hAnsi="宋体" w:cs="宋体" w:eastAsia="宋体" w:hint="default"/>
          <w:u w:val="single" w:color="000000"/>
        </w:rPr>
        <w:t>11.3</w:t>
      </w:r>
      <w:r>
        <w:rPr>
          <w:u w:val="single" w:color="000000"/>
        </w:rPr>
        <w:t>存货可变现净值的确定依据及存货跌价准备的计提方法</w:t>
      </w:r>
      <w:r>
        <w:rPr/>
      </w:r>
      <w:r>
        <w:rPr/>
        <w:t> </w:t>
      </w:r>
      <w:r>
        <w:rPr>
          <w:spacing w:val="-1"/>
        </w:rPr>
        <w:t>资产负债表日，存货按照成本与可变现净值孰低计量。当其可变现净值低于成本时，提取存货跌价准备。可变现净值</w:t>
      </w:r>
    </w:p>
    <w:p>
      <w:pPr>
        <w:pStyle w:val="BodyText"/>
        <w:spacing w:line="240" w:lineRule="auto" w:before="19"/>
        <w:ind w:right="0"/>
        <w:jc w:val="left"/>
      </w:pPr>
      <w:r>
        <w:rPr/>
        <w:t>是指在日常活动中，存货的估计售价减去至完工时估计将要发生的成本、估计的销售费用以及相关税费后的金额。在确定存</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634" w:right="0" w:hanging="480"/>
        <w:jc w:val="left"/>
      </w:pPr>
      <w:r>
        <w:rPr/>
        <w:t>货的可变现净值时，以取得的确凿证据为基础，同时考虑持有存货的目的以及资产负债表日后事项的影响。 </w:t>
      </w:r>
      <w:r>
        <w:rPr>
          <w:spacing w:val="-1"/>
        </w:rPr>
        <w:t>对于数量繁多、单价较低的存货，按存货类别计提存货跌价准备；对在同一地区生产和销售的产品系列相关、具有相</w:t>
      </w:r>
    </w:p>
    <w:p>
      <w:pPr>
        <w:pStyle w:val="BodyText"/>
        <w:spacing w:line="316" w:lineRule="auto" w:before="19"/>
        <w:ind w:right="1133"/>
        <w:jc w:val="both"/>
      </w:pPr>
      <w:r>
        <w:rPr>
          <w:spacing w:val="-2"/>
        </w:rPr>
        <w:t>同或类似最终用途或目的，且难以与其他项目分开计量的存货，合并计提存货跌价准备；其他存货按单个存货项目的成本高</w:t>
      </w:r>
      <w:r>
        <w:rPr>
          <w:spacing w:val="-66"/>
        </w:rPr>
        <w:t> </w:t>
      </w:r>
      <w:r>
        <w:rPr>
          <w:spacing w:val="-66"/>
        </w:rPr>
      </w:r>
      <w:r>
        <w:rPr/>
        <w:t>于其可变现净值的差额提取存货跌价准备。</w:t>
      </w:r>
    </w:p>
    <w:p>
      <w:pPr>
        <w:pStyle w:val="BodyText"/>
        <w:spacing w:line="316" w:lineRule="auto" w:before="19"/>
        <w:ind w:right="1133" w:firstLine="480"/>
        <w:jc w:val="both"/>
      </w:pPr>
      <w:r>
        <w:rPr>
          <w:spacing w:val="-1"/>
        </w:rPr>
        <w:t>计提存货跌价准备后，如果以前减记存货价值的影响因素已经消失，导致存货的可变现净值高于其账面价值的，在原</w:t>
      </w:r>
      <w:r>
        <w:rPr/>
        <w:t> 已计提的存货跌价准备金额内予以转回，转回的金额计入当期损益。</w:t>
      </w:r>
    </w:p>
    <w:p>
      <w:pPr>
        <w:pStyle w:val="BodyText"/>
        <w:spacing w:line="316" w:lineRule="auto" w:before="19"/>
        <w:ind w:left="634" w:right="7932" w:firstLine="60"/>
        <w:jc w:val="left"/>
      </w:pPr>
      <w:r>
        <w:rPr>
          <w:rFonts w:ascii="宋体" w:hAnsi="宋体" w:cs="宋体" w:eastAsia="宋体" w:hint="default"/>
        </w:rPr>
      </w:r>
      <w:r>
        <w:rPr>
          <w:rFonts w:ascii="宋体" w:hAnsi="宋体" w:cs="宋体" w:eastAsia="宋体" w:hint="default"/>
          <w:u w:val="single" w:color="000000"/>
        </w:rPr>
        <w:t>11.4</w:t>
      </w:r>
      <w:r>
        <w:rPr>
          <w:u w:val="single" w:color="000000"/>
        </w:rPr>
        <w:t>存货的盘存制度</w:t>
      </w:r>
      <w:r>
        <w:rPr/>
      </w:r>
      <w:r>
        <w:rPr/>
        <w:t> 存货盘存制度为永续盘存制。</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bookmarkStart w:name="12、长期股权投资" w:id="183"/>
      <w:bookmarkEnd w:id="183"/>
      <w:r>
        <w:rPr>
          <w:b w:val="0"/>
          <w:bCs w:val="0"/>
        </w:rPr>
      </w:r>
      <w:r>
        <w:rPr>
          <w:rFonts w:ascii="Times New Roman" w:hAnsi="Times New Roman" w:cs="Times New Roman" w:eastAsia="Times New Roman" w:hint="default"/>
        </w:rPr>
        <w:t>12</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634" w:right="0" w:firstLine="60"/>
        <w:jc w:val="left"/>
      </w:pPr>
      <w:r>
        <w:rPr>
          <w:rFonts w:ascii="宋体" w:hAnsi="宋体" w:cs="宋体" w:eastAsia="宋体" w:hint="default"/>
        </w:rPr>
      </w:r>
      <w:r>
        <w:rPr>
          <w:rFonts w:ascii="宋体" w:hAnsi="宋体" w:cs="宋体" w:eastAsia="宋体" w:hint="default"/>
          <w:u w:val="single" w:color="000000"/>
        </w:rPr>
        <w:t>12.1</w:t>
      </w:r>
      <w:r>
        <w:rPr>
          <w:u w:val="single" w:color="000000"/>
        </w:rPr>
        <w:t>共同控制、重大影响的判断标准</w:t>
      </w:r>
      <w:r>
        <w:rPr/>
      </w:r>
      <w:r>
        <w:rPr/>
        <w:t> </w:t>
      </w:r>
      <w:r>
        <w:rPr>
          <w:spacing w:val="-1"/>
        </w:rPr>
        <w:t>控制是指投资方拥有对被投资方的权力，通过参与被投资方的相关活动而享有可变回报，并且有能力运用对被投资方</w:t>
      </w:r>
    </w:p>
    <w:p>
      <w:pPr>
        <w:pStyle w:val="BodyText"/>
        <w:spacing w:line="316" w:lineRule="auto" w:before="19"/>
        <w:ind w:right="1132"/>
        <w:jc w:val="both"/>
      </w:pPr>
      <w:r>
        <w:rPr>
          <w:spacing w:val="-2"/>
        </w:rPr>
        <w:t>的权力影响其回报金额。共同控制是指按照相关约定对某项安排所共有的控制，并且该安排的相关活动必须经过分享控制权</w:t>
      </w:r>
      <w:r>
        <w:rPr>
          <w:spacing w:val="-64"/>
        </w:rPr>
        <w:t> </w:t>
      </w:r>
      <w:r>
        <w:rPr>
          <w:spacing w:val="-64"/>
        </w:rPr>
      </w:r>
      <w:r>
        <w:rPr>
          <w:spacing w:val="-2"/>
        </w:rPr>
        <w:t>的参与方一致同意后才能决策。重大影响是指对被投资方的财务和经营政策有参与决策的权力，但并不能够控制或者与其他</w:t>
      </w:r>
      <w:r>
        <w:rPr>
          <w:spacing w:val="-64"/>
        </w:rPr>
        <w:t> </w:t>
      </w:r>
      <w:r>
        <w:rPr>
          <w:spacing w:val="-64"/>
        </w:rPr>
      </w:r>
      <w:r>
        <w:rPr>
          <w:spacing w:val="-2"/>
        </w:rPr>
        <w:t>方一起共同控制这些政策的制定。在确定能否对被投资单位实施控制或施加重大影响时，已考虑投资方和其他方持有的被投</w:t>
      </w:r>
      <w:r>
        <w:rPr>
          <w:spacing w:val="-64"/>
        </w:rPr>
        <w:t> </w:t>
      </w:r>
      <w:r>
        <w:rPr>
          <w:spacing w:val="-64"/>
        </w:rPr>
      </w:r>
      <w:r>
        <w:rPr/>
        <w:t>资单位当期可转换公司债券、当期可执行认股权证等潜在表决权因素。</w:t>
      </w:r>
    </w:p>
    <w:p>
      <w:pPr>
        <w:pStyle w:val="BodyText"/>
        <w:spacing w:line="316" w:lineRule="auto" w:before="19"/>
        <w:ind w:left="634" w:right="0" w:firstLine="60"/>
        <w:jc w:val="left"/>
      </w:pPr>
      <w:r>
        <w:rPr>
          <w:rFonts w:ascii="宋体" w:hAnsi="宋体" w:cs="宋体" w:eastAsia="宋体" w:hint="default"/>
        </w:rPr>
      </w:r>
      <w:r>
        <w:rPr>
          <w:rFonts w:ascii="宋体" w:hAnsi="宋体" w:cs="宋体" w:eastAsia="宋体" w:hint="default"/>
          <w:u w:val="single" w:color="000000"/>
        </w:rPr>
        <w:t>12.2</w:t>
      </w:r>
      <w:r>
        <w:rPr>
          <w:u w:val="single" w:color="000000"/>
        </w:rPr>
        <w:t>初始投资成本的确定</w:t>
      </w:r>
      <w:r>
        <w:rPr/>
      </w:r>
      <w:r>
        <w:rPr/>
        <w:t> </w:t>
      </w:r>
      <w:r>
        <w:rPr>
          <w:spacing w:val="-1"/>
        </w:rPr>
        <w:t>对于非同一控制下的企业合并取得的长期股权投资，在购买日按照合并成本作为长期股权投资的初始投资成本。通过</w:t>
      </w:r>
    </w:p>
    <w:p>
      <w:pPr>
        <w:pStyle w:val="BodyText"/>
        <w:spacing w:line="319" w:lineRule="auto" w:before="19"/>
        <w:ind w:right="1129"/>
        <w:jc w:val="both"/>
      </w:pPr>
      <w:r>
        <w:rPr>
          <w:spacing w:val="-5"/>
        </w:rPr>
        <w:t>多次交易分步取得被购买方的股权，最终形成非同一控制下的企业合并的，分别是否属于“一揽子交易”进行处理：属于“一</w:t>
      </w:r>
      <w:r>
        <w:rPr>
          <w:spacing w:val="-80"/>
        </w:rPr>
        <w:t> </w:t>
      </w:r>
      <w:r>
        <w:rPr>
          <w:spacing w:val="-80"/>
        </w:rPr>
      </w:r>
      <w:r>
        <w:rPr>
          <w:spacing w:val="-2"/>
        </w:rPr>
        <w:t>揽子交易”的，将各项交易作为一项取得控制权的交易进行会计处理。不属于“一揽子交易”的，按照原持有被购买方的股</w:t>
      </w:r>
      <w:r>
        <w:rPr>
          <w:spacing w:val="-67"/>
        </w:rPr>
        <w:t> </w:t>
      </w:r>
      <w:r>
        <w:rPr>
          <w:spacing w:val="-67"/>
        </w:rPr>
      </w:r>
      <w:r>
        <w:rPr>
          <w:spacing w:val="-2"/>
        </w:rPr>
        <w:t>权投资账面价值加上新增投资成本之和，作为改按成本法核算的长期股权投资的初始投资成本。原持有的股权采用权益法核</w:t>
      </w:r>
      <w:r>
        <w:rPr>
          <w:spacing w:val="-64"/>
        </w:rPr>
        <w:t> </w:t>
      </w:r>
      <w:r>
        <w:rPr>
          <w:spacing w:val="-64"/>
        </w:rPr>
      </w:r>
      <w:r>
        <w:rPr/>
        <w:t>算的，相关其他综合收益暂不进行会计处理。</w:t>
      </w:r>
    </w:p>
    <w:p>
      <w:pPr>
        <w:pStyle w:val="BodyText"/>
        <w:spacing w:line="316" w:lineRule="auto" w:before="17"/>
        <w:ind w:right="1133" w:firstLine="480"/>
        <w:jc w:val="both"/>
      </w:pPr>
      <w:r>
        <w:rPr>
          <w:spacing w:val="-1"/>
        </w:rPr>
        <w:t>合并方或购买方为企业合并发生的审计、法律服务、评估咨询等中介费用以及其他相关管理费用，于发生时计入当期</w:t>
      </w:r>
      <w:r>
        <w:rPr/>
        <w:t> 损益。</w:t>
      </w:r>
    </w:p>
    <w:p>
      <w:pPr>
        <w:pStyle w:val="BodyText"/>
        <w:spacing w:line="316" w:lineRule="auto" w:before="19"/>
        <w:ind w:left="694" w:right="3253" w:hanging="61"/>
        <w:jc w:val="left"/>
      </w:pPr>
      <w:r>
        <w:rPr/>
        <w:t>除企业合并形成的长期股权投资外其他方式取得的长期股权投资，按成本进行初始计量。 </w:t>
      </w:r>
      <w:r>
        <w:rPr>
          <w:rFonts w:ascii="宋体" w:hAnsi="宋体" w:cs="宋体" w:eastAsia="宋体" w:hint="default"/>
        </w:rPr>
      </w:r>
      <w:r>
        <w:rPr>
          <w:rFonts w:ascii="宋体" w:hAnsi="宋体" w:cs="宋体" w:eastAsia="宋体" w:hint="default"/>
          <w:u w:val="single" w:color="000000"/>
        </w:rPr>
        <w:t>12.3</w:t>
      </w:r>
      <w:r>
        <w:rPr>
          <w:u w:val="single" w:color="000000"/>
        </w:rPr>
        <w:t>后续计量及损益确认方法</w:t>
      </w:r>
      <w:r>
        <w:rPr/>
      </w:r>
    </w:p>
    <w:p>
      <w:pPr>
        <w:pStyle w:val="BodyText"/>
        <w:spacing w:line="314" w:lineRule="auto" w:before="7"/>
        <w:ind w:left="634" w:right="0" w:firstLine="60"/>
        <w:jc w:val="left"/>
      </w:pPr>
      <w:r>
        <w:rPr>
          <w:rFonts w:ascii="宋体" w:hAnsi="宋体" w:cs="宋体" w:eastAsia="宋体" w:hint="default"/>
          <w:i/>
          <w:w w:val="94"/>
          <w:sz w:val="19"/>
          <w:szCs w:val="19"/>
        </w:rPr>
      </w:r>
      <w:r>
        <w:rPr>
          <w:rFonts w:ascii="宋体" w:hAnsi="宋体" w:cs="宋体" w:eastAsia="宋体" w:hint="default"/>
          <w:i/>
          <w:sz w:val="19"/>
          <w:szCs w:val="19"/>
          <w:u w:val="single" w:color="000000"/>
        </w:rPr>
        <w:t>12.3.1</w:t>
      </w:r>
      <w:r>
        <w:rPr>
          <w:rFonts w:ascii="宋体" w:hAnsi="宋体" w:cs="宋体" w:eastAsia="宋体" w:hint="default"/>
          <w:i/>
          <w:sz w:val="19"/>
          <w:szCs w:val="19"/>
          <w:u w:val="single" w:color="000000"/>
        </w:rPr>
        <w:t>按成本法核算的长期股权投资</w:t>
      </w:r>
      <w:r>
        <w:rPr>
          <w:rFonts w:ascii="宋体" w:hAnsi="宋体" w:cs="宋体" w:eastAsia="宋体" w:hint="default"/>
          <w:i/>
          <w:w w:val="94"/>
          <w:sz w:val="19"/>
          <w:szCs w:val="19"/>
        </w:rPr>
      </w:r>
      <w:r>
        <w:rPr>
          <w:rFonts w:ascii="宋体" w:hAnsi="宋体" w:cs="宋体" w:eastAsia="宋体" w:hint="default"/>
          <w:i/>
          <w:w w:val="94"/>
          <w:sz w:val="19"/>
          <w:szCs w:val="19"/>
        </w:rPr>
        <w:t> </w:t>
      </w:r>
      <w:r>
        <w:rPr/>
        <w:t>公司财务报表采用成本法核算对子公司的长期股权投资。子公司是指本集团能够对其实施控制的被投资主体。 </w:t>
      </w:r>
      <w:r>
        <w:rPr>
          <w:spacing w:val="-1"/>
        </w:rPr>
        <w:t>采用成本法核算的长期股权投资按初始投资成本计量。追加或收回投资调整长期股权投资的成本。当期投资收益按照</w:t>
      </w:r>
    </w:p>
    <w:p>
      <w:pPr>
        <w:pStyle w:val="BodyText"/>
        <w:spacing w:line="240" w:lineRule="auto" w:before="20"/>
        <w:ind w:right="0"/>
        <w:jc w:val="both"/>
      </w:pPr>
      <w:r>
        <w:rPr/>
        <w:t>享有被投资单位宣告发放的现金股利或利润确认。</w:t>
      </w:r>
    </w:p>
    <w:p>
      <w:pPr>
        <w:pStyle w:val="Heading6"/>
        <w:spacing w:line="240" w:lineRule="auto" w:before="64"/>
        <w:ind w:right="0"/>
        <w:jc w:val="left"/>
        <w:rPr>
          <w:i w:val="0"/>
        </w:rPr>
      </w:pPr>
      <w:r>
        <w:rPr>
          <w:rFonts w:ascii="宋体" w:hAnsi="宋体" w:cs="宋体" w:eastAsia="宋体" w:hint="default"/>
          <w:w w:val="94"/>
        </w:rPr>
      </w:r>
      <w:r>
        <w:rPr>
          <w:rFonts w:ascii="宋体" w:hAnsi="宋体" w:cs="宋体" w:eastAsia="宋体" w:hint="default"/>
          <w:u w:val="single" w:color="000000"/>
        </w:rPr>
        <w:t>12.3.2</w:t>
      </w:r>
      <w:r>
        <w:rPr>
          <w:u w:val="single" w:color="000000"/>
        </w:rPr>
        <w:t>按权益法核算的长期股权投资</w:t>
      </w:r>
      <w:r>
        <w:rPr/>
      </w:r>
      <w:r>
        <w:rPr>
          <w:i w:val="0"/>
        </w:rPr>
      </w:r>
    </w:p>
    <w:p>
      <w:pPr>
        <w:pStyle w:val="BodyText"/>
        <w:spacing w:line="316" w:lineRule="auto" w:before="75"/>
        <w:ind w:right="1130" w:firstLine="480"/>
        <w:jc w:val="both"/>
      </w:pPr>
      <w:r>
        <w:rPr>
          <w:spacing w:val="-1"/>
        </w:rPr>
        <w:t>本集团对联营企业的投资采用权益法核算。联营企业是指本集团能够对其施加重大影响的被投资单位。采用权益法核</w:t>
      </w:r>
      <w:r>
        <w:rPr/>
        <w:t> </w:t>
      </w:r>
      <w:r>
        <w:rPr>
          <w:spacing w:val="-2"/>
        </w:rPr>
        <w:t>算时，长期股权投资的初始投资成本大于投资时应享有被投资单位可辨认净资产公允价值份额的，不调整长期股权投资的初</w:t>
      </w:r>
      <w:r>
        <w:rPr>
          <w:spacing w:val="-64"/>
        </w:rPr>
        <w:t> </w:t>
      </w:r>
      <w:r>
        <w:rPr>
          <w:spacing w:val="-64"/>
        </w:rPr>
      </w:r>
      <w:r>
        <w:rPr>
          <w:spacing w:val="-2"/>
        </w:rPr>
        <w:t>始投资成本；初始投资成本小于投资时应享有被投资单位可辨认净资产公允价值份额的，其差额计入当期损益，同时调整长</w:t>
      </w:r>
      <w:r>
        <w:rPr>
          <w:spacing w:val="-66"/>
        </w:rPr>
        <w:t> </w:t>
      </w:r>
      <w:r>
        <w:rPr>
          <w:spacing w:val="-66"/>
        </w:rPr>
      </w:r>
      <w:r>
        <w:rPr/>
        <w:t>期股权投资的成本。</w:t>
      </w:r>
    </w:p>
    <w:p>
      <w:pPr>
        <w:pStyle w:val="BodyText"/>
        <w:spacing w:line="316" w:lineRule="auto" w:before="19"/>
        <w:ind w:right="1131" w:firstLine="480"/>
        <w:jc w:val="both"/>
      </w:pPr>
      <w:r>
        <w:rPr>
          <w:spacing w:val="-1"/>
        </w:rPr>
        <w:t>采用权益法核算时，按照应享有或应分担的被投资单位实现的净损益和其他综合收益的份额，分别确认投资收益和其</w:t>
      </w:r>
      <w:r>
        <w:rPr/>
        <w:t> 他综合收益 ，同时调整长期股权投资的账面价值；按照被投资单位宣告分派的利润或现金股利计算应享有的部分，相应减 </w:t>
      </w:r>
      <w:r>
        <w:rPr>
          <w:spacing w:val="-2"/>
        </w:rPr>
        <w:t>少长期股权投资的账面价值；对于被投资单位除净损益、其他综合收益和利润分配以外所有者权益的其他变动，调整长期股</w:t>
      </w:r>
      <w:r>
        <w:rPr>
          <w:spacing w:val="-66"/>
        </w:rPr>
        <w:t> </w:t>
      </w:r>
      <w:r>
        <w:rPr>
          <w:spacing w:val="-66"/>
        </w:rPr>
      </w:r>
      <w:r>
        <w:rPr>
          <w:spacing w:val="-2"/>
        </w:rPr>
        <w:t>权投资的账面价值并计入资本公积。在确认应享有被投资单位净损益的份额时，以取得投资时被投资单位各项可辨认资产等</w:t>
      </w:r>
      <w:r>
        <w:rPr>
          <w:spacing w:val="-64"/>
        </w:rPr>
        <w:t> </w:t>
      </w:r>
      <w:r>
        <w:rPr>
          <w:spacing w:val="-64"/>
        </w:rPr>
      </w:r>
      <w:r>
        <w:rPr>
          <w:spacing w:val="-2"/>
        </w:rPr>
        <w:t>的公允价值为基础，对被投资单位的净利润进行调整后确认。被投资单位采用的会计政策及会计期间与本公司不一致的，按</w:t>
      </w:r>
      <w:r>
        <w:rPr>
          <w:spacing w:val="-66"/>
        </w:rPr>
        <w:t> </w:t>
      </w:r>
      <w:r>
        <w:rPr>
          <w:spacing w:val="-66"/>
        </w:rPr>
      </w:r>
      <w:r>
        <w:rPr>
          <w:spacing w:val="-2"/>
        </w:rPr>
        <w:t>照本公司的会计政策及会计期间对被投资单位的财务报表进行调整，并据以确认投资收益和其他综合收益。对于本集团与联</w:t>
      </w:r>
      <w:r>
        <w:rPr>
          <w:spacing w:val="-64"/>
        </w:rPr>
        <w:t> </w:t>
      </w:r>
      <w:r>
        <w:rPr>
          <w:spacing w:val="-64"/>
        </w:rPr>
      </w:r>
      <w:r>
        <w:rPr>
          <w:spacing w:val="-2"/>
        </w:rPr>
        <w:t>营企业之间发生的交易，投出或出售的资产不构成业务的，未实现内部交易损益按照享有的比例计算归属于本集团的部分予</w:t>
      </w:r>
      <w:r>
        <w:rPr>
          <w:spacing w:val="-64"/>
        </w:rPr>
        <w:t> </w:t>
      </w:r>
      <w:r>
        <w:rPr>
          <w:spacing w:val="-64"/>
        </w:rPr>
      </w:r>
      <w:r>
        <w:rPr>
          <w:spacing w:val="-2"/>
        </w:rPr>
        <w:t>以抵销，在此基础上确认投资损益。但本集团与被投资单位发生的未实现内部交易损失，属于所转让资产减值损失的，不予</w:t>
      </w:r>
    </w:p>
    <w:p>
      <w:pPr>
        <w:spacing w:after="0" w:line="316"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t>以抵销。</w:t>
      </w:r>
    </w:p>
    <w:p>
      <w:pPr>
        <w:pStyle w:val="BodyText"/>
        <w:spacing w:line="316" w:lineRule="auto" w:before="76"/>
        <w:ind w:right="1131" w:firstLine="480"/>
        <w:jc w:val="both"/>
      </w:pPr>
      <w:r>
        <w:rPr>
          <w:spacing w:val="-1"/>
        </w:rPr>
        <w:t>在确认应分担被投资单位发生的净亏损时，以长期股权投资的账面价值和其他实质上构成对被投资单位净投资的长期</w:t>
      </w:r>
      <w:r>
        <w:rPr/>
        <w:t> </w:t>
      </w:r>
      <w:r>
        <w:rPr>
          <w:spacing w:val="-2"/>
        </w:rPr>
        <w:t>权益减记至零为限。此外，如本集团对被投资单位负有承担额外损失的义务，则按预计承担的义务确认预计负债，计入当期</w:t>
      </w:r>
      <w:r>
        <w:rPr>
          <w:spacing w:val="-66"/>
        </w:rPr>
        <w:t> </w:t>
      </w:r>
      <w:r>
        <w:rPr>
          <w:spacing w:val="-66"/>
        </w:rPr>
      </w:r>
      <w:r>
        <w:rPr/>
        <w:t>投资损失。被投资单位以后期间实现净利润的，本集团在收益分享额弥补未确认的亏损分担额后，恢复确认收益分享额。</w:t>
      </w:r>
    </w:p>
    <w:p>
      <w:pPr>
        <w:pStyle w:val="BodyText"/>
        <w:spacing w:line="316" w:lineRule="auto" w:before="19"/>
        <w:ind w:left="634" w:right="4332" w:firstLine="60"/>
        <w:jc w:val="left"/>
      </w:pPr>
      <w:r>
        <w:rPr>
          <w:rFonts w:ascii="宋体" w:hAnsi="宋体" w:cs="宋体" w:eastAsia="宋体" w:hint="default"/>
        </w:rPr>
      </w:r>
      <w:r>
        <w:rPr>
          <w:rFonts w:ascii="宋体" w:hAnsi="宋体" w:cs="宋体" w:eastAsia="宋体" w:hint="default"/>
          <w:u w:val="single" w:color="000000"/>
        </w:rPr>
        <w:t>12.4</w:t>
      </w:r>
      <w:r>
        <w:rPr>
          <w:u w:val="single" w:color="000000"/>
        </w:rPr>
        <w:t>长期股权投资处置</w:t>
      </w:r>
      <w:r>
        <w:rPr/>
      </w:r>
      <w:r>
        <w:rPr/>
        <w:t> 处置长期股权投资时，其账面价值与实际取得价款的差额，计入当期损益。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13、投资性房地产" w:id="184"/>
      <w:bookmarkEnd w:id="184"/>
      <w:r>
        <w:rPr>
          <w:b w:val="0"/>
          <w:bCs w:val="0"/>
        </w:rPr>
      </w:r>
      <w:r>
        <w:rPr>
          <w:rFonts w:ascii="Times New Roman" w:hAnsi="Times New Roman" w:cs="Times New Roman" w:eastAsia="Times New Roman" w:hint="default"/>
        </w:rPr>
        <w:t>13</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952"/>
        <w:jc w:val="left"/>
      </w:pPr>
      <w:r>
        <w:rPr/>
        <w:t>投资性房地产计量模式 成本法计量 折旧或摊销方法</w:t>
      </w:r>
    </w:p>
    <w:p>
      <w:pPr>
        <w:pStyle w:val="BodyText"/>
        <w:spacing w:line="316" w:lineRule="auto" w:before="25"/>
        <w:ind w:left="634" w:right="0"/>
        <w:jc w:val="left"/>
      </w:pPr>
      <w:r>
        <w:rPr/>
        <w:t>投资性房地产是指为赚取租金或资本增值，或两者兼有而持有的房地产，包括已出租的建筑物及土地。 </w:t>
      </w:r>
      <w:r>
        <w:rPr>
          <w:spacing w:val="-1"/>
        </w:rPr>
        <w:t>投资性房地产按成本进行初始计量。与投资性房地产有关的后续支出，如果与该资产有关的经济利益很可能流入且其</w:t>
      </w:r>
    </w:p>
    <w:p>
      <w:pPr>
        <w:pStyle w:val="BodyText"/>
        <w:spacing w:line="316" w:lineRule="auto" w:before="19"/>
        <w:ind w:left="634" w:right="0" w:hanging="480"/>
        <w:jc w:val="left"/>
      </w:pPr>
      <w:r>
        <w:rPr/>
        <w:t>成本能可靠地计量，则计入投资性房地产成本。其他后续支出，在发生时计入当期损益。 </w:t>
      </w:r>
      <w:r>
        <w:rPr>
          <w:spacing w:val="-1"/>
        </w:rPr>
        <w:t>本集团采用成本模式对投资性房地产进行后续计量，并按照与房屋建筑物一致的政策进行折旧。投资性房地产的预计</w:t>
      </w:r>
    </w:p>
    <w:p>
      <w:pPr>
        <w:pStyle w:val="BodyText"/>
        <w:spacing w:line="240" w:lineRule="auto" w:before="19"/>
        <w:ind w:right="0"/>
        <w:jc w:val="left"/>
      </w:pPr>
      <w:r>
        <w:rPr/>
        <w:t>使用寿命、净残值率及年折旧</w:t>
      </w:r>
      <w:r>
        <w:rPr>
          <w:rFonts w:ascii="宋体" w:hAnsi="宋体" w:cs="宋体" w:eastAsia="宋体" w:hint="default"/>
        </w:rPr>
        <w:t>(</w:t>
      </w:r>
      <w:r>
        <w:rPr/>
        <w:t>摊销</w:t>
      </w:r>
      <w:r>
        <w:rPr>
          <w:rFonts w:ascii="宋体" w:hAnsi="宋体" w:cs="宋体" w:eastAsia="宋体" w:hint="default"/>
        </w:rPr>
        <w:t>)</w:t>
      </w:r>
      <w:r>
        <w:rPr/>
        <w:t>率列示如下：</w:t>
      </w: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2604"/>
        <w:gridCol w:w="2169"/>
        <w:gridCol w:w="2462"/>
        <w:gridCol w:w="2424"/>
      </w:tblGrid>
      <w:tr>
        <w:trPr>
          <w:trHeight w:val="347" w:hRule="exact"/>
        </w:trPr>
        <w:tc>
          <w:tcPr>
            <w:tcW w:w="260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6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预计使用寿命</w:t>
            </w:r>
            <w:r>
              <w:rPr>
                <w:rFonts w:ascii="宋体" w:hAnsi="宋体" w:cs="宋体" w:eastAsia="宋体" w:hint="default"/>
                <w:sz w:val="18"/>
                <w:szCs w:val="18"/>
              </w:rPr>
              <w:t>(</w:t>
            </w:r>
            <w:r>
              <w:rPr>
                <w:rFonts w:ascii="宋体" w:hAnsi="宋体" w:cs="宋体" w:eastAsia="宋体" w:hint="default"/>
                <w:sz w:val="18"/>
                <w:szCs w:val="18"/>
              </w:rPr>
              <w:t>年</w:t>
            </w:r>
            <w:r>
              <w:rPr>
                <w:rFonts w:ascii="宋体" w:hAnsi="宋体" w:cs="宋体" w:eastAsia="宋体" w:hint="default"/>
                <w:sz w:val="18"/>
                <w:szCs w:val="18"/>
              </w:rPr>
              <w:t>)</w:t>
            </w:r>
          </w:p>
        </w:tc>
        <w:tc>
          <w:tcPr>
            <w:tcW w:w="24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预计净残值率</w:t>
            </w:r>
          </w:p>
        </w:tc>
        <w:tc>
          <w:tcPr>
            <w:tcW w:w="24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347" w:hRule="exact"/>
        </w:trPr>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土地所有权</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2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永久</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w:t>
            </w:r>
          </w:p>
        </w:tc>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w:t>
            </w:r>
          </w:p>
        </w:tc>
      </w:tr>
      <w:tr>
        <w:trPr>
          <w:trHeight w:val="348" w:hRule="exact"/>
        </w:trPr>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39</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w:t>
            </w:r>
          </w:p>
        </w:tc>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2.56%</w:t>
            </w:r>
          </w:p>
        </w:tc>
      </w:tr>
    </w:tbl>
    <w:p>
      <w:pPr>
        <w:pStyle w:val="BodyText"/>
        <w:spacing w:line="319" w:lineRule="auto" w:before="10"/>
        <w:ind w:right="1182" w:firstLine="480"/>
        <w:jc w:val="left"/>
      </w:pPr>
      <w:r>
        <w:rPr/>
        <w:t>注：本集团投资性房地产中的土地所有权系收购的美国全资子公司</w:t>
      </w:r>
      <w:r>
        <w:rPr>
          <w:rFonts w:ascii="宋体" w:hAnsi="宋体" w:cs="宋体" w:eastAsia="宋体" w:hint="default"/>
        </w:rPr>
        <w:t>Freedom</w:t>
      </w:r>
      <w:r>
        <w:rPr/>
        <w:t>持有的依据美国相关法律规定拥有的土地 永久产权，无需进行摊销。</w:t>
      </w:r>
    </w:p>
    <w:p>
      <w:pPr>
        <w:pStyle w:val="BodyText"/>
        <w:spacing w:line="240" w:lineRule="auto" w:before="17"/>
        <w:ind w:left="634" w:right="0"/>
        <w:jc w:val="left"/>
      </w:pPr>
      <w:r>
        <w:rPr/>
        <w:t>投资性房地产出售、转让、报废或毁损的处置收入扣除其账面价值和相关税费后的差额计入当期损益。</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14、固定资产" w:id="185"/>
      <w:bookmarkEnd w:id="185"/>
      <w:r>
        <w:rPr>
          <w:b w:val="0"/>
          <w:bCs w:val="0"/>
        </w:rPr>
      </w: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确认条件" w:id="186"/>
      <w:bookmarkEnd w:id="186"/>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2"/>
        </w:rPr>
        <w:t>固定资产是指为生产商品、提供劳务、出租或经营管理而持有的，使用寿命超过一个会计年度的有形资产。固定资产仅</w:t>
      </w:r>
      <w:r>
        <w:rPr/>
        <w:t> 在与其有关的经济利益很可能流入本集团，且其成本能够可靠地计量时才予以确认。固定资产按成本进行初始计量。</w:t>
      </w:r>
    </w:p>
    <w:p>
      <w:pPr>
        <w:pStyle w:val="BodyText"/>
        <w:spacing w:line="319" w:lineRule="auto" w:before="56"/>
        <w:ind w:right="0" w:firstLine="360"/>
        <w:jc w:val="left"/>
      </w:pPr>
      <w:r>
        <w:rPr>
          <w:spacing w:val="-2"/>
        </w:rPr>
        <w:t>与固定资产有关的后续支出，如果与该固定资产有关的经济利益很可能流入且其成本能可靠地计量，则计入固定资产成</w:t>
      </w:r>
      <w:r>
        <w:rPr/>
        <w:t> 本，并终止确认被替换部分的账面价值。除此以外的其他后续支出，在发生时计入当期损益。</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2）折旧方法" w:id="187"/>
      <w:bookmarkEnd w:id="187"/>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房屋及建筑物、构筑物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-11.5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8.70%-33.33%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19.00%-33.33%</w:t>
            </w:r>
          </w:p>
        </w:tc>
      </w:tr>
    </w:tbl>
    <w:p>
      <w:pPr>
        <w:pStyle w:val="BodyText"/>
        <w:spacing w:line="316" w:lineRule="auto" w:before="10"/>
        <w:ind w:right="0" w:firstLine="379"/>
        <w:jc w:val="left"/>
      </w:pPr>
      <w:r>
        <w:rPr/>
        <w:t>固定资产从达到预定可使用状态的次月起，采用年限平均法在使用寿命内计提折旧。各类固定资产的使用寿命、预计 净残值和年折旧率如上。</w:t>
      </w:r>
    </w:p>
    <w:p>
      <w:pPr>
        <w:spacing w:after="0" w:line="316"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0" w:firstLine="397"/>
        <w:jc w:val="left"/>
      </w:pPr>
      <w:r>
        <w:rPr/>
        <w:t>预计净残值是指假定固定资产预计使用寿命已满并处于使用寿命终了时的预期状态，本集团目前从该项资产处置中获 得的扣除预计处置费用后的金额。</w:t>
      </w:r>
    </w:p>
    <w:p>
      <w:pPr>
        <w:pStyle w:val="BodyText"/>
        <w:spacing w:line="316" w:lineRule="auto" w:before="19"/>
        <w:ind w:right="0" w:firstLine="360"/>
        <w:jc w:val="left"/>
      </w:pPr>
      <w:r>
        <w:rPr>
          <w:spacing w:val="-2"/>
        </w:rPr>
        <w:t>当固定资产处置时或预期通过使用或处置不能产生经济利益时，终止确认该固定资产。固定资产出售、转让、报废或毁</w:t>
      </w:r>
      <w:r>
        <w:rPr/>
        <w:t> 损的处置收入扣除其账面价值和相关税费后的差额计入当期损益。</w:t>
      </w:r>
    </w:p>
    <w:p>
      <w:pPr>
        <w:pStyle w:val="BodyText"/>
        <w:spacing w:line="240" w:lineRule="auto" w:before="19"/>
        <w:ind w:left="514" w:right="0"/>
        <w:jc w:val="left"/>
      </w:pPr>
      <w:r>
        <w:rPr/>
        <w:t>本集团至少于年度终了对固定资产的使用寿命</w:t>
      </w:r>
      <w:r>
        <w:rPr>
          <w:spacing w:val="-87"/>
        </w:rPr>
        <w:t>、</w:t>
      </w:r>
      <w:r>
        <w:rPr/>
        <w:t>预计净残值和折旧方法进行复核</w:t>
      </w:r>
      <w:r>
        <w:rPr>
          <w:spacing w:val="-87"/>
        </w:rPr>
        <w:t>，</w:t>
      </w:r>
      <w:r>
        <w:rPr/>
        <w:t>如发生改变则作为会计估计变更处理。</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融资租入固定资产的认定依据、计价和折旧方法" w:id="188"/>
      <w:bookmarkEnd w:id="188"/>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5、在建工程" w:id="189"/>
      <w:bookmarkEnd w:id="189"/>
      <w:r>
        <w:rPr>
          <w:b w:val="0"/>
          <w:bCs w:val="0"/>
        </w:rPr>
      </w:r>
      <w:r>
        <w:rPr>
          <w:rFonts w:ascii="Times New Roman" w:hAnsi="Times New Roman" w:cs="Times New Roman" w:eastAsia="Times New Roman" w:hint="default"/>
        </w:rPr>
        <w:t>15</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16" w:lineRule="auto" w:before="28"/>
        <w:ind w:right="1131" w:firstLine="360"/>
        <w:jc w:val="both"/>
      </w:pPr>
      <w:r>
        <w:rPr>
          <w:spacing w:val="-2"/>
        </w:rPr>
        <w:t>在建工程按实际成本计量，实际成本包括在建期间发生的各项支出、以及其他相关费用等。在建工程不计提折旧。在建</w:t>
      </w:r>
      <w:r>
        <w:rPr/>
        <w:t> 工程达到预定可使用状态后结转为固定资产。</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16、借款费用" w:id="190"/>
      <w:bookmarkEnd w:id="190"/>
      <w:r>
        <w:rPr>
          <w:b w:val="0"/>
          <w:bCs w:val="0"/>
        </w:rPr>
      </w:r>
      <w:r>
        <w:rPr>
          <w:rFonts w:ascii="Times New Roman" w:hAnsi="Times New Roman" w:cs="Times New Roman" w:eastAsia="Times New Roman" w:hint="default"/>
        </w:rPr>
        <w:t>16</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290"/>
        <w:jc w:val="both"/>
      </w:pPr>
      <w:r>
        <w:rPr>
          <w:spacing w:val="-1"/>
        </w:rPr>
        <w:t>可直接归属于符合资本化条件的资产的购建或者生产的借款费用，在资产支出已经发生、借款费用已经发生、为使资产</w:t>
      </w:r>
      <w:r>
        <w:rPr/>
        <w:t> </w:t>
      </w:r>
      <w:r>
        <w:rPr>
          <w:spacing w:val="-2"/>
        </w:rPr>
        <w:t>达到预定可使用或可销售状态所必要的购建或生产活动已经开始时，开始资本化；构建或者生产的符合资本化条件的资产达</w:t>
      </w:r>
      <w:r>
        <w:rPr>
          <w:spacing w:val="-64"/>
        </w:rPr>
        <w:t> </w:t>
      </w:r>
      <w:r>
        <w:rPr>
          <w:spacing w:val="-64"/>
        </w:rPr>
      </w:r>
      <w:r>
        <w:rPr/>
        <w:t>到预定可使用状态或者可销售状态时，停止资本化。其余借款费用在发生当期确认为费用。</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17、无形资产" w:id="191"/>
      <w:bookmarkEnd w:id="191"/>
      <w:r>
        <w:rPr>
          <w:b w:val="0"/>
          <w:bCs w:val="0"/>
        </w:rPr>
      </w:r>
      <w:r>
        <w:rPr>
          <w:rFonts w:ascii="Times New Roman" w:hAnsi="Times New Roman" w:cs="Times New Roman" w:eastAsia="Times New Roman" w:hint="default"/>
        </w:rPr>
        <w:t>17</w:t>
      </w:r>
      <w:r>
        <w:rPr/>
        <w:t>、无形资产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计价方法、使用寿命、减值测试" w:id="192"/>
      <w:bookmarkEnd w:id="192"/>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634" w:right="5952" w:firstLine="60"/>
        <w:jc w:val="left"/>
      </w:pPr>
      <w:r>
        <w:rPr>
          <w:rFonts w:ascii="宋体" w:hAnsi="宋体" w:cs="宋体" w:eastAsia="宋体" w:hint="default"/>
        </w:rPr>
      </w:r>
      <w:r>
        <w:rPr>
          <w:rFonts w:ascii="宋体" w:hAnsi="宋体" w:cs="宋体" w:eastAsia="宋体" w:hint="default"/>
          <w:u w:val="single" w:color="000000"/>
        </w:rPr>
        <w:t>17.1</w:t>
      </w:r>
      <w:r>
        <w:rPr>
          <w:u w:val="single" w:color="000000"/>
        </w:rPr>
        <w:t>无形资产</w:t>
      </w:r>
      <w:r>
        <w:rPr/>
      </w:r>
      <w:r>
        <w:rPr/>
        <w:t> 无形资产包括土地使用权、软件使用权、客户关系等。</w:t>
      </w:r>
    </w:p>
    <w:p>
      <w:pPr>
        <w:pStyle w:val="BodyText"/>
        <w:spacing w:line="316" w:lineRule="auto" w:before="19"/>
        <w:ind w:right="0" w:firstLine="480"/>
        <w:jc w:val="left"/>
      </w:pPr>
      <w:r>
        <w:rPr>
          <w:spacing w:val="-1"/>
        </w:rPr>
        <w:t>无形资产按成本进行初始计量。使用寿命有限的无形资产自可供使用之日起，对其原值减去预计净残值和已计提的减</w:t>
      </w:r>
      <w:r>
        <w:rPr/>
        <w:t> 值准备累计金额在其预计使用寿命内采用直线法摊销。各类无形资产的使用寿命和预计净残值如下：</w:t>
      </w:r>
    </w:p>
    <w:tbl>
      <w:tblPr>
        <w:tblW w:w="0" w:type="auto"/>
        <w:jc w:val="left"/>
        <w:tblInd w:w="870" w:type="dxa"/>
        <w:tblLayout w:type="fixed"/>
        <w:tblCellMar>
          <w:top w:w="0" w:type="dxa"/>
          <w:left w:w="0" w:type="dxa"/>
          <w:bottom w:w="0" w:type="dxa"/>
          <w:right w:w="0" w:type="dxa"/>
        </w:tblCellMar>
        <w:tblLook w:val="01E0"/>
      </w:tblPr>
      <w:tblGrid>
        <w:gridCol w:w="5130"/>
        <w:gridCol w:w="2160"/>
        <w:gridCol w:w="2160"/>
      </w:tblGrid>
      <w:tr>
        <w:trPr>
          <w:trHeight w:val="347" w:hRule="exact"/>
        </w:trPr>
        <w:tc>
          <w:tcPr>
            <w:tcW w:w="5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使用寿命</w:t>
            </w:r>
            <w:r>
              <w:rPr>
                <w:rFonts w:ascii="宋体" w:hAnsi="宋体" w:cs="宋体" w:eastAsia="宋体" w:hint="default"/>
                <w:sz w:val="18"/>
                <w:szCs w:val="18"/>
              </w:rPr>
              <w:t>(</w:t>
            </w:r>
            <w:r>
              <w:rPr>
                <w:rFonts w:ascii="宋体" w:hAnsi="宋体" w:cs="宋体" w:eastAsia="宋体" w:hint="default"/>
                <w:sz w:val="18"/>
                <w:szCs w:val="18"/>
              </w:rPr>
              <w:t>年</w:t>
            </w:r>
            <w:r>
              <w:rPr>
                <w:rFonts w:ascii="宋体" w:hAnsi="宋体" w:cs="宋体" w:eastAsia="宋体" w:hint="default"/>
                <w:sz w:val="18"/>
                <w:szCs w:val="18"/>
              </w:rPr>
              <w:t>)</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残值率</w:t>
            </w:r>
            <w:r>
              <w:rPr>
                <w:rFonts w:ascii="宋体" w:hAnsi="宋体" w:cs="宋体" w:eastAsia="宋体" w:hint="default"/>
                <w:sz w:val="18"/>
                <w:szCs w:val="18"/>
              </w:rPr>
              <w:t>(%)</w:t>
            </w:r>
          </w:p>
        </w:tc>
      </w:tr>
      <w:tr>
        <w:trPr>
          <w:trHeight w:val="347" w:hRule="exact"/>
        </w:trPr>
        <w:tc>
          <w:tcPr>
            <w:tcW w:w="5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47</w:t>
            </w:r>
            <w:r>
              <w:rPr>
                <w:rFonts w:ascii="宋体" w:hAnsi="宋体" w:cs="宋体" w:eastAsia="宋体" w:hint="default"/>
                <w:sz w:val="18"/>
                <w:szCs w:val="18"/>
              </w:rPr>
              <w:t>年</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w:t>
            </w:r>
          </w:p>
        </w:tc>
      </w:tr>
      <w:tr>
        <w:trPr>
          <w:trHeight w:val="348" w:hRule="exact"/>
        </w:trPr>
        <w:tc>
          <w:tcPr>
            <w:tcW w:w="5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软件及其他</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z w:val="18"/>
                <w:szCs w:val="18"/>
              </w:rPr>
              <w:t>年</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w:t>
            </w:r>
          </w:p>
        </w:tc>
      </w:tr>
      <w:tr>
        <w:trPr>
          <w:trHeight w:val="347" w:hRule="exact"/>
        </w:trPr>
        <w:tc>
          <w:tcPr>
            <w:tcW w:w="5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w:t>
            </w:r>
          </w:p>
        </w:tc>
      </w:tr>
    </w:tbl>
    <w:p>
      <w:pPr>
        <w:spacing w:line="240" w:lineRule="auto" w:before="12"/>
        <w:rPr>
          <w:rFonts w:ascii="宋体" w:hAnsi="宋体" w:cs="宋体" w:eastAsia="宋体" w:hint="default"/>
          <w:sz w:val="21"/>
          <w:szCs w:val="21"/>
        </w:rPr>
      </w:pPr>
    </w:p>
    <w:p>
      <w:pPr>
        <w:pStyle w:val="BodyText"/>
        <w:spacing w:line="316" w:lineRule="auto" w:before="44"/>
        <w:ind w:right="0" w:firstLine="480"/>
        <w:jc w:val="left"/>
      </w:pPr>
      <w:r>
        <w:rPr>
          <w:spacing w:val="-1"/>
        </w:rPr>
        <w:t>期末，对使用寿命有限的无形资产的使用寿命和摊销方法进行复核，必要时进行调整。经复核，本期期末无形资产的</w:t>
      </w:r>
      <w:r>
        <w:rPr/>
        <w:t> 使用寿命及摊销方法与以前估计未有不同。</w:t>
      </w:r>
    </w:p>
    <w:p>
      <w:pPr>
        <w:spacing w:line="240" w:lineRule="auto" w:before="6"/>
        <w:rPr>
          <w:rFonts w:ascii="宋体" w:hAnsi="宋体" w:cs="宋体" w:eastAsia="宋体" w:hint="default"/>
          <w:sz w:val="24"/>
          <w:szCs w:val="24"/>
        </w:rPr>
      </w:pPr>
    </w:p>
    <w:p>
      <w:pPr>
        <w:spacing w:before="0"/>
        <w:ind w:left="154" w:right="0" w:firstLine="0"/>
        <w:jc w:val="left"/>
        <w:rPr>
          <w:rFonts w:ascii="宋体" w:hAnsi="宋体" w:cs="宋体" w:eastAsia="宋体" w:hint="default"/>
          <w:sz w:val="18"/>
          <w:szCs w:val="18"/>
        </w:rPr>
      </w:pPr>
      <w:bookmarkStart w:name="（2）内部研究开发支出会计政策" w:id="193"/>
      <w:bookmarkEnd w:id="193"/>
      <w:r>
        <w:rPr/>
      </w: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）内部研究开发支出会计政策</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pStyle w:val="BodyText"/>
        <w:spacing w:line="319" w:lineRule="auto" w:before="141"/>
        <w:ind w:left="514" w:right="6972"/>
        <w:jc w:val="left"/>
      </w:pPr>
      <w:r>
        <w:rPr>
          <w:rFonts w:ascii="宋体" w:hAnsi="宋体" w:cs="宋体" w:eastAsia="宋体" w:hint="default"/>
        </w:rPr>
      </w:r>
      <w:r>
        <w:rPr>
          <w:rFonts w:ascii="宋体" w:hAnsi="宋体" w:cs="宋体" w:eastAsia="宋体" w:hint="default"/>
          <w:u w:val="single" w:color="000000"/>
        </w:rPr>
        <w:t>17.2</w:t>
      </w:r>
      <w:r>
        <w:rPr>
          <w:u w:val="single" w:color="000000"/>
        </w:rPr>
        <w:t>内部研究开发支出</w:t>
      </w:r>
      <w:r>
        <w:rPr/>
      </w:r>
      <w:r>
        <w:rPr/>
        <w:t> 研究阶段的支出，于发生时计入当期损益。</w:t>
      </w:r>
    </w:p>
    <w:p>
      <w:pPr>
        <w:pStyle w:val="BodyText"/>
        <w:spacing w:line="316" w:lineRule="auto" w:before="17"/>
        <w:ind w:left="604" w:right="1752" w:hanging="90"/>
        <w:jc w:val="left"/>
      </w:pPr>
      <w:r>
        <w:rPr/>
        <w:t>开发阶段的支出同时满足下列条件的，确认为无形资产，不能满足下述条件的开发阶段的支出计入当期损益： </w:t>
      </w:r>
      <w:r>
        <w:rPr>
          <w:rFonts w:ascii="宋体" w:hAnsi="宋体" w:cs="宋体" w:eastAsia="宋体" w:hint="default"/>
        </w:rPr>
        <w:t>1.</w:t>
      </w:r>
      <w:r>
        <w:rPr/>
        <w:t>完成该无形资产以使其能够使用或出售在技术上具有可行性；</w:t>
      </w:r>
    </w:p>
    <w:p>
      <w:pPr>
        <w:pStyle w:val="BodyText"/>
        <w:spacing w:line="240" w:lineRule="auto" w:before="19"/>
        <w:ind w:left="604" w:right="0"/>
        <w:jc w:val="left"/>
      </w:pPr>
      <w:r>
        <w:rPr>
          <w:rFonts w:ascii="宋体" w:hAnsi="宋体" w:cs="宋体" w:eastAsia="宋体" w:hint="default"/>
        </w:rPr>
        <w:t>2.</w:t>
      </w:r>
      <w:r>
        <w:rPr/>
        <w:t>具有完成该无形资产并使用或出售的意图；</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22" w:firstLine="450"/>
        <w:jc w:val="left"/>
      </w:pPr>
      <w:r>
        <w:rPr>
          <w:rFonts w:ascii="宋体" w:hAnsi="宋体" w:cs="宋体" w:eastAsia="宋体" w:hint="default"/>
        </w:rPr>
        <w:t>3.</w:t>
      </w:r>
      <w:r>
        <w:rPr/>
        <w:t>无形资产产生经济利益的方式，包括能够证明运用该无形资产生产的产品存在市场或无形资产自身存在市场，无形 资产将在内部使用的，能够证明其有用性；</w:t>
      </w:r>
    </w:p>
    <w:p>
      <w:pPr>
        <w:pStyle w:val="BodyText"/>
        <w:spacing w:line="240" w:lineRule="auto" w:before="19"/>
        <w:ind w:left="604" w:right="0"/>
        <w:jc w:val="left"/>
      </w:pPr>
      <w:r>
        <w:rPr>
          <w:rFonts w:ascii="宋体" w:hAnsi="宋体" w:cs="宋体" w:eastAsia="宋体" w:hint="default"/>
        </w:rPr>
        <w:t>4.</w:t>
      </w:r>
      <w:r>
        <w:rPr/>
        <w:t>有足够的技术、财务资源和其他资源支持，以完成该无形资产的开发，并有能力使用或出售该无形资产；</w:t>
      </w:r>
    </w:p>
    <w:p>
      <w:pPr>
        <w:pStyle w:val="BodyText"/>
        <w:spacing w:line="319" w:lineRule="auto" w:before="76"/>
        <w:ind w:left="514" w:right="0" w:firstLine="90"/>
        <w:jc w:val="left"/>
      </w:pPr>
      <w:r>
        <w:rPr>
          <w:rFonts w:ascii="宋体" w:hAnsi="宋体" w:cs="宋体" w:eastAsia="宋体" w:hint="default"/>
        </w:rPr>
        <w:t>5.</w:t>
      </w:r>
      <w:r>
        <w:rPr/>
        <w:t>归属于该无形资产开发阶段的支出能够可靠地计量。 </w:t>
      </w:r>
      <w:r>
        <w:rPr>
          <w:spacing w:val="-2"/>
        </w:rPr>
        <w:t>无法区分研究阶段支出和开发阶段支出的，将发生的研发支出全部计入当期损益。内部开发活动形成的无形资产的成本</w:t>
      </w:r>
    </w:p>
    <w:p>
      <w:pPr>
        <w:pStyle w:val="BodyText"/>
        <w:spacing w:line="316" w:lineRule="auto" w:before="17"/>
        <w:ind w:right="1131"/>
        <w:jc w:val="both"/>
      </w:pPr>
      <w:r>
        <w:rPr>
          <w:spacing w:val="-2"/>
        </w:rPr>
        <w:t>仅包括满足资本化条件的时点至无形资产达到预定用途前发生的支出总额，对于同一项无形资产在开发过程中达到资本化条</w:t>
      </w:r>
      <w:r>
        <w:rPr>
          <w:spacing w:val="-64"/>
        </w:rPr>
        <w:t> </w:t>
      </w:r>
      <w:r>
        <w:rPr>
          <w:spacing w:val="-64"/>
        </w:rPr>
      </w:r>
      <w:r>
        <w:rPr/>
        <w:t>件之前已经费用化计入损益的支出不再进行调整。</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bookmarkStart w:name="18、长期资产减值" w:id="194"/>
      <w:bookmarkEnd w:id="194"/>
      <w:r>
        <w:rPr>
          <w:b w:val="0"/>
          <w:bCs w:val="0"/>
        </w:rPr>
      </w:r>
      <w:r>
        <w:rPr>
          <w:rFonts w:ascii="Times New Roman" w:hAnsi="Times New Roman" w:cs="Times New Roman" w:eastAsia="Times New Roman" w:hint="default"/>
        </w:rPr>
        <w:t>18</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290"/>
        <w:jc w:val="both"/>
      </w:pPr>
      <w:r>
        <w:rPr>
          <w:spacing w:val="-1"/>
        </w:rPr>
        <w:t>本集团在每一个资产负债表日检查长期股权投资、投资性房地产、固定资产、在建工程、使用寿命确定的无形资产、开</w:t>
      </w:r>
      <w:r>
        <w:rPr/>
        <w:t> 发支出是否存在可能发生减值的迹象。如果该等资产存在减值迹象，则估计其可收回金额。</w:t>
      </w:r>
    </w:p>
    <w:p>
      <w:pPr>
        <w:pStyle w:val="BodyText"/>
        <w:spacing w:line="316" w:lineRule="auto" w:before="19"/>
        <w:ind w:right="1131" w:firstLine="290"/>
        <w:jc w:val="both"/>
      </w:pPr>
      <w:r>
        <w:rPr>
          <w:spacing w:val="-1"/>
        </w:rPr>
        <w:t>估计资产的可收回金额以单项资产为基础，如果难以对单项资产的可收回金额进行估计的，则以该资产所属的资产组为</w:t>
      </w:r>
      <w:r>
        <w:rPr/>
        <w:t> </w:t>
      </w:r>
      <w:r>
        <w:rPr>
          <w:spacing w:val="-2"/>
        </w:rPr>
        <w:t>基础确定资产组的可收回金额。可收回金额为资产或者资产组的公允价值减去处置费用后的净额与其预计未来现金流量的现</w:t>
      </w:r>
      <w:r>
        <w:rPr>
          <w:spacing w:val="-64"/>
        </w:rPr>
        <w:t> </w:t>
      </w:r>
      <w:r>
        <w:rPr>
          <w:spacing w:val="-64"/>
        </w:rPr>
      </w:r>
      <w:r>
        <w:rPr/>
        <w:t>值两者之中的较高者。</w:t>
      </w:r>
    </w:p>
    <w:p>
      <w:pPr>
        <w:pStyle w:val="BodyText"/>
        <w:spacing w:line="316" w:lineRule="auto" w:before="19"/>
        <w:ind w:left="516" w:right="0" w:hanging="3"/>
        <w:jc w:val="left"/>
      </w:pPr>
      <w:r>
        <w:rPr/>
        <w:t>如果资产的可收回金额低于其账面价值，按其差额计提资产减值准备，并计入当期损益。 </w:t>
      </w:r>
      <w:r>
        <w:rPr>
          <w:spacing w:val="-2"/>
        </w:rPr>
        <w:t>商誉至少在每年年度终了进行减值测试。对商誉进行减值测试时，结合与其相关的资产组或者资产组组合进行。即，自</w:t>
      </w:r>
    </w:p>
    <w:p>
      <w:pPr>
        <w:pStyle w:val="BodyText"/>
        <w:spacing w:line="316" w:lineRule="auto" w:before="19"/>
        <w:ind w:right="1130"/>
        <w:jc w:val="both"/>
      </w:pPr>
      <w:r>
        <w:rPr>
          <w:spacing w:val="-2"/>
        </w:rPr>
        <w:t>购买日起将商誉的账面价值按照合理的方法分摊到能够从企业合并的协同效应中受益的资产组或资产组组合，如包含分摊的</w:t>
      </w:r>
      <w:r>
        <w:rPr>
          <w:spacing w:val="-64"/>
        </w:rPr>
        <w:t> </w:t>
      </w:r>
      <w:r>
        <w:rPr>
          <w:spacing w:val="-64"/>
        </w:rPr>
      </w:r>
      <w:r>
        <w:rPr>
          <w:spacing w:val="-2"/>
        </w:rPr>
        <w:t>商誉的资产组或资产组组合的可收回金额低于其账面价值的，确认相应的减值损失。减值损失金额首先抵减分摊到该资产组</w:t>
      </w:r>
      <w:r>
        <w:rPr>
          <w:spacing w:val="-63"/>
        </w:rPr>
        <w:t> </w:t>
      </w:r>
      <w:r>
        <w:rPr>
          <w:spacing w:val="-63"/>
        </w:rPr>
      </w:r>
      <w:r>
        <w:rPr>
          <w:spacing w:val="-2"/>
        </w:rPr>
        <w:t>或资产组组合的商誉的账面价值，再根据资产组或资产组组合中除商誉以外的其他各项资产的账面价值所占比重，按比例抵</w:t>
      </w:r>
      <w:r>
        <w:rPr>
          <w:spacing w:val="-64"/>
        </w:rPr>
        <w:t> </w:t>
      </w:r>
      <w:r>
        <w:rPr>
          <w:spacing w:val="-64"/>
        </w:rPr>
      </w:r>
      <w:r>
        <w:rPr/>
        <w:t>减其他各项资产的账面价值。</w:t>
      </w:r>
    </w:p>
    <w:p>
      <w:pPr>
        <w:pStyle w:val="BodyText"/>
        <w:spacing w:line="240" w:lineRule="auto" w:before="19"/>
        <w:ind w:left="461" w:right="0"/>
        <w:jc w:val="left"/>
      </w:pPr>
      <w:r>
        <w:rPr/>
        <w:t>上述资产减值损失一经确认，在以后会计期间不予转回。</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bookmarkStart w:name="19、长期待摊费用" w:id="195"/>
      <w:bookmarkEnd w:id="195"/>
      <w:r>
        <w:rPr>
          <w:b w:val="0"/>
          <w:bCs w:val="0"/>
        </w:rPr>
      </w:r>
      <w:r>
        <w:rPr>
          <w:rFonts w:ascii="Times New Roman" w:hAnsi="Times New Roman" w:cs="Times New Roman" w:eastAsia="Times New Roman" w:hint="default"/>
        </w:rPr>
        <w:t>19</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307"/>
        <w:jc w:val="both"/>
      </w:pPr>
      <w:r>
        <w:rPr>
          <w:spacing w:val="-1"/>
        </w:rPr>
        <w:t>长期待摊费用为已经发生但应由本年和以后各年负担的分摊期限在一年以上的各项费用。长期待摊费用在预计受益期间</w:t>
      </w:r>
      <w:r>
        <w:rPr/>
        <w:t> 分期平均摊销，包括如下：</w:t>
      </w:r>
    </w:p>
    <w:tbl>
      <w:tblPr>
        <w:tblW w:w="0" w:type="auto"/>
        <w:jc w:val="left"/>
        <w:tblInd w:w="137" w:type="dxa"/>
        <w:tblLayout w:type="fixed"/>
        <w:tblCellMar>
          <w:top w:w="0" w:type="dxa"/>
          <w:left w:w="0" w:type="dxa"/>
          <w:bottom w:w="0" w:type="dxa"/>
          <w:right w:w="0" w:type="dxa"/>
        </w:tblCellMar>
        <w:tblLook w:val="01E0"/>
      </w:tblPr>
      <w:tblGrid>
        <w:gridCol w:w="7795"/>
        <w:gridCol w:w="1864"/>
      </w:tblGrid>
      <w:tr>
        <w:trPr>
          <w:trHeight w:val="347" w:hRule="exact"/>
        </w:trPr>
        <w:tc>
          <w:tcPr>
            <w:tcW w:w="7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47" w:hRule="exact"/>
        </w:trPr>
        <w:tc>
          <w:tcPr>
            <w:tcW w:w="7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机房及办公楼装修</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3-11.5</w:t>
            </w:r>
            <w:r>
              <w:rPr>
                <w:rFonts w:ascii="宋体" w:hAnsi="宋体" w:cs="宋体" w:eastAsia="宋体" w:hint="default"/>
                <w:sz w:val="18"/>
                <w:szCs w:val="18"/>
              </w:rPr>
              <w:t>年</w:t>
            </w:r>
          </w:p>
        </w:tc>
      </w:tr>
      <w:tr>
        <w:trPr>
          <w:trHeight w:val="348" w:hRule="exact"/>
        </w:trPr>
        <w:tc>
          <w:tcPr>
            <w:tcW w:w="7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宋体" w:hAnsi="宋体" w:cs="宋体" w:eastAsia="宋体" w:hint="default"/>
                <w:sz w:val="18"/>
                <w:szCs w:val="18"/>
              </w:rPr>
              <w:t>用户获取费用</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347" w:hRule="exact"/>
        </w:trPr>
        <w:tc>
          <w:tcPr>
            <w:tcW w:w="7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IPTV</w:t>
            </w:r>
            <w:r>
              <w:rPr>
                <w:rFonts w:ascii="宋体" w:hAnsi="宋体" w:cs="宋体" w:eastAsia="宋体" w:hint="default"/>
                <w:sz w:val="18"/>
                <w:szCs w:val="18"/>
              </w:rPr>
              <w:t>用户获取费用</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347" w:hRule="exact"/>
        </w:trPr>
        <w:tc>
          <w:tcPr>
            <w:tcW w:w="7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MVNO</w:t>
            </w:r>
            <w:r>
              <w:rPr>
                <w:rFonts w:ascii="宋体" w:hAnsi="宋体" w:cs="宋体" w:eastAsia="宋体" w:hint="default"/>
                <w:sz w:val="18"/>
                <w:szCs w:val="18"/>
              </w:rPr>
              <w:t>软件系统平台使用费</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347" w:hRule="exact"/>
        </w:trPr>
        <w:tc>
          <w:tcPr>
            <w:tcW w:w="7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其他生产软件系统平台使用费和服务费</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348" w:hRule="exact"/>
        </w:trPr>
        <w:tc>
          <w:tcPr>
            <w:tcW w:w="7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租入固定资产改良支出</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年</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0、职工薪酬" w:id="196"/>
      <w:bookmarkEnd w:id="196"/>
      <w:r>
        <w:rPr>
          <w:b w:val="0"/>
          <w:bCs w:val="0"/>
        </w:rPr>
      </w:r>
      <w:r>
        <w:rPr>
          <w:rFonts w:ascii="Times New Roman" w:hAnsi="Times New Roman" w:cs="Times New Roman" w:eastAsia="Times New Roman" w:hint="default"/>
        </w:rPr>
        <w:t>20</w:t>
      </w:r>
      <w:r>
        <w:rPr/>
        <w:t>、职工薪酬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短期薪酬的会计处理方法" w:id="197"/>
      <w:bookmarkEnd w:id="197"/>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3" w:firstLine="325"/>
        <w:jc w:val="both"/>
      </w:pPr>
      <w:r>
        <w:rPr>
          <w:spacing w:val="-1"/>
        </w:rPr>
        <w:t>本集团在职工为其提供服务的会计期间，将实际发生的短期薪酬确认为负债，并计入当期损益或相关资产成本。本集团</w:t>
      </w:r>
      <w:r>
        <w:rPr/>
        <w:t> </w:t>
      </w:r>
      <w:r>
        <w:rPr>
          <w:spacing w:val="-2"/>
        </w:rPr>
        <w:t>发生的职工福利费，在实际发生时根据实际发生额计入当期损益或相关资产成本。职工福利费为非货币性福利的，按照公允</w:t>
      </w:r>
      <w:r>
        <w:rPr>
          <w:spacing w:val="-66"/>
        </w:rPr>
        <w:t> </w:t>
      </w:r>
      <w:r>
        <w:rPr>
          <w:spacing w:val="-66"/>
        </w:rPr>
      </w:r>
      <w:r>
        <w:rPr/>
        <w:t>价值计量。</w:t>
      </w:r>
    </w:p>
    <w:p>
      <w:pPr>
        <w:pStyle w:val="BodyText"/>
        <w:spacing w:line="316" w:lineRule="auto" w:before="17"/>
        <w:ind w:right="1042" w:firstLine="325"/>
        <w:jc w:val="both"/>
      </w:pPr>
      <w:r>
        <w:rPr/>
        <w:t>本集团为职工缴纳的医疗保险费、工伤保险费、生育保险费等社会保险费和住房公积金，以及本集团按规定提取的工会 </w:t>
      </w:r>
      <w:r>
        <w:rPr>
          <w:spacing w:val="-4"/>
        </w:rPr>
        <w:t>经费和职工教育经费，在职工为本集团提供服务的会计期间，根据规定的计提基础和计提比例计算确定相应的职工薪酬金额，</w:t>
      </w:r>
    </w:p>
    <w:p>
      <w:pPr>
        <w:spacing w:after="0" w:line="316" w:lineRule="auto"/>
        <w:jc w:val="both"/>
        <w:sectPr>
          <w:footerReference w:type="default" r:id="rId26"/>
          <w:pgSz w:w="11910" w:h="16840"/>
          <w:pgMar w:footer="979" w:header="877"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t>确认相应负债，并计入当期损益或相关资产成本。</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离职后福利的会计处理方法" w:id="198"/>
      <w:bookmarkEnd w:id="198"/>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51" w:right="1175" w:hanging="60"/>
        <w:jc w:val="left"/>
      </w:pPr>
      <w:r>
        <w:rPr/>
        <w:t>本集团离职后福利全部为设定提存计划。 本集团在职工为其提供服务的会计期间，将根据设定提存计划计算的应缴存金额确认为负债，并计入当期损益或相关</w:t>
      </w:r>
    </w:p>
    <w:p>
      <w:pPr>
        <w:pStyle w:val="BodyText"/>
        <w:spacing w:line="240" w:lineRule="auto" w:before="19"/>
        <w:ind w:right="0"/>
        <w:jc w:val="left"/>
      </w:pPr>
      <w:r>
        <w:rPr/>
        <w:t>资产成本。</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辞退福利的会计处理方法" w:id="199"/>
      <w:bookmarkEnd w:id="199"/>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firstLine="307"/>
        <w:jc w:val="left"/>
      </w:pPr>
      <w:r>
        <w:rPr>
          <w:spacing w:val="-1"/>
        </w:rPr>
        <w:t>本集团向职工提供辞退福利的，在下列两者孰早日确认辞退福利产生的职工薪酬负债，并计入当期损益：本集团不能单</w:t>
      </w:r>
      <w:r>
        <w:rPr/>
        <w:t> 方面撤回因解除劳动关系计划或裁减建议所提供的辞退福利时；本集团确认与涉及支付辞退福利的重组相关的成本或费用 时。</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4）其他长期职工福利的会计处理方法" w:id="200"/>
      <w:bookmarkEnd w:id="200"/>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1、预计负债" w:id="201"/>
      <w:bookmarkEnd w:id="201"/>
      <w:r>
        <w:rPr>
          <w:b w:val="0"/>
          <w:bCs w:val="0"/>
        </w:rPr>
      </w:r>
      <w:r>
        <w:rPr>
          <w:rFonts w:ascii="Times New Roman" w:hAnsi="Times New Roman" w:cs="Times New Roman" w:eastAsia="Times New Roman" w:hint="default"/>
        </w:rPr>
        <w:t>21</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07"/>
        <w:jc w:val="left"/>
      </w:pPr>
      <w:r>
        <w:rPr>
          <w:spacing w:val="-1"/>
        </w:rPr>
        <w:t>当与或有事项相关的义务是本集团承担的现时义务，且履行该义务很可能导致经济利益流出，以及该义务的金额能够可</w:t>
      </w:r>
      <w:r>
        <w:rPr/>
        <w:t> 靠地计量，则确认为预计负债。</w:t>
      </w:r>
    </w:p>
    <w:p>
      <w:pPr>
        <w:pStyle w:val="BodyText"/>
        <w:spacing w:line="316" w:lineRule="auto" w:before="19"/>
        <w:ind w:right="0" w:firstLine="307"/>
        <w:jc w:val="left"/>
      </w:pPr>
      <w:r>
        <w:rPr>
          <w:spacing w:val="-1"/>
        </w:rPr>
        <w:t>在资产负债表日，考虑与或有事项有关的风险、不确定性和货币时间价值等因素，按照履行相关现时义务所需支出的最</w:t>
      </w:r>
      <w:r>
        <w:rPr/>
        <w:t> 佳估计数对预计负债进行计量。如果货币时间价值影响重大，则以预计未来现金流出折现后的金额确定最佳估计数。</w:t>
      </w:r>
    </w:p>
    <w:p>
      <w:pPr>
        <w:pStyle w:val="BodyText"/>
        <w:spacing w:line="316" w:lineRule="auto" w:before="19"/>
        <w:ind w:right="0" w:firstLine="290"/>
        <w:jc w:val="left"/>
      </w:pPr>
      <w:r>
        <w:rPr>
          <w:spacing w:val="-1"/>
        </w:rPr>
        <w:t>如果清偿预计负债所需支出全部或部分预期由第三方补偿的，补偿金额在基本确定能够收到时，作为资产单独确认，且</w:t>
      </w:r>
      <w:r>
        <w:rPr/>
        <w:t> 确认的补偿金额不超过预计负债的账面价值。</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2、股份支付" w:id="202"/>
      <w:bookmarkEnd w:id="202"/>
      <w:r>
        <w:rPr>
          <w:b w:val="0"/>
          <w:bCs w:val="0"/>
        </w:rPr>
      </w:r>
      <w:r>
        <w:rPr>
          <w:rFonts w:ascii="Times New Roman" w:hAnsi="Times New Roman" w:cs="Times New Roman" w:eastAsia="Times New Roman" w:hint="default"/>
        </w:rPr>
        <w:t>22</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80"/>
        <w:jc w:val="both"/>
      </w:pPr>
      <w:r>
        <w:rPr>
          <w:spacing w:val="-1"/>
        </w:rPr>
        <w:t>本集团的股份支付是为了获取员工提供服务而授予权益工具或者承担以权益工具为基础确定的负债的交易。本集团的</w:t>
      </w:r>
      <w:r>
        <w:rPr/>
        <w:t> 股份支付全部为以权益结算的股份支付。</w:t>
      </w:r>
    </w:p>
    <w:p>
      <w:pPr>
        <w:pStyle w:val="BodyText"/>
        <w:spacing w:line="300" w:lineRule="auto" w:before="19"/>
        <w:ind w:left="634" w:right="0" w:firstLine="6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22.1</w:t>
      </w:r>
      <w:r>
        <w:rPr>
          <w:u w:val="single" w:color="000000"/>
        </w:rPr>
        <w:t>股份支付的确认与计量</w:t>
      </w:r>
      <w:r>
        <w:rPr/>
      </w:r>
      <w:r>
        <w:rPr/>
        <w:t> </w:t>
      </w:r>
      <w:r>
        <w:rPr>
          <w:spacing w:val="-1"/>
        </w:rPr>
        <w:t>以权益结算的股份支付，按授予员工权益工具在授予日的公允价值计量。该公允价值的金额在等待期内以对可行权权</w:t>
      </w:r>
    </w:p>
    <w:p>
      <w:pPr>
        <w:pStyle w:val="BodyText"/>
        <w:spacing w:line="316" w:lineRule="auto" w:before="31"/>
        <w:ind w:left="634" w:right="0" w:hanging="480"/>
        <w:jc w:val="left"/>
      </w:pPr>
      <w:r>
        <w:rPr/>
        <w:t>益工具数量的最佳估计为基础，按直线法计算计入相关成本或费用，相应增加资本公积。 </w:t>
      </w:r>
      <w:r>
        <w:rPr>
          <w:spacing w:val="-1"/>
        </w:rPr>
        <w:t>在等待期内每个资产负债表日，本集团根据最新取得的可行权员工人数变动等后续信息做出最佳估计，修正预计可行</w:t>
      </w:r>
    </w:p>
    <w:p>
      <w:pPr>
        <w:pStyle w:val="BodyText"/>
        <w:spacing w:line="309" w:lineRule="auto" w:before="19"/>
        <w:ind w:left="634" w:right="1118" w:hanging="480"/>
        <w:jc w:val="left"/>
      </w:pPr>
      <w:r>
        <w:rPr/>
        <w:t>权的权益工具数量。上述估计的影响计入当期相关成本或费用，并相应调整资本公积。 </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22.2</w:t>
      </w:r>
      <w:r>
        <w:rPr>
          <w:u w:val="single" w:color="000000"/>
        </w:rPr>
        <w:t>终止股份支付计划的相关会计处理</w:t>
      </w:r>
      <w:r>
        <w:rPr/>
      </w:r>
      <w:r>
        <w:rPr/>
        <w:t> </w:t>
      </w:r>
      <w:r>
        <w:rPr>
          <w:spacing w:val="-1"/>
        </w:rPr>
        <w:t>在等待期内，取消授予的权益工具，本集团对取消所授予的权益性工具作为加速行权处理，将剩余等待期内应确认的</w:t>
      </w:r>
    </w:p>
    <w:p>
      <w:pPr>
        <w:pStyle w:val="BodyText"/>
        <w:spacing w:line="240" w:lineRule="auto" w:before="24"/>
        <w:ind w:right="0"/>
        <w:jc w:val="left"/>
      </w:pPr>
      <w:r>
        <w:rPr/>
        <w:t>金额立即计入当期损益，同时确认资本公积。</w:t>
      </w:r>
    </w:p>
    <w:p>
      <w:pPr>
        <w:pStyle w:val="BodyText"/>
        <w:spacing w:line="240" w:lineRule="auto" w:before="76"/>
        <w:ind w:left="694"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22.3</w:t>
      </w:r>
      <w:r>
        <w:rPr>
          <w:u w:val="single" w:color="000000"/>
        </w:rPr>
        <w:t>以限制性股票形式授予的股份支付</w:t>
      </w:r>
      <w:r>
        <w:rPr/>
      </w:r>
    </w:p>
    <w:p>
      <w:pPr>
        <w:spacing w:before="51"/>
        <w:ind w:left="694" w:right="0" w:firstLine="0"/>
        <w:jc w:val="left"/>
        <w:rPr>
          <w:rFonts w:ascii="宋体" w:hAnsi="宋体" w:cs="宋体" w:eastAsia="宋体" w:hint="default"/>
          <w:sz w:val="19"/>
          <w:szCs w:val="19"/>
        </w:rPr>
      </w:pPr>
      <w:r>
        <w:rPr>
          <w:rFonts w:ascii="Times New Roman" w:hAnsi="Times New Roman" w:cs="Times New Roman" w:eastAsia="Times New Roman" w:hint="default"/>
          <w:i/>
          <w:sz w:val="18"/>
          <w:szCs w:val="18"/>
        </w:rPr>
      </w:r>
      <w:r>
        <w:rPr>
          <w:rFonts w:ascii="Times New Roman" w:hAnsi="Times New Roman" w:cs="Times New Roman" w:eastAsia="Times New Roman" w:hint="default"/>
          <w:i/>
          <w:sz w:val="18"/>
          <w:szCs w:val="18"/>
          <w:u w:val="single" w:color="000000"/>
        </w:rPr>
        <w:t>22.3.1</w:t>
      </w:r>
      <w:r>
        <w:rPr>
          <w:rFonts w:ascii="宋体" w:hAnsi="宋体" w:cs="宋体" w:eastAsia="宋体" w:hint="default"/>
          <w:i/>
          <w:sz w:val="19"/>
          <w:szCs w:val="19"/>
          <w:u w:val="single" w:color="000000"/>
        </w:rPr>
        <w:t>确认与计量</w:t>
      </w:r>
      <w:r>
        <w:rPr>
          <w:rFonts w:ascii="宋体" w:hAnsi="宋体" w:cs="宋体" w:eastAsia="宋体" w:hint="default"/>
          <w:i/>
          <w:sz w:val="19"/>
          <w:szCs w:val="19"/>
        </w:rPr>
      </w:r>
      <w:r>
        <w:rPr>
          <w:rFonts w:ascii="宋体" w:hAnsi="宋体" w:cs="宋体" w:eastAsia="宋体" w:hint="default"/>
          <w:sz w:val="19"/>
          <w:szCs w:val="19"/>
        </w:rPr>
      </w:r>
    </w:p>
    <w:p>
      <w:pPr>
        <w:pStyle w:val="BodyText"/>
        <w:spacing w:line="319" w:lineRule="auto" w:before="63"/>
        <w:ind w:right="1133" w:firstLine="480"/>
        <w:jc w:val="both"/>
      </w:pPr>
      <w:r>
        <w:rPr>
          <w:spacing w:val="-1"/>
        </w:rPr>
        <w:t>本公司以非公开发行的方式向本集团员工授予一定数量的公司股票，即限制性股票，并规定锁定期和解锁期，在解锁</w:t>
      </w:r>
      <w:r>
        <w:rPr/>
        <w:t> </w:t>
      </w:r>
      <w:r>
        <w:rPr>
          <w:spacing w:val="-2"/>
        </w:rPr>
        <w:t>之前，不得上市流通及转让。达到解锁条件，可以解锁；如果全部或部分股票未被解锁而失效或作废，由本公司按照事先约</w:t>
      </w:r>
      <w:r>
        <w:rPr>
          <w:spacing w:val="-66"/>
        </w:rPr>
        <w:t> </w:t>
      </w:r>
      <w:r>
        <w:rPr>
          <w:spacing w:val="-66"/>
        </w:rPr>
      </w:r>
      <w:r>
        <w:rPr/>
        <w:t>定的价格立即进行回购。本集团的股份支付解锁条件包含服务条件与业绩条件。</w:t>
      </w:r>
    </w:p>
    <w:p>
      <w:pPr>
        <w:pStyle w:val="BodyText"/>
        <w:spacing w:line="309" w:lineRule="auto" w:before="17"/>
        <w:ind w:right="1132" w:firstLine="480"/>
        <w:jc w:val="both"/>
      </w:pPr>
      <w:r>
        <w:rPr/>
        <w:t>授予给员工</w:t>
      </w:r>
      <w:r>
        <w:rPr>
          <w:rFonts w:ascii="Times New Roman" w:hAnsi="Times New Roman" w:cs="Times New Roman" w:eastAsia="Times New Roman" w:hint="default"/>
        </w:rPr>
        <w:t>(</w:t>
      </w:r>
      <w:r>
        <w:rPr/>
        <w:t>不含董事、高级管理人员</w:t>
      </w:r>
      <w:r>
        <w:rPr>
          <w:rFonts w:ascii="Times New Roman" w:hAnsi="Times New Roman" w:cs="Times New Roman" w:eastAsia="Times New Roman" w:hint="default"/>
        </w:rPr>
        <w:t>)</w:t>
      </w:r>
      <w:r>
        <w:rPr/>
        <w:t>的限制性股票在授予日的公允价值以本公司当日的普通股的市价为基础确定。 </w:t>
      </w:r>
      <w:r>
        <w:rPr>
          <w:spacing w:val="-2"/>
        </w:rPr>
        <w:t>考虑到董事、高级管理人员所持股份在解锁后的限售条款，授予给董事及高级管理人员的限制性股票在授予日的公允价值以</w:t>
      </w:r>
      <w:r>
        <w:rPr>
          <w:spacing w:val="-64"/>
        </w:rPr>
        <w:t> </w:t>
      </w:r>
      <w:r>
        <w:rPr>
          <w:spacing w:val="-64"/>
        </w:rPr>
      </w:r>
      <w:r>
        <w:rPr/>
        <w:t>本公司当日的普通股市价为基础，并考虑受限成本的影响。</w:t>
      </w:r>
    </w:p>
    <w:p>
      <w:pPr>
        <w:spacing w:after="0" w:line="309" w:lineRule="auto"/>
        <w:jc w:val="both"/>
        <w:sectPr>
          <w:footerReference w:type="default" r:id="rId27"/>
          <w:pgSz w:w="11910" w:h="16840"/>
          <w:pgMar w:footer="979" w:header="877" w:top="1100" w:bottom="1160" w:left="980" w:right="0"/>
          <w:pgNumType w:start="101"/>
        </w:sectPr>
      </w:pPr>
    </w:p>
    <w:p>
      <w:pPr>
        <w:spacing w:line="240" w:lineRule="auto" w:before="3"/>
        <w:rPr>
          <w:rFonts w:ascii="宋体" w:hAnsi="宋体" w:cs="宋体" w:eastAsia="宋体" w:hint="default"/>
          <w:sz w:val="21"/>
          <w:szCs w:val="21"/>
        </w:rPr>
      </w:pPr>
    </w:p>
    <w:p>
      <w:pPr>
        <w:spacing w:before="41"/>
        <w:ind w:left="694" w:right="0" w:firstLine="0"/>
        <w:jc w:val="left"/>
        <w:rPr>
          <w:rFonts w:ascii="宋体" w:hAnsi="宋体" w:cs="宋体" w:eastAsia="宋体" w:hint="default"/>
          <w:sz w:val="19"/>
          <w:szCs w:val="19"/>
        </w:rPr>
      </w:pPr>
      <w:r>
        <w:rPr>
          <w:rFonts w:ascii="Times New Roman" w:hAnsi="Times New Roman" w:cs="Times New Roman" w:eastAsia="Times New Roman" w:hint="default"/>
          <w:i/>
          <w:sz w:val="18"/>
          <w:szCs w:val="18"/>
        </w:rPr>
      </w:r>
      <w:r>
        <w:rPr>
          <w:rFonts w:ascii="Times New Roman" w:hAnsi="Times New Roman" w:cs="Times New Roman" w:eastAsia="Times New Roman" w:hint="default"/>
          <w:i/>
          <w:sz w:val="18"/>
          <w:szCs w:val="18"/>
          <w:u w:val="single" w:color="000000"/>
        </w:rPr>
        <w:t>22.3.2</w:t>
      </w:r>
      <w:r>
        <w:rPr>
          <w:rFonts w:ascii="宋体" w:hAnsi="宋体" w:cs="宋体" w:eastAsia="宋体" w:hint="default"/>
          <w:i/>
          <w:sz w:val="19"/>
          <w:szCs w:val="19"/>
          <w:u w:val="single" w:color="000000"/>
        </w:rPr>
        <w:t>回购义务的确认与计量</w:t>
      </w:r>
      <w:r>
        <w:rPr>
          <w:rFonts w:ascii="宋体" w:hAnsi="宋体" w:cs="宋体" w:eastAsia="宋体" w:hint="default"/>
          <w:i/>
          <w:sz w:val="19"/>
          <w:szCs w:val="19"/>
        </w:rPr>
      </w:r>
      <w:r>
        <w:rPr>
          <w:rFonts w:ascii="宋体" w:hAnsi="宋体" w:cs="宋体" w:eastAsia="宋体" w:hint="default"/>
          <w:sz w:val="19"/>
          <w:szCs w:val="19"/>
        </w:rPr>
      </w:r>
    </w:p>
    <w:p>
      <w:pPr>
        <w:pStyle w:val="BodyText"/>
        <w:spacing w:line="309" w:lineRule="auto" w:before="63"/>
        <w:ind w:right="1131" w:firstLine="480"/>
        <w:jc w:val="both"/>
      </w:pPr>
      <w:r>
        <w:rPr>
          <w:spacing w:val="-1"/>
        </w:rPr>
        <w:t>在授予日，本集团根据收到员工缴纳的认股款确认股本和资本公积。同时，按照发行限制性股票的数量及相应的回购</w:t>
      </w:r>
      <w:r>
        <w:rPr/>
        <w:t> 价格计算确定的金额确认库存股，就回购义务确认负债，并对负债按照《企业会计准则第</w:t>
      </w:r>
      <w:r>
        <w:rPr>
          <w:rFonts w:ascii="Times New Roman" w:hAnsi="Times New Roman" w:cs="Times New Roman" w:eastAsia="Times New Roman" w:hint="default"/>
        </w:rPr>
        <w:t>22</w:t>
      </w:r>
      <w:r>
        <w:rPr>
          <w:rFonts w:ascii="Times New Roman" w:hAnsi="Times New Roman" w:cs="Times New Roman" w:eastAsia="Times New Roman" w:hint="default"/>
          <w:spacing w:val="27"/>
        </w:rPr>
        <w:t> </w:t>
      </w:r>
      <w:r>
        <w:rPr/>
        <w:t>号</w:t>
      </w:r>
      <w:r>
        <w:rPr>
          <w:rFonts w:ascii="Times New Roman" w:hAnsi="Times New Roman" w:cs="Times New Roman" w:eastAsia="Times New Roman" w:hint="default"/>
        </w:rPr>
        <w:t>——</w:t>
      </w:r>
      <w:r>
        <w:rPr/>
        <w:t>金融工具确认和计量》 相关规定进行会计处理。</w:t>
      </w:r>
    </w:p>
    <w:p>
      <w:pPr>
        <w:pStyle w:val="BodyText"/>
        <w:spacing w:line="316" w:lineRule="auto" w:before="24"/>
        <w:ind w:right="1131" w:firstLine="480"/>
        <w:jc w:val="both"/>
      </w:pPr>
      <w:r>
        <w:rPr>
          <w:spacing w:val="-1"/>
        </w:rPr>
        <w:t>对于未达到限制性股票解锁条件而需回购的股票，按照应支付的金额，冲减负债；对于达到限制性股票解锁条件而无</w:t>
      </w:r>
      <w:r>
        <w:rPr/>
        <w:t> </w:t>
      </w:r>
      <w:r>
        <w:rPr>
          <w:spacing w:val="-2"/>
        </w:rPr>
        <w:t>需回购的股票，冲减按照解锁股票对应的负债的账面价值，按照解锁股票相对应的库存股的账面价值，冲减库存股，如有差</w:t>
      </w:r>
      <w:r>
        <w:rPr>
          <w:spacing w:val="-66"/>
        </w:rPr>
        <w:t> </w:t>
      </w:r>
      <w:r>
        <w:rPr>
          <w:spacing w:val="-66"/>
        </w:rPr>
      </w:r>
      <w:r>
        <w:rPr/>
        <w:t>额，计入</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w:t>
      </w:r>
    </w:p>
    <w:p>
      <w:pPr>
        <w:spacing w:line="248" w:lineRule="exact" w:before="0"/>
        <w:ind w:left="694" w:right="0" w:firstLine="0"/>
        <w:jc w:val="left"/>
        <w:rPr>
          <w:rFonts w:ascii="宋体" w:hAnsi="宋体" w:cs="宋体" w:eastAsia="宋体" w:hint="default"/>
          <w:sz w:val="19"/>
          <w:szCs w:val="19"/>
        </w:rPr>
      </w:pPr>
      <w:r>
        <w:rPr>
          <w:rFonts w:ascii="Times New Roman" w:hAnsi="Times New Roman" w:cs="Times New Roman" w:eastAsia="Times New Roman" w:hint="default"/>
          <w:i/>
          <w:sz w:val="18"/>
          <w:szCs w:val="18"/>
        </w:rPr>
      </w:r>
      <w:r>
        <w:rPr>
          <w:rFonts w:ascii="Times New Roman" w:hAnsi="Times New Roman" w:cs="Times New Roman" w:eastAsia="Times New Roman" w:hint="default"/>
          <w:i/>
          <w:sz w:val="18"/>
          <w:szCs w:val="18"/>
          <w:u w:val="single" w:color="000000"/>
        </w:rPr>
        <w:t>22.3.3</w:t>
      </w:r>
      <w:r>
        <w:rPr>
          <w:rFonts w:ascii="宋体" w:hAnsi="宋体" w:cs="宋体" w:eastAsia="宋体" w:hint="default"/>
          <w:i/>
          <w:sz w:val="19"/>
          <w:szCs w:val="19"/>
          <w:u w:val="single" w:color="000000"/>
        </w:rPr>
        <w:t>等待期内发放现金股利的会计处理</w:t>
      </w:r>
      <w:r>
        <w:rPr>
          <w:rFonts w:ascii="宋体" w:hAnsi="宋体" w:cs="宋体" w:eastAsia="宋体" w:hint="default"/>
          <w:i/>
          <w:sz w:val="19"/>
          <w:szCs w:val="19"/>
        </w:rPr>
      </w:r>
      <w:r>
        <w:rPr>
          <w:rFonts w:ascii="宋体" w:hAnsi="宋体" w:cs="宋体" w:eastAsia="宋体" w:hint="default"/>
          <w:sz w:val="19"/>
          <w:szCs w:val="19"/>
        </w:rPr>
      </w:r>
    </w:p>
    <w:p>
      <w:pPr>
        <w:pStyle w:val="BodyText"/>
        <w:spacing w:line="300" w:lineRule="auto" w:before="63"/>
        <w:ind w:right="1130" w:firstLine="480"/>
        <w:jc w:val="both"/>
      </w:pPr>
      <w:r>
        <w:rPr>
          <w:spacing w:val="-2"/>
        </w:rPr>
        <w:t>本集团在等待期内发放的现金股利可撤销，即一旦未达到解锁条件，被回购限制性股票的持有者将无法获得</w:t>
      </w:r>
      <w:r>
        <w:rPr>
          <w:rFonts w:ascii="Times New Roman" w:hAnsi="Times New Roman" w:cs="Times New Roman" w:eastAsia="Times New Roman" w:hint="default"/>
          <w:spacing w:val="-2"/>
        </w:rPr>
        <w:t>(</w:t>
      </w:r>
      <w:r>
        <w:rPr>
          <w:spacing w:val="-2"/>
        </w:rPr>
        <w:t>或需要退</w:t>
      </w:r>
      <w:r>
        <w:rPr/>
        <w:t> 回</w:t>
      </w:r>
      <w:r>
        <w:rPr>
          <w:rFonts w:ascii="Times New Roman" w:hAnsi="Times New Roman" w:cs="Times New Roman" w:eastAsia="Times New Roman" w:hint="default"/>
        </w:rPr>
        <w:t>)</w:t>
      </w:r>
      <w:r>
        <w:rPr/>
        <w:t>其在等待期内应收</w:t>
      </w:r>
      <w:r>
        <w:rPr>
          <w:rFonts w:ascii="Times New Roman" w:hAnsi="Times New Roman" w:cs="Times New Roman" w:eastAsia="Times New Roman" w:hint="default"/>
        </w:rPr>
        <w:t>(</w:t>
      </w:r>
      <w:r>
        <w:rPr/>
        <w:t>或已收</w:t>
      </w:r>
      <w:r>
        <w:rPr>
          <w:rFonts w:ascii="Times New Roman" w:hAnsi="Times New Roman" w:cs="Times New Roman" w:eastAsia="Times New Roman" w:hint="default"/>
        </w:rPr>
        <w:t>)</w:t>
      </w:r>
      <w:r>
        <w:rPr/>
        <w:t>的现金股利。</w:t>
      </w:r>
    </w:p>
    <w:p>
      <w:pPr>
        <w:pStyle w:val="BodyText"/>
        <w:spacing w:line="316" w:lineRule="auto" w:before="13"/>
        <w:ind w:right="1133" w:firstLine="480"/>
        <w:jc w:val="both"/>
      </w:pPr>
      <w:r>
        <w:rPr>
          <w:spacing w:val="-1"/>
        </w:rPr>
        <w:t>对于预计未来可解锁限制性股票，应分配给限制性股票持有者的现金股利作为利润分配进行会计处理，同时，按分配</w:t>
      </w:r>
      <w:r>
        <w:rPr/>
        <w:t> </w:t>
      </w:r>
      <w:r>
        <w:rPr>
          <w:spacing w:val="-2"/>
        </w:rPr>
        <w:t>的现金股利金额，冲减就回购义务确认的负债及库存股；对于预计未来不可解锁限制性股票，应分配给限制性股票持有者的</w:t>
      </w:r>
      <w:r>
        <w:rPr>
          <w:spacing w:val="-66"/>
        </w:rPr>
        <w:t> </w:t>
      </w:r>
      <w:r>
        <w:rPr>
          <w:spacing w:val="-66"/>
        </w:rPr>
      </w:r>
      <w:r>
        <w:rPr/>
        <w:t>现金股利冲减就回购义务确认的负债。</w:t>
      </w:r>
    </w:p>
    <w:p>
      <w:pPr>
        <w:pStyle w:val="BodyText"/>
        <w:spacing w:line="302" w:lineRule="auto" w:before="19"/>
        <w:ind w:left="634" w:right="1118"/>
        <w:jc w:val="left"/>
      </w:pPr>
      <w:r>
        <w:rPr/>
        <w:t>后续信息表明不可解锁限制性股票的数量与以前估计不同的，作为会计估计变更处理。 </w:t>
      </w:r>
      <w:r>
        <w:rPr>
          <w:rFonts w:ascii="Times New Roman" w:hAnsi="Times New Roman" w:cs="Times New Roman" w:eastAsia="Times New Roman" w:hint="default"/>
          <w:i/>
        </w:rPr>
      </w:r>
      <w:r>
        <w:rPr>
          <w:rFonts w:ascii="Times New Roman" w:hAnsi="Times New Roman" w:cs="Times New Roman" w:eastAsia="Times New Roman" w:hint="default"/>
          <w:i/>
          <w:u w:val="single" w:color="000000"/>
        </w:rPr>
        <w:t>22.3.4</w:t>
      </w:r>
      <w:r>
        <w:rPr>
          <w:rFonts w:ascii="宋体" w:hAnsi="宋体" w:cs="宋体" w:eastAsia="宋体" w:hint="default"/>
          <w:i/>
          <w:sz w:val="19"/>
          <w:szCs w:val="19"/>
          <w:u w:val="single" w:color="000000"/>
        </w:rPr>
        <w:t>等待期内每股收益的计算</w:t>
      </w:r>
      <w:r>
        <w:rPr>
          <w:rFonts w:ascii="宋体" w:hAnsi="宋体" w:cs="宋体" w:eastAsia="宋体" w:hint="default"/>
          <w:i/>
          <w:w w:val="94"/>
          <w:sz w:val="19"/>
          <w:szCs w:val="19"/>
        </w:rPr>
      </w:r>
      <w:r>
        <w:rPr>
          <w:rFonts w:ascii="宋体" w:hAnsi="宋体" w:cs="宋体" w:eastAsia="宋体" w:hint="default"/>
          <w:i/>
          <w:w w:val="94"/>
          <w:sz w:val="19"/>
          <w:szCs w:val="19"/>
        </w:rPr>
        <w:t> </w:t>
      </w:r>
      <w:r>
        <w:rPr>
          <w:spacing w:val="-1"/>
        </w:rPr>
        <w:t>等待期内计算基本每股收益时，分子扣除当期分配给预计未来可解锁限制性股票持有者的现金股利，分母不包含限制</w:t>
      </w:r>
    </w:p>
    <w:p>
      <w:pPr>
        <w:pStyle w:val="BodyText"/>
        <w:spacing w:line="240" w:lineRule="auto" w:before="29"/>
        <w:ind w:right="0"/>
        <w:jc w:val="left"/>
      </w:pPr>
      <w:r>
        <w:rPr/>
        <w:t>性股票的股数。</w:t>
      </w:r>
    </w:p>
    <w:p>
      <w:pPr>
        <w:pStyle w:val="BodyText"/>
        <w:spacing w:line="316" w:lineRule="auto" w:before="76"/>
        <w:ind w:right="1133" w:firstLine="480"/>
        <w:jc w:val="both"/>
      </w:pPr>
      <w:r>
        <w:rPr>
          <w:spacing w:val="-1"/>
        </w:rPr>
        <w:t>等待期内计算稀释每股收益时，假设资产负债表日即为解锁日并据以判断资产负债表日的实际业绩情况是否满足解锁</w:t>
      </w:r>
      <w:r>
        <w:rPr/>
        <w:t> </w:t>
      </w:r>
      <w:r>
        <w:rPr>
          <w:spacing w:val="-2"/>
        </w:rPr>
        <w:t>要求的业绩条件。若满足业绩条件，锁定期内计算稀释每股收益时，分子加回计算基本每股收益分子时已扣除的当期分配给</w:t>
      </w:r>
      <w:r>
        <w:rPr>
          <w:spacing w:val="-66"/>
        </w:rPr>
        <w:t> </w:t>
      </w:r>
      <w:r>
        <w:rPr>
          <w:spacing w:val="-66"/>
        </w:rPr>
      </w:r>
      <w:r>
        <w:rPr>
          <w:spacing w:val="-2"/>
        </w:rPr>
        <w:t>预计未来可解锁限制性股票持有者的现金股利或归属于预计未来可解锁限制性股票的净利润；若不满足业绩条件，计算稀释</w:t>
      </w:r>
      <w:r>
        <w:rPr>
          <w:spacing w:val="-64"/>
        </w:rPr>
        <w:t> </w:t>
      </w:r>
      <w:r>
        <w:rPr>
          <w:spacing w:val="-64"/>
        </w:rPr>
      </w:r>
      <w:r>
        <w:rPr/>
        <w:t>性每股收益时不考虑限制性股票的影响。</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3、收入" w:id="203"/>
      <w:bookmarkEnd w:id="203"/>
      <w:r>
        <w:rPr>
          <w:b w:val="0"/>
          <w:bCs w:val="0"/>
        </w:rPr>
      </w:r>
      <w:r>
        <w:rPr>
          <w:rFonts w:ascii="Times New Roman" w:hAnsi="Times New Roman" w:cs="Times New Roman" w:eastAsia="Times New Roman" w:hint="default"/>
        </w:rPr>
        <w:t>23</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00" w:lineRule="auto" w:before="28"/>
        <w:ind w:left="634" w:right="0" w:firstLine="6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23.1</w:t>
      </w:r>
      <w:r>
        <w:rPr>
          <w:u w:val="single" w:color="000000"/>
        </w:rPr>
        <w:t>商品销售收入</w:t>
      </w:r>
      <w:r>
        <w:rPr/>
      </w:r>
      <w:r>
        <w:rPr/>
        <w:t> </w:t>
      </w:r>
      <w:r>
        <w:rPr>
          <w:spacing w:val="-1"/>
        </w:rPr>
        <w:t>在已将商品所有权上的主要风险和报酬转移给买方，既没有保留通常与所有权相联系的继续管理权，也没有对已售商</w:t>
      </w:r>
    </w:p>
    <w:p>
      <w:pPr>
        <w:pStyle w:val="BodyText"/>
        <w:spacing w:line="316" w:lineRule="auto" w:before="31"/>
        <w:ind w:right="1133"/>
        <w:jc w:val="both"/>
      </w:pPr>
      <w:r>
        <w:rPr>
          <w:spacing w:val="-2"/>
        </w:rPr>
        <w:t>品实施有效控制，收入的金额能够可靠地计量，相关的经济利益很可能流入本集团，相关的已发生或将发生的成本能够可靠</w:t>
      </w:r>
      <w:r>
        <w:rPr>
          <w:spacing w:val="-66"/>
        </w:rPr>
        <w:t> </w:t>
      </w:r>
      <w:r>
        <w:rPr>
          <w:spacing w:val="-66"/>
        </w:rPr>
      </w:r>
      <w:r>
        <w:rPr/>
        <w:t>地计量时，确认商品销售收入的实现。</w:t>
      </w:r>
    </w:p>
    <w:p>
      <w:pPr>
        <w:pStyle w:val="BodyText"/>
        <w:spacing w:line="316" w:lineRule="auto" w:before="19"/>
        <w:ind w:right="1133" w:firstLine="480"/>
        <w:jc w:val="both"/>
      </w:pPr>
      <w:r>
        <w:rPr>
          <w:spacing w:val="-1"/>
        </w:rPr>
        <w:t>本集团与其他企业签订的合同或协议包括销售商品和提供劳务时，销售商品部分和提供劳务部分能够区分且能够单独</w:t>
      </w:r>
      <w:r>
        <w:rPr/>
        <w:t> </w:t>
      </w:r>
      <w:r>
        <w:rPr>
          <w:spacing w:val="-2"/>
        </w:rPr>
        <w:t>计量的，将销售商品的部分作为销售商品处理，将提供劳务的部分作为提供劳务处理。销售商品部分和提供劳务部分不能够</w:t>
      </w:r>
      <w:r>
        <w:rPr>
          <w:spacing w:val="-66"/>
        </w:rPr>
        <w:t> </w:t>
      </w:r>
      <w:r>
        <w:rPr>
          <w:spacing w:val="-66"/>
        </w:rPr>
      </w:r>
      <w:r>
        <w:rPr/>
        <w:t>区分，或虽能区分但不能够单独计量的，将销售商品部分和提供劳务部分全部作为销售商品处理。</w:t>
      </w:r>
    </w:p>
    <w:p>
      <w:pPr>
        <w:pStyle w:val="BodyText"/>
        <w:spacing w:line="316" w:lineRule="auto" w:before="19"/>
        <w:ind w:right="1133" w:firstLine="480"/>
        <w:jc w:val="both"/>
      </w:pPr>
      <w:r>
        <w:rPr>
          <w:spacing w:val="-1"/>
        </w:rPr>
        <w:t>软件销售收入：按照与用户签订的协议，公司需同时提供安装劳务，销售商品部分和提供劳务部分不能够区分，或虽</w:t>
      </w:r>
      <w:r>
        <w:rPr/>
        <w:t> 能区分但不能够单独计量的，全部作为销售商品处理，且在客户签订项目验收报告的时点确认收入。</w:t>
      </w:r>
    </w:p>
    <w:p>
      <w:pPr>
        <w:pStyle w:val="BodyText"/>
        <w:spacing w:line="300" w:lineRule="auto" w:before="19"/>
        <w:ind w:left="634" w:right="0" w:firstLine="6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23.2</w:t>
      </w:r>
      <w:r>
        <w:rPr>
          <w:u w:val="single" w:color="000000"/>
        </w:rPr>
        <w:t>提供劳务收入</w:t>
      </w:r>
      <w:r>
        <w:rPr/>
      </w:r>
      <w:r>
        <w:rPr/>
        <w:t> </w:t>
      </w:r>
      <w:r>
        <w:rPr>
          <w:spacing w:val="-1"/>
        </w:rPr>
        <w:t>在提供劳务收入的金额能够可靠地计量，相关的经济利益很可能流入本集团，交易的完工程度能够可靠地确定，交易</w:t>
      </w:r>
    </w:p>
    <w:p>
      <w:pPr>
        <w:pStyle w:val="BodyText"/>
        <w:spacing w:line="316" w:lineRule="auto" w:before="31"/>
        <w:ind w:right="1131"/>
        <w:jc w:val="both"/>
      </w:pPr>
      <w:r>
        <w:rPr>
          <w:spacing w:val="-2"/>
        </w:rPr>
        <w:t>中已发生和将发生的成本能够可靠地计量时，确认提供劳务收入的实现。本集团于资产负债表日按照完工百分比法确认提供</w:t>
      </w:r>
      <w:r>
        <w:rPr>
          <w:spacing w:val="-64"/>
        </w:rPr>
        <w:t> </w:t>
      </w:r>
      <w:r>
        <w:rPr>
          <w:spacing w:val="-64"/>
        </w:rPr>
      </w:r>
      <w:r>
        <w:rPr>
          <w:spacing w:val="-2"/>
        </w:rPr>
        <w:t>的劳务收入。劳务交易的完工进度按已经提供的劳务占应提供劳务总量的比例或已经发生的劳务成本占估计总成本的比例确</w:t>
      </w:r>
      <w:r>
        <w:rPr>
          <w:spacing w:val="-64"/>
        </w:rPr>
        <w:t> </w:t>
      </w:r>
      <w:r>
        <w:rPr>
          <w:spacing w:val="-64"/>
        </w:rPr>
      </w:r>
      <w:r>
        <w:rPr/>
        <w:t>定。</w:t>
      </w:r>
    </w:p>
    <w:p>
      <w:pPr>
        <w:pStyle w:val="BodyText"/>
        <w:spacing w:line="316" w:lineRule="auto" w:before="19"/>
        <w:ind w:right="1092" w:firstLine="480"/>
        <w:jc w:val="left"/>
      </w:pPr>
      <w:r>
        <w:rPr/>
        <w:t>如果提供劳务交易的结果不能够可靠估计，则按已经发生并预计能够得到补偿的劳务成本金额确认提供的劳务收入， 并将已发生的劳务成本作为当期费用。已经发生的劳务成本如预计不能得到补偿的，则不确认收入。 本集团根据与用户签订的协议，按与客户的收费模式不同而采取如下不同的收入确认方法，具体如下：</w:t>
      </w:r>
    </w:p>
    <w:p>
      <w:pPr>
        <w:pStyle w:val="BodyText"/>
        <w:spacing w:line="240" w:lineRule="auto" w:before="19"/>
        <w:ind w:left="69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按年</w:t>
      </w:r>
      <w:r>
        <w:rPr>
          <w:rFonts w:ascii="Times New Roman" w:hAnsi="Times New Roman" w:cs="Times New Roman" w:eastAsia="Times New Roman" w:hint="default"/>
        </w:rPr>
        <w:t>/</w:t>
      </w:r>
      <w:r>
        <w:rPr/>
        <w:t>季度收取服务费：在服务期限内，在每月提供服务后按月结转确认收入；</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69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按月收取固定服务费：在每月提供服务后按月结转确认收入；</w:t>
      </w:r>
    </w:p>
    <w:p>
      <w:pPr>
        <w:pStyle w:val="BodyText"/>
        <w:spacing w:line="240" w:lineRule="auto" w:before="63"/>
        <w:ind w:left="69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3"/>
        </w:rPr>
        <w:t> </w:t>
      </w:r>
      <w:r>
        <w:rPr/>
        <w:t>按话务量、流量、</w:t>
      </w:r>
      <w:r>
        <w:rPr>
          <w:rFonts w:ascii="Times New Roman" w:hAnsi="Times New Roman" w:cs="Times New Roman" w:eastAsia="Times New Roman" w:hint="default"/>
        </w:rPr>
        <w:t>CPM</w:t>
      </w:r>
      <w:r>
        <w:rPr/>
        <w:t>等实际使用量收取服务费的，在每月提供服务后，按实际使用量结转确认收入；</w:t>
      </w:r>
    </w:p>
    <w:p>
      <w:pPr>
        <w:pStyle w:val="BodyText"/>
        <w:spacing w:line="240" w:lineRule="auto" w:before="63"/>
        <w:ind w:left="694"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4"/>
        </w:rPr>
        <w:t> </w:t>
      </w:r>
      <w:r>
        <w:rPr/>
        <w:t>其他一次性业务的服务费在提供服务后，在收到相关款项或获得收款的权利时确认收入；</w:t>
      </w:r>
    </w:p>
    <w:p>
      <w:pPr>
        <w:pStyle w:val="BodyText"/>
        <w:spacing w:line="312" w:lineRule="auto" w:before="63"/>
        <w:ind w:right="1131" w:firstLine="540"/>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14"/>
        </w:rPr>
        <w:t> </w:t>
      </w:r>
      <w:r>
        <w:rPr>
          <w:rFonts w:ascii="Times New Roman" w:hAnsi="Times New Roman" w:cs="Times New Roman" w:eastAsia="Times New Roman" w:hint="default"/>
        </w:rPr>
        <w:t>9446IP</w:t>
      </w:r>
      <w:r>
        <w:rPr/>
        <w:t>长途转售、</w:t>
      </w:r>
      <w:r>
        <w:rPr>
          <w:rFonts w:ascii="Times New Roman" w:hAnsi="Times New Roman" w:cs="Times New Roman" w:eastAsia="Times New Roman" w:hint="default"/>
        </w:rPr>
        <w:t>95050</w:t>
      </w:r>
      <w:r>
        <w:rPr/>
        <w:t>多方通话、立体宽带业务系委托合作基础运营商代收款。每月终了，公司根据自身计费</w:t>
      </w:r>
      <w:r>
        <w:rPr>
          <w:w w:val="99"/>
        </w:rPr>
        <w:t> </w:t>
      </w:r>
      <w:r>
        <w:rPr>
          <w:spacing w:val="-2"/>
        </w:rPr>
        <w:t>系统反映的当期已经发生的业务量，在与合作基础运营商营帐数据核对确认后，根据收款的经验数据估计回款率，将估计能</w:t>
      </w:r>
      <w:r>
        <w:rPr>
          <w:spacing w:val="-67"/>
        </w:rPr>
        <w:t> </w:t>
      </w:r>
      <w:r>
        <w:rPr>
          <w:spacing w:val="-67"/>
        </w:rPr>
      </w:r>
      <w:r>
        <w:rPr>
          <w:spacing w:val="-2"/>
        </w:rPr>
        <w:t>够回款的金额确认为当期收入，在当月实际收到合作基础运营商款项时再对已确认收入金额作相应调整，回款率每半年复核</w:t>
      </w:r>
      <w:r>
        <w:rPr>
          <w:spacing w:val="-65"/>
        </w:rPr>
        <w:t> </w:t>
      </w:r>
      <w:r>
        <w:rPr>
          <w:spacing w:val="-65"/>
        </w:rPr>
      </w:r>
      <w:r>
        <w:rPr/>
        <w:t>并根据实际情况调整。</w:t>
      </w:r>
    </w:p>
    <w:p>
      <w:pPr>
        <w:pStyle w:val="BodyText"/>
        <w:spacing w:line="300" w:lineRule="auto" w:before="22"/>
        <w:ind w:left="694"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23.3</w:t>
      </w:r>
      <w:r>
        <w:rPr>
          <w:u w:val="single" w:color="000000"/>
        </w:rPr>
        <w:t>让渡资产使用权收入</w:t>
      </w:r>
      <w:r>
        <w:rPr/>
      </w:r>
      <w:r>
        <w:rPr/>
        <w:t> </w:t>
      </w:r>
      <w:r>
        <w:rPr>
          <w:spacing w:val="-2"/>
        </w:rPr>
        <w:t>与交易相关的经济利益很可能流入且收入的金额能够可靠地计量时，确认让渡资产使用权收入。分别下列情况确定让</w:t>
      </w:r>
    </w:p>
    <w:p>
      <w:pPr>
        <w:pStyle w:val="BodyText"/>
        <w:spacing w:line="240" w:lineRule="auto" w:before="31"/>
        <w:ind w:right="0"/>
        <w:jc w:val="left"/>
      </w:pPr>
      <w:r>
        <w:rPr/>
        <w:t>渡资产使用权收入金额：</w:t>
      </w:r>
    </w:p>
    <w:p>
      <w:pPr>
        <w:pStyle w:val="BodyText"/>
        <w:spacing w:line="240" w:lineRule="auto" w:before="76"/>
        <w:ind w:left="604"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44"/>
        </w:rPr>
        <w:t> </w:t>
      </w:r>
      <w:r>
        <w:rPr/>
        <w:t>利息收入金额，按照他人使用本集团货币资金的时间和实际利率计算确定。</w:t>
      </w:r>
    </w:p>
    <w:p>
      <w:pPr>
        <w:pStyle w:val="BodyText"/>
        <w:spacing w:line="240" w:lineRule="auto" w:before="63"/>
        <w:ind w:left="604"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44"/>
        </w:rPr>
        <w:t> </w:t>
      </w:r>
      <w:r>
        <w:rPr/>
        <w:t>使用费收入金额，按照有关合同或协议约定的收费时间和方法计算确定。</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4、政府补助" w:id="204"/>
      <w:bookmarkEnd w:id="204"/>
      <w:r>
        <w:rPr>
          <w:b w:val="0"/>
          <w:bCs w:val="0"/>
        </w:rPr>
      </w:r>
      <w:r>
        <w:rPr>
          <w:rFonts w:ascii="Times New Roman" w:hAnsi="Times New Roman" w:cs="Times New Roman" w:eastAsia="Times New Roman" w:hint="default"/>
        </w:rPr>
        <w:t>24</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75" w:firstLine="397"/>
        <w:jc w:val="left"/>
      </w:pPr>
      <w:r>
        <w:rPr/>
        <w:t>政府补助是指本集团从政府无偿取得货币性资产和非货币性资产。政府补助在能够满足政府补助所附条件且能够收到 时予以确认。</w:t>
      </w:r>
    </w:p>
    <w:p>
      <w:pPr>
        <w:pStyle w:val="BodyText"/>
        <w:spacing w:line="316" w:lineRule="auto" w:before="19"/>
        <w:ind w:left="569" w:right="1157" w:hanging="18"/>
        <w:jc w:val="left"/>
      </w:pPr>
      <w:r>
        <w:rPr/>
        <w:t>政府补助为货币性资产的，按照收到或应收的金额计量。 与本集团日常活动相关的政府补助，按照经济业务实质，计入其他收益。与本集团日常活动无关的政府补助，计入营</w:t>
      </w:r>
    </w:p>
    <w:p>
      <w:pPr>
        <w:pStyle w:val="BodyText"/>
        <w:spacing w:line="240" w:lineRule="auto" w:before="19"/>
        <w:ind w:right="0"/>
        <w:jc w:val="left"/>
      </w:pPr>
      <w:r>
        <w:rPr/>
        <w:t>业外收支。</w:t>
      </w:r>
    </w:p>
    <w:p>
      <w:pPr>
        <w:pStyle w:val="BodyText"/>
        <w:spacing w:line="300" w:lineRule="auto" w:before="76"/>
        <w:ind w:left="534" w:right="1253" w:firstLine="16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24.1</w:t>
      </w:r>
      <w:r>
        <w:rPr>
          <w:u w:val="single" w:color="000000"/>
        </w:rPr>
        <w:t>与资产相关的政府补助判断依据及会计处理方法</w:t>
      </w:r>
      <w:r>
        <w:rPr/>
      </w:r>
      <w:r>
        <w:rPr/>
        <w:t> 本集团的政府补助中的</w:t>
      </w:r>
      <w:r>
        <w:rPr>
          <w:rFonts w:ascii="Times New Roman" w:hAnsi="Times New Roman" w:cs="Times New Roman" w:eastAsia="Times New Roman" w:hint="default"/>
        </w:rPr>
        <w:t>“263</w:t>
      </w:r>
      <w:r>
        <w:rPr/>
        <w:t>云通信</w:t>
      </w:r>
      <w:r>
        <w:rPr>
          <w:rFonts w:ascii="Times New Roman" w:hAnsi="Times New Roman" w:cs="Times New Roman" w:eastAsia="Times New Roman" w:hint="default"/>
        </w:rPr>
        <w:t>”</w:t>
      </w:r>
      <w:r>
        <w:rPr/>
        <w:t>项目、</w:t>
      </w:r>
      <w:r>
        <w:rPr>
          <w:rFonts w:ascii="Times New Roman" w:hAnsi="Times New Roman" w:cs="Times New Roman" w:eastAsia="Times New Roman" w:hint="default"/>
        </w:rPr>
        <w:t>“</w:t>
      </w:r>
      <w:r>
        <w:rPr/>
        <w:t>移动数据虚拟专用网服务平台</w:t>
      </w:r>
      <w:r>
        <w:rPr>
          <w:rFonts w:ascii="Times New Roman" w:hAnsi="Times New Roman" w:cs="Times New Roman" w:eastAsia="Times New Roman" w:hint="default"/>
        </w:rPr>
        <w:t>”</w:t>
      </w:r>
      <w:r>
        <w:rPr/>
        <w:t>项目以及</w:t>
      </w:r>
      <w:r>
        <w:rPr>
          <w:rFonts w:ascii="Times New Roman" w:hAnsi="Times New Roman" w:cs="Times New Roman" w:eastAsia="Times New Roman" w:hint="default"/>
        </w:rPr>
        <w:t>“263</w:t>
      </w:r>
      <w:r>
        <w:rPr/>
        <w:t>企业号云呼智能通信平台</w:t>
      </w:r>
      <w:r>
        <w:rPr>
          <w:rFonts w:ascii="Times New Roman" w:hAnsi="Times New Roman" w:cs="Times New Roman" w:eastAsia="Times New Roman" w:hint="default"/>
        </w:rPr>
        <w:t>”</w:t>
      </w:r>
      <w:r>
        <w:rPr/>
        <w:t>项</w:t>
      </w:r>
    </w:p>
    <w:p>
      <w:pPr>
        <w:pStyle w:val="BodyText"/>
        <w:spacing w:line="312" w:lineRule="auto" w:before="13"/>
        <w:ind w:left="534" w:right="1192" w:hanging="381"/>
        <w:jc w:val="left"/>
      </w:pPr>
      <w:r>
        <w:rPr/>
        <w:t>目，由于补助目的为购建长期资产，该等政府补助为与资产相关的政府补助。 与资产相关的政府补助，确认为递延收益，在相关资产的使用寿命内按照直线法分期平均计入当期损益。 </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24.2</w:t>
      </w:r>
      <w:r>
        <w:rPr>
          <w:u w:val="single" w:color="000000"/>
        </w:rPr>
        <w:t>与收益相关的政府补助判断依据及会计处理方法</w:t>
      </w:r>
      <w:r>
        <w:rPr/>
      </w:r>
      <w:r>
        <w:rPr/>
        <w:t> 本集团的政府补助中的房租补贴、软件产品即征即退税金、技术出口等补贴，由于补助目的是为补偿相关成本费用，</w:t>
      </w:r>
    </w:p>
    <w:p>
      <w:pPr>
        <w:pStyle w:val="BodyText"/>
        <w:spacing w:line="316" w:lineRule="auto" w:before="22"/>
        <w:ind w:left="534" w:right="1192" w:hanging="381"/>
        <w:jc w:val="left"/>
      </w:pPr>
      <w:r>
        <w:rPr/>
        <w:t>该等政府补助为与收益相关的政府补助。 与收益相关的政府补助，用于补偿以后期间的相关成本费用和损失的，确认为递延收益，并在确认相关成本费用或损</w:t>
      </w:r>
    </w:p>
    <w:p>
      <w:pPr>
        <w:pStyle w:val="BodyText"/>
        <w:spacing w:line="240" w:lineRule="auto" w:before="19"/>
        <w:ind w:right="0"/>
        <w:jc w:val="left"/>
      </w:pPr>
      <w:r>
        <w:rPr/>
        <w:t>失的期间，计入当期损益；用于补偿已经发生的相关成本费用和损失的，直接计入当期损益。</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5、递延所得税资产/递延所得税负债" w:id="205"/>
      <w:bookmarkEnd w:id="205"/>
      <w:r>
        <w:rPr>
          <w:b w:val="0"/>
          <w:bCs w:val="0"/>
        </w:rPr>
      </w: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所得税包括当期所得税和递延所得税。</w:t>
      </w:r>
    </w:p>
    <w:p>
      <w:pPr>
        <w:pStyle w:val="BodyText"/>
        <w:spacing w:line="300" w:lineRule="auto" w:before="76"/>
        <w:ind w:left="634" w:right="0" w:firstLine="6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25.1</w:t>
      </w:r>
      <w:r>
        <w:rPr>
          <w:u w:val="single" w:color="000000"/>
        </w:rPr>
        <w:t>当期所得税</w:t>
      </w:r>
      <w:r>
        <w:rPr/>
      </w:r>
      <w:r>
        <w:rPr/>
        <w:t> </w:t>
      </w:r>
      <w:r>
        <w:rPr>
          <w:spacing w:val="-2"/>
        </w:rPr>
        <w:t>资产负债表日，对于当期和以前期间形成的当期所得税负债</w:t>
      </w:r>
      <w:r>
        <w:rPr>
          <w:rFonts w:ascii="Times New Roman" w:hAnsi="Times New Roman" w:cs="Times New Roman" w:eastAsia="Times New Roman" w:hint="default"/>
          <w:spacing w:val="-2"/>
        </w:rPr>
        <w:t>(</w:t>
      </w:r>
      <w:r>
        <w:rPr>
          <w:spacing w:val="-2"/>
        </w:rPr>
        <w:t>或资产</w:t>
      </w:r>
      <w:r>
        <w:rPr>
          <w:rFonts w:ascii="Times New Roman" w:hAnsi="Times New Roman" w:cs="Times New Roman" w:eastAsia="Times New Roman" w:hint="default"/>
          <w:spacing w:val="-2"/>
        </w:rPr>
        <w:t>)</w:t>
      </w:r>
      <w:r>
        <w:rPr>
          <w:spacing w:val="-2"/>
        </w:rPr>
        <w:t>，以按照税法规定计算的预期应交纳</w:t>
      </w:r>
      <w:r>
        <w:rPr>
          <w:rFonts w:ascii="Times New Roman" w:hAnsi="Times New Roman" w:cs="Times New Roman" w:eastAsia="Times New Roman" w:hint="default"/>
          <w:spacing w:val="-2"/>
        </w:rPr>
        <w:t>(</w:t>
      </w:r>
      <w:r>
        <w:rPr>
          <w:spacing w:val="-2"/>
        </w:rPr>
        <w:t>或返还</w:t>
      </w:r>
      <w:r>
        <w:rPr>
          <w:rFonts w:ascii="Times New Roman" w:hAnsi="Times New Roman" w:cs="Times New Roman" w:eastAsia="Times New Roman" w:hint="default"/>
          <w:spacing w:val="-2"/>
        </w:rPr>
        <w:t>)</w:t>
      </w:r>
      <w:r>
        <w:rPr>
          <w:spacing w:val="-2"/>
        </w:rPr>
        <w:t>的所</w:t>
      </w:r>
    </w:p>
    <w:p>
      <w:pPr>
        <w:pStyle w:val="BodyText"/>
        <w:spacing w:line="240" w:lineRule="auto" w:before="13"/>
        <w:ind w:right="0"/>
        <w:jc w:val="left"/>
      </w:pPr>
      <w:r>
        <w:rPr/>
        <w:t>得税金额计量。</w:t>
      </w:r>
    </w:p>
    <w:p>
      <w:pPr>
        <w:pStyle w:val="BodyText"/>
        <w:spacing w:line="300" w:lineRule="auto" w:before="76"/>
        <w:ind w:left="634" w:right="0" w:firstLine="6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25.2</w:t>
      </w:r>
      <w:r>
        <w:rPr>
          <w:u w:val="single" w:color="000000"/>
        </w:rPr>
        <w:t>递延所得税资产及递延所得税负债</w:t>
      </w:r>
      <w:r>
        <w:rPr/>
      </w:r>
      <w:r>
        <w:rPr/>
        <w:t> </w:t>
      </w:r>
      <w:r>
        <w:rPr>
          <w:spacing w:val="-1"/>
        </w:rPr>
        <w:t>对于某些资产、负债项目的账面价值与其计税基础之间的差额，以及未作为资产和负债确认但按照税法规定可以确定</w:t>
      </w:r>
    </w:p>
    <w:p>
      <w:pPr>
        <w:pStyle w:val="BodyText"/>
        <w:spacing w:line="316" w:lineRule="auto" w:before="31"/>
        <w:ind w:right="1118"/>
        <w:jc w:val="left"/>
      </w:pPr>
      <w:r>
        <w:rPr>
          <w:spacing w:val="-2"/>
        </w:rPr>
        <w:t>其计税基础的项目的账面价值与计税基础之间的差额产生的暂时性差异，采用资产负债表债务法确认递延所得税资产及递延</w:t>
      </w:r>
      <w:r>
        <w:rPr>
          <w:spacing w:val="-64"/>
        </w:rPr>
        <w:t> </w:t>
      </w:r>
      <w:r>
        <w:rPr>
          <w:spacing w:val="-64"/>
        </w:rPr>
      </w:r>
      <w:r>
        <w:rPr/>
        <w:t>所得税负债。</w:t>
      </w:r>
    </w:p>
    <w:p>
      <w:pPr>
        <w:pStyle w:val="BodyText"/>
        <w:spacing w:line="312" w:lineRule="auto" w:before="19"/>
        <w:ind w:right="0" w:firstLine="480"/>
        <w:jc w:val="left"/>
      </w:pPr>
      <w:r>
        <w:rPr/>
        <w:t>一般情况下所有暂时性差异均确认相关的递延所得税。但对于可抵扣暂时性差异，本集团以很可能取得用来抵扣可抵 </w:t>
      </w:r>
      <w:r>
        <w:rPr>
          <w:spacing w:val="-4"/>
        </w:rPr>
        <w:t>扣暂时性差异的应纳税所得额为限，确认相关的递延所得税资产。此外，与商誉的初始确认相关的，以及与既不是企业合并、</w:t>
      </w:r>
      <w:r>
        <w:rPr>
          <w:spacing w:val="-46"/>
        </w:rPr>
        <w:t> </w:t>
      </w:r>
      <w:r>
        <w:rPr>
          <w:spacing w:val="-46"/>
        </w:rPr>
      </w:r>
      <w:r>
        <w:rPr/>
        <w:t>发生时也不影响会计利润和应纳税所得额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的交易中产生的资产或负债的初始确认有关的暂时性差异，不予确 认有关的递延所得税资产或负债。</w:t>
      </w:r>
    </w:p>
    <w:p>
      <w:pPr>
        <w:pStyle w:val="BodyText"/>
        <w:spacing w:line="240" w:lineRule="auto" w:before="22"/>
        <w:ind w:left="634" w:right="0"/>
        <w:jc w:val="left"/>
      </w:pPr>
      <w:r>
        <w:rPr/>
        <w:t>对于能够结转以后年度的可抵扣亏损及税款抵减，以很可能获得用来抵扣可抵扣亏损和税款抵减的未来应纳税所得额</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634" w:right="0" w:hanging="480"/>
        <w:jc w:val="left"/>
      </w:pPr>
      <w:r>
        <w:rPr/>
        <w:t>为限，确认相应的递延所得税资产。 </w:t>
      </w:r>
      <w:r>
        <w:rPr>
          <w:spacing w:val="-1"/>
        </w:rPr>
        <w:t>本集团确认与子公司及联营企业投资相关的应纳税暂时性差异产生的递延所得税负债，除非本集团能够控制暂时性差</w:t>
      </w:r>
    </w:p>
    <w:p>
      <w:pPr>
        <w:pStyle w:val="BodyText"/>
        <w:spacing w:line="319" w:lineRule="auto" w:before="19"/>
        <w:ind w:right="0"/>
        <w:jc w:val="left"/>
      </w:pPr>
      <w:r>
        <w:rPr>
          <w:spacing w:val="-4"/>
        </w:rPr>
        <w:t>异转回的时间，而且该暂时性差异在可预见的未来很可能不会转回。对于与子公司及联营企业投资相关的可抵扣暂时性差异，</w:t>
      </w:r>
      <w:r>
        <w:rPr>
          <w:spacing w:val="-44"/>
        </w:rPr>
        <w:t> </w:t>
      </w:r>
      <w:r>
        <w:rPr>
          <w:spacing w:val="-44"/>
        </w:rPr>
      </w:r>
      <w:r>
        <w:rPr>
          <w:spacing w:val="-2"/>
        </w:rPr>
        <w:t>只有当暂时性差异在可预见的未来很可能转回，且未来很可能获得用来抵扣可抵扣暂时性差异的应纳税所得额时，本集团才</w:t>
      </w:r>
      <w:r>
        <w:rPr>
          <w:spacing w:val="-64"/>
        </w:rPr>
        <w:t> </w:t>
      </w:r>
      <w:r>
        <w:rPr>
          <w:spacing w:val="-64"/>
        </w:rPr>
      </w:r>
      <w:r>
        <w:rPr/>
        <w:t>确认递延所得税资产。</w:t>
      </w:r>
    </w:p>
    <w:p>
      <w:pPr>
        <w:pStyle w:val="BodyText"/>
        <w:spacing w:line="316" w:lineRule="auto" w:before="17"/>
        <w:ind w:right="0" w:firstLine="480"/>
        <w:jc w:val="left"/>
      </w:pPr>
      <w:r>
        <w:rPr>
          <w:spacing w:val="-1"/>
        </w:rPr>
        <w:t>资产负债表日，对于递延所得税资产和递延所得税负债，根据税法规定，按照预期收回相关资产或清偿相关负债期间</w:t>
      </w:r>
      <w:r>
        <w:rPr/>
        <w:t> 的适用税率计量。</w:t>
      </w:r>
    </w:p>
    <w:p>
      <w:pPr>
        <w:pStyle w:val="BodyText"/>
        <w:spacing w:line="316" w:lineRule="auto" w:before="19"/>
        <w:ind w:right="1092" w:firstLine="480"/>
        <w:jc w:val="left"/>
      </w:pPr>
      <w:r>
        <w:rPr/>
        <w:t>除与直接计入其他综合收益或股东权益的交易和事项相关的当期所得税和递延所得税计入其他综合收益或股东权益， 以及企业合并产生的递延所得税调整商誉的账面价值外，其余当期所得税和递延所得税费用或收益计入当期损益。</w:t>
      </w:r>
    </w:p>
    <w:p>
      <w:pPr>
        <w:pStyle w:val="BodyText"/>
        <w:spacing w:line="316" w:lineRule="auto" w:before="19"/>
        <w:ind w:right="0" w:firstLine="480"/>
        <w:jc w:val="left"/>
      </w:pPr>
      <w:r>
        <w:rPr>
          <w:spacing w:val="-1"/>
        </w:rPr>
        <w:t>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pStyle w:val="BodyText"/>
        <w:spacing w:line="300" w:lineRule="auto" w:before="19"/>
        <w:ind w:left="634" w:right="0" w:firstLine="6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25.3</w:t>
      </w:r>
      <w:r>
        <w:rPr>
          <w:u w:val="single" w:color="000000"/>
        </w:rPr>
        <w:t>所得税的抵销</w:t>
      </w:r>
      <w:r>
        <w:rPr/>
      </w:r>
      <w:r>
        <w:rPr/>
        <w:t> </w:t>
      </w:r>
      <w:r>
        <w:rPr>
          <w:spacing w:val="-1"/>
        </w:rPr>
        <w:t>当拥有以净额结算的法定权利，且意图以净额结算或取得资产、清偿负债同时进行时，本集团当期所得税资产及当期</w:t>
      </w:r>
    </w:p>
    <w:p>
      <w:pPr>
        <w:pStyle w:val="BodyText"/>
        <w:spacing w:line="316" w:lineRule="auto" w:before="31"/>
        <w:ind w:left="634" w:right="0" w:hanging="480"/>
        <w:jc w:val="left"/>
      </w:pPr>
      <w:r>
        <w:rPr/>
        <w:t>所得税负债以抵销后的净额列报。 </w:t>
      </w:r>
      <w:r>
        <w:rPr>
          <w:spacing w:val="-1"/>
        </w:rPr>
        <w:t>当拥有以净额结算当期所得税资产及当期所得税负债的法定权利，且递延所得税资产及递延所得税负债是与同一税收</w:t>
      </w:r>
    </w:p>
    <w:p>
      <w:pPr>
        <w:pStyle w:val="BodyText"/>
        <w:spacing w:line="316" w:lineRule="auto" w:before="19"/>
        <w:ind w:right="1131"/>
        <w:jc w:val="both"/>
      </w:pPr>
      <w:r>
        <w:rPr>
          <w:spacing w:val="-2"/>
        </w:rPr>
        <w:t>征管部门对同一纳税主体征收的所得税相关或者是对不同的纳税主体相关，但在未来每一具有重要性的递延所得税资产及负</w:t>
      </w:r>
      <w:r>
        <w:rPr>
          <w:spacing w:val="-64"/>
        </w:rPr>
        <w:t> </w:t>
      </w:r>
      <w:r>
        <w:rPr>
          <w:spacing w:val="-64"/>
        </w:rPr>
      </w:r>
      <w:r>
        <w:rPr>
          <w:spacing w:val="-2"/>
        </w:rPr>
        <w:t>债转回的期间内，涉及的纳税主体意图以净额结算当期所得税资产和负债或是同时取得资产、清偿负债时，本集团递延所得</w:t>
      </w:r>
      <w:r>
        <w:rPr>
          <w:spacing w:val="-66"/>
        </w:rPr>
        <w:t> </w:t>
      </w:r>
      <w:r>
        <w:rPr>
          <w:spacing w:val="-66"/>
        </w:rPr>
      </w:r>
      <w:r>
        <w:rPr/>
        <w:t>税资产及递延所得税负债以抵销后的净额列报。</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6、租赁" w:id="206"/>
      <w:bookmarkEnd w:id="206"/>
      <w:r>
        <w:rPr>
          <w:b w:val="0"/>
          <w:bCs w:val="0"/>
        </w:rPr>
      </w:r>
      <w:r>
        <w:rPr>
          <w:rFonts w:ascii="Times New Roman" w:hAnsi="Times New Roman" w:cs="Times New Roman" w:eastAsia="Times New Roman" w:hint="default"/>
        </w:rPr>
        <w:t>26</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经营租赁的会计处理方法" w:id="207"/>
      <w:bookmarkEnd w:id="207"/>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634" w:right="0" w:firstLine="7"/>
        <w:jc w:val="left"/>
      </w:pPr>
      <w:r>
        <w:rPr/>
        <w:t>实质上转移了与资产所有权有关的全部风险和报酬的租赁为融资租赁。融资租赁以外的其他租赁为经营租赁。 </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26.1</w:t>
      </w:r>
      <w:r>
        <w:rPr>
          <w:u w:val="single" w:color="000000"/>
        </w:rPr>
        <w:t>本集团作为承租人记录经营租赁业务</w:t>
      </w:r>
      <w:r>
        <w:rPr/>
      </w:r>
      <w:r>
        <w:rPr/>
        <w:t> </w:t>
      </w:r>
      <w:r>
        <w:rPr>
          <w:spacing w:val="-1"/>
        </w:rPr>
        <w:t>经营租赁的租金支出在租赁期内的各个期间按直线法计入相关资产成本或当期损益。初始直接费用计入当期损益。或</w:t>
      </w:r>
    </w:p>
    <w:p>
      <w:pPr>
        <w:pStyle w:val="BodyText"/>
        <w:spacing w:line="240" w:lineRule="auto" w:before="24"/>
        <w:ind w:right="0"/>
        <w:jc w:val="left"/>
      </w:pPr>
      <w:r>
        <w:rPr/>
        <w:t>有租金于实际发生时计入当期损益。</w:t>
      </w:r>
    </w:p>
    <w:p>
      <w:pPr>
        <w:pStyle w:val="BodyText"/>
        <w:spacing w:line="300" w:lineRule="auto" w:before="76"/>
        <w:ind w:left="634" w:right="0" w:firstLine="6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26.2</w:t>
      </w:r>
      <w:r>
        <w:rPr>
          <w:u w:val="single" w:color="000000"/>
        </w:rPr>
        <w:t>本集团作为出租人记录经营租赁业务</w:t>
      </w:r>
      <w:r>
        <w:rPr/>
      </w:r>
      <w:r>
        <w:rPr/>
        <w:t> </w:t>
      </w:r>
      <w:r>
        <w:rPr>
          <w:spacing w:val="-1"/>
        </w:rPr>
        <w:t>经营租赁的租金收入在租赁期内的各个期间按直线法确认为当期损益。对金额较大的初始直接费用于发生时予以资本</w:t>
      </w:r>
    </w:p>
    <w:p>
      <w:pPr>
        <w:pStyle w:val="BodyText"/>
        <w:spacing w:line="316" w:lineRule="auto" w:before="31"/>
        <w:ind w:right="1118"/>
        <w:jc w:val="left"/>
      </w:pP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融资租赁的会计处理方法" w:id="208"/>
      <w:bookmarkEnd w:id="208"/>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本公司无融资租赁业务。</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7、其他重要的会计政策和会计估计" w:id="209"/>
      <w:bookmarkEnd w:id="209"/>
      <w:r>
        <w:rPr>
          <w:b w:val="0"/>
          <w:bCs w:val="0"/>
        </w:rPr>
      </w:r>
      <w:r>
        <w:rPr>
          <w:rFonts w:ascii="Times New Roman" w:hAnsi="Times New Roman" w:cs="Times New Roman" w:eastAsia="Times New Roman" w:hint="default"/>
        </w:rPr>
        <w:t>27</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2" w:firstLine="290"/>
        <w:jc w:val="left"/>
      </w:pPr>
      <w:r>
        <w:rPr/>
        <w:t>本集团在运用会计政策过程中，由于经营活动内在的不确定性，本集团需要对无法准确计量的报表项目的账面价值进行 判断、估计和假设。这些判断、估计和假设是基于本集团管理层过去的历史经验，并在考虑其他相关因素的基础上作出的。 实际的结果可能与本集团的估计存在差异。</w:t>
      </w:r>
    </w:p>
    <w:p>
      <w:pPr>
        <w:pStyle w:val="BodyText"/>
        <w:spacing w:line="316" w:lineRule="auto" w:before="17"/>
        <w:ind w:right="0" w:firstLine="470"/>
        <w:jc w:val="left"/>
      </w:pPr>
      <w:r>
        <w:rPr>
          <w:spacing w:val="-1"/>
        </w:rPr>
        <w:t>本集团对前述判断、估计和假设在持续经营的基础上进行定期复核，会计估计的变更仅影响变更当期的，其影响数在</w:t>
      </w:r>
      <w:r>
        <w:rPr/>
        <w:t> 变更当期予以确认；既影响变更当期又影响未来期间的，其影响数在变更当期和未来期间予以确认。</w:t>
      </w:r>
    </w:p>
    <w:p>
      <w:pPr>
        <w:pStyle w:val="BodyText"/>
        <w:spacing w:line="316" w:lineRule="auto" w:before="19"/>
        <w:ind w:right="1212" w:firstLine="540"/>
        <w:jc w:val="left"/>
      </w:pPr>
      <w:r>
        <w:rPr/>
        <w:t>资产负债表日，会计估计中很可能导致未来期间资产、负债账面价值作出重大调整的关键假设和不确定性主要有： 商誉减值准备</w:t>
      </w:r>
    </w:p>
    <w:p>
      <w:pPr>
        <w:spacing w:after="0" w:line="316"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31" w:firstLine="541"/>
        <w:jc w:val="both"/>
      </w:pPr>
      <w:r>
        <w:rPr/>
        <w:t>本集团根据自购买日起将商誉的账面价值按照合理的方法分摊到能够从企业合并的协同效应中受益的资产组或资产 </w:t>
      </w:r>
      <w:r>
        <w:rPr>
          <w:spacing w:val="-2"/>
        </w:rPr>
        <w:t>组组合的可收回金额为判断基础确认减值准备。当包含分摊的商誉的资产组或资产组组合的可收回金额低于其账面价值时需</w:t>
      </w:r>
      <w:r>
        <w:rPr>
          <w:spacing w:val="-64"/>
        </w:rPr>
        <w:t> </w:t>
      </w:r>
      <w:r>
        <w:rPr>
          <w:spacing w:val="-64"/>
        </w:rPr>
      </w:r>
      <w:r>
        <w:rPr>
          <w:spacing w:val="-2"/>
        </w:rPr>
        <w:t>要确认减值准备。减值准备的确认需要运用判断和估计，如重新估计结果与现有估计存在差异，该差异将会影响估计改变期</w:t>
      </w:r>
      <w:r>
        <w:rPr>
          <w:spacing w:val="-66"/>
        </w:rPr>
        <w:t> </w:t>
      </w:r>
      <w:r>
        <w:rPr>
          <w:spacing w:val="-66"/>
        </w:rPr>
      </w:r>
      <w:r>
        <w:rPr/>
        <w:t>间的商誉的账面价值。</w:t>
      </w:r>
    </w:p>
    <w:p>
      <w:pPr>
        <w:pStyle w:val="BodyText"/>
        <w:spacing w:line="300" w:lineRule="auto" w:before="19"/>
        <w:ind w:right="0" w:firstLine="540"/>
        <w:jc w:val="left"/>
      </w:pPr>
      <w:r>
        <w:rPr>
          <w:spacing w:val="-5"/>
        </w:rPr>
        <w:t>资产负债表日，会计估计中很可能导致未来期间资产、负债账面价值作出重大调整的关键假设和不确定性主要有：</w:t>
      </w:r>
      <w:r>
        <w:rPr>
          <w:rFonts w:ascii="Times New Roman" w:hAnsi="Times New Roman" w:cs="Times New Roman" w:eastAsia="Times New Roman" w:hint="default"/>
          <w:spacing w:val="-5"/>
        </w:rPr>
        <w:t>-</w:t>
      </w:r>
      <w:r>
        <w:rPr>
          <w:rFonts w:ascii="Times New Roman" w:hAnsi="Times New Roman" w:cs="Times New Roman" w:eastAsia="Times New Roman" w:hint="default"/>
          <w:spacing w:val="22"/>
        </w:rPr>
        <w:t> </w:t>
      </w:r>
      <w:r>
        <w:rPr/>
        <w:t>续 递延所得税资产的确认</w:t>
      </w:r>
    </w:p>
    <w:p>
      <w:pPr>
        <w:pStyle w:val="BodyText"/>
        <w:spacing w:line="312" w:lineRule="auto" w:before="31"/>
        <w:ind w:right="1032" w:firstLine="577"/>
        <w:jc w:val="left"/>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日，本集团已确认递延所得税资产为人民币</w:t>
      </w:r>
      <w:r>
        <w:rPr>
          <w:rFonts w:ascii="Times New Roman" w:hAnsi="Times New Roman" w:cs="Times New Roman" w:eastAsia="Times New Roman" w:hint="default"/>
        </w:rPr>
        <w:t>10,735,447.84</w:t>
      </w:r>
      <w:r>
        <w:rPr>
          <w:rFonts w:ascii="Times New Roman" w:hAnsi="Times New Roman" w:cs="Times New Roman" w:eastAsia="Times New Roman" w:hint="default"/>
          <w:spacing w:val="23"/>
        </w:rPr>
        <w:t> </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18,000,544.02 </w:t>
      </w:r>
      <w:r>
        <w:rPr/>
        <w:t>元</w:t>
      </w:r>
      <w:r>
        <w:rPr>
          <w:rFonts w:ascii="Times New Roman" w:hAnsi="Times New Roman" w:cs="Times New Roman" w:eastAsia="Times New Roman" w:hint="default"/>
        </w:rPr>
        <w:t>)</w:t>
      </w:r>
      <w:r>
        <w:rPr/>
        <w:t>，列于合并资产负债表中。如对未来盈利情况不能合理预期或不能确认可以得到税务机关税前抵扣的认可，则不确认递 </w:t>
      </w:r>
      <w:r>
        <w:rPr>
          <w:spacing w:val="-2"/>
        </w:rPr>
        <w:t>延所得税资产。递延所得税资产的实现主要取决于未来的实际盈利及暂时性差异在未来使用年度的实际税率。如未来实际产</w:t>
      </w:r>
      <w:r>
        <w:rPr>
          <w:spacing w:val="-64"/>
        </w:rPr>
        <w:t> </w:t>
      </w:r>
      <w:r>
        <w:rPr>
          <w:spacing w:val="-64"/>
        </w:rPr>
      </w:r>
      <w:r>
        <w:rPr>
          <w:spacing w:val="-2"/>
        </w:rPr>
        <w:t>生的盈利少于预期，或实际税率低于预期，确认的递延所得税资产将被转回，确认在转回发生期间的利润表中。如未来实际</w:t>
      </w:r>
      <w:r>
        <w:rPr>
          <w:spacing w:val="-66"/>
        </w:rPr>
        <w:t> </w:t>
      </w:r>
      <w:r>
        <w:rPr>
          <w:spacing w:val="-66"/>
        </w:rPr>
      </w:r>
      <w:r>
        <w:rPr/>
        <w:t>产生的应纳税所得额多于预期，或实际税率高于预期，将调整相应的递延所得税资产，确认在该情况发生期间的利润表中。 坏账准备</w:t>
      </w:r>
    </w:p>
    <w:p>
      <w:pPr>
        <w:pStyle w:val="BodyText"/>
        <w:spacing w:line="316" w:lineRule="auto" w:before="22"/>
        <w:ind w:right="1032" w:firstLine="560"/>
        <w:jc w:val="left"/>
      </w:pPr>
      <w:r>
        <w:rPr>
          <w:spacing w:val="-1"/>
        </w:rPr>
        <w:t>本集团根据应收款项的可收回性为判断基础确认坏账准备。当存在迹象表明应收款项无法收回时需要确认坏账准备。</w:t>
      </w:r>
      <w:r>
        <w:rPr/>
        <w:t> </w:t>
      </w:r>
      <w:r>
        <w:rPr>
          <w:spacing w:val="-2"/>
        </w:rPr>
        <w:t>坏账准备的确认需要运用判断和估计。如重新估计结果与现有估计存在差异，该差异将会影响估计改变的期间的应收款项账</w:t>
      </w:r>
      <w:r>
        <w:rPr>
          <w:spacing w:val="-64"/>
        </w:rPr>
        <w:t> </w:t>
      </w:r>
      <w:r>
        <w:rPr>
          <w:spacing w:val="-64"/>
        </w:rPr>
      </w:r>
      <w:r>
        <w:rPr/>
        <w:t>面价值。</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8、重要会计政策和会计估计变更" w:id="210"/>
      <w:bookmarkEnd w:id="210"/>
      <w:r>
        <w:rPr>
          <w:b w:val="0"/>
          <w:bCs w:val="0"/>
        </w:rPr>
      </w:r>
      <w:r>
        <w:rPr>
          <w:rFonts w:ascii="Times New Roman" w:hAnsi="Times New Roman" w:cs="Times New Roman" w:eastAsia="Times New Roman" w:hint="default"/>
        </w:rPr>
        <w:t>28</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会计政策变更" w:id="211"/>
      <w:bookmarkEnd w:id="21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37" w:type="dxa"/>
        <w:tblLayout w:type="fixed"/>
        <w:tblCellMar>
          <w:top w:w="0" w:type="dxa"/>
          <w:left w:w="0" w:type="dxa"/>
          <w:bottom w:w="0" w:type="dxa"/>
          <w:right w:w="0" w:type="dxa"/>
        </w:tblCellMar>
        <w:tblLook w:val="01E0"/>
      </w:tblPr>
      <w:tblGrid>
        <w:gridCol w:w="7756"/>
        <w:gridCol w:w="1903"/>
      </w:tblGrid>
      <w:tr>
        <w:trPr>
          <w:trHeight w:val="343" w:hRule="exact"/>
        </w:trPr>
        <w:tc>
          <w:tcPr>
            <w:tcW w:w="7756" w:type="dxa"/>
            <w:tcBorders>
              <w:top w:val="single" w:sz="6" w:space="0" w:color="000000"/>
              <w:left w:val="single" w:sz="6" w:space="0" w:color="000000"/>
              <w:bottom w:val="single" w:sz="6" w:space="0" w:color="000000"/>
              <w:right w:val="single" w:sz="6" w:space="0" w:color="000000"/>
            </w:tcBorders>
            <w:shd w:val="clear" w:color="auto" w:fill="E7E6E6"/>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color w:val="0D0D0D"/>
                <w:sz w:val="18"/>
                <w:szCs w:val="18"/>
              </w:rPr>
              <w:t>会计政策变更的内容和原因</w:t>
            </w:r>
            <w:r>
              <w:rPr>
                <w:rFonts w:ascii="宋体" w:hAnsi="宋体" w:cs="宋体" w:eastAsia="宋体" w:hint="default"/>
                <w:sz w:val="18"/>
                <w:szCs w:val="18"/>
              </w:rPr>
            </w:r>
          </w:p>
        </w:tc>
        <w:tc>
          <w:tcPr>
            <w:tcW w:w="1903" w:type="dxa"/>
            <w:tcBorders>
              <w:top w:val="single" w:sz="6" w:space="0" w:color="000000"/>
              <w:left w:val="single" w:sz="6" w:space="0" w:color="000000"/>
              <w:bottom w:val="single" w:sz="6" w:space="0" w:color="000000"/>
              <w:right w:val="single" w:sz="6" w:space="0" w:color="000000"/>
            </w:tcBorders>
            <w:shd w:val="clear" w:color="auto" w:fill="E7E6E6"/>
          </w:tcPr>
          <w:p>
            <w:pPr>
              <w:pStyle w:val="TableParagraph"/>
              <w:spacing w:line="240" w:lineRule="auto" w:before="21"/>
              <w:ind w:left="583" w:right="0"/>
              <w:jc w:val="left"/>
              <w:rPr>
                <w:rFonts w:ascii="宋体" w:hAnsi="宋体" w:cs="宋体" w:eastAsia="宋体" w:hint="default"/>
                <w:sz w:val="18"/>
                <w:szCs w:val="18"/>
              </w:rPr>
            </w:pPr>
            <w:r>
              <w:rPr>
                <w:rFonts w:ascii="宋体" w:hAnsi="宋体" w:cs="宋体" w:eastAsia="宋体" w:hint="default"/>
                <w:color w:val="0D0D0D"/>
                <w:sz w:val="18"/>
                <w:szCs w:val="18"/>
              </w:rPr>
              <w:t>审批程序</w:t>
            </w:r>
            <w:r>
              <w:rPr>
                <w:rFonts w:ascii="宋体" w:hAnsi="宋体" w:cs="宋体" w:eastAsia="宋体" w:hint="default"/>
                <w:sz w:val="18"/>
                <w:szCs w:val="18"/>
              </w:rPr>
            </w:r>
          </w:p>
        </w:tc>
      </w:tr>
      <w:tr>
        <w:trPr>
          <w:trHeight w:val="2849" w:hRule="exact"/>
        </w:trPr>
        <w:tc>
          <w:tcPr>
            <w:tcW w:w="7756" w:type="dxa"/>
            <w:tcBorders>
              <w:top w:val="single" w:sz="10" w:space="0" w:color="000000"/>
              <w:left w:val="single" w:sz="6" w:space="0" w:color="000000"/>
              <w:bottom w:val="single" w:sz="6" w:space="0" w:color="000000"/>
              <w:right w:val="single" w:sz="6" w:space="0" w:color="000000"/>
            </w:tcBorders>
          </w:tcPr>
          <w:p>
            <w:pPr>
              <w:pStyle w:val="TableParagraph"/>
              <w:spacing w:line="302" w:lineRule="auto" w:before="20"/>
              <w:ind w:left="2" w:right="1"/>
              <w:jc w:val="left"/>
              <w:rPr>
                <w:rFonts w:ascii="宋体" w:hAnsi="宋体" w:cs="宋体" w:eastAsia="宋体" w:hint="default"/>
                <w:sz w:val="18"/>
                <w:szCs w:val="18"/>
              </w:rPr>
            </w:pPr>
            <w:r>
              <w:rPr>
                <w:rFonts w:ascii="宋体" w:hAnsi="宋体" w:cs="宋体" w:eastAsia="宋体" w:hint="default"/>
                <w:color w:val="0D0D0D"/>
                <w:sz w:val="18"/>
                <w:szCs w:val="18"/>
              </w:rPr>
              <w:t>本集团从编制</w:t>
            </w:r>
            <w:r>
              <w:rPr>
                <w:rFonts w:ascii="Times New Roman" w:hAnsi="Times New Roman" w:cs="Times New Roman" w:eastAsia="Times New Roman" w:hint="default"/>
                <w:color w:val="0D0D0D"/>
                <w:sz w:val="18"/>
                <w:szCs w:val="18"/>
              </w:rPr>
              <w:t>2018 </w:t>
            </w:r>
            <w:r>
              <w:rPr>
                <w:rFonts w:ascii="宋体" w:hAnsi="宋体" w:cs="宋体" w:eastAsia="宋体" w:hint="default"/>
                <w:color w:val="0D0D0D"/>
                <w:sz w:val="18"/>
                <w:szCs w:val="18"/>
              </w:rPr>
              <w:t>年度财务报表起执行财政部于</w:t>
            </w:r>
            <w:r>
              <w:rPr>
                <w:rFonts w:ascii="Times New Roman" w:hAnsi="Times New Roman" w:cs="Times New Roman" w:eastAsia="Times New Roman" w:hint="default"/>
                <w:color w:val="0D0D0D"/>
                <w:sz w:val="18"/>
                <w:szCs w:val="18"/>
              </w:rPr>
              <w:t>2018 </w:t>
            </w:r>
            <w:r>
              <w:rPr>
                <w:rFonts w:ascii="宋体" w:hAnsi="宋体" w:cs="宋体" w:eastAsia="宋体" w:hint="default"/>
                <w:color w:val="0D0D0D"/>
                <w:sz w:val="18"/>
                <w:szCs w:val="18"/>
              </w:rPr>
              <w:t>年</w:t>
            </w:r>
            <w:r>
              <w:rPr>
                <w:rFonts w:ascii="Times New Roman" w:hAnsi="Times New Roman" w:cs="Times New Roman" w:eastAsia="Times New Roman" w:hint="default"/>
                <w:color w:val="0D0D0D"/>
                <w:sz w:val="18"/>
                <w:szCs w:val="18"/>
              </w:rPr>
              <w:t>6 </w:t>
            </w:r>
            <w:r>
              <w:rPr>
                <w:rFonts w:ascii="宋体" w:hAnsi="宋体" w:cs="宋体" w:eastAsia="宋体" w:hint="default"/>
                <w:color w:val="0D0D0D"/>
                <w:sz w:val="18"/>
                <w:szCs w:val="18"/>
              </w:rPr>
              <w:t>月</w:t>
            </w:r>
            <w:r>
              <w:rPr>
                <w:rFonts w:ascii="Times New Roman" w:hAnsi="Times New Roman" w:cs="Times New Roman" w:eastAsia="Times New Roman" w:hint="default"/>
                <w:color w:val="0D0D0D"/>
                <w:sz w:val="18"/>
                <w:szCs w:val="18"/>
              </w:rPr>
              <w:t>15 </w:t>
            </w:r>
            <w:r>
              <w:rPr>
                <w:rFonts w:ascii="宋体" w:hAnsi="宋体" w:cs="宋体" w:eastAsia="宋体" w:hint="default"/>
                <w:color w:val="0D0D0D"/>
                <w:sz w:val="18"/>
                <w:szCs w:val="18"/>
              </w:rPr>
              <w:t>日颁布的《关于修订印发</w:t>
            </w:r>
            <w:r>
              <w:rPr>
                <w:rFonts w:ascii="Times New Roman" w:hAnsi="Times New Roman" w:cs="Times New Roman" w:eastAsia="Times New Roman" w:hint="default"/>
                <w:color w:val="0D0D0D"/>
                <w:sz w:val="18"/>
                <w:szCs w:val="18"/>
              </w:rPr>
              <w:t>2018</w:t>
            </w:r>
            <w:r>
              <w:rPr>
                <w:rFonts w:ascii="Times New Roman" w:hAnsi="Times New Roman" w:cs="Times New Roman" w:eastAsia="Times New Roman" w:hint="default"/>
                <w:color w:val="0D0D0D"/>
                <w:spacing w:val="-1"/>
                <w:sz w:val="18"/>
                <w:szCs w:val="18"/>
              </w:rPr>
              <w:t> </w:t>
            </w:r>
            <w:r>
              <w:rPr>
                <w:rFonts w:ascii="宋体" w:hAnsi="宋体" w:cs="宋体" w:eastAsia="宋体" w:hint="default"/>
                <w:color w:val="0D0D0D"/>
                <w:sz w:val="18"/>
                <w:szCs w:val="18"/>
              </w:rPr>
              <w:t>年 度一般企业财务报表格式的通知》</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财会</w:t>
            </w:r>
            <w:r>
              <w:rPr>
                <w:rFonts w:ascii="Times New Roman" w:hAnsi="Times New Roman" w:cs="Times New Roman" w:eastAsia="Times New Roman" w:hint="default"/>
                <w:color w:val="0D0D0D"/>
                <w:sz w:val="18"/>
                <w:szCs w:val="18"/>
              </w:rPr>
              <w:t>(2018)15 </w:t>
            </w:r>
            <w:r>
              <w:rPr>
                <w:rFonts w:ascii="宋体" w:hAnsi="宋体" w:cs="宋体" w:eastAsia="宋体" w:hint="default"/>
                <w:color w:val="0D0D0D"/>
                <w:spacing w:val="-3"/>
                <w:sz w:val="18"/>
                <w:szCs w:val="18"/>
              </w:rPr>
              <w:t>号，以下简称</w:t>
            </w:r>
            <w:r>
              <w:rPr>
                <w:rFonts w:ascii="Times New Roman" w:hAnsi="Times New Roman" w:cs="Times New Roman" w:eastAsia="Times New Roman" w:hint="default"/>
                <w:color w:val="0D0D0D"/>
                <w:spacing w:val="-3"/>
                <w:sz w:val="18"/>
                <w:szCs w:val="18"/>
              </w:rPr>
              <w:t>“</w:t>
            </w:r>
            <w:r>
              <w:rPr>
                <w:rFonts w:ascii="宋体" w:hAnsi="宋体" w:cs="宋体" w:eastAsia="宋体" w:hint="default"/>
                <w:color w:val="0D0D0D"/>
                <w:spacing w:val="-3"/>
                <w:sz w:val="18"/>
                <w:szCs w:val="18"/>
              </w:rPr>
              <w:t>财会</w:t>
            </w:r>
            <w:r>
              <w:rPr>
                <w:rFonts w:ascii="Times New Roman" w:hAnsi="Times New Roman" w:cs="Times New Roman" w:eastAsia="Times New Roman" w:hint="default"/>
                <w:color w:val="0D0D0D"/>
                <w:spacing w:val="-3"/>
                <w:sz w:val="18"/>
                <w:szCs w:val="18"/>
              </w:rPr>
              <w:t>15 </w:t>
            </w:r>
            <w:r>
              <w:rPr>
                <w:rFonts w:ascii="宋体" w:hAnsi="宋体" w:cs="宋体" w:eastAsia="宋体" w:hint="default"/>
                <w:color w:val="0D0D0D"/>
                <w:spacing w:val="-3"/>
                <w:sz w:val="18"/>
                <w:szCs w:val="18"/>
              </w:rPr>
              <w:t>号文件</w:t>
            </w:r>
            <w:r>
              <w:rPr>
                <w:rFonts w:ascii="Times New Roman" w:hAnsi="Times New Roman" w:cs="Times New Roman" w:eastAsia="Times New Roman" w:hint="default"/>
                <w:color w:val="0D0D0D"/>
                <w:spacing w:val="-3"/>
                <w:sz w:val="18"/>
                <w:szCs w:val="18"/>
              </w:rPr>
              <w:t>”)</w:t>
            </w:r>
            <w:r>
              <w:rPr>
                <w:rFonts w:ascii="宋体" w:hAnsi="宋体" w:cs="宋体" w:eastAsia="宋体" w:hint="default"/>
                <w:color w:val="0D0D0D"/>
                <w:spacing w:val="-3"/>
                <w:sz w:val="18"/>
                <w:szCs w:val="18"/>
              </w:rPr>
              <w:t>。财会</w:t>
            </w:r>
            <w:r>
              <w:rPr>
                <w:rFonts w:ascii="Times New Roman" w:hAnsi="Times New Roman" w:cs="Times New Roman" w:eastAsia="Times New Roman" w:hint="default"/>
                <w:color w:val="0D0D0D"/>
                <w:spacing w:val="-3"/>
                <w:sz w:val="18"/>
                <w:szCs w:val="18"/>
              </w:rPr>
              <w:t>15</w:t>
            </w:r>
            <w:r>
              <w:rPr>
                <w:rFonts w:ascii="Times New Roman" w:hAnsi="Times New Roman" w:cs="Times New Roman" w:eastAsia="Times New Roman" w:hint="default"/>
                <w:color w:val="0D0D0D"/>
                <w:spacing w:val="23"/>
                <w:sz w:val="18"/>
                <w:szCs w:val="18"/>
              </w:rPr>
              <w:t> </w:t>
            </w:r>
            <w:r>
              <w:rPr>
                <w:rFonts w:ascii="宋体" w:hAnsi="宋体" w:cs="宋体" w:eastAsia="宋体" w:hint="default"/>
                <w:color w:val="0D0D0D"/>
                <w:sz w:val="18"/>
                <w:szCs w:val="18"/>
              </w:rPr>
              <w:t>号文件对 资产负债表和利润表的列报项目进行了修订，新增了</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应收票据及应收账款</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应付票据及应付账 </w:t>
            </w:r>
            <w:r>
              <w:rPr>
                <w:rFonts w:ascii="宋体" w:hAnsi="宋体" w:cs="宋体" w:eastAsia="宋体" w:hint="default"/>
                <w:color w:val="0D0D0D"/>
                <w:spacing w:val="-2"/>
                <w:sz w:val="18"/>
                <w:szCs w:val="18"/>
              </w:rPr>
              <w:t>款</w:t>
            </w:r>
            <w:r>
              <w:rPr>
                <w:rFonts w:ascii="Times New Roman" w:hAnsi="Times New Roman" w:cs="Times New Roman" w:eastAsia="Times New Roman" w:hint="default"/>
                <w:color w:val="0D0D0D"/>
                <w:spacing w:val="-2"/>
                <w:sz w:val="18"/>
                <w:szCs w:val="18"/>
              </w:rPr>
              <w:t>”</w:t>
            </w:r>
            <w:r>
              <w:rPr>
                <w:rFonts w:ascii="宋体" w:hAnsi="宋体" w:cs="宋体" w:eastAsia="宋体" w:hint="default"/>
                <w:color w:val="0D0D0D"/>
                <w:spacing w:val="-2"/>
                <w:sz w:val="18"/>
                <w:szCs w:val="18"/>
              </w:rPr>
              <w:t>、</w:t>
            </w:r>
            <w:r>
              <w:rPr>
                <w:rFonts w:ascii="Times New Roman" w:hAnsi="Times New Roman" w:cs="Times New Roman" w:eastAsia="Times New Roman" w:hint="default"/>
                <w:color w:val="0D0D0D"/>
                <w:spacing w:val="-2"/>
                <w:sz w:val="18"/>
                <w:szCs w:val="18"/>
              </w:rPr>
              <w:t>“</w:t>
            </w:r>
            <w:r>
              <w:rPr>
                <w:rFonts w:ascii="宋体" w:hAnsi="宋体" w:cs="宋体" w:eastAsia="宋体" w:hint="default"/>
                <w:color w:val="0D0D0D"/>
                <w:spacing w:val="-2"/>
                <w:sz w:val="18"/>
                <w:szCs w:val="18"/>
              </w:rPr>
              <w:t>研发费用</w:t>
            </w:r>
            <w:r>
              <w:rPr>
                <w:rFonts w:ascii="Times New Roman" w:hAnsi="Times New Roman" w:cs="Times New Roman" w:eastAsia="Times New Roman" w:hint="default"/>
                <w:color w:val="0D0D0D"/>
                <w:spacing w:val="-2"/>
                <w:sz w:val="18"/>
                <w:szCs w:val="18"/>
              </w:rPr>
              <w:t>”</w:t>
            </w:r>
            <w:r>
              <w:rPr>
                <w:rFonts w:ascii="宋体" w:hAnsi="宋体" w:cs="宋体" w:eastAsia="宋体" w:hint="default"/>
                <w:color w:val="0D0D0D"/>
                <w:spacing w:val="-2"/>
                <w:sz w:val="18"/>
                <w:szCs w:val="18"/>
              </w:rPr>
              <w:t>行项目，修订了</w:t>
            </w:r>
            <w:r>
              <w:rPr>
                <w:rFonts w:ascii="Times New Roman" w:hAnsi="Times New Roman" w:cs="Times New Roman" w:eastAsia="Times New Roman" w:hint="default"/>
                <w:color w:val="0D0D0D"/>
                <w:spacing w:val="-2"/>
                <w:sz w:val="18"/>
                <w:szCs w:val="18"/>
              </w:rPr>
              <w:t>“</w:t>
            </w:r>
            <w:r>
              <w:rPr>
                <w:rFonts w:ascii="宋体" w:hAnsi="宋体" w:cs="宋体" w:eastAsia="宋体" w:hint="default"/>
                <w:color w:val="0D0D0D"/>
                <w:spacing w:val="-2"/>
                <w:sz w:val="18"/>
                <w:szCs w:val="18"/>
              </w:rPr>
              <w:t>其他应收款</w:t>
            </w:r>
            <w:r>
              <w:rPr>
                <w:rFonts w:ascii="Times New Roman" w:hAnsi="Times New Roman" w:cs="Times New Roman" w:eastAsia="Times New Roman" w:hint="default"/>
                <w:color w:val="0D0D0D"/>
                <w:spacing w:val="-2"/>
                <w:sz w:val="18"/>
                <w:szCs w:val="18"/>
              </w:rPr>
              <w:t>”</w:t>
            </w:r>
            <w:r>
              <w:rPr>
                <w:rFonts w:ascii="宋体" w:hAnsi="宋体" w:cs="宋体" w:eastAsia="宋体" w:hint="default"/>
                <w:color w:val="0D0D0D"/>
                <w:spacing w:val="-2"/>
                <w:sz w:val="18"/>
                <w:szCs w:val="18"/>
              </w:rPr>
              <w:t>、</w:t>
            </w:r>
            <w:r>
              <w:rPr>
                <w:rFonts w:ascii="Times New Roman" w:hAnsi="Times New Roman" w:cs="Times New Roman" w:eastAsia="Times New Roman" w:hint="default"/>
                <w:color w:val="0D0D0D"/>
                <w:spacing w:val="-2"/>
                <w:sz w:val="18"/>
                <w:szCs w:val="18"/>
              </w:rPr>
              <w:t>“</w:t>
            </w:r>
            <w:r>
              <w:rPr>
                <w:rFonts w:ascii="宋体" w:hAnsi="宋体" w:cs="宋体" w:eastAsia="宋体" w:hint="default"/>
                <w:color w:val="0D0D0D"/>
                <w:spacing w:val="-2"/>
                <w:sz w:val="18"/>
                <w:szCs w:val="18"/>
              </w:rPr>
              <w:t>固定资产</w:t>
            </w:r>
            <w:r>
              <w:rPr>
                <w:rFonts w:ascii="Times New Roman" w:hAnsi="Times New Roman" w:cs="Times New Roman" w:eastAsia="Times New Roman" w:hint="default"/>
                <w:color w:val="0D0D0D"/>
                <w:spacing w:val="-2"/>
                <w:sz w:val="18"/>
                <w:szCs w:val="18"/>
              </w:rPr>
              <w:t>”</w:t>
            </w:r>
            <w:r>
              <w:rPr>
                <w:rFonts w:ascii="宋体" w:hAnsi="宋体" w:cs="宋体" w:eastAsia="宋体" w:hint="default"/>
                <w:color w:val="0D0D0D"/>
                <w:spacing w:val="-2"/>
                <w:sz w:val="18"/>
                <w:szCs w:val="18"/>
              </w:rPr>
              <w:t>、</w:t>
            </w:r>
            <w:r>
              <w:rPr>
                <w:rFonts w:ascii="Times New Roman" w:hAnsi="Times New Roman" w:cs="Times New Roman" w:eastAsia="Times New Roman" w:hint="default"/>
                <w:color w:val="0D0D0D"/>
                <w:spacing w:val="-2"/>
                <w:sz w:val="18"/>
                <w:szCs w:val="18"/>
              </w:rPr>
              <w:t>“</w:t>
            </w:r>
            <w:r>
              <w:rPr>
                <w:rFonts w:ascii="宋体" w:hAnsi="宋体" w:cs="宋体" w:eastAsia="宋体" w:hint="default"/>
                <w:color w:val="0D0D0D"/>
                <w:spacing w:val="-2"/>
                <w:sz w:val="18"/>
                <w:szCs w:val="18"/>
              </w:rPr>
              <w:t>在建工程</w:t>
            </w:r>
            <w:r>
              <w:rPr>
                <w:rFonts w:ascii="Times New Roman" w:hAnsi="Times New Roman" w:cs="Times New Roman" w:eastAsia="Times New Roman" w:hint="default"/>
                <w:color w:val="0D0D0D"/>
                <w:spacing w:val="-2"/>
                <w:sz w:val="18"/>
                <w:szCs w:val="18"/>
              </w:rPr>
              <w:t>”</w:t>
            </w:r>
            <w:r>
              <w:rPr>
                <w:rFonts w:ascii="宋体" w:hAnsi="宋体" w:cs="宋体" w:eastAsia="宋体" w:hint="default"/>
                <w:color w:val="0D0D0D"/>
                <w:spacing w:val="-2"/>
                <w:sz w:val="18"/>
                <w:szCs w:val="18"/>
              </w:rPr>
              <w:t>、</w:t>
            </w:r>
            <w:r>
              <w:rPr>
                <w:rFonts w:ascii="Times New Roman" w:hAnsi="Times New Roman" w:cs="Times New Roman" w:eastAsia="Times New Roman" w:hint="default"/>
                <w:color w:val="0D0D0D"/>
                <w:spacing w:val="-2"/>
                <w:sz w:val="18"/>
                <w:szCs w:val="18"/>
              </w:rPr>
              <w:t>“</w:t>
            </w:r>
            <w:r>
              <w:rPr>
                <w:rFonts w:ascii="宋体" w:hAnsi="宋体" w:cs="宋体" w:eastAsia="宋体" w:hint="default"/>
                <w:color w:val="0D0D0D"/>
                <w:spacing w:val="-2"/>
                <w:sz w:val="18"/>
                <w:szCs w:val="18"/>
              </w:rPr>
              <w:t>其他应付款</w:t>
            </w:r>
            <w:r>
              <w:rPr>
                <w:rFonts w:ascii="Times New Roman" w:hAnsi="Times New Roman" w:cs="Times New Roman" w:eastAsia="Times New Roman" w:hint="default"/>
                <w:color w:val="0D0D0D"/>
                <w:spacing w:val="-2"/>
                <w:sz w:val="18"/>
                <w:szCs w:val="18"/>
              </w:rPr>
              <w:t>”</w:t>
            </w:r>
            <w:r>
              <w:rPr>
                <w:rFonts w:ascii="宋体" w:hAnsi="宋体" w:cs="宋体" w:eastAsia="宋体" w:hint="default"/>
                <w:color w:val="0D0D0D"/>
                <w:spacing w:val="-2"/>
                <w:sz w:val="18"/>
                <w:szCs w:val="18"/>
              </w:rPr>
              <w:t>和</w:t>
            </w:r>
            <w:r>
              <w:rPr>
                <w:rFonts w:ascii="Times New Roman" w:hAnsi="Times New Roman" w:cs="Times New Roman" w:eastAsia="Times New Roman" w:hint="default"/>
                <w:color w:val="0D0D0D"/>
                <w:spacing w:val="-2"/>
                <w:sz w:val="18"/>
                <w:szCs w:val="18"/>
              </w:rPr>
              <w:t>“</w:t>
            </w:r>
            <w:r>
              <w:rPr>
                <w:rFonts w:ascii="宋体" w:hAnsi="宋体" w:cs="宋体" w:eastAsia="宋体" w:hint="default"/>
                <w:color w:val="0D0D0D"/>
                <w:spacing w:val="-2"/>
                <w:sz w:val="18"/>
                <w:szCs w:val="18"/>
              </w:rPr>
              <w:t>长期应</w:t>
            </w:r>
            <w:r>
              <w:rPr>
                <w:rFonts w:ascii="宋体" w:hAnsi="宋体" w:cs="宋体" w:eastAsia="宋体" w:hint="default"/>
                <w:color w:val="0D0D0D"/>
                <w:spacing w:val="-63"/>
                <w:sz w:val="18"/>
                <w:szCs w:val="18"/>
              </w:rPr>
              <w:t> </w:t>
            </w:r>
            <w:r>
              <w:rPr>
                <w:rFonts w:ascii="宋体" w:hAnsi="宋体" w:cs="宋体" w:eastAsia="宋体" w:hint="default"/>
                <w:color w:val="0D0D0D"/>
                <w:spacing w:val="-2"/>
                <w:sz w:val="18"/>
                <w:szCs w:val="18"/>
              </w:rPr>
              <w:t>付款</w:t>
            </w:r>
            <w:r>
              <w:rPr>
                <w:rFonts w:ascii="Times New Roman" w:hAnsi="Times New Roman" w:cs="Times New Roman" w:eastAsia="Times New Roman" w:hint="default"/>
                <w:color w:val="0D0D0D"/>
                <w:spacing w:val="-2"/>
                <w:sz w:val="18"/>
                <w:szCs w:val="18"/>
              </w:rPr>
              <w:t>”</w:t>
            </w:r>
            <w:r>
              <w:rPr>
                <w:rFonts w:ascii="宋体" w:hAnsi="宋体" w:cs="宋体" w:eastAsia="宋体" w:hint="default"/>
                <w:color w:val="0D0D0D"/>
                <w:spacing w:val="-2"/>
                <w:sz w:val="18"/>
                <w:szCs w:val="18"/>
              </w:rPr>
              <w:t>、</w:t>
            </w:r>
            <w:r>
              <w:rPr>
                <w:rFonts w:ascii="Times New Roman" w:hAnsi="Times New Roman" w:cs="Times New Roman" w:eastAsia="Times New Roman" w:hint="default"/>
                <w:color w:val="0D0D0D"/>
                <w:spacing w:val="-2"/>
                <w:sz w:val="18"/>
                <w:szCs w:val="18"/>
              </w:rPr>
              <w:t>“</w:t>
            </w:r>
            <w:r>
              <w:rPr>
                <w:rFonts w:ascii="宋体" w:hAnsi="宋体" w:cs="宋体" w:eastAsia="宋体" w:hint="default"/>
                <w:color w:val="0D0D0D"/>
                <w:spacing w:val="-2"/>
                <w:sz w:val="18"/>
                <w:szCs w:val="18"/>
              </w:rPr>
              <w:t>管理费用</w:t>
            </w:r>
            <w:r>
              <w:rPr>
                <w:rFonts w:ascii="Times New Roman" w:hAnsi="Times New Roman" w:cs="Times New Roman" w:eastAsia="Times New Roman" w:hint="default"/>
                <w:color w:val="0D0D0D"/>
                <w:spacing w:val="-2"/>
                <w:sz w:val="18"/>
                <w:szCs w:val="18"/>
              </w:rPr>
              <w:t>”</w:t>
            </w:r>
            <w:r>
              <w:rPr>
                <w:rFonts w:ascii="宋体" w:hAnsi="宋体" w:cs="宋体" w:eastAsia="宋体" w:hint="default"/>
                <w:color w:val="0D0D0D"/>
                <w:spacing w:val="-2"/>
                <w:sz w:val="18"/>
                <w:szCs w:val="18"/>
              </w:rPr>
              <w:t>行项目的列报内容，减少了</w:t>
            </w:r>
            <w:r>
              <w:rPr>
                <w:rFonts w:ascii="Times New Roman" w:hAnsi="Times New Roman" w:cs="Times New Roman" w:eastAsia="Times New Roman" w:hint="default"/>
                <w:color w:val="0D0D0D"/>
                <w:spacing w:val="-2"/>
                <w:sz w:val="18"/>
                <w:szCs w:val="18"/>
              </w:rPr>
              <w:t>“</w:t>
            </w:r>
            <w:r>
              <w:rPr>
                <w:rFonts w:ascii="宋体" w:hAnsi="宋体" w:cs="宋体" w:eastAsia="宋体" w:hint="default"/>
                <w:color w:val="0D0D0D"/>
                <w:spacing w:val="-2"/>
                <w:sz w:val="18"/>
                <w:szCs w:val="18"/>
              </w:rPr>
              <w:t>应收票据</w:t>
            </w:r>
            <w:r>
              <w:rPr>
                <w:rFonts w:ascii="Times New Roman" w:hAnsi="Times New Roman" w:cs="Times New Roman" w:eastAsia="Times New Roman" w:hint="default"/>
                <w:color w:val="0D0D0D"/>
                <w:spacing w:val="-2"/>
                <w:sz w:val="18"/>
                <w:szCs w:val="18"/>
              </w:rPr>
              <w:t>”</w:t>
            </w:r>
            <w:r>
              <w:rPr>
                <w:rFonts w:ascii="宋体" w:hAnsi="宋体" w:cs="宋体" w:eastAsia="宋体" w:hint="default"/>
                <w:color w:val="0D0D0D"/>
                <w:spacing w:val="-2"/>
                <w:sz w:val="18"/>
                <w:szCs w:val="18"/>
              </w:rPr>
              <w:t>、</w:t>
            </w:r>
            <w:r>
              <w:rPr>
                <w:rFonts w:ascii="Times New Roman" w:hAnsi="Times New Roman" w:cs="Times New Roman" w:eastAsia="Times New Roman" w:hint="default"/>
                <w:color w:val="0D0D0D"/>
                <w:spacing w:val="-2"/>
                <w:sz w:val="18"/>
                <w:szCs w:val="18"/>
              </w:rPr>
              <w:t>“</w:t>
            </w:r>
            <w:r>
              <w:rPr>
                <w:rFonts w:ascii="宋体" w:hAnsi="宋体" w:cs="宋体" w:eastAsia="宋体" w:hint="default"/>
                <w:color w:val="0D0D0D"/>
                <w:spacing w:val="-2"/>
                <w:sz w:val="18"/>
                <w:szCs w:val="18"/>
              </w:rPr>
              <w:t>应收账款</w:t>
            </w:r>
            <w:r>
              <w:rPr>
                <w:rFonts w:ascii="Times New Roman" w:hAnsi="Times New Roman" w:cs="Times New Roman" w:eastAsia="Times New Roman" w:hint="default"/>
                <w:color w:val="0D0D0D"/>
                <w:spacing w:val="-2"/>
                <w:sz w:val="18"/>
                <w:szCs w:val="18"/>
              </w:rPr>
              <w:t>”</w:t>
            </w:r>
            <w:r>
              <w:rPr>
                <w:rFonts w:ascii="宋体" w:hAnsi="宋体" w:cs="宋体" w:eastAsia="宋体" w:hint="default"/>
                <w:color w:val="0D0D0D"/>
                <w:spacing w:val="-2"/>
                <w:sz w:val="18"/>
                <w:szCs w:val="18"/>
              </w:rPr>
              <w:t>、</w:t>
            </w:r>
            <w:r>
              <w:rPr>
                <w:rFonts w:ascii="Times New Roman" w:hAnsi="Times New Roman" w:cs="Times New Roman" w:eastAsia="Times New Roman" w:hint="default"/>
                <w:color w:val="0D0D0D"/>
                <w:spacing w:val="-2"/>
                <w:sz w:val="18"/>
                <w:szCs w:val="18"/>
              </w:rPr>
              <w:t>“</w:t>
            </w:r>
            <w:r>
              <w:rPr>
                <w:rFonts w:ascii="宋体" w:hAnsi="宋体" w:cs="宋体" w:eastAsia="宋体" w:hint="default"/>
                <w:color w:val="0D0D0D"/>
                <w:spacing w:val="-2"/>
                <w:sz w:val="18"/>
                <w:szCs w:val="18"/>
              </w:rPr>
              <w:t>应收股利</w:t>
            </w:r>
            <w:r>
              <w:rPr>
                <w:rFonts w:ascii="Times New Roman" w:hAnsi="Times New Roman" w:cs="Times New Roman" w:eastAsia="Times New Roman" w:hint="default"/>
                <w:color w:val="0D0D0D"/>
                <w:spacing w:val="-2"/>
                <w:sz w:val="18"/>
                <w:szCs w:val="18"/>
              </w:rPr>
              <w:t>”</w:t>
            </w:r>
            <w:r>
              <w:rPr>
                <w:rFonts w:ascii="宋体" w:hAnsi="宋体" w:cs="宋体" w:eastAsia="宋体" w:hint="default"/>
                <w:color w:val="0D0D0D"/>
                <w:spacing w:val="-2"/>
                <w:sz w:val="18"/>
                <w:szCs w:val="18"/>
              </w:rPr>
              <w:t>、</w:t>
            </w:r>
            <w:r>
              <w:rPr>
                <w:rFonts w:ascii="Times New Roman" w:hAnsi="Times New Roman" w:cs="Times New Roman" w:eastAsia="Times New Roman" w:hint="default"/>
                <w:color w:val="0D0D0D"/>
                <w:spacing w:val="-2"/>
                <w:sz w:val="18"/>
                <w:szCs w:val="18"/>
              </w:rPr>
              <w:t>“</w:t>
            </w:r>
            <w:r>
              <w:rPr>
                <w:rFonts w:ascii="宋体" w:hAnsi="宋体" w:cs="宋体" w:eastAsia="宋体" w:hint="default"/>
                <w:color w:val="0D0D0D"/>
                <w:spacing w:val="-2"/>
                <w:sz w:val="18"/>
                <w:szCs w:val="18"/>
              </w:rPr>
              <w:t>应收利息</w:t>
            </w:r>
            <w:r>
              <w:rPr>
                <w:rFonts w:ascii="Times New Roman" w:hAnsi="Times New Roman" w:cs="Times New Roman" w:eastAsia="Times New Roman" w:hint="default"/>
                <w:color w:val="0D0D0D"/>
                <w:spacing w:val="-2"/>
                <w:sz w:val="18"/>
                <w:szCs w:val="18"/>
              </w:rPr>
              <w:t>”</w:t>
            </w:r>
            <w:r>
              <w:rPr>
                <w:rFonts w:ascii="Times New Roman" w:hAnsi="Times New Roman" w:cs="Times New Roman" w:eastAsia="Times New Roman" w:hint="default"/>
                <w:color w:val="0D0D0D"/>
                <w:spacing w:val="-26"/>
                <w:sz w:val="18"/>
                <w:szCs w:val="18"/>
              </w:rPr>
              <w:t> </w:t>
            </w:r>
            <w:r>
              <w:rPr>
                <w:rFonts w:ascii="Times New Roman" w:hAnsi="Times New Roman" w:cs="Times New Roman" w:eastAsia="Times New Roman" w:hint="default"/>
                <w:color w:val="0D0D0D"/>
                <w:spacing w:val="-1"/>
                <w:sz w:val="18"/>
                <w:szCs w:val="18"/>
              </w:rPr>
              <w:t>“</w:t>
            </w:r>
            <w:r>
              <w:rPr>
                <w:rFonts w:ascii="宋体" w:hAnsi="宋体" w:cs="宋体" w:eastAsia="宋体" w:hint="default"/>
                <w:color w:val="0D0D0D"/>
                <w:spacing w:val="-1"/>
                <w:sz w:val="18"/>
                <w:szCs w:val="18"/>
              </w:rPr>
              <w:t>固定资产清理</w:t>
            </w:r>
            <w:r>
              <w:rPr>
                <w:rFonts w:ascii="Times New Roman" w:hAnsi="Times New Roman" w:cs="Times New Roman" w:eastAsia="Times New Roman" w:hint="default"/>
                <w:color w:val="0D0D0D"/>
                <w:spacing w:val="-1"/>
                <w:sz w:val="18"/>
                <w:szCs w:val="18"/>
              </w:rPr>
              <w:t>”</w:t>
            </w:r>
            <w:r>
              <w:rPr>
                <w:rFonts w:ascii="宋体" w:hAnsi="宋体" w:cs="宋体" w:eastAsia="宋体" w:hint="default"/>
                <w:color w:val="0D0D0D"/>
                <w:spacing w:val="-1"/>
                <w:sz w:val="18"/>
                <w:szCs w:val="18"/>
              </w:rPr>
              <w:t>、</w:t>
            </w:r>
            <w:r>
              <w:rPr>
                <w:rFonts w:ascii="Times New Roman" w:hAnsi="Times New Roman" w:cs="Times New Roman" w:eastAsia="Times New Roman" w:hint="default"/>
                <w:color w:val="0D0D0D"/>
                <w:spacing w:val="-1"/>
                <w:sz w:val="18"/>
                <w:szCs w:val="18"/>
              </w:rPr>
              <w:t>“</w:t>
            </w:r>
            <w:r>
              <w:rPr>
                <w:rFonts w:ascii="宋体" w:hAnsi="宋体" w:cs="宋体" w:eastAsia="宋体" w:hint="default"/>
                <w:color w:val="0D0D0D"/>
                <w:spacing w:val="-1"/>
                <w:sz w:val="18"/>
                <w:szCs w:val="18"/>
              </w:rPr>
              <w:t>工程物资</w:t>
            </w:r>
            <w:r>
              <w:rPr>
                <w:rFonts w:ascii="Times New Roman" w:hAnsi="Times New Roman" w:cs="Times New Roman" w:eastAsia="Times New Roman" w:hint="default"/>
                <w:color w:val="0D0D0D"/>
                <w:spacing w:val="-1"/>
                <w:sz w:val="18"/>
                <w:szCs w:val="18"/>
              </w:rPr>
              <w:t>”</w:t>
            </w:r>
            <w:r>
              <w:rPr>
                <w:rFonts w:ascii="宋体" w:hAnsi="宋体" w:cs="宋体" w:eastAsia="宋体" w:hint="default"/>
                <w:color w:val="0D0D0D"/>
                <w:spacing w:val="-1"/>
                <w:sz w:val="18"/>
                <w:szCs w:val="18"/>
              </w:rPr>
              <w:t>、</w:t>
            </w:r>
            <w:r>
              <w:rPr>
                <w:rFonts w:ascii="Times New Roman" w:hAnsi="Times New Roman" w:cs="Times New Roman" w:eastAsia="Times New Roman" w:hint="default"/>
                <w:color w:val="0D0D0D"/>
                <w:spacing w:val="-1"/>
                <w:sz w:val="18"/>
                <w:szCs w:val="18"/>
              </w:rPr>
              <w:t>“</w:t>
            </w:r>
            <w:r>
              <w:rPr>
                <w:rFonts w:ascii="宋体" w:hAnsi="宋体" w:cs="宋体" w:eastAsia="宋体" w:hint="default"/>
                <w:color w:val="0D0D0D"/>
                <w:spacing w:val="-1"/>
                <w:sz w:val="18"/>
                <w:szCs w:val="18"/>
              </w:rPr>
              <w:t>应付票据</w:t>
            </w:r>
            <w:r>
              <w:rPr>
                <w:rFonts w:ascii="Times New Roman" w:hAnsi="Times New Roman" w:cs="Times New Roman" w:eastAsia="Times New Roman" w:hint="default"/>
                <w:color w:val="0D0D0D"/>
                <w:spacing w:val="-1"/>
                <w:sz w:val="18"/>
                <w:szCs w:val="18"/>
              </w:rPr>
              <w:t>”</w:t>
            </w:r>
            <w:r>
              <w:rPr>
                <w:rFonts w:ascii="宋体" w:hAnsi="宋体" w:cs="宋体" w:eastAsia="宋体" w:hint="default"/>
                <w:color w:val="0D0D0D"/>
                <w:spacing w:val="-1"/>
                <w:sz w:val="18"/>
                <w:szCs w:val="18"/>
              </w:rPr>
              <w:t>、</w:t>
            </w:r>
            <w:r>
              <w:rPr>
                <w:rFonts w:ascii="Times New Roman" w:hAnsi="Times New Roman" w:cs="Times New Roman" w:eastAsia="Times New Roman" w:hint="default"/>
                <w:color w:val="0D0D0D"/>
                <w:spacing w:val="-1"/>
                <w:sz w:val="18"/>
                <w:szCs w:val="18"/>
              </w:rPr>
              <w:t>“</w:t>
            </w:r>
            <w:r>
              <w:rPr>
                <w:rFonts w:ascii="宋体" w:hAnsi="宋体" w:cs="宋体" w:eastAsia="宋体" w:hint="default"/>
                <w:color w:val="0D0D0D"/>
                <w:spacing w:val="-1"/>
                <w:sz w:val="18"/>
                <w:szCs w:val="18"/>
              </w:rPr>
              <w:t>应付账款</w:t>
            </w:r>
            <w:r>
              <w:rPr>
                <w:rFonts w:ascii="Times New Roman" w:hAnsi="Times New Roman" w:cs="Times New Roman" w:eastAsia="Times New Roman" w:hint="default"/>
                <w:color w:val="0D0D0D"/>
                <w:spacing w:val="-1"/>
                <w:sz w:val="18"/>
                <w:szCs w:val="18"/>
              </w:rPr>
              <w:t>”</w:t>
            </w:r>
            <w:r>
              <w:rPr>
                <w:rFonts w:ascii="宋体" w:hAnsi="宋体" w:cs="宋体" w:eastAsia="宋体" w:hint="default"/>
                <w:color w:val="0D0D0D"/>
                <w:spacing w:val="-1"/>
                <w:sz w:val="18"/>
                <w:szCs w:val="18"/>
              </w:rPr>
              <w:t>、</w:t>
            </w:r>
            <w:r>
              <w:rPr>
                <w:rFonts w:ascii="Times New Roman" w:hAnsi="Times New Roman" w:cs="Times New Roman" w:eastAsia="Times New Roman" w:hint="default"/>
                <w:color w:val="0D0D0D"/>
                <w:spacing w:val="-1"/>
                <w:sz w:val="18"/>
                <w:szCs w:val="18"/>
              </w:rPr>
              <w:t>“</w:t>
            </w:r>
            <w:r>
              <w:rPr>
                <w:rFonts w:ascii="宋体" w:hAnsi="宋体" w:cs="宋体" w:eastAsia="宋体" w:hint="default"/>
                <w:color w:val="0D0D0D"/>
                <w:spacing w:val="-1"/>
                <w:sz w:val="18"/>
                <w:szCs w:val="18"/>
              </w:rPr>
              <w:t>应付利息</w:t>
            </w:r>
            <w:r>
              <w:rPr>
                <w:rFonts w:ascii="Times New Roman" w:hAnsi="Times New Roman" w:cs="Times New Roman" w:eastAsia="Times New Roman" w:hint="default"/>
                <w:color w:val="0D0D0D"/>
                <w:spacing w:val="-1"/>
                <w:sz w:val="18"/>
                <w:szCs w:val="18"/>
              </w:rPr>
              <w:t>”</w:t>
            </w:r>
            <w:r>
              <w:rPr>
                <w:rFonts w:ascii="宋体" w:hAnsi="宋体" w:cs="宋体" w:eastAsia="宋体" w:hint="default"/>
                <w:color w:val="0D0D0D"/>
                <w:spacing w:val="-1"/>
                <w:sz w:val="18"/>
                <w:szCs w:val="18"/>
              </w:rPr>
              <w:t>、</w:t>
            </w:r>
            <w:r>
              <w:rPr>
                <w:rFonts w:ascii="Times New Roman" w:hAnsi="Times New Roman" w:cs="Times New Roman" w:eastAsia="Times New Roman" w:hint="default"/>
                <w:color w:val="0D0D0D"/>
                <w:spacing w:val="-1"/>
                <w:sz w:val="18"/>
                <w:szCs w:val="18"/>
              </w:rPr>
              <w:t>“</w:t>
            </w:r>
            <w:r>
              <w:rPr>
                <w:rFonts w:ascii="宋体" w:hAnsi="宋体" w:cs="宋体" w:eastAsia="宋体" w:hint="default"/>
                <w:color w:val="0D0D0D"/>
                <w:spacing w:val="-1"/>
                <w:sz w:val="18"/>
                <w:szCs w:val="18"/>
              </w:rPr>
              <w:t>应付股利</w:t>
            </w:r>
            <w:r>
              <w:rPr>
                <w:rFonts w:ascii="Times New Roman" w:hAnsi="Times New Roman" w:cs="Times New Roman" w:eastAsia="Times New Roman" w:hint="default"/>
                <w:color w:val="0D0D0D"/>
                <w:spacing w:val="-1"/>
                <w:sz w:val="18"/>
                <w:szCs w:val="18"/>
              </w:rPr>
              <w:t>”</w:t>
            </w:r>
            <w:r>
              <w:rPr>
                <w:rFonts w:ascii="宋体" w:hAnsi="宋体" w:cs="宋体" w:eastAsia="宋体" w:hint="default"/>
                <w:color w:val="0D0D0D"/>
                <w:spacing w:val="-1"/>
                <w:sz w:val="18"/>
                <w:szCs w:val="18"/>
              </w:rPr>
              <w:t>及</w:t>
            </w:r>
            <w:r>
              <w:rPr>
                <w:rFonts w:ascii="Times New Roman" w:hAnsi="Times New Roman" w:cs="Times New Roman" w:eastAsia="Times New Roman" w:hint="default"/>
                <w:color w:val="0D0D0D"/>
                <w:spacing w:val="-1"/>
                <w:sz w:val="18"/>
                <w:szCs w:val="18"/>
              </w:rPr>
              <w:t>“</w:t>
            </w:r>
            <w:r>
              <w:rPr>
                <w:rFonts w:ascii="宋体" w:hAnsi="宋体" w:cs="宋体" w:eastAsia="宋体" w:hint="default"/>
                <w:color w:val="0D0D0D"/>
                <w:spacing w:val="-1"/>
                <w:sz w:val="18"/>
                <w:szCs w:val="18"/>
              </w:rPr>
              <w:t>专项应付款</w:t>
            </w:r>
            <w:r>
              <w:rPr>
                <w:rFonts w:ascii="Times New Roman" w:hAnsi="Times New Roman" w:cs="Times New Roman" w:eastAsia="Times New Roman" w:hint="default"/>
                <w:color w:val="0D0D0D"/>
                <w:spacing w:val="-1"/>
                <w:sz w:val="18"/>
                <w:szCs w:val="18"/>
              </w:rPr>
              <w:t>”</w:t>
            </w:r>
            <w:r>
              <w:rPr>
                <w:rFonts w:ascii="Times New Roman" w:hAnsi="Times New Roman" w:cs="Times New Roman" w:eastAsia="Times New Roman" w:hint="default"/>
                <w:color w:val="0D0D0D"/>
                <w:w w:val="100"/>
                <w:sz w:val="18"/>
                <w:szCs w:val="18"/>
              </w:rPr>
              <w:t> </w:t>
            </w:r>
            <w:r>
              <w:rPr>
                <w:rFonts w:ascii="宋体" w:hAnsi="宋体" w:cs="宋体" w:eastAsia="宋体" w:hint="default"/>
                <w:color w:val="0D0D0D"/>
                <w:sz w:val="18"/>
                <w:szCs w:val="18"/>
              </w:rPr>
              <w:t>行项目，在</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财务费用</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项目下增加</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其中：利息费用</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和</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利息收入</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行项目进行列报，调整了利润表 部分项目的列报位置。对于上述列报项目的变更，本集团采用追溯调整法进行会计处理，并对上年 比较数据进行了追溯调整。</w:t>
            </w:r>
            <w:r>
              <w:rPr>
                <w:rFonts w:ascii="宋体" w:hAnsi="宋体" w:cs="宋体" w:eastAsia="宋体" w:hint="default"/>
                <w:sz w:val="18"/>
                <w:szCs w:val="18"/>
              </w:rPr>
            </w:r>
          </w:p>
        </w:tc>
        <w:tc>
          <w:tcPr>
            <w:tcW w:w="190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0D0D0D"/>
                <w:sz w:val="18"/>
                <w:szCs w:val="18"/>
              </w:rPr>
              <w:t>公司</w:t>
            </w:r>
            <w:r>
              <w:rPr>
                <w:rFonts w:ascii="Times New Roman" w:hAnsi="Times New Roman" w:cs="Times New Roman" w:eastAsia="Times New Roman" w:hint="default"/>
                <w:color w:val="0D0D0D"/>
                <w:sz w:val="18"/>
                <w:szCs w:val="18"/>
              </w:rPr>
              <w:t>2018</w:t>
            </w:r>
            <w:r>
              <w:rPr>
                <w:rFonts w:ascii="宋体" w:hAnsi="宋体" w:cs="宋体" w:eastAsia="宋体" w:hint="default"/>
                <w:color w:val="0D0D0D"/>
                <w:sz w:val="18"/>
                <w:szCs w:val="18"/>
              </w:rPr>
              <w:t>年第六届董事</w:t>
            </w:r>
            <w:r>
              <w:rPr>
                <w:rFonts w:ascii="宋体" w:hAnsi="宋体" w:cs="宋体" w:eastAsia="宋体" w:hint="default"/>
                <w:sz w:val="18"/>
                <w:szCs w:val="18"/>
              </w:rPr>
            </w:r>
          </w:p>
          <w:p>
            <w:pPr>
              <w:pStyle w:val="TableParagraph"/>
              <w:spacing w:line="240" w:lineRule="auto" w:before="63"/>
              <w:ind w:left="-106" w:right="0"/>
              <w:jc w:val="left"/>
              <w:rPr>
                <w:rFonts w:ascii="宋体" w:hAnsi="宋体" w:cs="宋体" w:eastAsia="宋体" w:hint="default"/>
                <w:sz w:val="18"/>
                <w:szCs w:val="18"/>
              </w:rPr>
            </w:pPr>
            <w:r>
              <w:rPr>
                <w:rFonts w:ascii="宋体" w:hAnsi="宋体" w:cs="宋体" w:eastAsia="宋体" w:hint="default"/>
                <w:color w:val="0D0D0D"/>
                <w:sz w:val="18"/>
                <w:szCs w:val="18"/>
              </w:rPr>
              <w:t>、</w:t>
            </w:r>
            <w:r>
              <w:rPr>
                <w:rFonts w:ascii="宋体" w:hAnsi="宋体" w:cs="宋体" w:eastAsia="宋体" w:hint="default"/>
                <w:color w:val="0D0D0D"/>
                <w:spacing w:val="-32"/>
                <w:sz w:val="18"/>
                <w:szCs w:val="18"/>
              </w:rPr>
              <w:t> </w:t>
            </w:r>
            <w:r>
              <w:rPr>
                <w:rFonts w:ascii="宋体" w:hAnsi="宋体" w:cs="宋体" w:eastAsia="宋体" w:hint="default"/>
                <w:color w:val="0D0D0D"/>
                <w:sz w:val="18"/>
                <w:szCs w:val="18"/>
              </w:rPr>
              <w:t>会第二次会议决议通</w:t>
            </w:r>
            <w:r>
              <w:rPr>
                <w:rFonts w:ascii="宋体" w:hAnsi="宋体" w:cs="宋体" w:eastAsia="宋体" w:hint="default"/>
                <w:sz w:val="18"/>
                <w:szCs w:val="18"/>
              </w:rPr>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color w:val="0D0D0D"/>
                <w:sz w:val="18"/>
                <w:szCs w:val="18"/>
              </w:rPr>
              <w:t>过。</w:t>
            </w:r>
            <w:r>
              <w:rPr>
                <w:rFonts w:ascii="宋体" w:hAnsi="宋体" w:cs="宋体" w:eastAsia="宋体" w:hint="default"/>
                <w:sz w:val="18"/>
                <w:szCs w:val="18"/>
              </w:rPr>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重要会计估计变更" w:id="212"/>
      <w:bookmarkEnd w:id="21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9、其他" w:id="213"/>
      <w:bookmarkEnd w:id="213"/>
      <w:r>
        <w:rPr>
          <w:b w:val="0"/>
          <w:bCs w:val="0"/>
        </w:rPr>
      </w:r>
      <w:r>
        <w:rPr>
          <w:rFonts w:ascii="Times New Roman" w:hAnsi="Times New Roman" w:cs="Times New Roman" w:eastAsia="Times New Roman" w:hint="default"/>
        </w:rPr>
        <w:t>29</w:t>
      </w:r>
      <w:r>
        <w:rPr/>
        <w:t>、其他</w:t>
      </w:r>
      <w:r>
        <w:rPr>
          <w:b w:val="0"/>
          <w:bCs w:val="0"/>
        </w:rPr>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b/>
          <w:bCs/>
          <w:sz w:val="19"/>
          <w:szCs w:val="19"/>
        </w:rPr>
      </w:pPr>
    </w:p>
    <w:p>
      <w:pPr>
        <w:pStyle w:val="Heading2"/>
        <w:spacing w:line="240" w:lineRule="auto" w:before="26"/>
        <w:ind w:right="0"/>
        <w:jc w:val="left"/>
        <w:rPr>
          <w:b w:val="0"/>
          <w:bCs w:val="0"/>
        </w:rPr>
      </w:pPr>
      <w:bookmarkStart w:name="六、税项" w:id="214"/>
      <w:bookmarkEnd w:id="214"/>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税种及税率" w:id="215"/>
      <w:bookmarkEnd w:id="215"/>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销售额、采购额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25%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16.5%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17%</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27.5%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美国销售税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8.25%</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加拿大销售税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新加坡销售税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澳大利亚销售税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上海通信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香港增值</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16.5%  </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首都在线</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爱涛网络</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16.5%  </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z w:val="18"/>
              </w:rPr>
              <w:t> Global</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DTMI</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w:t>
            </w:r>
            <w:r>
              <w:rPr>
                <w:rFonts w:ascii="Times New Roman"/>
                <w:spacing w:val="-15"/>
                <w:sz w:val="18"/>
              </w:rPr>
              <w:t> </w:t>
            </w:r>
            <w:r>
              <w:rPr>
                <w:rFonts w:ascii="Times New Roman"/>
                <w:sz w:val="18"/>
              </w:rPr>
              <w:t>Singapore</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w:t>
            </w:r>
            <w:r>
              <w:rPr>
                <w:rFonts w:ascii="Times New Roman"/>
                <w:spacing w:val="-16"/>
                <w:sz w:val="18"/>
              </w:rPr>
              <w:t> </w:t>
            </w:r>
            <w:r>
              <w:rPr>
                <w:rFonts w:ascii="Times New Roman"/>
                <w:sz w:val="18"/>
              </w:rPr>
              <w:t>Canada</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w:t>
            </w:r>
            <w:r>
              <w:rPr>
                <w:rFonts w:ascii="Times New Roman"/>
                <w:spacing w:val="-26"/>
                <w:sz w:val="18"/>
              </w:rPr>
              <w:t> </w:t>
            </w:r>
            <w:r>
              <w:rPr>
                <w:rFonts w:ascii="Times New Roman"/>
                <w:sz w:val="18"/>
              </w:rPr>
              <w:t>Australia</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27.5%  </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软件技术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12.5%  </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二六三香港控股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16.5%  </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United</w:t>
            </w:r>
            <w:r>
              <w:rPr>
                <w:rFonts w:ascii="Times New Roman"/>
                <w:spacing w:val="-13"/>
                <w:sz w:val="18"/>
              </w:rPr>
              <w:t> </w:t>
            </w:r>
            <w:r>
              <w:rPr>
                <w:rFonts w:ascii="Times New Roman"/>
                <w:sz w:val="18"/>
              </w:rPr>
              <w:t>Wise</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广州二六三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二六三移动香港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16.5%</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迪讯香港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16.5%</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前海迪迅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Freedom</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 </w:t>
            </w:r>
            <w:r>
              <w:rPr>
                <w:rFonts w:ascii="Times New Roman" w:hAnsi="Times New Roman" w:cs="Times New Roman" w:eastAsia="Times New Roman" w:hint="default"/>
                <w:spacing w:val="-3"/>
                <w:sz w:val="18"/>
                <w:szCs w:val="18"/>
              </w:rPr>
              <w:t>iTalk </w:t>
            </w:r>
            <w:r>
              <w:rPr>
                <w:rFonts w:ascii="Times New Roman" w:hAnsi="Times New Roman" w:cs="Times New Roman" w:eastAsia="Times New Roman" w:hint="default"/>
                <w:sz w:val="18"/>
                <w:szCs w:val="18"/>
              </w:rPr>
              <w:t>Global</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合并缴税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z w:val="18"/>
              </w:rPr>
              <w:t> Mobile</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展动科技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北京展视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12.5%</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z w:val="18"/>
              </w:rPr>
              <w:t> Media</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 </w:t>
            </w:r>
            <w:r>
              <w:rPr>
                <w:rFonts w:ascii="Times New Roman" w:hAnsi="Times New Roman" w:cs="Times New Roman" w:eastAsia="Times New Roman" w:hint="default"/>
                <w:spacing w:val="-3"/>
                <w:sz w:val="18"/>
                <w:szCs w:val="18"/>
              </w:rPr>
              <w:t>iTalk </w:t>
            </w:r>
            <w:r>
              <w:rPr>
                <w:rFonts w:ascii="Times New Roman" w:hAnsi="Times New Roman" w:cs="Times New Roman" w:eastAsia="Times New Roman" w:hint="default"/>
                <w:sz w:val="18"/>
                <w:szCs w:val="18"/>
              </w:rPr>
              <w:t>Global</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合并缴税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Media</w:t>
            </w:r>
            <w:r>
              <w:rPr>
                <w:rFonts w:ascii="Times New Roman"/>
                <w:spacing w:val="3"/>
                <w:sz w:val="18"/>
              </w:rPr>
              <w:t> </w:t>
            </w:r>
            <w:r>
              <w:rPr>
                <w:rFonts w:ascii="Times New Roman"/>
                <w:sz w:val="18"/>
              </w:rPr>
              <w:t>CA</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上海奈盛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深圳日升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I-Access</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16.5%</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w:t>
            </w:r>
            <w:r>
              <w:rPr>
                <w:rFonts w:ascii="Times New Roman"/>
                <w:spacing w:val="-18"/>
                <w:sz w:val="18"/>
              </w:rPr>
              <w:t> </w:t>
            </w:r>
            <w:r>
              <w:rPr>
                <w:rFonts w:ascii="Times New Roman"/>
                <w:sz w:val="18"/>
              </w:rPr>
              <w:t>VIP</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 </w:t>
            </w:r>
            <w:r>
              <w:rPr>
                <w:rFonts w:ascii="Times New Roman" w:hAnsi="Times New Roman" w:cs="Times New Roman" w:eastAsia="Times New Roman" w:hint="default"/>
                <w:spacing w:val="-3"/>
                <w:sz w:val="18"/>
                <w:szCs w:val="18"/>
              </w:rPr>
              <w:t>iTalk </w:t>
            </w:r>
            <w:r>
              <w:rPr>
                <w:rFonts w:ascii="Times New Roman" w:hAnsi="Times New Roman" w:cs="Times New Roman" w:eastAsia="Times New Roman" w:hint="default"/>
                <w:sz w:val="18"/>
                <w:szCs w:val="18"/>
              </w:rPr>
              <w:t>Global</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合并缴税</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税收优惠" w:id="216"/>
      <w:bookmarkEnd w:id="21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37"/>
        <w:jc w:val="both"/>
      </w:pPr>
      <w:r>
        <w:rPr/>
        <w:t>注</w:t>
      </w:r>
      <w:r>
        <w:rPr>
          <w:rFonts w:ascii="Times New Roman" w:hAnsi="Times New Roman" w:cs="Times New Roman" w:eastAsia="Times New Roman" w:hint="default"/>
        </w:rPr>
        <w:t>1</w:t>
      </w:r>
      <w:r>
        <w:rPr/>
        <w:t>：</w:t>
      </w:r>
      <w:r>
        <w:rPr>
          <w:spacing w:val="-58"/>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日，企业通信取得北京市科学技术委员会、北京市财政局、北京市国家税务局、北京市地方税务局 联合颁发证书编号为</w:t>
      </w:r>
      <w:r>
        <w:rPr>
          <w:rFonts w:ascii="Times New Roman" w:hAnsi="Times New Roman" w:cs="Times New Roman" w:eastAsia="Times New Roman" w:hint="default"/>
        </w:rPr>
        <w:t>GR201711001650</w:t>
      </w:r>
      <w:r>
        <w:rPr/>
        <w:t>的《高新技术企业证书》，证书有效期三年。企业通信</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-2019</w:t>
      </w:r>
      <w:r>
        <w:rPr/>
        <w:t>年度减按</w:t>
      </w:r>
      <w:r>
        <w:rPr>
          <w:rFonts w:ascii="Times New Roman" w:hAnsi="Times New Roman" w:cs="Times New Roman" w:eastAsia="Times New Roman" w:hint="default"/>
        </w:rPr>
        <w:t>15%</w:t>
      </w:r>
      <w:r>
        <w:rPr/>
        <w:t>的 税率征收企业所得税。</w:t>
      </w:r>
    </w:p>
    <w:p>
      <w:pPr>
        <w:pStyle w:val="BodyText"/>
        <w:spacing w:line="300" w:lineRule="auto" w:before="31"/>
        <w:ind w:right="1130" w:firstLine="307"/>
        <w:jc w:val="both"/>
      </w:pPr>
      <w:r>
        <w:rPr/>
        <w:t>注</w:t>
      </w:r>
      <w:r>
        <w:rPr>
          <w:rFonts w:ascii="Times New Roman" w:hAnsi="Times New Roman" w:cs="Times New Roman" w:eastAsia="Times New Roman" w:hint="default"/>
        </w:rPr>
        <w:t>2</w:t>
      </w:r>
      <w:r>
        <w:rPr/>
        <w:t>：经上海市经济和信息化委员会认定：上海通信符合《鼓励软件产业和集成电路产业发展的若干政策》和《软件企 </w:t>
      </w:r>
      <w:r>
        <w:rPr>
          <w:spacing w:val="-2"/>
        </w:rPr>
        <w:t>业认定标准及管理办法》</w:t>
      </w:r>
      <w:r>
        <w:rPr>
          <w:rFonts w:ascii="Times New Roman" w:hAnsi="Times New Roman" w:cs="Times New Roman" w:eastAsia="Times New Roman" w:hint="default"/>
          <w:spacing w:val="-2"/>
        </w:rPr>
        <w:t>(</w:t>
      </w:r>
      <w:r>
        <w:rPr>
          <w:spacing w:val="-2"/>
        </w:rPr>
        <w:t>试行</w:t>
      </w:r>
      <w:r>
        <w:rPr>
          <w:rFonts w:ascii="Times New Roman" w:hAnsi="Times New Roman" w:cs="Times New Roman" w:eastAsia="Times New Roman" w:hint="default"/>
          <w:spacing w:val="-2"/>
        </w:rPr>
        <w:t>)</w:t>
      </w:r>
      <w:r>
        <w:rPr>
          <w:spacing w:val="-2"/>
        </w:rPr>
        <w:t>的有关规定，被认定为软件企业。上海通信及其分公司</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-2014</w:t>
      </w:r>
      <w:r>
        <w:rPr>
          <w:spacing w:val="-2"/>
        </w:rPr>
        <w:t>年免征企业所得税，</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4"/>
        </w:rPr>
        <w:t> </w:t>
      </w:r>
      <w:r>
        <w:rPr/>
        <w:t>年</w:t>
      </w:r>
      <w:r>
        <w:rPr>
          <w:rFonts w:ascii="Times New Roman" w:hAnsi="Times New Roman" w:cs="Times New Roman" w:eastAsia="Times New Roman" w:hint="default"/>
        </w:rPr>
        <w:t>-2017</w:t>
      </w:r>
      <w:r>
        <w:rPr/>
        <w:t>年减半征收企业所得税的优惠。</w:t>
      </w:r>
    </w:p>
    <w:p>
      <w:pPr>
        <w:pStyle w:val="BodyText"/>
        <w:spacing w:line="300" w:lineRule="auto" w:before="13"/>
        <w:ind w:right="1130" w:firstLine="362"/>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23</w:t>
      </w:r>
      <w:r>
        <w:rPr>
          <w:spacing w:val="-2"/>
        </w:rPr>
        <w:t>日，上海通信获得了上海市科学技术委员会、上海市财政局、上海市国家税务局、上海市地方税务局联合</w:t>
      </w:r>
      <w:r>
        <w:rPr/>
        <w:t> 颁发证书编号为</w:t>
      </w:r>
      <w:r>
        <w:rPr>
          <w:rFonts w:ascii="Times New Roman" w:hAnsi="Times New Roman" w:cs="Times New Roman" w:eastAsia="Times New Roman" w:hint="default"/>
        </w:rPr>
        <w:t>GR201731002751</w:t>
      </w:r>
      <w:r>
        <w:rPr/>
        <w:t>号的《高新技术企业证书》，证书有限期为三年。根据新企业所得税法的相关优惠政策规</w:t>
      </w:r>
      <w:r>
        <w:rPr>
          <w:spacing w:val="-67"/>
        </w:rPr>
        <w:t> </w:t>
      </w:r>
      <w:r>
        <w:rPr>
          <w:spacing w:val="-67"/>
        </w:rPr>
      </w:r>
      <w:r>
        <w:rPr/>
        <w:t>定，上海通信自</w:t>
      </w:r>
      <w:r>
        <w:rPr>
          <w:rFonts w:ascii="Times New Roman" w:hAnsi="Times New Roman" w:cs="Times New Roman" w:eastAsia="Times New Roman" w:hint="default"/>
        </w:rPr>
        <w:t>2018</w:t>
      </w:r>
      <w:r>
        <w:rPr/>
        <w:t>年起减按</w:t>
      </w:r>
      <w:r>
        <w:rPr>
          <w:rFonts w:ascii="Times New Roman" w:hAnsi="Times New Roman" w:cs="Times New Roman" w:eastAsia="Times New Roman" w:hint="default"/>
        </w:rPr>
        <w:t>15%</w:t>
      </w:r>
      <w:r>
        <w:rPr/>
        <w:t>的税率征收企业所得税。</w:t>
      </w:r>
    </w:p>
    <w:p>
      <w:pPr>
        <w:pStyle w:val="BodyText"/>
        <w:spacing w:line="300" w:lineRule="auto" w:before="13"/>
        <w:ind w:right="1128" w:firstLine="360"/>
        <w:jc w:val="both"/>
      </w:pPr>
      <w:r>
        <w:rPr>
          <w:spacing w:val="-1"/>
        </w:rPr>
        <w:t>注</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31</w:t>
      </w:r>
      <w:r>
        <w:rPr>
          <w:spacing w:val="-1"/>
        </w:rPr>
        <w:t>日，北京展视取得北京市经济和信息化委员会核发的编号为京</w:t>
      </w:r>
      <w:r>
        <w:rPr>
          <w:rFonts w:ascii="Times New Roman" w:hAnsi="Times New Roman" w:cs="Times New Roman" w:eastAsia="Times New Roman" w:hint="default"/>
          <w:spacing w:val="-1"/>
        </w:rPr>
        <w:t>R-2013-1160</w:t>
      </w:r>
      <w:r>
        <w:rPr>
          <w:spacing w:val="-1"/>
        </w:rPr>
        <w:t>软件企业认定证书，根据</w:t>
      </w:r>
      <w:r>
        <w:rPr/>
        <w:t> </w:t>
      </w:r>
      <w:r>
        <w:rPr>
          <w:spacing w:val="-1"/>
        </w:rPr>
        <w:t>国发</w:t>
      </w:r>
      <w:r>
        <w:rPr>
          <w:rFonts w:ascii="Times New Roman" w:hAnsi="Times New Roman" w:cs="Times New Roman" w:eastAsia="Times New Roman" w:hint="default"/>
          <w:spacing w:val="-1"/>
        </w:rPr>
        <w:t>[2011]4</w:t>
      </w:r>
      <w:r>
        <w:rPr>
          <w:spacing w:val="-1"/>
        </w:rPr>
        <w:t>号《进一步鼓励软件产业和集成电路产业发展若干政策的通知》第六条政策，</w:t>
      </w:r>
      <w:r>
        <w:rPr>
          <w:rFonts w:ascii="Times New Roman" w:hAnsi="Times New Roman" w:cs="Times New Roman" w:eastAsia="Times New Roman" w:hint="default"/>
          <w:spacing w:val="-1"/>
        </w:rPr>
        <w:t>“</w:t>
      </w:r>
      <w:r>
        <w:rPr>
          <w:spacing w:val="-1"/>
        </w:rPr>
        <w:t>对我国境内新办集成电路设计企</w:t>
      </w:r>
      <w:r>
        <w:rPr>
          <w:spacing w:val="-45"/>
        </w:rPr>
        <w:t> </w:t>
      </w:r>
      <w:r>
        <w:rPr/>
        <w:t>业和符合条件的软件企业，经认定后自获利年度起，享受企业所得税</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优惠政策</w:t>
      </w:r>
      <w:r>
        <w:rPr>
          <w:rFonts w:ascii="Times New Roman" w:hAnsi="Times New Roman" w:cs="Times New Roman" w:eastAsia="Times New Roman" w:hint="default"/>
        </w:rPr>
        <w:t>”</w:t>
      </w:r>
      <w:r>
        <w:rPr/>
        <w:t>。北京展视</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w:t>
      </w:r>
      <w:r>
        <w:rPr>
          <w:spacing w:val="-55"/>
        </w:rPr>
        <w:t> </w:t>
      </w:r>
      <w:r>
        <w:rPr/>
        <w:t>度免征企业所得税，</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-2020</w:t>
      </w:r>
      <w:r>
        <w:rPr/>
        <w:t>年度减半征收企业所得税。</w:t>
      </w:r>
    </w:p>
    <w:p>
      <w:pPr>
        <w:pStyle w:val="BodyText"/>
        <w:spacing w:line="300" w:lineRule="auto" w:before="13"/>
        <w:ind w:right="1131" w:firstLine="397"/>
        <w:jc w:val="both"/>
      </w:pPr>
      <w:r>
        <w:rPr>
          <w:spacing w:val="-7"/>
        </w:rPr>
        <w:t>注</w:t>
      </w:r>
      <w:r>
        <w:rPr>
          <w:rFonts w:ascii="Times New Roman" w:hAnsi="Times New Roman" w:cs="Times New Roman" w:eastAsia="Times New Roman" w:hint="default"/>
          <w:spacing w:val="-7"/>
        </w:rPr>
        <w:t>4</w:t>
      </w:r>
      <w:r>
        <w:rPr>
          <w:spacing w:val="-7"/>
        </w:rPr>
        <w:t>：依《香港法例》第</w:t>
      </w:r>
      <w:r>
        <w:rPr>
          <w:rFonts w:ascii="Times New Roman" w:hAnsi="Times New Roman" w:cs="Times New Roman" w:eastAsia="Times New Roman" w:hint="default"/>
          <w:spacing w:val="-7"/>
        </w:rPr>
        <w:t>112</w:t>
      </w:r>
      <w:r>
        <w:rPr>
          <w:spacing w:val="-7"/>
        </w:rPr>
        <w:t>章</w:t>
      </w:r>
      <w:r>
        <w:rPr>
          <w:rFonts w:ascii="Times New Roman" w:hAnsi="Times New Roman" w:cs="Times New Roman" w:eastAsia="Times New Roman" w:hint="default"/>
          <w:spacing w:val="-7"/>
        </w:rPr>
        <w:t>“</w:t>
      </w:r>
      <w:r>
        <w:rPr>
          <w:spacing w:val="-7"/>
        </w:rPr>
        <w:t>税务条例</w:t>
      </w:r>
      <w:r>
        <w:rPr>
          <w:rFonts w:ascii="Times New Roman" w:hAnsi="Times New Roman" w:cs="Times New Roman" w:eastAsia="Times New Roman" w:hint="default"/>
          <w:spacing w:val="-7"/>
        </w:rPr>
        <w:t>”</w:t>
      </w:r>
      <w:r>
        <w:rPr>
          <w:spacing w:val="-7"/>
        </w:rPr>
        <w:t>，香港增值、爱涛网络、二六三香港控股、二六三移动香港、迪讯香港、</w:t>
      </w:r>
      <w:r>
        <w:rPr>
          <w:rFonts w:ascii="Times New Roman" w:hAnsi="Times New Roman" w:cs="Times New Roman" w:eastAsia="Times New Roman" w:hint="default"/>
          <w:spacing w:val="-7"/>
        </w:rPr>
        <w:t>I-Access</w:t>
      </w:r>
      <w:r>
        <w:rPr>
          <w:rFonts w:ascii="Times New Roman" w:hAnsi="Times New Roman" w:cs="Times New Roman" w:eastAsia="Times New Roman" w:hint="default"/>
          <w:w w:val="99"/>
        </w:rPr>
        <w:t> </w:t>
      </w:r>
      <w:r>
        <w:rPr/>
        <w:t>适用</w:t>
      </w:r>
      <w:r>
        <w:rPr>
          <w:rFonts w:ascii="Times New Roman" w:hAnsi="Times New Roman" w:cs="Times New Roman" w:eastAsia="Times New Roman" w:hint="default"/>
        </w:rPr>
        <w:t>16.5%</w:t>
      </w:r>
      <w:r>
        <w:rPr/>
        <w:t>企业所得税率。</w:t>
      </w:r>
    </w:p>
    <w:p>
      <w:pPr>
        <w:pStyle w:val="BodyText"/>
        <w:spacing w:line="300" w:lineRule="auto" w:before="13"/>
        <w:ind w:right="1132" w:firstLine="397"/>
        <w:jc w:val="both"/>
      </w:pPr>
      <w:r>
        <w:rPr/>
        <w:t>注</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日，广州二六三获得了广东省科学技术厅、广东省财政厅、广东省国家税务局、广东省地方税务局 </w:t>
      </w:r>
      <w:r>
        <w:rPr>
          <w:spacing w:val="-1"/>
        </w:rPr>
        <w:t>联合颁发证书编号为</w:t>
      </w:r>
      <w:r>
        <w:rPr>
          <w:rFonts w:ascii="Times New Roman" w:hAnsi="Times New Roman" w:cs="Times New Roman" w:eastAsia="Times New Roman" w:hint="default"/>
          <w:spacing w:val="-1"/>
        </w:rPr>
        <w:t>G201744001596</w:t>
      </w:r>
      <w:r>
        <w:rPr>
          <w:spacing w:val="-1"/>
        </w:rPr>
        <w:t>号的《高新技术企业证书》，证书有限期为三年。根据新企业所得税法的相关优惠政策</w:t>
      </w:r>
      <w:r>
        <w:rPr>
          <w:spacing w:val="-66"/>
        </w:rPr>
        <w:t> </w:t>
      </w:r>
      <w:r>
        <w:rPr>
          <w:spacing w:val="-66"/>
        </w:rPr>
      </w:r>
      <w:r>
        <w:rPr/>
        <w:t>规定，广州二六三</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-2019</w:t>
      </w:r>
      <w:r>
        <w:rPr/>
        <w:t>年度减按</w:t>
      </w:r>
      <w:r>
        <w:rPr>
          <w:rFonts w:ascii="Times New Roman" w:hAnsi="Times New Roman" w:cs="Times New Roman" w:eastAsia="Times New Roman" w:hint="default"/>
        </w:rPr>
        <w:t>15%</w:t>
      </w:r>
      <w:r>
        <w:rPr/>
        <w:t>的税率征收企业所得税。</w:t>
      </w:r>
    </w:p>
    <w:p>
      <w:pPr>
        <w:pStyle w:val="BodyText"/>
        <w:spacing w:line="300" w:lineRule="auto" w:before="13"/>
        <w:ind w:right="1129" w:firstLine="397"/>
        <w:jc w:val="both"/>
      </w:pPr>
      <w:r>
        <w:rPr>
          <w:spacing w:val="-4"/>
        </w:rPr>
        <w:t>注</w:t>
      </w:r>
      <w:r>
        <w:rPr>
          <w:rFonts w:ascii="Times New Roman" w:hAnsi="Times New Roman" w:cs="Times New Roman" w:eastAsia="Times New Roman" w:hint="default"/>
          <w:spacing w:val="-4"/>
        </w:rPr>
        <w:t>6</w:t>
      </w:r>
      <w:r>
        <w:rPr>
          <w:spacing w:val="-4"/>
        </w:rPr>
        <w:t>：经北京市经济和信息化委员会认定，软件技术符合《进一步鼓励软件产业和集成电路产业发展的若干政策》和《软</w:t>
      </w:r>
      <w:r>
        <w:rPr/>
        <w:t> </w:t>
      </w:r>
      <w:r>
        <w:rPr>
          <w:spacing w:val="-4"/>
        </w:rPr>
        <w:t>件企业认定标准及管理办法》的有关规定，被认定为软件企业。</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21</w:t>
      </w:r>
      <w:r>
        <w:rPr>
          <w:spacing w:val="-4"/>
        </w:rPr>
        <w:t>日，软件技术获取了核发的编号为京</w:t>
      </w:r>
      <w:r>
        <w:rPr>
          <w:rFonts w:ascii="Times New Roman" w:hAnsi="Times New Roman" w:cs="Times New Roman" w:eastAsia="Times New Roman" w:hint="default"/>
          <w:spacing w:val="-4"/>
        </w:rPr>
        <w:t>R-2014-0087</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的软件企业认定证书。根据国发</w:t>
      </w:r>
      <w:r>
        <w:rPr>
          <w:rFonts w:ascii="Times New Roman" w:hAnsi="Times New Roman" w:cs="Times New Roman" w:eastAsia="Times New Roman" w:hint="default"/>
        </w:rPr>
        <w:t>[2011]</w:t>
      </w:r>
      <w:r>
        <w:rPr>
          <w:rFonts w:ascii="Times New Roman" w:hAnsi="Times New Roman" w:cs="Times New Roman" w:eastAsia="Times New Roman" w:hint="default"/>
          <w:spacing w:val="22"/>
        </w:rPr>
        <w:t> </w:t>
      </w:r>
      <w:r>
        <w:rPr>
          <w:rFonts w:ascii="Times New Roman" w:hAnsi="Times New Roman" w:cs="Times New Roman" w:eastAsia="Times New Roman" w:hint="default"/>
        </w:rPr>
        <w:t>4</w:t>
      </w:r>
      <w:r>
        <w:rPr/>
        <w:t>号《进一步鼓励软件产业和集成电路产业发展若干政策的通知》第六条政策。软件 技术</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-2015</w:t>
      </w:r>
      <w:r>
        <w:rPr/>
        <w:t>年免征企业所得税，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-2018</w:t>
      </w:r>
      <w:r>
        <w:rPr/>
        <w:t>年减半征收企业所得税。</w:t>
      </w:r>
    </w:p>
    <w:p>
      <w:pPr>
        <w:pStyle w:val="BodyText"/>
        <w:spacing w:line="300" w:lineRule="auto" w:before="13"/>
        <w:ind w:right="1130" w:firstLine="362"/>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日，软件技术领取了北京市科学技术委员会、北京市财政局、北京市国家税务局、北京市地方税务局联合</w:t>
      </w:r>
      <w:r>
        <w:rPr/>
        <w:t> 颁发证书编号为</w:t>
      </w:r>
      <w:r>
        <w:rPr>
          <w:rFonts w:ascii="Times New Roman" w:hAnsi="Times New Roman" w:cs="Times New Roman" w:eastAsia="Times New Roman" w:hint="default"/>
        </w:rPr>
        <w:t>GR201711001548</w:t>
      </w:r>
      <w:r>
        <w:rPr/>
        <w:t>的《高新技术企业证书》，证书有限期为三年。</w:t>
      </w:r>
    </w:p>
    <w:p>
      <w:pPr>
        <w:pStyle w:val="BodyText"/>
        <w:spacing w:line="240" w:lineRule="auto" w:before="13"/>
        <w:ind w:left="551" w:right="0"/>
        <w:jc w:val="left"/>
      </w:pPr>
      <w:r>
        <w:rPr/>
        <w:t>注</w:t>
      </w:r>
      <w:r>
        <w:rPr>
          <w:rFonts w:ascii="Times New Roman" w:hAnsi="Times New Roman" w:cs="Times New Roman" w:eastAsia="Times New Roman" w:hint="default"/>
        </w:rPr>
        <w:t>7</w:t>
      </w:r>
      <w:r>
        <w:rPr/>
        <w:t>：美国联邦所得税和州所得税</w:t>
      </w:r>
      <w:r>
        <w:rPr>
          <w:rFonts w:ascii="Times New Roman" w:hAnsi="Times New Roman" w:cs="Times New Roman" w:eastAsia="Times New Roman" w:hint="default"/>
        </w:rPr>
        <w:t>(</w:t>
      </w:r>
      <w:r>
        <w:rPr/>
        <w:t>特许权税</w:t>
      </w:r>
      <w:r>
        <w:rPr>
          <w:rFonts w:ascii="Times New Roman" w:hAnsi="Times New Roman" w:cs="Times New Roman" w:eastAsia="Times New Roman" w:hint="default"/>
        </w:rPr>
        <w:t>)</w:t>
      </w:r>
      <w:r>
        <w:rPr/>
        <w:t>：</w:t>
      </w:r>
    </w:p>
    <w:p>
      <w:pPr>
        <w:pStyle w:val="Heading6"/>
        <w:spacing w:line="240" w:lineRule="auto" w:before="51"/>
        <w:ind w:left="154" w:right="0"/>
        <w:jc w:val="left"/>
        <w:rPr>
          <w:i w:val="0"/>
        </w:rPr>
      </w:pPr>
      <w:r>
        <w:rPr>
          <w:w w:val="94"/>
        </w:rPr>
      </w:r>
      <w:r>
        <w:rPr>
          <w:u w:val="single" w:color="000000"/>
        </w:rPr>
        <w:t>联邦所得税率</w:t>
      </w:r>
      <w:r>
        <w:rPr/>
      </w:r>
      <w:r>
        <w:rPr>
          <w:i w:val="0"/>
        </w:rPr>
      </w:r>
    </w:p>
    <w:p>
      <w:pPr>
        <w:pStyle w:val="BodyText"/>
        <w:spacing w:line="240" w:lineRule="auto" w:before="75"/>
        <w:ind w:left="533" w:right="0"/>
        <w:jc w:val="left"/>
        <w:rPr>
          <w:rFonts w:ascii="Times New Roman" w:hAnsi="Times New Roman" w:cs="Times New Roman" w:eastAsia="Times New Roman" w:hint="default"/>
        </w:rPr>
      </w:pPr>
      <w:r>
        <w:rPr>
          <w:spacing w:val="3"/>
        </w:rPr>
        <w:t>于</w:t>
      </w:r>
      <w:r>
        <w:rPr>
          <w:rFonts w:ascii="Times New Roman" w:hAnsi="Times New Roman" w:cs="Times New Roman" w:eastAsia="Times New Roman" w:hint="default"/>
          <w:spacing w:val="3"/>
        </w:rPr>
        <w:t>2017</w:t>
      </w:r>
      <w:r>
        <w:rPr>
          <w:spacing w:val="3"/>
        </w:rPr>
        <w:t>年度及之前，美国联邦所得税纳税申报表要求同时计算两种类型的所得税：常规所得税</w:t>
      </w:r>
      <w:r>
        <w:rPr>
          <w:rFonts w:ascii="Times New Roman" w:hAnsi="Times New Roman" w:cs="Times New Roman" w:eastAsia="Times New Roman" w:hint="default"/>
          <w:spacing w:val="3"/>
        </w:rPr>
        <w:t>(REGULAR</w:t>
      </w:r>
      <w:r>
        <w:rPr>
          <w:rFonts w:ascii="Times New Roman" w:hAnsi="Times New Roman" w:cs="Times New Roman" w:eastAsia="Times New Roman" w:hint="default"/>
          <w:spacing w:val="36"/>
        </w:rPr>
        <w:t> </w:t>
      </w:r>
      <w:r>
        <w:rPr>
          <w:rFonts w:ascii="Times New Roman" w:hAnsi="Times New Roman" w:cs="Times New Roman" w:eastAsia="Times New Roman" w:hint="default"/>
        </w:rPr>
        <w:t>INCOME</w:t>
      </w:r>
    </w:p>
    <w:p>
      <w:pPr>
        <w:spacing w:after="0" w:line="240" w:lineRule="auto"/>
        <w:jc w:val="left"/>
        <w:rPr>
          <w:rFonts w:ascii="Times New Roman" w:hAnsi="Times New Roman" w:cs="Times New Roman" w:eastAsia="Times New Roman" w:hint="default"/>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4"/>
          <w:szCs w:val="24"/>
        </w:rPr>
      </w:pPr>
    </w:p>
    <w:p>
      <w:pPr>
        <w:pStyle w:val="BodyText"/>
        <w:spacing w:line="309" w:lineRule="auto" w:before="44"/>
        <w:ind w:right="1131"/>
        <w:jc w:val="both"/>
      </w:pPr>
      <w:r>
        <w:rPr>
          <w:rFonts w:ascii="Times New Roman" w:hAnsi="Times New Roman" w:cs="Times New Roman" w:eastAsia="Times New Roman" w:hint="default"/>
        </w:rPr>
        <w:t>TAX)</w:t>
      </w:r>
      <w:r>
        <w:rPr/>
        <w:t>和替代性最低税</w:t>
      </w:r>
      <w:r>
        <w:rPr>
          <w:rFonts w:ascii="Times New Roman" w:hAnsi="Times New Roman" w:cs="Times New Roman" w:eastAsia="Times New Roman" w:hint="default"/>
        </w:rPr>
        <w:t>(ALTERNATIVE MINIMUM</w:t>
      </w:r>
      <w:r>
        <w:rPr>
          <w:rFonts w:ascii="Times New Roman" w:hAnsi="Times New Roman" w:cs="Times New Roman" w:eastAsia="Times New Roman" w:hint="default"/>
          <w:spacing w:val="16"/>
        </w:rPr>
        <w:t> </w:t>
      </w:r>
      <w:r>
        <w:rPr>
          <w:rFonts w:ascii="Times New Roman" w:hAnsi="Times New Roman" w:cs="Times New Roman" w:eastAsia="Times New Roman" w:hint="default"/>
        </w:rPr>
        <w:t>TAX)</w:t>
      </w:r>
      <w:r>
        <w:rPr/>
        <w:t>。常规企业所得税为累进税率，替代性最低税税率为</w:t>
      </w:r>
      <w:r>
        <w:rPr>
          <w:rFonts w:ascii="Times New Roman" w:hAnsi="Times New Roman" w:cs="Times New Roman" w:eastAsia="Times New Roman" w:hint="default"/>
        </w:rPr>
        <w:t>20%</w:t>
      </w:r>
      <w:r>
        <w:rPr/>
        <w:t>，按常规 </w:t>
      </w:r>
      <w:r>
        <w:rPr>
          <w:spacing w:val="-2"/>
        </w:rPr>
        <w:t>企业所得税和替代性最低税孰高缴纳。以前年度缴纳的替代性最低税可以抵减当年的常规企业所得税，但以不使抵减后的当</w:t>
      </w:r>
      <w:r>
        <w:rPr>
          <w:spacing w:val="-64"/>
        </w:rPr>
        <w:t> </w:t>
      </w:r>
      <w:r>
        <w:rPr>
          <w:spacing w:val="-64"/>
        </w:rPr>
      </w:r>
      <w:r>
        <w:rPr/>
        <w:t>年常规企业所得税低于当年替代性最低税为限。弥补亏损前，所得税按当年应纳税所得额的</w:t>
      </w:r>
      <w:r>
        <w:rPr>
          <w:rFonts w:ascii="Times New Roman" w:hAnsi="Times New Roman" w:cs="Times New Roman" w:eastAsia="Times New Roman" w:hint="default"/>
        </w:rPr>
        <w:t>10%</w:t>
      </w:r>
      <w:r>
        <w:rPr/>
        <w:t>和</w:t>
      </w:r>
      <w:r>
        <w:rPr>
          <w:rFonts w:ascii="Times New Roman" w:hAnsi="Times New Roman" w:cs="Times New Roman" w:eastAsia="Times New Roman" w:hint="default"/>
        </w:rPr>
        <w:t>20%</w:t>
      </w:r>
      <w:r>
        <w:rPr/>
        <w:t>税率计提缴纳。</w:t>
      </w:r>
    </w:p>
    <w:p>
      <w:pPr>
        <w:pStyle w:val="BodyText"/>
        <w:spacing w:line="309" w:lineRule="auto" w:before="5"/>
        <w:ind w:right="1132" w:firstLine="397"/>
        <w:jc w:val="both"/>
      </w:pPr>
      <w:r>
        <w:rPr>
          <w:spacing w:val="-1"/>
        </w:rPr>
        <w:t>美国国会于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20</w:t>
      </w:r>
      <w:r>
        <w:rPr>
          <w:spacing w:val="-1"/>
        </w:rPr>
        <w:t>日通过《税收减免与就业法案》</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税改法案</w:t>
      </w:r>
      <w:r>
        <w:rPr>
          <w:rFonts w:ascii="Times New Roman" w:hAnsi="Times New Roman" w:cs="Times New Roman" w:eastAsia="Times New Roman" w:hint="default"/>
          <w:spacing w:val="-1"/>
        </w:rPr>
        <w:t>”)</w:t>
      </w:r>
      <w:r>
        <w:rPr>
          <w:spacing w:val="-1"/>
        </w:rPr>
        <w:t>。税改法案已于</w:t>
      </w:r>
      <w:r>
        <w:rPr>
          <w:rFonts w:ascii="Times New Roman" w:hAnsi="Times New Roman" w:cs="Times New Roman" w:eastAsia="Times New Roman" w:hint="default"/>
          <w:spacing w:val="-1"/>
        </w:rPr>
        <w:t>2018</w:t>
      </w:r>
      <w:r>
        <w:rPr>
          <w:spacing w:val="-1"/>
        </w:rPr>
        <w:t>年生效，由</w:t>
      </w:r>
      <w:r>
        <w:rPr>
          <w:rFonts w:ascii="Times New Roman" w:hAnsi="Times New Roman" w:cs="Times New Roman" w:eastAsia="Times New Roman" w:hint="default"/>
          <w:spacing w:val="-1"/>
        </w:rPr>
        <w:t>21%</w:t>
      </w:r>
      <w:r>
        <w:rPr>
          <w:spacing w:val="-1"/>
        </w:rPr>
        <w:t>的</w:t>
      </w:r>
      <w:r>
        <w:rPr/>
        <w:t> </w:t>
      </w:r>
      <w:r>
        <w:rPr>
          <w:spacing w:val="-2"/>
        </w:rPr>
        <w:t>单一企业所得税率替换现行税法中的多级累进企业所得税率，同时代替性最低税也会被完全废除。对于按现行税法折旧规定</w:t>
      </w:r>
      <w:r>
        <w:rPr>
          <w:spacing w:val="-64"/>
        </w:rPr>
        <w:t> </w:t>
      </w:r>
      <w:r>
        <w:rPr>
          <w:spacing w:val="-64"/>
        </w:rPr>
      </w:r>
      <w:r>
        <w:rPr/>
        <w:t>的符合条件的资产，在投入使用的当年至</w:t>
      </w:r>
      <w:r>
        <w:rPr>
          <w:rFonts w:ascii="Times New Roman" w:hAnsi="Times New Roman" w:cs="Times New Roman" w:eastAsia="Times New Roman" w:hint="default"/>
        </w:rPr>
        <w:t>2022</w:t>
      </w:r>
      <w:r>
        <w:rPr/>
        <w:t>年期间可以当期</w:t>
      </w:r>
      <w:r>
        <w:rPr>
          <w:rFonts w:ascii="Times New Roman" w:hAnsi="Times New Roman" w:cs="Times New Roman" w:eastAsia="Times New Roman" w:hint="default"/>
        </w:rPr>
        <w:t>100%</w:t>
      </w:r>
      <w:r>
        <w:rPr/>
        <w:t>费用化，并于此后逐步取消。</w:t>
      </w:r>
    </w:p>
    <w:p>
      <w:pPr>
        <w:spacing w:line="254" w:lineRule="exact" w:before="0"/>
        <w:ind w:left="154" w:right="0" w:firstLine="0"/>
        <w:jc w:val="both"/>
        <w:rPr>
          <w:rFonts w:ascii="宋体" w:hAnsi="宋体" w:cs="宋体" w:eastAsia="宋体" w:hint="default"/>
          <w:sz w:val="19"/>
          <w:szCs w:val="19"/>
        </w:rPr>
      </w:pPr>
      <w:r>
        <w:rPr>
          <w:rFonts w:ascii="宋体" w:hAnsi="宋体" w:cs="宋体" w:eastAsia="宋体" w:hint="default"/>
          <w:i/>
          <w:w w:val="94"/>
          <w:sz w:val="19"/>
          <w:szCs w:val="19"/>
        </w:rPr>
      </w:r>
      <w:r>
        <w:rPr>
          <w:rFonts w:ascii="宋体" w:hAnsi="宋体" w:cs="宋体" w:eastAsia="宋体" w:hint="default"/>
          <w:i/>
          <w:sz w:val="19"/>
          <w:szCs w:val="19"/>
          <w:u w:val="single" w:color="000000"/>
        </w:rPr>
        <w:t>州所得税</w:t>
      </w:r>
      <w:r>
        <w:rPr>
          <w:rFonts w:ascii="Times New Roman" w:hAnsi="Times New Roman" w:cs="Times New Roman" w:eastAsia="Times New Roman" w:hint="default"/>
          <w:i/>
          <w:sz w:val="18"/>
          <w:szCs w:val="18"/>
          <w:u w:val="single" w:color="000000"/>
        </w:rPr>
        <w:t>/</w:t>
      </w:r>
      <w:r>
        <w:rPr>
          <w:rFonts w:ascii="宋体" w:hAnsi="宋体" w:cs="宋体" w:eastAsia="宋体" w:hint="default"/>
          <w:i/>
          <w:sz w:val="19"/>
          <w:szCs w:val="19"/>
          <w:u w:val="single" w:color="000000"/>
        </w:rPr>
        <w:t>特许权税</w:t>
      </w:r>
      <w:r>
        <w:rPr>
          <w:rFonts w:ascii="Times New Roman" w:hAnsi="Times New Roman" w:cs="Times New Roman" w:eastAsia="Times New Roman" w:hint="default"/>
          <w:i/>
          <w:sz w:val="18"/>
          <w:szCs w:val="18"/>
          <w:u w:val="single" w:color="000000"/>
        </w:rPr>
        <w:t>(state</w:t>
      </w:r>
      <w:r>
        <w:rPr>
          <w:rFonts w:ascii="Times New Roman" w:hAnsi="Times New Roman" w:cs="Times New Roman" w:eastAsia="Times New Roman" w:hint="default"/>
          <w:i/>
          <w:spacing w:val="-17"/>
          <w:sz w:val="18"/>
          <w:szCs w:val="18"/>
          <w:u w:val="single" w:color="000000"/>
        </w:rPr>
        <w:t> </w:t>
      </w:r>
      <w:r>
        <w:rPr>
          <w:rFonts w:ascii="Times New Roman" w:hAnsi="Times New Roman" w:cs="Times New Roman" w:eastAsia="Times New Roman" w:hint="default"/>
          <w:i/>
          <w:sz w:val="18"/>
          <w:szCs w:val="18"/>
          <w:u w:val="single" w:color="000000"/>
        </w:rPr>
        <w:t>corporate</w:t>
      </w:r>
      <w:r>
        <w:rPr>
          <w:rFonts w:ascii="Times New Roman" w:hAnsi="Times New Roman" w:cs="Times New Roman" w:eastAsia="Times New Roman" w:hint="default"/>
          <w:i/>
          <w:spacing w:val="-18"/>
          <w:sz w:val="18"/>
          <w:szCs w:val="18"/>
          <w:u w:val="single" w:color="000000"/>
        </w:rPr>
        <w:t> </w:t>
      </w:r>
      <w:r>
        <w:rPr>
          <w:rFonts w:ascii="Times New Roman" w:hAnsi="Times New Roman" w:cs="Times New Roman" w:eastAsia="Times New Roman" w:hint="default"/>
          <w:i/>
          <w:sz w:val="18"/>
          <w:szCs w:val="18"/>
          <w:u w:val="single" w:color="000000"/>
        </w:rPr>
        <w:t>income</w:t>
      </w:r>
      <w:r>
        <w:rPr>
          <w:rFonts w:ascii="Times New Roman" w:hAnsi="Times New Roman" w:cs="Times New Roman" w:eastAsia="Times New Roman" w:hint="default"/>
          <w:i/>
          <w:spacing w:val="-18"/>
          <w:sz w:val="18"/>
          <w:szCs w:val="18"/>
          <w:u w:val="single" w:color="000000"/>
        </w:rPr>
        <w:t> </w:t>
      </w:r>
      <w:r>
        <w:rPr>
          <w:rFonts w:ascii="Times New Roman" w:hAnsi="Times New Roman" w:cs="Times New Roman" w:eastAsia="Times New Roman" w:hint="default"/>
          <w:i/>
          <w:sz w:val="18"/>
          <w:szCs w:val="18"/>
          <w:u w:val="single" w:color="000000"/>
        </w:rPr>
        <w:t>tax</w:t>
      </w:r>
      <w:r>
        <w:rPr>
          <w:rFonts w:ascii="Times New Roman" w:hAnsi="Times New Roman" w:cs="Times New Roman" w:eastAsia="Times New Roman" w:hint="default"/>
          <w:i/>
          <w:spacing w:val="-18"/>
          <w:sz w:val="18"/>
          <w:szCs w:val="18"/>
          <w:u w:val="single" w:color="000000"/>
        </w:rPr>
        <w:t> </w:t>
      </w:r>
      <w:r>
        <w:rPr>
          <w:rFonts w:ascii="Times New Roman" w:hAnsi="Times New Roman" w:cs="Times New Roman" w:eastAsia="Times New Roman" w:hint="default"/>
          <w:i/>
          <w:sz w:val="18"/>
          <w:szCs w:val="18"/>
          <w:u w:val="single" w:color="000000"/>
        </w:rPr>
        <w:t>or</w:t>
      </w:r>
      <w:r>
        <w:rPr>
          <w:rFonts w:ascii="Times New Roman" w:hAnsi="Times New Roman" w:cs="Times New Roman" w:eastAsia="Times New Roman" w:hint="default"/>
          <w:i/>
          <w:spacing w:val="-18"/>
          <w:sz w:val="18"/>
          <w:szCs w:val="18"/>
          <w:u w:val="single" w:color="000000"/>
        </w:rPr>
        <w:t> </w:t>
      </w:r>
      <w:r>
        <w:rPr>
          <w:rFonts w:ascii="Times New Roman" w:hAnsi="Times New Roman" w:cs="Times New Roman" w:eastAsia="Times New Roman" w:hint="default"/>
          <w:i/>
          <w:sz w:val="18"/>
          <w:szCs w:val="18"/>
          <w:u w:val="single" w:color="000000"/>
        </w:rPr>
        <w:t>franchise</w:t>
      </w:r>
      <w:r>
        <w:rPr>
          <w:rFonts w:ascii="Times New Roman" w:hAnsi="Times New Roman" w:cs="Times New Roman" w:eastAsia="Times New Roman" w:hint="default"/>
          <w:i/>
          <w:spacing w:val="-18"/>
          <w:sz w:val="18"/>
          <w:szCs w:val="18"/>
          <w:u w:val="single" w:color="000000"/>
        </w:rPr>
        <w:t> </w:t>
      </w:r>
      <w:r>
        <w:rPr>
          <w:rFonts w:ascii="Times New Roman" w:hAnsi="Times New Roman" w:cs="Times New Roman" w:eastAsia="Times New Roman" w:hint="default"/>
          <w:i/>
          <w:sz w:val="18"/>
          <w:szCs w:val="18"/>
          <w:u w:val="single" w:color="000000"/>
        </w:rPr>
        <w:t>tax)</w:t>
      </w:r>
      <w:r>
        <w:rPr>
          <w:rFonts w:ascii="宋体" w:hAnsi="宋体" w:cs="宋体" w:eastAsia="宋体" w:hint="default"/>
          <w:i/>
          <w:sz w:val="19"/>
          <w:szCs w:val="19"/>
          <w:u w:val="single" w:color="000000"/>
        </w:rPr>
        <w:t>率</w:t>
      </w:r>
      <w:r>
        <w:rPr>
          <w:rFonts w:ascii="宋体" w:hAnsi="宋体" w:cs="宋体" w:eastAsia="宋体" w:hint="default"/>
          <w:i/>
          <w:sz w:val="19"/>
          <w:szCs w:val="19"/>
        </w:rPr>
        <w:t>：</w:t>
      </w:r>
      <w:r>
        <w:rPr>
          <w:rFonts w:ascii="宋体" w:hAnsi="宋体" w:cs="宋体" w:eastAsia="宋体" w:hint="default"/>
          <w:sz w:val="19"/>
          <w:szCs w:val="19"/>
        </w:rPr>
      </w:r>
    </w:p>
    <w:p>
      <w:pPr>
        <w:pStyle w:val="BodyText"/>
        <w:spacing w:line="309" w:lineRule="auto" w:before="63"/>
        <w:ind w:right="1032" w:firstLine="380"/>
        <w:jc w:val="left"/>
      </w:pPr>
      <w:r>
        <w:rPr/>
        <w:t>美国除联邦企业所得税外，很多州针对与该州有税务关联的企业</w:t>
      </w:r>
      <w:r>
        <w:rPr>
          <w:rFonts w:ascii="Times New Roman" w:hAnsi="Times New Roman" w:cs="Times New Roman" w:eastAsia="Times New Roman" w:hint="default"/>
        </w:rPr>
        <w:t>(</w:t>
      </w:r>
      <w:r>
        <w:rPr/>
        <w:t>如在该州有财产、雇员、管理人员等</w:t>
      </w:r>
      <w:r>
        <w:rPr>
          <w:rFonts w:ascii="Times New Roman" w:hAnsi="Times New Roman" w:cs="Times New Roman" w:eastAsia="Times New Roman" w:hint="default"/>
        </w:rPr>
        <w:t>)</w:t>
      </w:r>
      <w:r>
        <w:rPr/>
        <w:t>征收州所得税或 </w:t>
      </w:r>
      <w:r>
        <w:rPr>
          <w:spacing w:val="-4"/>
        </w:rPr>
        <w:t>特许权税。与所得税略有差异，特许权税的税基通常不基于净利而着重于净值。一般来说，所得税负高的州特许权税负则低。</w:t>
      </w:r>
      <w:r>
        <w:rPr>
          <w:spacing w:val="-46"/>
        </w:rPr>
        <w:t> </w:t>
      </w:r>
      <w:r>
        <w:rPr>
          <w:spacing w:val="-46"/>
        </w:rPr>
      </w:r>
      <w:r>
        <w:rPr/>
        <w:t>报告期内</w:t>
      </w:r>
      <w:r>
        <w:rPr>
          <w:rFonts w:ascii="Times New Roman" w:hAnsi="Times New Roman" w:cs="Times New Roman" w:eastAsia="Times New Roman" w:hint="default"/>
        </w:rPr>
        <w:t>iTalk Global</w:t>
      </w:r>
      <w:r>
        <w:rPr>
          <w:rFonts w:ascii="Times New Roman" w:hAnsi="Times New Roman" w:cs="Times New Roman" w:eastAsia="Times New Roman" w:hint="default"/>
          <w:spacing w:val="24"/>
        </w:rPr>
        <w:t> </w:t>
      </w:r>
      <w:r>
        <w:rPr/>
        <w:t>在如下四个州有所得税</w:t>
      </w:r>
      <w:r>
        <w:rPr>
          <w:rFonts w:ascii="Times New Roman" w:hAnsi="Times New Roman" w:cs="Times New Roman" w:eastAsia="Times New Roman" w:hint="default"/>
        </w:rPr>
        <w:t>/</w:t>
      </w:r>
      <w:r>
        <w:rPr/>
        <w:t>特许权税的纳税义务：</w:t>
      </w:r>
    </w:p>
    <w:p>
      <w:pPr>
        <w:pStyle w:val="BodyText"/>
        <w:tabs>
          <w:tab w:pos="994" w:val="left" w:leader="none"/>
        </w:tabs>
        <w:spacing w:line="300" w:lineRule="auto" w:before="5"/>
        <w:ind w:right="1145" w:firstLine="450"/>
        <w:jc w:val="left"/>
      </w:pPr>
      <w:r>
        <w:rPr>
          <w:rFonts w:ascii="Times New Roman" w:hAnsi="Times New Roman" w:cs="Times New Roman" w:eastAsia="Times New Roman" w:hint="default"/>
        </w:rPr>
        <w:t>1)</w:t>
        <w:tab/>
      </w:r>
      <w:r>
        <w:rPr/>
        <w:t>德克萨斯州：没有企业所得税，但针对收入超过</w:t>
      </w:r>
      <w:r>
        <w:rPr>
          <w:rFonts w:ascii="Times New Roman" w:hAnsi="Times New Roman" w:cs="Times New Roman" w:eastAsia="Times New Roman" w:hint="default"/>
        </w:rPr>
        <w:t>100</w:t>
      </w:r>
      <w:r>
        <w:rPr/>
        <w:t>万美元的企业其在州内所获应税收入征收特许权税。特许权</w:t>
      </w:r>
      <w:r>
        <w:rPr>
          <w:w w:val="99"/>
        </w:rPr>
        <w:t> </w:t>
      </w:r>
      <w:r>
        <w:rPr/>
        <w:t>税率为累进制，但最大税率不超过</w:t>
      </w:r>
      <w:r>
        <w:rPr>
          <w:rFonts w:ascii="Times New Roman" w:hAnsi="Times New Roman" w:cs="Times New Roman" w:eastAsia="Times New Roman" w:hint="default"/>
        </w:rPr>
        <w:t>0.75%  </w:t>
      </w:r>
      <w:r>
        <w:rPr/>
        <w:t>。</w:t>
      </w:r>
      <w:r>
        <w:rPr>
          <w:rFonts w:ascii="Times New Roman" w:hAnsi="Times New Roman" w:cs="Times New Roman" w:eastAsia="Times New Roman" w:hint="default"/>
        </w:rPr>
        <w:t>iTalk Global</w:t>
      </w:r>
      <w:r>
        <w:rPr>
          <w:rFonts w:ascii="Times New Roman" w:hAnsi="Times New Roman" w:cs="Times New Roman" w:eastAsia="Times New Roman" w:hint="default"/>
          <w:spacing w:val="6"/>
        </w:rPr>
        <w:t> </w:t>
      </w:r>
      <w:r>
        <w:rPr/>
        <w:t>报告期内适用税率为</w:t>
      </w:r>
      <w:r>
        <w:rPr>
          <w:rFonts w:ascii="Times New Roman" w:hAnsi="Times New Roman" w:cs="Times New Roman" w:eastAsia="Times New Roman" w:hint="default"/>
        </w:rPr>
        <w:t>1%</w:t>
      </w:r>
      <w:r>
        <w:rPr/>
        <w:t>。</w:t>
      </w:r>
    </w:p>
    <w:p>
      <w:pPr>
        <w:pStyle w:val="BodyText"/>
        <w:tabs>
          <w:tab w:pos="994" w:val="left" w:leader="none"/>
        </w:tabs>
        <w:spacing w:line="300" w:lineRule="auto" w:before="13"/>
        <w:ind w:right="1132" w:firstLine="450"/>
        <w:jc w:val="left"/>
      </w:pPr>
      <w:r>
        <w:rPr>
          <w:rFonts w:ascii="Times New Roman" w:hAnsi="Times New Roman" w:cs="Times New Roman" w:eastAsia="Times New Roman" w:hint="default"/>
        </w:rPr>
        <w:t>2)</w:t>
        <w:tab/>
      </w:r>
      <w:r>
        <w:rPr>
          <w:spacing w:val="-1"/>
        </w:rPr>
        <w:t>加利福尼亚州：在应纳所得税额不低于最小特许权税额的情况下，企业所得税税率为</w:t>
      </w:r>
      <w:r>
        <w:rPr>
          <w:rFonts w:ascii="Times New Roman" w:hAnsi="Times New Roman" w:cs="Times New Roman" w:eastAsia="Times New Roman" w:hint="default"/>
          <w:spacing w:val="-1"/>
        </w:rPr>
        <w:t>8.84%(</w:t>
      </w:r>
      <w:r>
        <w:rPr>
          <w:spacing w:val="-1"/>
        </w:rPr>
        <w:t>税基为州内所获应税</w:t>
      </w:r>
      <w:r>
        <w:rPr>
          <w:w w:val="99"/>
        </w:rPr>
        <w:t> </w:t>
      </w:r>
      <w:r>
        <w:rPr/>
        <w:t>净利或按指定方法分配计算的州内所获应税净利</w:t>
      </w:r>
      <w:r>
        <w:rPr>
          <w:rFonts w:ascii="Times New Roman" w:hAnsi="Times New Roman" w:cs="Times New Roman" w:eastAsia="Times New Roman" w:hint="default"/>
        </w:rPr>
        <w:t>)</w:t>
      </w:r>
      <w:r>
        <w:rPr/>
        <w:t>。</w:t>
      </w:r>
    </w:p>
    <w:p>
      <w:pPr>
        <w:pStyle w:val="BodyText"/>
        <w:tabs>
          <w:tab w:pos="994" w:val="left" w:leader="none"/>
        </w:tabs>
        <w:spacing w:line="240" w:lineRule="auto" w:before="13"/>
        <w:ind w:left="604" w:right="0"/>
        <w:jc w:val="left"/>
      </w:pPr>
      <w:r>
        <w:rPr>
          <w:rFonts w:ascii="Times New Roman" w:hAnsi="Times New Roman" w:cs="Times New Roman" w:eastAsia="Times New Roman" w:hint="default"/>
        </w:rPr>
        <w:t>3)</w:t>
        <w:tab/>
      </w:r>
      <w:r>
        <w:rPr/>
        <w:t>马里兰州：企业所得税率为</w:t>
      </w:r>
      <w:r>
        <w:rPr>
          <w:rFonts w:ascii="Times New Roman" w:hAnsi="Times New Roman" w:cs="Times New Roman" w:eastAsia="Times New Roman" w:hint="default"/>
        </w:rPr>
        <w:t>8.25%(</w:t>
      </w:r>
      <w:r>
        <w:rPr/>
        <w:t>税基为按指定方法分配计算的州内所获应税净利</w:t>
      </w:r>
      <w:r>
        <w:rPr>
          <w:rFonts w:ascii="Times New Roman" w:hAnsi="Times New Roman" w:cs="Times New Roman" w:eastAsia="Times New Roman" w:hint="default"/>
        </w:rPr>
        <w:t>)</w:t>
      </w:r>
      <w:r>
        <w:rPr/>
        <w:t>。</w:t>
      </w:r>
    </w:p>
    <w:p>
      <w:pPr>
        <w:pStyle w:val="BodyText"/>
        <w:tabs>
          <w:tab w:pos="994" w:val="left" w:leader="none"/>
        </w:tabs>
        <w:spacing w:line="300" w:lineRule="auto" w:before="63"/>
        <w:ind w:left="467" w:right="2763" w:firstLine="136"/>
        <w:jc w:val="left"/>
      </w:pPr>
      <w:r>
        <w:rPr>
          <w:rFonts w:ascii="Times New Roman" w:hAnsi="Times New Roman" w:cs="Times New Roman" w:eastAsia="Times New Roman" w:hint="default"/>
        </w:rPr>
        <w:t>4)</w:t>
        <w:tab/>
      </w:r>
      <w:r>
        <w:rPr/>
        <w:t>维吉尼亚州：企业所得税率为</w:t>
      </w:r>
      <w:r>
        <w:rPr>
          <w:rFonts w:ascii="Times New Roman" w:hAnsi="Times New Roman" w:cs="Times New Roman" w:eastAsia="Times New Roman" w:hint="default"/>
        </w:rPr>
        <w:t>6%(</w:t>
      </w:r>
      <w:r>
        <w:rPr/>
        <w:t>税基为按指定方法分配计算的州内所获应税净利</w:t>
      </w:r>
      <w:r>
        <w:rPr>
          <w:rFonts w:ascii="Times New Roman" w:hAnsi="Times New Roman" w:cs="Times New Roman" w:eastAsia="Times New Roman" w:hint="default"/>
        </w:rPr>
        <w:t>)</w:t>
      </w:r>
      <w:r>
        <w:rPr/>
        <w:t>。</w:t>
      </w:r>
      <w:r>
        <w:rPr>
          <w:w w:val="99"/>
        </w:rPr>
        <w:t> </w:t>
      </w:r>
      <w:r>
        <w:rPr/>
        <w:t>注</w:t>
      </w:r>
      <w:r>
        <w:rPr>
          <w:rFonts w:ascii="Times New Roman" w:hAnsi="Times New Roman" w:cs="Times New Roman" w:eastAsia="Times New Roman" w:hint="default"/>
        </w:rPr>
        <w:t>8</w:t>
      </w:r>
      <w:r>
        <w:rPr/>
        <w:t>：新加坡企业所得税税率为</w:t>
      </w:r>
      <w:r>
        <w:rPr>
          <w:rFonts w:ascii="Times New Roman" w:hAnsi="Times New Roman" w:cs="Times New Roman" w:eastAsia="Times New Roman" w:hint="default"/>
        </w:rPr>
        <w:t>17%</w:t>
      </w:r>
      <w:r>
        <w:rPr/>
        <w:t>，</w:t>
      </w:r>
      <w:r>
        <w:rPr>
          <w:rFonts w:ascii="Times New Roman" w:hAnsi="Times New Roman" w:cs="Times New Roman" w:eastAsia="Times New Roman" w:hint="default"/>
        </w:rPr>
        <w:t>iTalkBB</w:t>
      </w:r>
      <w:r>
        <w:rPr>
          <w:rFonts w:ascii="Times New Roman" w:hAnsi="Times New Roman" w:cs="Times New Roman" w:eastAsia="Times New Roman" w:hint="default"/>
          <w:spacing w:val="-2"/>
        </w:rPr>
        <w:t> </w:t>
      </w:r>
      <w:r>
        <w:rPr>
          <w:rFonts w:ascii="Times New Roman" w:hAnsi="Times New Roman" w:cs="Times New Roman" w:eastAsia="Times New Roman" w:hint="default"/>
        </w:rPr>
        <w:t>Singapore</w:t>
      </w:r>
      <w:r>
        <w:rPr/>
        <w:t>处于累计亏损状态，无所得税纳税义务。</w:t>
      </w:r>
      <w:r>
        <w:rPr>
          <w:w w:val="99"/>
        </w:rPr>
        <w:t> </w:t>
      </w:r>
      <w:r>
        <w:rPr/>
        <w:t>注</w:t>
      </w:r>
      <w:r>
        <w:rPr>
          <w:rFonts w:ascii="Times New Roman" w:hAnsi="Times New Roman" w:cs="Times New Roman" w:eastAsia="Times New Roman" w:hint="default"/>
        </w:rPr>
        <w:t>9</w:t>
      </w:r>
      <w:r>
        <w:rPr/>
        <w:t>：</w:t>
      </w:r>
      <w:r>
        <w:rPr>
          <w:rFonts w:ascii="Times New Roman" w:hAnsi="Times New Roman" w:cs="Times New Roman" w:eastAsia="Times New Roman" w:hint="default"/>
        </w:rPr>
        <w:t>iTalkBB Canada</w:t>
      </w:r>
      <w:r>
        <w:rPr/>
        <w:t>、</w:t>
      </w:r>
      <w:r>
        <w:rPr>
          <w:rFonts w:ascii="Times New Roman" w:hAnsi="Times New Roman" w:cs="Times New Roman" w:eastAsia="Times New Roman" w:hint="default"/>
        </w:rPr>
        <w:t>iTalk Media</w:t>
      </w:r>
      <w:r>
        <w:rPr>
          <w:rFonts w:ascii="Times New Roman" w:hAnsi="Times New Roman" w:cs="Times New Roman" w:eastAsia="Times New Roman" w:hint="default"/>
          <w:spacing w:val="-10"/>
        </w:rPr>
        <w:t> </w:t>
      </w:r>
      <w:r>
        <w:rPr>
          <w:rFonts w:ascii="Times New Roman" w:hAnsi="Times New Roman" w:cs="Times New Roman" w:eastAsia="Times New Roman" w:hint="default"/>
        </w:rPr>
        <w:t>CA</w:t>
      </w:r>
      <w:r>
        <w:rPr/>
        <w:t>为在加拿大安大略省注册的公司，应缴纳所得税情况如下：</w:t>
      </w:r>
    </w:p>
    <w:tbl>
      <w:tblPr>
        <w:tblW w:w="0" w:type="auto"/>
        <w:jc w:val="left"/>
        <w:tblInd w:w="137" w:type="dxa"/>
        <w:tblLayout w:type="fixed"/>
        <w:tblCellMar>
          <w:top w:w="0" w:type="dxa"/>
          <w:left w:w="0" w:type="dxa"/>
          <w:bottom w:w="0" w:type="dxa"/>
          <w:right w:w="0" w:type="dxa"/>
        </w:tblCellMar>
        <w:tblLook w:val="01E0"/>
      </w:tblPr>
      <w:tblGrid>
        <w:gridCol w:w="6770"/>
        <w:gridCol w:w="2889"/>
      </w:tblGrid>
      <w:tr>
        <w:trPr>
          <w:trHeight w:val="347" w:hRule="exact"/>
        </w:trPr>
        <w:tc>
          <w:tcPr>
            <w:tcW w:w="67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88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47" w:hRule="exact"/>
        </w:trPr>
        <w:tc>
          <w:tcPr>
            <w:tcW w:w="6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联邦所得税</w:t>
            </w:r>
          </w:p>
        </w:tc>
        <w:tc>
          <w:tcPr>
            <w:tcW w:w="2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w:t>
            </w:r>
          </w:p>
        </w:tc>
      </w:tr>
      <w:tr>
        <w:trPr>
          <w:trHeight w:val="348" w:hRule="exact"/>
        </w:trPr>
        <w:tc>
          <w:tcPr>
            <w:tcW w:w="6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安大略省所得税</w:t>
            </w:r>
          </w:p>
        </w:tc>
        <w:tc>
          <w:tcPr>
            <w:tcW w:w="2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11.5%</w:t>
            </w:r>
          </w:p>
        </w:tc>
      </w:tr>
    </w:tbl>
    <w:p>
      <w:pPr>
        <w:pStyle w:val="BodyText"/>
        <w:spacing w:line="300" w:lineRule="auto" w:before="13"/>
        <w:ind w:left="527" w:right="3177" w:hanging="44"/>
        <w:jc w:val="left"/>
      </w:pPr>
      <w:r>
        <w:rPr/>
        <w:t>注</w:t>
      </w:r>
      <w:r>
        <w:rPr>
          <w:rFonts w:ascii="Times New Roman" w:hAnsi="Times New Roman" w:cs="Times New Roman" w:eastAsia="Times New Roman" w:hint="default"/>
        </w:rPr>
        <w:t>10</w:t>
      </w:r>
      <w:r>
        <w:rPr/>
        <w:t>：</w:t>
      </w:r>
      <w:r>
        <w:rPr>
          <w:rFonts w:ascii="Times New Roman" w:hAnsi="Times New Roman" w:cs="Times New Roman" w:eastAsia="Times New Roman" w:hint="default"/>
        </w:rPr>
        <w:t>iTalkBB</w:t>
      </w:r>
      <w:r>
        <w:rPr>
          <w:rFonts w:ascii="Times New Roman" w:hAnsi="Times New Roman" w:cs="Times New Roman" w:eastAsia="Times New Roman" w:hint="default"/>
          <w:spacing w:val="-1"/>
        </w:rPr>
        <w:t> </w:t>
      </w:r>
      <w:r>
        <w:rPr>
          <w:rFonts w:ascii="Times New Roman" w:hAnsi="Times New Roman" w:cs="Times New Roman" w:eastAsia="Times New Roman" w:hint="default"/>
        </w:rPr>
        <w:t>Australia</w:t>
      </w:r>
      <w:r>
        <w:rPr/>
        <w:t>依据澳大利亚企业所得税的规定，适用于小企业</w:t>
      </w:r>
      <w:r>
        <w:rPr>
          <w:rFonts w:ascii="Times New Roman" w:hAnsi="Times New Roman" w:cs="Times New Roman" w:eastAsia="Times New Roman" w:hint="default"/>
        </w:rPr>
        <w:t>27.5%</w:t>
      </w:r>
      <w:r>
        <w:rPr/>
        <w:t>税率。</w:t>
      </w:r>
      <w:r>
        <w:rPr>
          <w:w w:val="99"/>
        </w:rPr>
        <w:t> </w:t>
      </w:r>
      <w:r>
        <w:rPr/>
        <w:t>注</w:t>
      </w:r>
      <w:r>
        <w:rPr>
          <w:rFonts w:ascii="Times New Roman" w:hAnsi="Times New Roman" w:cs="Times New Roman" w:eastAsia="Times New Roman" w:hint="default"/>
        </w:rPr>
        <w:t>11</w:t>
      </w:r>
      <w:r>
        <w:rPr/>
        <w:t>：</w:t>
      </w:r>
      <w:r>
        <w:rPr>
          <w:rFonts w:ascii="Times New Roman" w:hAnsi="Times New Roman" w:cs="Times New Roman" w:eastAsia="Times New Roman" w:hint="default"/>
        </w:rPr>
        <w:t>United</w:t>
      </w:r>
      <w:r>
        <w:rPr>
          <w:rFonts w:ascii="Times New Roman" w:hAnsi="Times New Roman" w:cs="Times New Roman" w:eastAsia="Times New Roman" w:hint="default"/>
          <w:spacing w:val="-3"/>
        </w:rPr>
        <w:t> </w:t>
      </w:r>
      <w:r>
        <w:rPr>
          <w:rFonts w:ascii="Times New Roman" w:hAnsi="Times New Roman" w:cs="Times New Roman" w:eastAsia="Times New Roman" w:hint="default"/>
        </w:rPr>
        <w:t>Wise</w:t>
      </w:r>
      <w:r>
        <w:rPr/>
        <w:t>系设立在英属维尔京群岛的公司的离岸公司，不需向政府缴纳任何税项。</w:t>
      </w:r>
    </w:p>
    <w:p>
      <w:pPr>
        <w:pStyle w:val="BodyText"/>
        <w:spacing w:line="300" w:lineRule="auto" w:before="13"/>
        <w:ind w:right="1132" w:firstLine="343"/>
        <w:jc w:val="both"/>
      </w:pPr>
      <w:r>
        <w:rPr>
          <w:spacing w:val="-2"/>
        </w:rPr>
        <w:t>注</w:t>
      </w:r>
      <w:r>
        <w:rPr>
          <w:rFonts w:ascii="Times New Roman" w:hAnsi="Times New Roman" w:cs="Times New Roman" w:eastAsia="Times New Roman" w:hint="default"/>
          <w:spacing w:val="-2"/>
        </w:rPr>
        <w:t>12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日，深圳日升领取了深圳市科技创新委员会、深圳市财政委员会、深圳市国家税务局、深圳市地方</w:t>
      </w:r>
      <w:r>
        <w:rPr/>
        <w:t> 税务局联合颁发证书编号为</w:t>
      </w:r>
      <w:r>
        <w:rPr>
          <w:rFonts w:ascii="Times New Roman" w:hAnsi="Times New Roman" w:cs="Times New Roman" w:eastAsia="Times New Roman" w:hint="default"/>
        </w:rPr>
        <w:t>GR201744204678</w:t>
      </w:r>
      <w:r>
        <w:rPr/>
        <w:t>的《高新技术企业证书》，证书有限期为三年。根据新企业所得税法的相关优</w:t>
      </w:r>
      <w:r>
        <w:rPr>
          <w:spacing w:val="-67"/>
        </w:rPr>
        <w:t> </w:t>
      </w:r>
      <w:r>
        <w:rPr>
          <w:spacing w:val="-67"/>
        </w:rPr>
      </w:r>
      <w:r>
        <w:rPr/>
        <w:t>惠政策规定，深圳日升减按</w:t>
      </w:r>
      <w:r>
        <w:rPr>
          <w:rFonts w:ascii="Times New Roman" w:hAnsi="Times New Roman" w:cs="Times New Roman" w:eastAsia="Times New Roman" w:hint="default"/>
        </w:rPr>
        <w:t>15%</w:t>
      </w:r>
      <w:r>
        <w:rPr/>
        <w:t>的税率征收企业所得税。</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3、其他" w:id="217"/>
      <w:bookmarkEnd w:id="217"/>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2" w:firstLine="307"/>
        <w:jc w:val="both"/>
      </w:pPr>
      <w:r>
        <w:rPr/>
        <w:t>注</w:t>
      </w:r>
      <w:r>
        <w:rPr>
          <w:rFonts w:ascii="Times New Roman" w:hAnsi="Times New Roman" w:cs="Times New Roman" w:eastAsia="Times New Roman" w:hint="default"/>
        </w:rPr>
        <w:t>1</w:t>
      </w:r>
      <w:r>
        <w:rPr/>
        <w:t>：根据财政部税务总局财税〔</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32</w:t>
      </w:r>
      <w:r>
        <w:rPr/>
        <w:t>号《关于调整增值税税率的通知》的有关政策，自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日起，本公司 发生增值税应税销售行为或者进口货物，原适用</w:t>
      </w:r>
      <w:r>
        <w:rPr>
          <w:rFonts w:ascii="Times New Roman" w:hAnsi="Times New Roman" w:cs="Times New Roman" w:eastAsia="Times New Roman" w:hint="default"/>
        </w:rPr>
        <w:t>17%</w:t>
      </w:r>
      <w:r>
        <w:rPr/>
        <w:t>和</w:t>
      </w:r>
      <w:r>
        <w:rPr>
          <w:rFonts w:ascii="Times New Roman" w:hAnsi="Times New Roman" w:cs="Times New Roman" w:eastAsia="Times New Roman" w:hint="default"/>
        </w:rPr>
        <w:t>11%</w:t>
      </w:r>
      <w:r>
        <w:rPr/>
        <w:t>税率的，现分别调整为</w:t>
      </w:r>
      <w:r>
        <w:rPr>
          <w:rFonts w:ascii="Times New Roman" w:hAnsi="Times New Roman" w:cs="Times New Roman" w:eastAsia="Times New Roman" w:hint="default"/>
        </w:rPr>
        <w:t>16%</w:t>
      </w:r>
      <w:r>
        <w:rPr/>
        <w:t>和</w:t>
      </w:r>
      <w:r>
        <w:rPr>
          <w:rFonts w:ascii="Times New Roman" w:hAnsi="Times New Roman" w:cs="Times New Roman" w:eastAsia="Times New Roman" w:hint="default"/>
        </w:rPr>
        <w:t>10%</w:t>
      </w:r>
      <w:r>
        <w:rPr/>
        <w:t>。</w:t>
      </w:r>
    </w:p>
    <w:p>
      <w:pPr>
        <w:pStyle w:val="BodyText"/>
        <w:spacing w:line="300" w:lineRule="auto" w:before="13"/>
        <w:ind w:right="1030" w:firstLine="307"/>
        <w:jc w:val="left"/>
      </w:pPr>
      <w:r>
        <w:rPr/>
        <w:t>注</w:t>
      </w:r>
      <w:r>
        <w:rPr>
          <w:rFonts w:ascii="Times New Roman" w:hAnsi="Times New Roman" w:cs="Times New Roman" w:eastAsia="Times New Roman" w:hint="default"/>
        </w:rPr>
        <w:t>2</w:t>
      </w:r>
      <w:r>
        <w:rPr/>
        <w:t>：美国销售税：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月及之前，美国税法规定，如果公司在某州以实体方式</w:t>
      </w:r>
      <w:r>
        <w:rPr>
          <w:rFonts w:ascii="Times New Roman" w:hAnsi="Times New Roman" w:cs="Times New Roman" w:eastAsia="Times New Roman" w:hint="default"/>
        </w:rPr>
        <w:t>(physical</w:t>
      </w:r>
      <w:r>
        <w:rPr>
          <w:rFonts w:ascii="Times New Roman" w:hAnsi="Times New Roman" w:cs="Times New Roman" w:eastAsia="Times New Roman" w:hint="default"/>
          <w:spacing w:val="-19"/>
        </w:rPr>
        <w:t> </w:t>
      </w:r>
      <w:r>
        <w:rPr>
          <w:rFonts w:ascii="Times New Roman" w:hAnsi="Times New Roman" w:cs="Times New Roman" w:eastAsia="Times New Roman" w:hint="default"/>
        </w:rPr>
        <w:t>presence</w:t>
      </w:r>
      <w:r>
        <w:rPr/>
        <w:t>，如在该州有财产、 雇员、管理人员等</w:t>
      </w:r>
      <w:r>
        <w:rPr>
          <w:rFonts w:ascii="Times New Roman" w:hAnsi="Times New Roman" w:cs="Times New Roman" w:eastAsia="Times New Roman" w:hint="default"/>
        </w:rPr>
        <w:t>)</w:t>
      </w:r>
      <w:r>
        <w:rPr/>
        <w:t>经营，则必须在该州向消费者收取并缴纳销售税。于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月，美国税法规定，如果公司与某州存在经 济联系</w:t>
      </w:r>
      <w:r>
        <w:rPr>
          <w:rFonts w:ascii="Times New Roman" w:hAnsi="Times New Roman" w:cs="Times New Roman" w:eastAsia="Times New Roman" w:hint="default"/>
        </w:rPr>
        <w:t>(economic nexus)</w:t>
      </w:r>
      <w:r>
        <w:rPr/>
        <w:t>，则必须在该州向消费者收取并缴纳销售税。截至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月，共有</w:t>
      </w:r>
      <w:r>
        <w:rPr>
          <w:rFonts w:ascii="Times New Roman" w:hAnsi="Times New Roman" w:cs="Times New Roman" w:eastAsia="Times New Roman" w:hint="default"/>
        </w:rPr>
        <w:t>21</w:t>
      </w:r>
      <w:r>
        <w:rPr/>
        <w:t>个州开始对在线销售业务征</w:t>
      </w:r>
      <w:r>
        <w:rPr>
          <w:spacing w:val="-70"/>
        </w:rPr>
        <w:t> </w:t>
      </w:r>
      <w:r>
        <w:rPr>
          <w:spacing w:val="-70"/>
        </w:rPr>
      </w:r>
      <w:r>
        <w:rPr/>
        <w:t>收销售税</w:t>
      </w:r>
      <w:r>
        <w:rPr>
          <w:rFonts w:ascii="Times New Roman" w:hAnsi="Times New Roman" w:cs="Times New Roman" w:eastAsia="Times New Roman" w:hint="default"/>
        </w:rPr>
        <w:t>(Online Sales Tax)</w:t>
      </w:r>
      <w:r>
        <w:rPr>
          <w:rFonts w:ascii="Times New Roman" w:hAnsi="Times New Roman" w:cs="Times New Roman" w:eastAsia="Times New Roman" w:hint="default"/>
          <w:spacing w:val="26"/>
        </w:rPr>
        <w:t> </w:t>
      </w:r>
      <w:r>
        <w:rPr/>
        <w:t>。</w:t>
      </w:r>
    </w:p>
    <w:p>
      <w:pPr>
        <w:pStyle w:val="BodyText"/>
        <w:spacing w:line="300" w:lineRule="auto" w:before="13"/>
        <w:ind w:right="1131" w:firstLine="307"/>
        <w:jc w:val="both"/>
      </w:pPr>
      <w:r>
        <w:rPr/>
        <w:t>注</w:t>
      </w:r>
      <w:r>
        <w:rPr>
          <w:rFonts w:ascii="Times New Roman" w:hAnsi="Times New Roman" w:cs="Times New Roman" w:eastAsia="Times New Roman" w:hint="default"/>
        </w:rPr>
        <w:t>3</w:t>
      </w:r>
      <w:r>
        <w:rPr/>
        <w:t>：本公司子公司</w:t>
      </w:r>
      <w:r>
        <w:rPr>
          <w:rFonts w:ascii="Times New Roman" w:hAnsi="Times New Roman" w:cs="Times New Roman" w:eastAsia="Times New Roman" w:hint="default"/>
        </w:rPr>
        <w:t>iTalkBB Canada</w:t>
      </w:r>
      <w:r>
        <w:rPr/>
        <w:t>、</w:t>
      </w:r>
      <w:r>
        <w:rPr>
          <w:rFonts w:ascii="Times New Roman" w:hAnsi="Times New Roman" w:cs="Times New Roman" w:eastAsia="Times New Roman" w:hint="default"/>
        </w:rPr>
        <w:t>iTalk Media</w:t>
      </w:r>
      <w:r>
        <w:rPr>
          <w:rFonts w:ascii="Times New Roman" w:hAnsi="Times New Roman" w:cs="Times New Roman" w:eastAsia="Times New Roman" w:hint="default"/>
          <w:spacing w:val="9"/>
        </w:rPr>
        <w:t> </w:t>
      </w:r>
      <w:r>
        <w:rPr>
          <w:rFonts w:ascii="Times New Roman" w:hAnsi="Times New Roman" w:cs="Times New Roman" w:eastAsia="Times New Roman" w:hint="default"/>
        </w:rPr>
        <w:t>CA</w:t>
      </w:r>
      <w:r>
        <w:rPr/>
        <w:t>为在加拿大安大略省注册的公司，就符合应税条件的商品销售及服 务征收</w:t>
      </w:r>
      <w:r>
        <w:rPr>
          <w:rFonts w:ascii="Times New Roman" w:hAnsi="Times New Roman" w:cs="Times New Roman" w:eastAsia="Times New Roman" w:hint="default"/>
        </w:rPr>
        <w:t>13%</w:t>
      </w:r>
      <w:r>
        <w:rPr/>
        <w:t>的销售税</w:t>
      </w:r>
      <w:r>
        <w:rPr>
          <w:rFonts w:ascii="Times New Roman" w:hAnsi="Times New Roman" w:cs="Times New Roman" w:eastAsia="Times New Roman" w:hint="default"/>
        </w:rPr>
        <w:t>(GST)</w:t>
      </w:r>
      <w:r>
        <w:rPr/>
        <w:t>，同时可抵减购买商品、接受劳务的销售税</w:t>
      </w:r>
      <w:r>
        <w:rPr>
          <w:rFonts w:ascii="Times New Roman" w:hAnsi="Times New Roman" w:cs="Times New Roman" w:eastAsia="Times New Roman" w:hint="default"/>
        </w:rPr>
        <w:t>(GST)</w:t>
      </w:r>
      <w:r>
        <w:rPr/>
        <w:t>，按抵减后余额上缴。</w:t>
      </w:r>
    </w:p>
    <w:p>
      <w:pPr>
        <w:pStyle w:val="BodyText"/>
        <w:spacing w:line="300" w:lineRule="auto" w:before="13"/>
        <w:ind w:right="1130" w:firstLine="307"/>
        <w:jc w:val="both"/>
      </w:pPr>
      <w:r>
        <w:rPr>
          <w:spacing w:val="-2"/>
        </w:rPr>
        <w:t>注</w:t>
      </w:r>
      <w:r>
        <w:rPr>
          <w:rFonts w:ascii="Times New Roman" w:hAnsi="Times New Roman" w:cs="Times New Roman" w:eastAsia="Times New Roman" w:hint="default"/>
          <w:spacing w:val="-2"/>
        </w:rPr>
        <w:t>4</w:t>
      </w:r>
      <w:r>
        <w:rPr>
          <w:spacing w:val="-2"/>
        </w:rPr>
        <w:t>：本公司子公司</w:t>
      </w:r>
      <w:r>
        <w:rPr>
          <w:rFonts w:ascii="Times New Roman" w:hAnsi="Times New Roman" w:cs="Times New Roman" w:eastAsia="Times New Roman" w:hint="default"/>
          <w:spacing w:val="-2"/>
        </w:rPr>
        <w:t>iTalkBB</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
        </w:rPr>
        <w:t>Singapore</w:t>
      </w:r>
      <w:r>
        <w:rPr>
          <w:spacing w:val="-1"/>
        </w:rPr>
        <w:t>就其在新加坡境内符合应税条件的商品销售及服务征收</w:t>
      </w:r>
      <w:r>
        <w:rPr>
          <w:rFonts w:ascii="Times New Roman" w:hAnsi="Times New Roman" w:cs="Times New Roman" w:eastAsia="Times New Roman" w:hint="default"/>
          <w:spacing w:val="-1"/>
        </w:rPr>
        <w:t>7%</w:t>
      </w:r>
      <w:r>
        <w:rPr>
          <w:spacing w:val="-1"/>
        </w:rPr>
        <w:t>的销售税</w:t>
      </w:r>
      <w:r>
        <w:rPr>
          <w:rFonts w:ascii="Times New Roman" w:hAnsi="Times New Roman" w:cs="Times New Roman" w:eastAsia="Times New Roman" w:hint="default"/>
          <w:spacing w:val="-1"/>
        </w:rPr>
        <w:t>(GST)</w:t>
      </w:r>
      <w:r>
        <w:rPr>
          <w:spacing w:val="-1"/>
        </w:rPr>
        <w:t>，同时可</w:t>
      </w:r>
      <w:r>
        <w:rPr>
          <w:w w:val="99"/>
        </w:rPr>
        <w:t> </w:t>
      </w:r>
      <w:r>
        <w:rPr/>
        <w:t>抵减在新加坡境内购买商品、接受劳务的销售税</w:t>
      </w:r>
      <w:r>
        <w:rPr>
          <w:rFonts w:ascii="Times New Roman" w:hAnsi="Times New Roman" w:cs="Times New Roman" w:eastAsia="Times New Roman" w:hint="default"/>
        </w:rPr>
        <w:t>(GST)</w:t>
      </w:r>
      <w:r>
        <w:rPr/>
        <w:t>，按抵减后余额上缴，如抵减有余可从政府取得税费返还。</w:t>
      </w:r>
    </w:p>
    <w:p>
      <w:pPr>
        <w:pStyle w:val="BodyText"/>
        <w:spacing w:line="300" w:lineRule="auto" w:before="13"/>
        <w:ind w:right="1130" w:firstLine="307"/>
        <w:jc w:val="both"/>
      </w:pPr>
      <w:r>
        <w:rPr/>
        <w:t>注</w:t>
      </w:r>
      <w:r>
        <w:rPr>
          <w:rFonts w:ascii="Times New Roman" w:hAnsi="Times New Roman" w:cs="Times New Roman" w:eastAsia="Times New Roman" w:hint="default"/>
        </w:rPr>
        <w:t>5</w:t>
      </w:r>
      <w:r>
        <w:rPr/>
        <w:t>：本公司子公司</w:t>
      </w:r>
      <w:r>
        <w:rPr>
          <w:rFonts w:ascii="Times New Roman" w:hAnsi="Times New Roman" w:cs="Times New Roman" w:eastAsia="Times New Roman" w:hint="default"/>
        </w:rPr>
        <w:t>iTalk</w:t>
      </w:r>
      <w:r>
        <w:rPr>
          <w:rFonts w:ascii="Times New Roman" w:hAnsi="Times New Roman" w:cs="Times New Roman" w:eastAsia="Times New Roman" w:hint="default"/>
          <w:spacing w:val="-19"/>
        </w:rPr>
        <w:t> </w:t>
      </w:r>
      <w:r>
        <w:rPr>
          <w:rFonts w:ascii="Times New Roman" w:hAnsi="Times New Roman" w:cs="Times New Roman" w:eastAsia="Times New Roman" w:hint="default"/>
        </w:rPr>
        <w:t>Global</w:t>
      </w:r>
      <w:r>
        <w:rPr/>
        <w:t>、</w:t>
      </w:r>
      <w:r>
        <w:rPr>
          <w:spacing w:val="-47"/>
        </w:rPr>
        <w:t> </w:t>
      </w:r>
      <w:r>
        <w:rPr>
          <w:rFonts w:ascii="Times New Roman" w:hAnsi="Times New Roman" w:cs="Times New Roman" w:eastAsia="Times New Roman" w:hint="default"/>
        </w:rPr>
        <w:t>iTalkBB</w:t>
      </w:r>
      <w:r>
        <w:rPr>
          <w:rFonts w:ascii="Times New Roman" w:hAnsi="Times New Roman" w:cs="Times New Roman" w:eastAsia="Times New Roman" w:hint="default"/>
          <w:spacing w:val="-17"/>
        </w:rPr>
        <w:t> </w:t>
      </w:r>
      <w:r>
        <w:rPr>
          <w:rFonts w:ascii="Times New Roman" w:hAnsi="Times New Roman" w:cs="Times New Roman" w:eastAsia="Times New Roman" w:hint="default"/>
        </w:rPr>
        <w:t>Australia</w:t>
      </w:r>
      <w:r>
        <w:rPr/>
        <w:t>、爱涛网络就其在澳大利亚符合应税条件的商品销售及服务征收</w:t>
      </w:r>
      <w:r>
        <w:rPr>
          <w:rFonts w:ascii="Times New Roman" w:hAnsi="Times New Roman" w:cs="Times New Roman" w:eastAsia="Times New Roman" w:hint="default"/>
        </w:rPr>
        <w:t>10%</w:t>
      </w:r>
      <w:r>
        <w:rPr>
          <w:rFonts w:ascii="Times New Roman" w:hAnsi="Times New Roman" w:cs="Times New Roman" w:eastAsia="Times New Roman" w:hint="default"/>
          <w:w w:val="99"/>
        </w:rPr>
        <w:t> </w:t>
      </w:r>
      <w:r>
        <w:rPr/>
        <w:t>的销售税</w:t>
      </w:r>
      <w:r>
        <w:rPr>
          <w:rFonts w:ascii="Times New Roman" w:hAnsi="Times New Roman" w:cs="Times New Roman" w:eastAsia="Times New Roman" w:hint="default"/>
        </w:rPr>
        <w:t>(GST)</w:t>
      </w:r>
      <w:r>
        <w:rPr/>
        <w:t>，同时可抵减在澳大利亚境内购买商品、接受劳务的销售税</w:t>
      </w:r>
      <w:r>
        <w:rPr>
          <w:rFonts w:ascii="Times New Roman" w:hAnsi="Times New Roman" w:cs="Times New Roman" w:eastAsia="Times New Roman" w:hint="default"/>
        </w:rPr>
        <w:t>(GST)</w:t>
      </w:r>
      <w:r>
        <w:rPr/>
        <w:t>，按抵减后余额上缴，如抵减有余可从政</w:t>
      </w:r>
      <w:r>
        <w:rPr>
          <w:spacing w:val="-23"/>
        </w:rPr>
        <w:t> </w:t>
      </w:r>
      <w:r>
        <w:rPr>
          <w:spacing w:val="-23"/>
        </w:rPr>
      </w:r>
      <w:r>
        <w:rPr/>
        <w:t>府取得税费返还。</w:t>
      </w:r>
    </w:p>
    <w:p>
      <w:pPr>
        <w:spacing w:after="0" w:line="300" w:lineRule="auto"/>
        <w:jc w:val="both"/>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七、合并财务报表项目注释" w:id="218"/>
      <w:bookmarkEnd w:id="218"/>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货币资金" w:id="219"/>
      <w:bookmarkEnd w:id="219"/>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30,351.44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38,613.04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615,393,147.21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750,667,304.48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289,958.60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413,442.36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615,713,457.25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751,119,359.88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107,590,677.28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104,070,278.85</w:t>
            </w:r>
          </w:p>
        </w:tc>
      </w:tr>
    </w:tbl>
    <w:p>
      <w:pPr>
        <w:pStyle w:val="BodyText"/>
        <w:spacing w:line="240" w:lineRule="auto" w:before="51"/>
        <w:ind w:right="0"/>
        <w:jc w:val="left"/>
      </w:pPr>
      <w:r>
        <w:rPr/>
        <w:t>其他说明</w:t>
      </w:r>
    </w:p>
    <w:p>
      <w:pPr>
        <w:pStyle w:val="BodyText"/>
        <w:spacing w:line="240" w:lineRule="auto" w:before="115"/>
        <w:ind w:left="514" w:right="0"/>
        <w:jc w:val="left"/>
      </w:pPr>
      <w:r>
        <w:rPr/>
        <w:t>其中受限制的货币资金明细如下：</w:t>
      </w: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5138"/>
        <w:gridCol w:w="2261"/>
        <w:gridCol w:w="2260"/>
      </w:tblGrid>
      <w:tr>
        <w:trPr>
          <w:trHeight w:val="347" w:hRule="exact"/>
        </w:trPr>
        <w:tc>
          <w:tcPr>
            <w:tcW w:w="51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2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723" w:right="0"/>
              <w:jc w:val="left"/>
              <w:rPr>
                <w:rFonts w:ascii="宋体" w:hAnsi="宋体" w:cs="宋体" w:eastAsia="宋体" w:hint="default"/>
                <w:sz w:val="20"/>
                <w:szCs w:val="20"/>
              </w:rPr>
            </w:pPr>
            <w:r>
              <w:rPr>
                <w:rFonts w:ascii="宋体" w:hAnsi="宋体" w:cs="宋体" w:eastAsia="宋体" w:hint="default"/>
                <w:sz w:val="20"/>
                <w:szCs w:val="20"/>
              </w:rPr>
              <w:t>年末余额</w:t>
            </w:r>
          </w:p>
        </w:tc>
        <w:tc>
          <w:tcPr>
            <w:tcW w:w="22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722" w:right="0"/>
              <w:jc w:val="left"/>
              <w:rPr>
                <w:rFonts w:ascii="宋体" w:hAnsi="宋体" w:cs="宋体" w:eastAsia="宋体" w:hint="default"/>
                <w:sz w:val="20"/>
                <w:szCs w:val="20"/>
              </w:rPr>
            </w:pPr>
            <w:r>
              <w:rPr>
                <w:rFonts w:ascii="宋体" w:hAnsi="宋体" w:cs="宋体" w:eastAsia="宋体" w:hint="default"/>
                <w:sz w:val="20"/>
                <w:szCs w:val="20"/>
              </w:rPr>
              <w:t>年初余额</w:t>
            </w:r>
          </w:p>
        </w:tc>
      </w:tr>
      <w:tr>
        <w:trPr>
          <w:trHeight w:val="347" w:hRule="exact"/>
        </w:trPr>
        <w:tc>
          <w:tcPr>
            <w:tcW w:w="5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用于担保的存款</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spacing w:val="-1"/>
                <w:sz w:val="20"/>
              </w:rPr>
              <w:t>288,585.96</w:t>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20"/>
                <w:szCs w:val="20"/>
              </w:rPr>
            </w:pPr>
            <w:r>
              <w:rPr>
                <w:rFonts w:ascii="Times New Roman"/>
                <w:spacing w:val="-1"/>
                <w:sz w:val="20"/>
              </w:rPr>
              <w:t>413,442.36</w:t>
            </w:r>
          </w:p>
        </w:tc>
      </w:tr>
      <w:tr>
        <w:trPr>
          <w:trHeight w:val="347" w:hRule="exact"/>
        </w:trPr>
        <w:tc>
          <w:tcPr>
            <w:tcW w:w="5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288,585.96</w:t>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413,442.36</w:t>
            </w:r>
          </w:p>
        </w:tc>
      </w:tr>
    </w:tbl>
    <w:p>
      <w:pPr>
        <w:pStyle w:val="BodyText"/>
        <w:spacing w:line="240" w:lineRule="auto" w:before="10"/>
        <w:ind w:left="514" w:right="0"/>
        <w:jc w:val="left"/>
      </w:pPr>
      <w:r>
        <w:rPr/>
        <w:t>注</w:t>
      </w:r>
      <w:r>
        <w:rPr>
          <w:rFonts w:ascii="Times New Roman" w:hAnsi="Times New Roman" w:cs="Times New Roman" w:eastAsia="Times New Roman" w:hint="default"/>
        </w:rPr>
        <w:t>:</w:t>
      </w:r>
      <w:r>
        <w:rPr/>
        <w:t>受限制的货币资金为存放于银行的供应商保证金和申请信用卡时用银行存款提供的保证金。</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应收票据及应收账款" w:id="220"/>
      <w:bookmarkEnd w:id="220"/>
      <w:r>
        <w:rPr>
          <w:b w:val="0"/>
          <w:bCs w:val="0"/>
        </w:rPr>
      </w:r>
      <w:r>
        <w:rPr>
          <w:rFonts w:ascii="Times New Roman" w:hAnsi="Times New Roman" w:cs="Times New Roman" w:eastAsia="Times New Roman" w:hint="default"/>
        </w:rPr>
        <w:t>2</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130,235,999.76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63,520,153.46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130,235,999.76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63,520,153.46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 应收票据" w:id="221"/>
      <w:bookmarkEnd w:id="221"/>
      <w:r>
        <w:rPr>
          <w:b w:val="0"/>
          <w:bCs w:val="0"/>
        </w:rPr>
      </w:r>
      <w:r>
        <w:rPr/>
        <w:t>（</w:t>
      </w:r>
      <w:r>
        <w:rPr>
          <w:rFonts w:ascii="Times New Roman" w:hAnsi="Times New Roman" w:cs="Times New Roman" w:eastAsia="Times New Roman" w:hint="default"/>
        </w:rPr>
        <w:t>1</w:t>
      </w:r>
      <w:r>
        <w:rPr/>
        <w:t>）</w:t>
      </w:r>
      <w:r>
        <w:rPr>
          <w:spacing w:val="86"/>
        </w:rPr>
        <w:t> </w:t>
      </w:r>
      <w:r>
        <w:rPr/>
        <w:t>应收票据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3"/>
          <w:szCs w:val="23"/>
        </w:rPr>
      </w:pPr>
    </w:p>
    <w:p>
      <w:pPr>
        <w:pStyle w:val="Heading4"/>
        <w:spacing w:line="240" w:lineRule="auto"/>
        <w:ind w:left="140" w:right="-20"/>
        <w:jc w:val="left"/>
        <w:rPr>
          <w:b w:val="0"/>
          <w:bCs w:val="0"/>
        </w:rPr>
      </w:pPr>
      <w:bookmarkStart w:name="（2）应收账款" w:id="222"/>
      <w:bookmarkEnd w:id="222"/>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0" w:right="-20"/>
        <w:jc w:val="left"/>
      </w:pPr>
      <w:r>
        <w:rPr>
          <w:rFonts w:ascii="Times New Roman" w:hAnsi="Times New Roman" w:cs="Times New Roman" w:eastAsia="Times New Roman" w:hint="default"/>
        </w:rPr>
        <w:t>1)</w:t>
      </w:r>
      <w:r>
        <w:rPr/>
        <w:t>应收账款分类披露</w:t>
      </w:r>
    </w:p>
    <w:p>
      <w:pPr>
        <w:pStyle w:val="BodyText"/>
        <w:spacing w:line="240" w:lineRule="auto" w:before="15"/>
        <w:ind w:left="0" w:right="136"/>
        <w:jc w:val="right"/>
      </w:pPr>
      <w:r>
        <w:rPr/>
        <w:br w:type="column"/>
      </w:r>
      <w:r>
        <w:rPr/>
        <w:t>二六三网络通信股份有限公司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pStyle w:val="BodyText"/>
        <w:spacing w:line="240" w:lineRule="auto"/>
        <w:ind w:left="0" w:right="136"/>
        <w:jc w:val="right"/>
      </w:pPr>
      <w:r>
        <w:rPr/>
        <w:pict>
          <v:group style="position:absolute;margin-left:70.5pt;margin-top:-49.928272pt;width:701pt;height:.1pt;mso-position-horizontal-relative:page;mso-position-vertical-relative:paragraph;z-index:1648" coordorigin="1410,-999" coordsize="14020,2">
            <v:shape style="position:absolute;left:1410;top:-999;width:14020;height:2" coordorigin="1410,-999" coordsize="14020,0" path="m1410,-999l15430,-999e" filled="false" stroked="true" strokeweight=".72pt" strokecolor="#000000">
              <v:path arrowok="t"/>
            </v:shape>
            <w10:wrap type="none"/>
          </v:group>
        </w:pict>
      </w:r>
      <w:r>
        <w:rPr/>
        <w:t>单位： 元</w:t>
      </w:r>
    </w:p>
    <w:p>
      <w:pPr>
        <w:spacing w:after="0" w:line="240" w:lineRule="auto"/>
        <w:jc w:val="right"/>
        <w:sectPr>
          <w:headerReference w:type="default" r:id="rId28"/>
          <w:footerReference w:type="default" r:id="rId29"/>
          <w:pgSz w:w="16840" w:h="11910" w:orient="landscape"/>
          <w:pgMar w:header="0" w:footer="0" w:top="800" w:bottom="0" w:left="1300" w:right="1300"/>
          <w:cols w:num="2" w:equalWidth="0">
            <w:col w:w="1731" w:space="8179"/>
            <w:col w:w="4330"/>
          </w:cols>
        </w:sectPr>
      </w:pPr>
    </w:p>
    <w:p>
      <w:pPr>
        <w:spacing w:line="240" w:lineRule="auto" w:before="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343"/>
        <w:gridCol w:w="1193"/>
        <w:gridCol w:w="1087"/>
        <w:gridCol w:w="1091"/>
        <w:gridCol w:w="1087"/>
        <w:gridCol w:w="1181"/>
        <w:gridCol w:w="1092"/>
        <w:gridCol w:w="1088"/>
        <w:gridCol w:w="1164"/>
        <w:gridCol w:w="1338"/>
        <w:gridCol w:w="1338"/>
      </w:tblGrid>
      <w:tr>
        <w:trPr>
          <w:trHeight w:val="402" w:hRule="exact"/>
        </w:trPr>
        <w:tc>
          <w:tcPr>
            <w:tcW w:w="2343" w:type="dxa"/>
            <w:tcBorders>
              <w:top w:val="single" w:sz="4" w:space="0" w:color="000000"/>
              <w:left w:val="single" w:sz="4" w:space="0" w:color="000000"/>
              <w:bottom w:val="nil" w:sz="6" w:space="0" w:color="auto"/>
              <w:right w:val="single" w:sz="4" w:space="0" w:color="000000"/>
            </w:tcBorders>
            <w:shd w:val="clear" w:color="auto" w:fill="D2D2D2"/>
          </w:tcPr>
          <w:p>
            <w:pPr/>
          </w:p>
        </w:tc>
        <w:tc>
          <w:tcPr>
            <w:tcW w:w="564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2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23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2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7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1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3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343" w:type="dxa"/>
            <w:vMerge/>
            <w:tcBorders>
              <w:left w:val="single" w:sz="4" w:space="0" w:color="000000"/>
              <w:bottom w:val="nil" w:sz="6" w:space="0" w:color="auto"/>
              <w:right w:val="single" w:sz="4" w:space="0" w:color="000000"/>
            </w:tcBorders>
            <w:shd w:val="clear" w:color="auto" w:fill="D2D2D2"/>
          </w:tcPr>
          <w:p>
            <w:pPr/>
          </w:p>
        </w:tc>
        <w:tc>
          <w:tcPr>
            <w:tcW w:w="2281" w:type="dxa"/>
            <w:gridSpan w:val="2"/>
            <w:vMerge/>
            <w:tcBorders>
              <w:left w:val="single" w:sz="4" w:space="0" w:color="000000"/>
              <w:bottom w:val="single" w:sz="4" w:space="0" w:color="000000"/>
              <w:right w:val="single" w:sz="4" w:space="0" w:color="000000"/>
            </w:tcBorders>
            <w:shd w:val="clear" w:color="auto" w:fill="D2D2D2"/>
          </w:tcPr>
          <w:p>
            <w:pPr/>
          </w:p>
        </w:tc>
        <w:tc>
          <w:tcPr>
            <w:tcW w:w="2178" w:type="dxa"/>
            <w:gridSpan w:val="2"/>
            <w:vMerge/>
            <w:tcBorders>
              <w:left w:val="single" w:sz="4" w:space="0" w:color="000000"/>
              <w:bottom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180" w:type="dxa"/>
            <w:gridSpan w:val="2"/>
            <w:vMerge/>
            <w:tcBorders>
              <w:left w:val="single" w:sz="4" w:space="0" w:color="000000"/>
              <w:bottom w:val="single" w:sz="4" w:space="0" w:color="000000"/>
              <w:right w:val="single" w:sz="4" w:space="0" w:color="000000"/>
            </w:tcBorders>
            <w:shd w:val="clear" w:color="auto" w:fill="D2D2D2"/>
          </w:tcPr>
          <w:p>
            <w:pPr/>
          </w:p>
        </w:tc>
        <w:tc>
          <w:tcPr>
            <w:tcW w:w="2502" w:type="dxa"/>
            <w:gridSpan w:val="2"/>
            <w:vMerge/>
            <w:tcBorders>
              <w:left w:val="single" w:sz="4" w:space="0" w:color="000000"/>
              <w:bottom w:val="single" w:sz="4" w:space="0" w:color="000000"/>
              <w:right w:val="single" w:sz="4" w:space="0" w:color="000000"/>
            </w:tcBorders>
            <w:shd w:val="clear" w:color="auto" w:fill="D2D2D2"/>
          </w:tcPr>
          <w:p>
            <w:pPr/>
          </w:p>
        </w:tc>
        <w:tc>
          <w:tcPr>
            <w:tcW w:w="13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0" w:hRule="exact"/>
        </w:trPr>
        <w:tc>
          <w:tcPr>
            <w:tcW w:w="2343" w:type="dxa"/>
            <w:vMerge w:val="restart"/>
            <w:tcBorders>
              <w:top w:val="nil" w:sz="6" w:space="0" w:color="auto"/>
              <w:left w:val="single" w:sz="4" w:space="0" w:color="000000"/>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5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6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7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81" w:type="dxa"/>
            <w:vMerge/>
            <w:tcBorders>
              <w:left w:val="single" w:sz="4" w:space="0" w:color="000000"/>
              <w:bottom w:val="nil" w:sz="6" w:space="0" w:color="auto"/>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5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3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343"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087"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087"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338" w:type="dxa"/>
            <w:vMerge/>
            <w:tcBorders>
              <w:left w:val="single" w:sz="4" w:space="0" w:color="000000"/>
              <w:bottom w:val="single" w:sz="4" w:space="0" w:color="000000"/>
              <w:right w:val="single" w:sz="4" w:space="0" w:color="000000"/>
            </w:tcBorders>
            <w:shd w:val="clear" w:color="auto" w:fill="D2D2D2"/>
          </w:tcPr>
          <w:p>
            <w:pPr/>
          </w:p>
        </w:tc>
        <w:tc>
          <w:tcPr>
            <w:tcW w:w="133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9"/>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账准备的应收账款</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30,798,778.83</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21.26%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4,932,476.14</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25,866,302.69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6,786,420.12</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339,321.03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6,447,099.09</w:t>
            </w:r>
          </w:p>
        </w:tc>
      </w:tr>
      <w:tr>
        <w:trPr>
          <w:trHeight w:val="714" w:hRule="exact"/>
        </w:trPr>
        <w:tc>
          <w:tcPr>
            <w:tcW w:w="2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9"/>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账准备的应收账款</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102,849,878.16</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70.97%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8,544,351.15</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94,305,527.01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61,930,729.52</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86.93%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5,582,116.40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56,348,613.12</w:t>
            </w:r>
          </w:p>
        </w:tc>
      </w:tr>
      <w:tr>
        <w:trPr>
          <w:trHeight w:val="714" w:hRule="exact"/>
        </w:trPr>
        <w:tc>
          <w:tcPr>
            <w:tcW w:w="2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9"/>
              <w:jc w:val="left"/>
              <w:rPr>
                <w:rFonts w:ascii="宋体" w:hAnsi="宋体" w:cs="宋体" w:eastAsia="宋体" w:hint="default"/>
                <w:sz w:val="18"/>
                <w:szCs w:val="18"/>
              </w:rPr>
            </w:pPr>
            <w:r>
              <w:rPr>
                <w:rFonts w:ascii="宋体" w:hAnsi="宋体" w:cs="宋体" w:eastAsia="宋体" w:hint="default"/>
                <w:sz w:val="18"/>
                <w:szCs w:val="18"/>
              </w:rPr>
              <w:t>单项金额不重大但单独计提 坏账准备的应收账款</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11,251,858.76</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1,187,688.70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10,064,170.06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2,519,590.81</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1,795,149.56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71.25%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724,441.25</w:t>
            </w:r>
          </w:p>
        </w:tc>
      </w:tr>
      <w:tr>
        <w:trPr>
          <w:trHeight w:val="402" w:hRule="exact"/>
        </w:trPr>
        <w:tc>
          <w:tcPr>
            <w:tcW w:w="2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144,900,515.75</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14,664,515.99</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130,235,999.76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71,236,740.45</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7,716,586.99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63,520,153.46</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1160" w:left="1300" w:right="1300"/>
        </w:sectPr>
      </w:pPr>
    </w:p>
    <w:p>
      <w:pPr>
        <w:pStyle w:val="BodyText"/>
        <w:spacing w:line="240" w:lineRule="auto" w:before="51"/>
        <w:ind w:left="140" w:right="-20"/>
        <w:jc w:val="left"/>
      </w:pPr>
      <w:r>
        <w:rPr/>
        <w:t>期末单项金额重大并单项计提坏账准备的应收账款：</w:t>
      </w:r>
    </w:p>
    <w:p>
      <w:pPr>
        <w:pStyle w:val="BodyText"/>
        <w:spacing w:line="240" w:lineRule="auto" w:before="117"/>
        <w:ind w:left="14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40" w:right="0"/>
        <w:jc w:val="left"/>
      </w:pPr>
      <w:r>
        <w:rPr/>
        <w:t>单位： 元</w:t>
      </w:r>
    </w:p>
    <w:p>
      <w:pPr>
        <w:spacing w:after="0" w:line="240" w:lineRule="auto"/>
        <w:jc w:val="left"/>
        <w:sectPr>
          <w:type w:val="continuous"/>
          <w:pgSz w:w="16840" w:h="11910" w:orient="landscape"/>
          <w:pgMar w:top="1060" w:bottom="1160" w:left="1300" w:right="1300"/>
          <w:cols w:num="2" w:equalWidth="0">
            <w:col w:w="4281" w:space="8140"/>
            <w:col w:w="1819"/>
          </w:cols>
        </w:sectPr>
      </w:pP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799"/>
        <w:gridCol w:w="2807"/>
        <w:gridCol w:w="2802"/>
        <w:gridCol w:w="2803"/>
        <w:gridCol w:w="2804"/>
      </w:tblGrid>
      <w:tr>
        <w:trPr>
          <w:trHeight w:val="402" w:hRule="exact"/>
        </w:trPr>
        <w:tc>
          <w:tcPr>
            <w:tcW w:w="2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84"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1121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2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中国联合网络通信股份有限公司</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27,227,687.04</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1,361,384.35</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超过信用期</w:t>
            </w:r>
          </w:p>
        </w:tc>
      </w:tr>
      <w:tr>
        <w:trPr>
          <w:trHeight w:val="40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乐视云计算有限公司</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3,571,091.79</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3,571,091.79</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预期无法收回</w:t>
            </w:r>
          </w:p>
        </w:tc>
      </w:tr>
      <w:tr>
        <w:trPr>
          <w:trHeight w:val="403"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30,798,778.83</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4,932,476.14</w:t>
            </w:r>
          </w:p>
        </w:tc>
        <w:tc>
          <w:tcPr>
            <w:tcW w:w="2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40" w:right="3908"/>
        <w:jc w:val="left"/>
      </w:pPr>
      <w:r>
        <w:rPr/>
        <w:t>组合中，按账龄分析法计提坏账准备的应收账款：</w:t>
      </w:r>
    </w:p>
    <w:p>
      <w:pPr>
        <w:pStyle w:val="BodyText"/>
        <w:spacing w:line="240" w:lineRule="auto" w:before="116"/>
        <w:ind w:left="140" w:right="39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spacing w:before="76"/>
        <w:ind w:left="6445" w:right="7072" w:firstLine="0"/>
        <w:jc w:val="center"/>
        <w:rPr>
          <w:rFonts w:ascii="Times New Roman" w:hAnsi="Times New Roman" w:cs="Times New Roman" w:eastAsia="Times New Roman" w:hint="default"/>
          <w:sz w:val="18"/>
          <w:szCs w:val="18"/>
        </w:rPr>
      </w:pPr>
      <w:r>
        <w:rPr>
          <w:rFonts w:ascii="Times New Roman"/>
          <w:b/>
          <w:sz w:val="18"/>
        </w:rPr>
        <w:t>110 </w:t>
      </w:r>
      <w:r>
        <w:rPr>
          <w:rFonts w:ascii="Times New Roman"/>
          <w:sz w:val="18"/>
        </w:rPr>
        <w:t>/</w:t>
      </w:r>
      <w:r>
        <w:rPr>
          <w:rFonts w:ascii="Times New Roman"/>
          <w:spacing w:val="1"/>
          <w:sz w:val="18"/>
        </w:rPr>
        <w:t> </w:t>
      </w:r>
      <w:r>
        <w:rPr>
          <w:rFonts w:ascii="Times New Roman"/>
          <w:b/>
          <w:sz w:val="18"/>
        </w:rPr>
        <w:t>178</w:t>
      </w:r>
      <w:r>
        <w:rPr>
          <w:rFonts w:ascii="Times New Roman"/>
          <w:sz w:val="18"/>
        </w:rPr>
      </w:r>
    </w:p>
    <w:p>
      <w:pPr>
        <w:spacing w:line="240" w:lineRule="auto" w:before="0"/>
        <w:rPr>
          <w:rFonts w:ascii="Times New Roman" w:hAnsi="Times New Roman" w:cs="Times New Roman" w:eastAsia="Times New Roman" w:hint="default"/>
          <w:b/>
          <w:bCs/>
          <w:sz w:val="20"/>
          <w:szCs w:val="20"/>
        </w:rPr>
      </w:pPr>
    </w:p>
    <w:p>
      <w:pPr>
        <w:spacing w:line="240" w:lineRule="auto" w:before="3"/>
        <w:rPr>
          <w:rFonts w:ascii="Times New Roman" w:hAnsi="Times New Roman" w:cs="Times New Roman" w:eastAsia="Times New Roman" w:hint="default"/>
          <w:b/>
          <w:bCs/>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300"/>
        </w:sectPr>
      </w:pPr>
    </w:p>
    <w:p>
      <w:pPr>
        <w:spacing w:line="240" w:lineRule="auto" w:before="0"/>
        <w:rPr>
          <w:rFonts w:ascii="Times New Roman" w:hAnsi="Times New Roman" w:cs="Times New Roman" w:eastAsia="Times New Roman" w:hint="default"/>
          <w:b/>
          <w:bCs/>
          <w:sz w:val="25"/>
          <w:szCs w:val="25"/>
        </w:rPr>
      </w:pPr>
    </w:p>
    <w:p>
      <w:pPr>
        <w:pStyle w:val="BodyText"/>
        <w:spacing w:line="240" w:lineRule="auto" w:before="44"/>
        <w:ind w:right="0"/>
        <w:jc w:val="left"/>
      </w:pPr>
      <w:r>
        <w:rPr/>
        <w:t>组合中，采用余额百分比法计提坏账准备的应收账款：</w:t>
      </w:r>
    </w:p>
    <w:p>
      <w:pPr>
        <w:pStyle w:val="BodyText"/>
        <w:spacing w:line="348" w:lineRule="auto" w:before="11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企业客户按账龄计提坏账准备的应收账款</w:t>
      </w:r>
    </w:p>
    <w:tbl>
      <w:tblPr>
        <w:tblW w:w="0" w:type="auto"/>
        <w:jc w:val="left"/>
        <w:tblInd w:w="137" w:type="dxa"/>
        <w:tblLayout w:type="fixed"/>
        <w:tblCellMar>
          <w:top w:w="0" w:type="dxa"/>
          <w:left w:w="0" w:type="dxa"/>
          <w:bottom w:w="0" w:type="dxa"/>
          <w:right w:w="0" w:type="dxa"/>
        </w:tblCellMar>
        <w:tblLook w:val="01E0"/>
      </w:tblPr>
      <w:tblGrid>
        <w:gridCol w:w="884"/>
        <w:gridCol w:w="1200"/>
        <w:gridCol w:w="1028"/>
        <w:gridCol w:w="1077"/>
        <w:gridCol w:w="1122"/>
        <w:gridCol w:w="1122"/>
        <w:gridCol w:w="1028"/>
        <w:gridCol w:w="1076"/>
        <w:gridCol w:w="1122"/>
      </w:tblGrid>
      <w:tr>
        <w:trPr>
          <w:trHeight w:val="347" w:hRule="exact"/>
        </w:trPr>
        <w:tc>
          <w:tcPr>
            <w:tcW w:w="88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
              <w:ind w:left="25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427" w:type="dxa"/>
            <w:gridSpan w:val="4"/>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4348" w:type="dxa"/>
            <w:gridSpan w:val="4"/>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884" w:type="dxa"/>
            <w:vMerge/>
            <w:tcBorders>
              <w:left w:val="single" w:sz="6" w:space="0" w:color="000000"/>
              <w:bottom w:val="single" w:sz="6" w:space="0" w:color="000000"/>
              <w:right w:val="single" w:sz="6" w:space="0" w:color="000000"/>
            </w:tcBorders>
            <w:shd w:val="clear" w:color="auto" w:fill="D9D9D9"/>
          </w:tcPr>
          <w:p>
            <w:pPr/>
          </w:p>
        </w:tc>
        <w:tc>
          <w:tcPr>
            <w:tcW w:w="12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left="14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35"/>
              <w:jc w:val="righ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1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left="19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left="1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left="14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35"/>
              <w:jc w:val="righ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1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left="19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7" w:hRule="exact"/>
        </w:trPr>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个月以内</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pacing w:val="-1"/>
                <w:sz w:val="18"/>
              </w:rPr>
              <w:t>68,838,651.17</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pacing w:val="-1"/>
                <w:sz w:val="18"/>
              </w:rPr>
              <w:t>68,838,651.17</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color w:val="0D0D0D"/>
                <w:spacing w:val="-1"/>
                <w:sz w:val="18"/>
              </w:rPr>
              <w:t>34,838,265.94</w:t>
            </w:r>
            <w:r>
              <w:rPr>
                <w:rFonts w:ascii="Times New Roman"/>
                <w:spacing w:val="-1"/>
                <w:sz w:val="18"/>
              </w:rPr>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color w:val="0D0D0D"/>
                <w:spacing w:val="-1"/>
                <w:sz w:val="18"/>
              </w:rPr>
              <w:t>34,838,265.94</w:t>
            </w:r>
            <w:r>
              <w:rPr>
                <w:rFonts w:ascii="Times New Roman"/>
                <w:spacing w:val="-1"/>
                <w:sz w:val="18"/>
              </w:rPr>
            </w:r>
          </w:p>
        </w:tc>
      </w:tr>
      <w:tr>
        <w:trPr>
          <w:trHeight w:val="348" w:hRule="exact"/>
        </w:trPr>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宋体" w:hAnsi="宋体" w:cs="宋体" w:eastAsia="宋体" w:hint="default"/>
                <w:sz w:val="18"/>
                <w:szCs w:val="18"/>
              </w:rPr>
              <w:t>个月</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pacing w:val="-1"/>
                <w:sz w:val="18"/>
              </w:rPr>
              <w:t>13,997,338.94</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pacing w:val="-1"/>
                <w:sz w:val="18"/>
              </w:rPr>
              <w:t>1,399,733.91</w:t>
            </w:r>
          </w:p>
        </w:tc>
        <w:tc>
          <w:tcPr>
            <w:tcW w:w="1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18"/>
                <w:szCs w:val="18"/>
              </w:rPr>
            </w:pPr>
            <w:r>
              <w:rPr>
                <w:rFonts w:ascii="Times New Roman"/>
                <w:color w:val="0D0D0D"/>
                <w:sz w:val="18"/>
              </w:rPr>
              <w:t>10.00</w:t>
            </w:r>
            <w:r>
              <w:rPr>
                <w:rFonts w:ascii="Times New Roman"/>
                <w:sz w:val="18"/>
              </w:rPr>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pacing w:val="-1"/>
                <w:sz w:val="18"/>
              </w:rPr>
              <w:t>12,597,605.03</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color w:val="0D0D0D"/>
                <w:spacing w:val="-1"/>
                <w:sz w:val="18"/>
              </w:rPr>
              <w:t>9,396,852.30</w:t>
            </w:r>
            <w:r>
              <w:rPr>
                <w:rFonts w:ascii="Times New Roman"/>
                <w:spacing w:val="-1"/>
                <w:sz w:val="18"/>
              </w:rPr>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18"/>
                <w:szCs w:val="18"/>
              </w:rPr>
            </w:pPr>
            <w:r>
              <w:rPr>
                <w:rFonts w:ascii="Times New Roman"/>
                <w:color w:val="0D0D0D"/>
                <w:sz w:val="18"/>
              </w:rPr>
              <w:t>939,685.23</w:t>
            </w:r>
            <w:r>
              <w:rPr>
                <w:rFonts w:ascii="Times New Roman"/>
                <w:sz w:val="18"/>
              </w:rPr>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color w:val="0D0D0D"/>
                <w:sz w:val="18"/>
              </w:rPr>
              <w:t>10.00</w:t>
            </w:r>
            <w:r>
              <w:rPr>
                <w:rFonts w:ascii="Times New Roman"/>
                <w:sz w:val="18"/>
              </w:rPr>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color w:val="0D0D0D"/>
                <w:spacing w:val="-1"/>
                <w:sz w:val="18"/>
              </w:rPr>
              <w:t>8,457,167.07</w:t>
            </w:r>
            <w:r>
              <w:rPr>
                <w:rFonts w:ascii="Times New Roman"/>
                <w:spacing w:val="-1"/>
                <w:sz w:val="18"/>
              </w:rPr>
            </w:r>
          </w:p>
        </w:tc>
      </w:tr>
      <w:tr>
        <w:trPr>
          <w:trHeight w:val="347" w:hRule="exact"/>
        </w:trPr>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18"/>
                <w:szCs w:val="18"/>
              </w:rPr>
            </w:pPr>
            <w:r>
              <w:rPr>
                <w:rFonts w:ascii="Times New Roman"/>
                <w:spacing w:val="-1"/>
                <w:sz w:val="18"/>
              </w:rPr>
              <w:t>9,028,478.07</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18"/>
                <w:szCs w:val="18"/>
              </w:rPr>
            </w:pPr>
            <w:r>
              <w:rPr>
                <w:rFonts w:ascii="Times New Roman"/>
                <w:spacing w:val="-1"/>
                <w:sz w:val="18"/>
              </w:rPr>
              <w:t>2,708,543.42</w:t>
            </w:r>
          </w:p>
        </w:tc>
        <w:tc>
          <w:tcPr>
            <w:tcW w:w="1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18"/>
                <w:szCs w:val="18"/>
              </w:rPr>
            </w:pPr>
            <w:r>
              <w:rPr>
                <w:rFonts w:ascii="Times New Roman"/>
                <w:color w:val="0D0D0D"/>
                <w:sz w:val="18"/>
              </w:rPr>
              <w:t>30.00</w:t>
            </w:r>
            <w:r>
              <w:rPr>
                <w:rFonts w:ascii="Times New Roman"/>
                <w:sz w:val="18"/>
              </w:rPr>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18"/>
                <w:szCs w:val="18"/>
              </w:rPr>
            </w:pPr>
            <w:r>
              <w:rPr>
                <w:rFonts w:ascii="Times New Roman"/>
                <w:spacing w:val="-1"/>
                <w:sz w:val="18"/>
              </w:rPr>
              <w:t>6,319,934.65</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18"/>
                <w:szCs w:val="18"/>
              </w:rPr>
            </w:pPr>
            <w:r>
              <w:rPr>
                <w:rFonts w:ascii="Times New Roman"/>
                <w:color w:val="0D0D0D"/>
                <w:spacing w:val="-1"/>
                <w:sz w:val="18"/>
              </w:rPr>
              <w:t>6,798,209.53</w:t>
            </w:r>
            <w:r>
              <w:rPr>
                <w:rFonts w:ascii="Times New Roman"/>
                <w:spacing w:val="-1"/>
                <w:sz w:val="18"/>
              </w:rPr>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18"/>
                <w:szCs w:val="18"/>
              </w:rPr>
            </w:pPr>
            <w:r>
              <w:rPr>
                <w:rFonts w:ascii="Times New Roman"/>
                <w:color w:val="0D0D0D"/>
                <w:spacing w:val="-1"/>
                <w:sz w:val="18"/>
              </w:rPr>
              <w:t>2,039,462.86</w:t>
            </w:r>
            <w:r>
              <w:rPr>
                <w:rFonts w:ascii="Times New Roman"/>
                <w:spacing w:val="-1"/>
                <w:sz w:val="18"/>
              </w:rPr>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18"/>
                <w:szCs w:val="18"/>
              </w:rPr>
            </w:pPr>
            <w:r>
              <w:rPr>
                <w:rFonts w:ascii="Times New Roman"/>
                <w:color w:val="0D0D0D"/>
                <w:sz w:val="18"/>
              </w:rPr>
              <w:t>30.00</w:t>
            </w:r>
            <w:r>
              <w:rPr>
                <w:rFonts w:ascii="Times New Roman"/>
                <w:sz w:val="18"/>
              </w:rPr>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18"/>
                <w:szCs w:val="18"/>
              </w:rPr>
            </w:pPr>
            <w:r>
              <w:rPr>
                <w:rFonts w:ascii="Times New Roman"/>
                <w:color w:val="0D0D0D"/>
                <w:spacing w:val="-1"/>
                <w:sz w:val="18"/>
              </w:rPr>
              <w:t>4,758,746.67</w:t>
            </w:r>
            <w:r>
              <w:rPr>
                <w:rFonts w:ascii="Times New Roman"/>
                <w:spacing w:val="-1"/>
                <w:sz w:val="18"/>
              </w:rPr>
            </w:r>
          </w:p>
        </w:tc>
      </w:tr>
      <w:tr>
        <w:trPr>
          <w:trHeight w:val="347" w:hRule="exact"/>
        </w:trPr>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pacing w:val="-1"/>
                <w:sz w:val="18"/>
              </w:rPr>
              <w:t>3,548,628.23</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pacing w:val="-1"/>
                <w:sz w:val="18"/>
              </w:rPr>
              <w:t>1,774,314.13</w:t>
            </w:r>
          </w:p>
        </w:tc>
        <w:tc>
          <w:tcPr>
            <w:tcW w:w="1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18"/>
                <w:szCs w:val="18"/>
              </w:rPr>
            </w:pPr>
            <w:r>
              <w:rPr>
                <w:rFonts w:ascii="Times New Roman"/>
                <w:color w:val="0D0D0D"/>
                <w:sz w:val="18"/>
              </w:rPr>
              <w:t>50.00</w:t>
            </w:r>
            <w:r>
              <w:rPr>
                <w:rFonts w:ascii="Times New Roman"/>
                <w:sz w:val="18"/>
              </w:rPr>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pacing w:val="-1"/>
                <w:sz w:val="18"/>
              </w:rPr>
              <w:t>1,774,314.10</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color w:val="0D0D0D"/>
                <w:spacing w:val="-1"/>
                <w:sz w:val="18"/>
              </w:rPr>
              <w:t>3,598,893.59</w:t>
            </w:r>
            <w:r>
              <w:rPr>
                <w:rFonts w:ascii="Times New Roman"/>
                <w:spacing w:val="-1"/>
                <w:sz w:val="18"/>
              </w:rPr>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18"/>
                <w:szCs w:val="18"/>
              </w:rPr>
            </w:pPr>
            <w:r>
              <w:rPr>
                <w:rFonts w:ascii="Times New Roman"/>
                <w:color w:val="0D0D0D"/>
                <w:spacing w:val="-1"/>
                <w:sz w:val="18"/>
              </w:rPr>
              <w:t>1,799,446.80</w:t>
            </w:r>
            <w:r>
              <w:rPr>
                <w:rFonts w:ascii="Times New Roman"/>
                <w:spacing w:val="-1"/>
                <w:sz w:val="18"/>
              </w:rPr>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color w:val="0D0D0D"/>
                <w:sz w:val="18"/>
              </w:rPr>
              <w:t>50.00</w:t>
            </w:r>
            <w:r>
              <w:rPr>
                <w:rFonts w:ascii="Times New Roman"/>
                <w:sz w:val="18"/>
              </w:rPr>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color w:val="0D0D0D"/>
                <w:spacing w:val="-1"/>
                <w:sz w:val="18"/>
              </w:rPr>
              <w:t>1,799,446.79</w:t>
            </w:r>
            <w:r>
              <w:rPr>
                <w:rFonts w:ascii="Times New Roman"/>
                <w:spacing w:val="-1"/>
                <w:sz w:val="18"/>
              </w:rPr>
            </w:r>
          </w:p>
        </w:tc>
      </w:tr>
      <w:tr>
        <w:trPr>
          <w:trHeight w:val="347" w:hRule="exact"/>
        </w:trPr>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pacing w:val="-1"/>
                <w:sz w:val="18"/>
              </w:rPr>
              <w:t>2,411,338.95</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pacing w:val="-1"/>
                <w:sz w:val="18"/>
              </w:rPr>
              <w:t>2,411,338.95</w:t>
            </w:r>
          </w:p>
        </w:tc>
        <w:tc>
          <w:tcPr>
            <w:tcW w:w="1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color w:val="0D0D0D"/>
                <w:sz w:val="18"/>
              </w:rPr>
              <w:t>100.00</w:t>
            </w:r>
            <w:r>
              <w:rPr>
                <w:rFonts w:ascii="Times New Roman"/>
                <w:sz w:val="18"/>
              </w:rPr>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18"/>
                <w:szCs w:val="18"/>
              </w:rPr>
            </w:pPr>
            <w:r>
              <w:rPr>
                <w:rFonts w:ascii="Times New Roman"/>
                <w:color w:val="0D0D0D"/>
                <w:sz w:val="18"/>
              </w:rPr>
              <w:t>478,976.91</w:t>
            </w:r>
            <w:r>
              <w:rPr>
                <w:rFonts w:ascii="Times New Roman"/>
                <w:sz w:val="18"/>
              </w:rPr>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18"/>
                <w:szCs w:val="18"/>
              </w:rPr>
            </w:pPr>
            <w:r>
              <w:rPr>
                <w:rFonts w:ascii="Times New Roman"/>
                <w:color w:val="0D0D0D"/>
                <w:sz w:val="18"/>
              </w:rPr>
              <w:t>478,976.91</w:t>
            </w:r>
            <w:r>
              <w:rPr>
                <w:rFonts w:ascii="Times New Roman"/>
                <w:sz w:val="18"/>
              </w:rPr>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color w:val="0D0D0D"/>
                <w:sz w:val="18"/>
              </w:rPr>
              <w:t>100.00</w:t>
            </w:r>
            <w:r>
              <w:rPr>
                <w:rFonts w:ascii="Times New Roman"/>
                <w:sz w:val="18"/>
              </w:rPr>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r>
      <w:tr>
        <w:trPr>
          <w:trHeight w:val="348" w:hRule="exact"/>
        </w:trPr>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pacing w:val="-1"/>
                <w:sz w:val="18"/>
              </w:rPr>
              <w:t>97,824,435.36</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pacing w:val="-1"/>
                <w:sz w:val="18"/>
              </w:rPr>
              <w:t>8,293,930.41</w:t>
            </w:r>
          </w:p>
        </w:tc>
        <w:tc>
          <w:tcPr>
            <w:tcW w:w="1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18"/>
                <w:szCs w:val="18"/>
              </w:rPr>
            </w:pPr>
            <w:r>
              <w:rPr>
                <w:rFonts w:ascii="Times New Roman"/>
                <w:sz w:val="18"/>
              </w:rPr>
              <w:t>8.48</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pacing w:val="-1"/>
                <w:sz w:val="18"/>
              </w:rPr>
              <w:t>89,530,504.95</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color w:val="0D0D0D"/>
                <w:spacing w:val="-1"/>
                <w:sz w:val="18"/>
              </w:rPr>
              <w:t>55,111,198.27</w:t>
            </w:r>
            <w:r>
              <w:rPr>
                <w:rFonts w:ascii="Times New Roman"/>
                <w:spacing w:val="-1"/>
                <w:sz w:val="18"/>
              </w:rPr>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18"/>
                <w:szCs w:val="18"/>
              </w:rPr>
            </w:pPr>
            <w:r>
              <w:rPr>
                <w:rFonts w:ascii="Times New Roman"/>
                <w:color w:val="0D0D0D"/>
                <w:spacing w:val="-1"/>
                <w:sz w:val="18"/>
              </w:rPr>
              <w:t>5,257,571.80</w:t>
            </w:r>
            <w:r>
              <w:rPr>
                <w:rFonts w:ascii="Times New Roman"/>
                <w:spacing w:val="-1"/>
                <w:sz w:val="18"/>
              </w:rPr>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color w:val="0D0D0D"/>
                <w:sz w:val="18"/>
              </w:rPr>
              <w:t>9.54</w:t>
            </w:r>
            <w:r>
              <w:rPr>
                <w:rFonts w:ascii="Times New Roman"/>
                <w:sz w:val="18"/>
              </w:rPr>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color w:val="0D0D0D"/>
                <w:spacing w:val="-1"/>
                <w:sz w:val="18"/>
              </w:rPr>
              <w:t>49,853,626.47</w:t>
            </w:r>
            <w:r>
              <w:rPr>
                <w:rFonts w:ascii="Times New Roman"/>
                <w:spacing w:val="-1"/>
                <w:sz w:val="18"/>
              </w:rPr>
            </w:r>
          </w:p>
        </w:tc>
      </w:tr>
    </w:tbl>
    <w:p>
      <w:pPr>
        <w:pStyle w:val="BodyText"/>
        <w:spacing w:line="231" w:lineRule="exact"/>
        <w:ind w:right="0"/>
        <w:jc w:val="left"/>
      </w:pPr>
      <w:r>
        <w:rPr/>
        <w:t>个人客户按账龄计提坏账准备的应收账款</w:t>
      </w: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935"/>
        <w:gridCol w:w="1100"/>
        <w:gridCol w:w="1010"/>
        <w:gridCol w:w="1030"/>
        <w:gridCol w:w="1118"/>
        <w:gridCol w:w="1072"/>
        <w:gridCol w:w="1098"/>
        <w:gridCol w:w="1100"/>
        <w:gridCol w:w="1194"/>
      </w:tblGrid>
      <w:tr>
        <w:trPr>
          <w:trHeight w:val="347" w:hRule="exact"/>
        </w:trPr>
        <w:tc>
          <w:tcPr>
            <w:tcW w:w="935"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21"/>
              <w:ind w:left="279"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259" w:type="dxa"/>
            <w:gridSpan w:val="4"/>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4464" w:type="dxa"/>
            <w:gridSpan w:val="4"/>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935" w:type="dxa"/>
            <w:vMerge/>
            <w:tcBorders>
              <w:left w:val="single" w:sz="6" w:space="0" w:color="000000"/>
              <w:bottom w:val="single" w:sz="6" w:space="0" w:color="000000"/>
              <w:right w:val="single" w:sz="6" w:space="0" w:color="000000"/>
            </w:tcBorders>
            <w:shd w:val="clear" w:color="auto" w:fill="D9D9D9"/>
          </w:tcPr>
          <w:p>
            <w:pPr/>
          </w:p>
        </w:tc>
        <w:tc>
          <w:tcPr>
            <w:tcW w:w="11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1"/>
              <w:jc w:val="righ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1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47"/>
              <w:jc w:val="righ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1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2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7"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个月以内</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4,535,836.82</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4,535,836.82</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color w:val="0D0D0D"/>
                <w:spacing w:val="-1"/>
                <w:sz w:val="18"/>
              </w:rPr>
              <w:t>6,228,083.47</w:t>
            </w:r>
            <w:r>
              <w:rPr>
                <w:rFonts w:ascii="Times New Roman"/>
                <w:spacing w:val="-1"/>
                <w:sz w:val="18"/>
              </w:rPr>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color w:val="0D0D0D"/>
                <w:spacing w:val="-1"/>
                <w:sz w:val="18"/>
              </w:rPr>
              <w:t>6,228,083.47</w:t>
            </w:r>
            <w:r>
              <w:rPr>
                <w:rFonts w:ascii="Times New Roman"/>
                <w:spacing w:val="-1"/>
                <w:sz w:val="18"/>
              </w:rPr>
            </w:r>
          </w:p>
        </w:tc>
      </w:tr>
      <w:tr>
        <w:trPr>
          <w:trHeight w:val="348"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宋体" w:hAnsi="宋体" w:cs="宋体" w:eastAsia="宋体" w:hint="default"/>
                <w:sz w:val="18"/>
                <w:szCs w:val="18"/>
              </w:rPr>
              <w:t>个月</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303,456.57</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91,036.97</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30.00</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212,419.60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color w:val="0D0D0D"/>
                <w:sz w:val="18"/>
              </w:rPr>
              <w:t>307,059.15</w:t>
            </w:r>
            <w:r>
              <w:rPr>
                <w:rFonts w:ascii="Times New Roman"/>
                <w:sz w:val="18"/>
              </w:rPr>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color w:val="0D0D0D"/>
                <w:sz w:val="18"/>
              </w:rPr>
              <w:t>92,117.75</w:t>
            </w:r>
            <w:r>
              <w:rPr>
                <w:rFonts w:ascii="Times New Roman"/>
                <w:sz w:val="18"/>
              </w:rPr>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color w:val="0D0D0D"/>
                <w:sz w:val="18"/>
              </w:rPr>
              <w:t>30.00</w:t>
            </w:r>
            <w:r>
              <w:rPr>
                <w:rFonts w:ascii="Times New Roman"/>
                <w:sz w:val="18"/>
              </w:rPr>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color w:val="0D0D0D"/>
                <w:sz w:val="18"/>
              </w:rPr>
              <w:t>214,941.40</w:t>
            </w:r>
            <w:r>
              <w:rPr>
                <w:rFonts w:ascii="Times New Roman"/>
                <w:sz w:val="18"/>
              </w:rPr>
            </w:r>
          </w:p>
        </w:tc>
      </w:tr>
      <w:tr>
        <w:trPr>
          <w:trHeight w:val="347"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53,531.29</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26,765.65</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50.00</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26,765.64</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color w:val="0D0D0D"/>
                <w:sz w:val="18"/>
              </w:rPr>
              <w:t>103,923.56</w:t>
            </w:r>
            <w:r>
              <w:rPr>
                <w:rFonts w:ascii="Times New Roman"/>
                <w:sz w:val="18"/>
              </w:rPr>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color w:val="0D0D0D"/>
                <w:sz w:val="18"/>
              </w:rPr>
              <w:t>51,961.78</w:t>
            </w:r>
            <w:r>
              <w:rPr>
                <w:rFonts w:ascii="Times New Roman"/>
                <w:sz w:val="18"/>
              </w:rPr>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color w:val="0D0D0D"/>
                <w:sz w:val="18"/>
              </w:rPr>
              <w:t>50.00</w:t>
            </w:r>
            <w:r>
              <w:rPr>
                <w:rFonts w:ascii="Times New Roman"/>
                <w:sz w:val="18"/>
              </w:rPr>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color w:val="0D0D0D"/>
                <w:sz w:val="18"/>
              </w:rPr>
              <w:t>51,961.78</w:t>
            </w:r>
            <w:r>
              <w:rPr>
                <w:rFonts w:ascii="Times New Roman"/>
                <w:sz w:val="18"/>
              </w:rPr>
            </w:r>
          </w:p>
        </w:tc>
      </w:tr>
      <w:tr>
        <w:trPr>
          <w:trHeight w:val="347"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年以上</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132,618.12</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132,618.12</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color w:val="0D0D0D"/>
                <w:sz w:val="18"/>
              </w:rPr>
              <w:t>180,465.07</w:t>
            </w:r>
            <w:r>
              <w:rPr>
                <w:rFonts w:ascii="Times New Roman"/>
                <w:sz w:val="18"/>
              </w:rPr>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color w:val="0D0D0D"/>
                <w:sz w:val="18"/>
              </w:rPr>
              <w:t>180,465.07</w:t>
            </w:r>
            <w:r>
              <w:rPr>
                <w:rFonts w:ascii="Times New Roman"/>
                <w:sz w:val="18"/>
              </w:rPr>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color w:val="0D0D0D"/>
                <w:sz w:val="18"/>
              </w:rPr>
              <w:t>100.00</w:t>
            </w:r>
            <w:r>
              <w:rPr>
                <w:rFonts w:ascii="Times New Roman"/>
                <w:sz w:val="18"/>
              </w:rPr>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r>
      <w:tr>
        <w:trPr>
          <w:trHeight w:val="348"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5,025,442.80</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250,420.74</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4.98</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4,775,022.06</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color w:val="0D0D0D"/>
                <w:spacing w:val="-1"/>
                <w:sz w:val="18"/>
              </w:rPr>
              <w:t>6,819,531.25</w:t>
            </w:r>
            <w:r>
              <w:rPr>
                <w:rFonts w:ascii="Times New Roman"/>
                <w:spacing w:val="-1"/>
                <w:sz w:val="18"/>
              </w:rPr>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color w:val="0D0D0D"/>
                <w:sz w:val="18"/>
              </w:rPr>
              <w:t>324,544.60</w:t>
            </w:r>
            <w:r>
              <w:rPr>
                <w:rFonts w:ascii="Times New Roman"/>
                <w:sz w:val="18"/>
              </w:rPr>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color w:val="0D0D0D"/>
                <w:sz w:val="18"/>
              </w:rPr>
              <w:t>4.76</w:t>
            </w:r>
            <w:r>
              <w:rPr>
                <w:rFonts w:ascii="Times New Roman"/>
                <w:sz w:val="18"/>
              </w:rPr>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color w:val="0D0D0D"/>
                <w:spacing w:val="-1"/>
                <w:sz w:val="18"/>
              </w:rPr>
              <w:t>6,494,986.65</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30"/>
          <w:pgSz w:w="11910" w:h="16840"/>
          <w:pgMar w:footer="979" w:header="0" w:top="1100" w:bottom="1160" w:left="980" w:right="0"/>
          <w:pgNumType w:start="111"/>
        </w:sectPr>
      </w:pPr>
    </w:p>
    <w:p>
      <w:pPr>
        <w:pStyle w:val="BodyText"/>
        <w:spacing w:line="240" w:lineRule="auto" w:before="51"/>
        <w:ind w:right="-14"/>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2"/>
        <w:ind w:right="-14"/>
        <w:jc w:val="left"/>
      </w:pPr>
      <w:r>
        <w:rPr/>
        <w:t>本期计提坏账准备金额</w:t>
      </w:r>
      <w:r>
        <w:rPr>
          <w:spacing w:val="-47"/>
        </w:rPr>
        <w:t> </w:t>
      </w:r>
      <w:r>
        <w:rPr>
          <w:rFonts w:ascii="Times New Roman" w:hAnsi="Times New Roman" w:cs="Times New Roman" w:eastAsia="Times New Roman" w:hint="default"/>
        </w:rPr>
        <w:t>8,705,752.80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2,605,357.01</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7084" w:space="174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中国联合网络通信股份有限公司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338,349.92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收回应收账款</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616,217.26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收回应收账款</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396,704.13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收回应收账款</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81,604.77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收回应收账款</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1,432,876.08</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5,255,807.27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个人用户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5,184,893.33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超账期无法收回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38,466.41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超账期无法收回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81"/>
              <w:jc w:val="left"/>
              <w:rPr>
                <w:rFonts w:ascii="宋体" w:hAnsi="宋体" w:cs="宋体" w:eastAsia="宋体" w:hint="default"/>
                <w:sz w:val="18"/>
                <w:szCs w:val="18"/>
              </w:rPr>
            </w:pPr>
            <w:r>
              <w:rPr>
                <w:rFonts w:ascii="宋体" w:hAnsi="宋体" w:cs="宋体" w:eastAsia="宋体" w:hint="default"/>
                <w:sz w:val="18"/>
                <w:szCs w:val="18"/>
              </w:rPr>
              <w:t>易美云</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信息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业务款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32,447.53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该公司注销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5,255,807.27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514" w:right="1572" w:hanging="360"/>
        <w:jc w:val="left"/>
      </w:pPr>
      <w:r>
        <w:rPr/>
        <w:t>应收账款核销说明： 本集团判断超出信用期个人用户、企业用户应收账款的可收回性，对超出信用期无法收回的应收账款予以核销。</w:t>
      </w:r>
    </w:p>
    <w:p>
      <w:pPr>
        <w:pStyle w:val="BodyText"/>
        <w:spacing w:line="240" w:lineRule="auto" w:before="29"/>
        <w:ind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4"/>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2572"/>
        <w:gridCol w:w="1773"/>
        <w:gridCol w:w="1771"/>
        <w:gridCol w:w="1772"/>
        <w:gridCol w:w="1771"/>
      </w:tblGrid>
      <w:tr>
        <w:trPr>
          <w:trHeight w:val="653" w:hRule="exact"/>
        </w:trPr>
        <w:tc>
          <w:tcPr>
            <w:tcW w:w="25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与本集团关系</w:t>
            </w:r>
          </w:p>
        </w:tc>
        <w:tc>
          <w:tcPr>
            <w:tcW w:w="17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6"/>
              <w:ind w:left="293" w:right="290" w:firstLine="134"/>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 总额的比例</w:t>
            </w:r>
            <w:r>
              <w:rPr>
                <w:rFonts w:ascii="Times New Roman" w:hAnsi="Times New Roman" w:cs="Times New Roman" w:eastAsia="Times New Roman" w:hint="default"/>
                <w:sz w:val="18"/>
                <w:szCs w:val="18"/>
              </w:rPr>
              <w:t>(%)</w:t>
            </w:r>
          </w:p>
        </w:tc>
        <w:tc>
          <w:tcPr>
            <w:tcW w:w="17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248"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48"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color w:val="0D0D0D"/>
                <w:sz w:val="18"/>
                <w:szCs w:val="18"/>
              </w:rPr>
              <w:t>单位</w:t>
            </w:r>
            <w:r>
              <w:rPr>
                <w:rFonts w:ascii="Times New Roman" w:hAnsi="Times New Roman" w:cs="Times New Roman" w:eastAsia="Times New Roman" w:hint="default"/>
                <w:color w:val="0D0D0D"/>
                <w:sz w:val="18"/>
                <w:szCs w:val="18"/>
              </w:rPr>
              <w:t>1</w:t>
            </w:r>
            <w:r>
              <w:rPr>
                <w:rFonts w:ascii="Times New Roman" w:hAnsi="Times New Roman" w:cs="Times New Roman" w:eastAsia="Times New Roman" w:hint="default"/>
                <w:sz w:val="18"/>
                <w:szCs w:val="18"/>
              </w:rPr>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27,227,687.04</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18.79</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1,361,384.35</w:t>
            </w:r>
          </w:p>
        </w:tc>
      </w:tr>
      <w:tr>
        <w:trPr>
          <w:trHeight w:val="347"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color w:val="0D0D0D"/>
                <w:sz w:val="18"/>
                <w:szCs w:val="18"/>
              </w:rPr>
              <w:t>单位</w:t>
            </w:r>
            <w:r>
              <w:rPr>
                <w:rFonts w:ascii="Times New Roman" w:hAnsi="Times New Roman" w:cs="Times New Roman" w:eastAsia="Times New Roman" w:hint="default"/>
                <w:color w:val="0D0D0D"/>
                <w:sz w:val="18"/>
                <w:szCs w:val="18"/>
              </w:rPr>
              <w:t>2</w:t>
            </w:r>
            <w:r>
              <w:rPr>
                <w:rFonts w:ascii="Times New Roman" w:hAnsi="Times New Roman" w:cs="Times New Roman" w:eastAsia="Times New Roman" w:hint="default"/>
                <w:sz w:val="18"/>
                <w:szCs w:val="18"/>
              </w:rPr>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13,342,569.42</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9.21</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348,394.99</w:t>
            </w:r>
          </w:p>
        </w:tc>
      </w:tr>
      <w:tr>
        <w:trPr>
          <w:trHeight w:val="347"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color w:val="0D0D0D"/>
                <w:sz w:val="18"/>
                <w:szCs w:val="18"/>
              </w:rPr>
              <w:t>单位</w:t>
            </w:r>
            <w:r>
              <w:rPr>
                <w:rFonts w:ascii="Times New Roman" w:hAnsi="Times New Roman" w:cs="Times New Roman" w:eastAsia="Times New Roman" w:hint="default"/>
                <w:color w:val="0D0D0D"/>
                <w:sz w:val="18"/>
                <w:szCs w:val="18"/>
              </w:rPr>
              <w:t>3</w:t>
            </w:r>
            <w:r>
              <w:rPr>
                <w:rFonts w:ascii="Times New Roman" w:hAnsi="Times New Roman" w:cs="Times New Roman" w:eastAsia="Times New Roman" w:hint="default"/>
                <w:sz w:val="18"/>
                <w:szCs w:val="18"/>
              </w:rPr>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6,258,977.43</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4.32</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727,844.77</w:t>
            </w:r>
          </w:p>
        </w:tc>
      </w:tr>
      <w:tr>
        <w:trPr>
          <w:trHeight w:val="347"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color w:val="0D0D0D"/>
                <w:sz w:val="18"/>
                <w:szCs w:val="18"/>
              </w:rPr>
              <w:t>单位</w:t>
            </w:r>
            <w:r>
              <w:rPr>
                <w:rFonts w:ascii="Times New Roman" w:hAnsi="Times New Roman" w:cs="Times New Roman" w:eastAsia="Times New Roman" w:hint="default"/>
                <w:color w:val="0D0D0D"/>
                <w:sz w:val="18"/>
                <w:szCs w:val="18"/>
              </w:rPr>
              <w:t>4</w:t>
            </w:r>
            <w:r>
              <w:rPr>
                <w:rFonts w:ascii="Times New Roman" w:hAnsi="Times New Roman" w:cs="Times New Roman" w:eastAsia="Times New Roman" w:hint="default"/>
                <w:sz w:val="18"/>
                <w:szCs w:val="18"/>
              </w:rPr>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3,719,209.68</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2.57</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70,129.04</w:t>
            </w:r>
          </w:p>
        </w:tc>
      </w:tr>
      <w:tr>
        <w:trPr>
          <w:trHeight w:val="347"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color w:val="0D0D0D"/>
                <w:sz w:val="18"/>
                <w:szCs w:val="18"/>
              </w:rPr>
              <w:t>单位</w:t>
            </w:r>
            <w:r>
              <w:rPr>
                <w:rFonts w:ascii="Times New Roman" w:hAnsi="Times New Roman" w:cs="Times New Roman" w:eastAsia="Times New Roman" w:hint="default"/>
                <w:color w:val="0D0D0D"/>
                <w:sz w:val="18"/>
                <w:szCs w:val="18"/>
              </w:rPr>
              <w:t>5</w:t>
            </w:r>
            <w:r>
              <w:rPr>
                <w:rFonts w:ascii="Times New Roman" w:hAnsi="Times New Roman" w:cs="Times New Roman" w:eastAsia="Times New Roman" w:hint="default"/>
                <w:sz w:val="18"/>
                <w:szCs w:val="18"/>
              </w:rPr>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3,571,091.79</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2.46</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3,571,091.79</w:t>
            </w:r>
          </w:p>
        </w:tc>
      </w:tr>
      <w:tr>
        <w:trPr>
          <w:trHeight w:val="348"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73"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54,119,535.36</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37.35</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6,078,844.94</w:t>
            </w:r>
          </w:p>
        </w:tc>
      </w:tr>
    </w:tbl>
    <w:p>
      <w:pPr>
        <w:pStyle w:val="BodyText"/>
        <w:spacing w:line="240" w:lineRule="auto" w:before="51"/>
        <w:ind w:right="0"/>
        <w:jc w:val="left"/>
      </w:pPr>
      <w:r>
        <w:rPr>
          <w:rFonts w:ascii="Times New Roman" w:hAnsi="Times New Roman" w:cs="Times New Roman" w:eastAsia="Times New Roman" w:hint="default"/>
        </w:rPr>
        <w:t>5)</w:t>
      </w:r>
      <w:r>
        <w:rPr/>
        <w:t>因金融资产转移而终止确认的应收账款：无</w:t>
      </w:r>
    </w:p>
    <w:p>
      <w:pPr>
        <w:pStyle w:val="BodyText"/>
        <w:spacing w:line="240" w:lineRule="auto" w:before="103"/>
        <w:ind w:right="0"/>
        <w:jc w:val="left"/>
      </w:pPr>
      <w:r>
        <w:rPr>
          <w:rFonts w:ascii="Times New Roman" w:hAnsi="Times New Roman" w:cs="Times New Roman" w:eastAsia="Times New Roman" w:hint="default"/>
        </w:rPr>
        <w:t>6)</w:t>
      </w:r>
      <w:r>
        <w:rPr/>
        <w:t>转移应收账款且继续涉入形成的资产、负债金额：无</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预付款项" w:id="223"/>
      <w:bookmarkEnd w:id="223"/>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224"/>
      <w:bookmarkEnd w:id="22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32,466,208.76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17,070,378.79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85.99%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919,783.67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2,592,582.34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1,775,254.34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105,084.92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121,386.47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82,966.98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35,282,633.24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19,851,013.03</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right="589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after="0" w:line="338" w:lineRule="auto"/>
        <w:jc w:val="left"/>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2）按预付对象归集的期末余额前五名的预付款情况" w:id="225"/>
      <w:bookmarkEnd w:id="22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
        <w:rPr>
          <w:rFonts w:ascii="宋体" w:hAnsi="宋体" w:cs="宋体" w:eastAsia="宋体" w:hint="default"/>
          <w:b/>
          <w:bCs/>
          <w:sz w:val="26"/>
          <w:szCs w:val="26"/>
        </w:rPr>
      </w:pPr>
    </w:p>
    <w:tbl>
      <w:tblPr>
        <w:tblW w:w="0" w:type="auto"/>
        <w:jc w:val="left"/>
        <w:tblInd w:w="137" w:type="dxa"/>
        <w:tblLayout w:type="fixed"/>
        <w:tblCellMar>
          <w:top w:w="0" w:type="dxa"/>
          <w:left w:w="0" w:type="dxa"/>
          <w:bottom w:w="0" w:type="dxa"/>
          <w:right w:w="0" w:type="dxa"/>
        </w:tblCellMar>
        <w:tblLook w:val="01E0"/>
      </w:tblPr>
      <w:tblGrid>
        <w:gridCol w:w="2604"/>
        <w:gridCol w:w="4773"/>
        <w:gridCol w:w="2281"/>
      </w:tblGrid>
      <w:tr>
        <w:trPr>
          <w:trHeight w:val="653" w:hRule="exact"/>
        </w:trPr>
        <w:tc>
          <w:tcPr>
            <w:tcW w:w="26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color w:val="0D0D0D"/>
                <w:sz w:val="18"/>
                <w:szCs w:val="18"/>
              </w:rPr>
              <w:t>单位名称</w:t>
            </w:r>
            <w:r>
              <w:rPr>
                <w:rFonts w:ascii="宋体" w:hAnsi="宋体" w:cs="宋体" w:eastAsia="宋体" w:hint="default"/>
                <w:sz w:val="18"/>
                <w:szCs w:val="18"/>
              </w:rPr>
            </w:r>
          </w:p>
        </w:tc>
        <w:tc>
          <w:tcPr>
            <w:tcW w:w="47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color w:val="0D0D0D"/>
                <w:sz w:val="18"/>
                <w:szCs w:val="18"/>
              </w:rPr>
              <w:t>年末金额</w:t>
            </w:r>
            <w:r>
              <w:rPr>
                <w:rFonts w:ascii="宋体" w:hAnsi="宋体" w:cs="宋体" w:eastAsia="宋体" w:hint="default"/>
                <w:sz w:val="18"/>
                <w:szCs w:val="18"/>
              </w:rPr>
            </w:r>
          </w:p>
        </w:tc>
        <w:tc>
          <w:tcPr>
            <w:tcW w:w="22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6"/>
              <w:ind w:left="548" w:right="546" w:firstLine="135"/>
              <w:jc w:val="left"/>
              <w:rPr>
                <w:rFonts w:ascii="Times New Roman" w:hAnsi="Times New Roman" w:cs="Times New Roman" w:eastAsia="Times New Roman" w:hint="default"/>
                <w:sz w:val="18"/>
                <w:szCs w:val="18"/>
              </w:rPr>
            </w:pPr>
            <w:r>
              <w:rPr>
                <w:rFonts w:ascii="宋体" w:hAnsi="宋体" w:cs="宋体" w:eastAsia="宋体" w:hint="default"/>
                <w:color w:val="0D0D0D"/>
                <w:sz w:val="18"/>
                <w:szCs w:val="18"/>
              </w:rPr>
              <w:t>占预付款项 总额的比例</w:t>
            </w:r>
            <w:r>
              <w:rPr>
                <w:rFonts w:ascii="Times New Roman" w:hAnsi="Times New Roman" w:cs="Times New Roman" w:eastAsia="Times New Roman" w:hint="default"/>
                <w:color w:val="0D0D0D"/>
                <w:sz w:val="18"/>
                <w:szCs w:val="18"/>
              </w:rPr>
              <w:t>(%)</w:t>
            </w:r>
            <w:r>
              <w:rPr>
                <w:rFonts w:ascii="Times New Roman" w:hAnsi="Times New Roman" w:cs="Times New Roman" w:eastAsia="Times New Roman" w:hint="default"/>
                <w:sz w:val="18"/>
                <w:szCs w:val="18"/>
              </w:rPr>
            </w:r>
          </w:p>
        </w:tc>
      </w:tr>
      <w:tr>
        <w:trPr>
          <w:trHeight w:val="347" w:hRule="exact"/>
        </w:trPr>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1</w:t>
            </w:r>
          </w:p>
        </w:tc>
        <w:tc>
          <w:tcPr>
            <w:tcW w:w="4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color w:val="0D0D0D"/>
                <w:spacing w:val="-1"/>
                <w:sz w:val="18"/>
              </w:rPr>
              <w:t>6,199,974.67</w:t>
            </w:r>
            <w:r>
              <w:rPr>
                <w:rFonts w:ascii="Times New Roman"/>
                <w:spacing w:val="-1"/>
                <w:sz w:val="18"/>
              </w:rPr>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color w:val="0D0D0D"/>
                <w:sz w:val="18"/>
              </w:rPr>
              <w:t>17.58</w:t>
            </w:r>
            <w:r>
              <w:rPr>
                <w:rFonts w:ascii="Times New Roman"/>
                <w:sz w:val="18"/>
              </w:rPr>
            </w:r>
          </w:p>
        </w:tc>
      </w:tr>
      <w:tr>
        <w:trPr>
          <w:trHeight w:val="348" w:hRule="exact"/>
        </w:trPr>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2</w:t>
            </w:r>
          </w:p>
        </w:tc>
        <w:tc>
          <w:tcPr>
            <w:tcW w:w="4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color w:val="0D0D0D"/>
                <w:spacing w:val="-1"/>
                <w:sz w:val="18"/>
              </w:rPr>
              <w:t>2,860,786.52</w:t>
            </w:r>
            <w:r>
              <w:rPr>
                <w:rFonts w:ascii="Times New Roman"/>
                <w:spacing w:val="-1"/>
                <w:sz w:val="18"/>
              </w:rPr>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color w:val="0D0D0D"/>
                <w:sz w:val="18"/>
              </w:rPr>
              <w:t>8.11</w:t>
            </w:r>
            <w:r>
              <w:rPr>
                <w:rFonts w:ascii="Times New Roman"/>
                <w:sz w:val="18"/>
              </w:rPr>
            </w:r>
          </w:p>
        </w:tc>
      </w:tr>
      <w:tr>
        <w:trPr>
          <w:trHeight w:val="347" w:hRule="exact"/>
        </w:trPr>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3</w:t>
            </w:r>
          </w:p>
        </w:tc>
        <w:tc>
          <w:tcPr>
            <w:tcW w:w="4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color w:val="0D0D0D"/>
                <w:spacing w:val="-1"/>
                <w:sz w:val="18"/>
              </w:rPr>
              <w:t>1,823,674.36</w:t>
            </w:r>
            <w:r>
              <w:rPr>
                <w:rFonts w:ascii="Times New Roman"/>
                <w:spacing w:val="-1"/>
                <w:sz w:val="18"/>
              </w:rPr>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color w:val="0D0D0D"/>
                <w:sz w:val="18"/>
              </w:rPr>
              <w:t>5.17</w:t>
            </w:r>
            <w:r>
              <w:rPr>
                <w:rFonts w:ascii="Times New Roman"/>
                <w:sz w:val="18"/>
              </w:rPr>
            </w:r>
          </w:p>
        </w:tc>
      </w:tr>
      <w:tr>
        <w:trPr>
          <w:trHeight w:val="347" w:hRule="exact"/>
        </w:trPr>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4</w:t>
            </w:r>
          </w:p>
        </w:tc>
        <w:tc>
          <w:tcPr>
            <w:tcW w:w="4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color w:val="0D0D0D"/>
                <w:spacing w:val="-1"/>
                <w:sz w:val="18"/>
              </w:rPr>
              <w:t>1,613,333.28</w:t>
            </w:r>
            <w:r>
              <w:rPr>
                <w:rFonts w:ascii="Times New Roman"/>
                <w:spacing w:val="-1"/>
                <w:sz w:val="18"/>
              </w:rPr>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color w:val="0D0D0D"/>
                <w:sz w:val="18"/>
              </w:rPr>
              <w:t>4.57</w:t>
            </w:r>
            <w:r>
              <w:rPr>
                <w:rFonts w:ascii="Times New Roman"/>
                <w:sz w:val="18"/>
              </w:rPr>
            </w:r>
          </w:p>
        </w:tc>
      </w:tr>
      <w:tr>
        <w:trPr>
          <w:trHeight w:val="347" w:hRule="exact"/>
        </w:trPr>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5</w:t>
            </w:r>
          </w:p>
        </w:tc>
        <w:tc>
          <w:tcPr>
            <w:tcW w:w="4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color w:val="0D0D0D"/>
                <w:spacing w:val="-1"/>
                <w:sz w:val="18"/>
              </w:rPr>
              <w:t>1,281,985.36</w:t>
            </w:r>
            <w:r>
              <w:rPr>
                <w:rFonts w:ascii="Times New Roman"/>
                <w:spacing w:val="-1"/>
                <w:sz w:val="18"/>
              </w:rPr>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color w:val="0D0D0D"/>
                <w:sz w:val="18"/>
              </w:rPr>
              <w:t>3.63</w:t>
            </w:r>
            <w:r>
              <w:rPr>
                <w:rFonts w:ascii="Times New Roman"/>
                <w:sz w:val="18"/>
              </w:rPr>
            </w:r>
          </w:p>
        </w:tc>
      </w:tr>
      <w:tr>
        <w:trPr>
          <w:trHeight w:val="348" w:hRule="exact"/>
        </w:trPr>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color w:val="0D0D0D"/>
                <w:sz w:val="18"/>
                <w:szCs w:val="18"/>
              </w:rPr>
              <w:t>合计</w:t>
            </w:r>
            <w:r>
              <w:rPr>
                <w:rFonts w:ascii="宋体" w:hAnsi="宋体" w:cs="宋体" w:eastAsia="宋体" w:hint="default"/>
                <w:sz w:val="18"/>
                <w:szCs w:val="18"/>
              </w:rPr>
            </w:r>
          </w:p>
        </w:tc>
        <w:tc>
          <w:tcPr>
            <w:tcW w:w="4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color w:val="0D0D0D"/>
                <w:spacing w:val="-1"/>
                <w:sz w:val="18"/>
              </w:rPr>
              <w:t>13,779,754.19</w:t>
            </w:r>
            <w:r>
              <w:rPr>
                <w:rFonts w:ascii="Times New Roman"/>
                <w:spacing w:val="-1"/>
                <w:sz w:val="18"/>
              </w:rPr>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color w:val="0D0D0D"/>
                <w:sz w:val="18"/>
              </w:rPr>
              <w:t>39.06</w:t>
            </w:r>
            <w:r>
              <w:rPr>
                <w:rFonts w:ascii="Times New Roman"/>
                <w:sz w:val="18"/>
              </w:rPr>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4、其他应收款" w:id="226"/>
      <w:bookmarkEnd w:id="226"/>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2,289,679.28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3,199,512.76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17,069,042.16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16,168,438.92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19,358,721.44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19,367,951.68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利息" w:id="227"/>
      <w:bookmarkEnd w:id="227"/>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1,860,254.43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2,603,978.03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理财产品应计利息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429,424.85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595,534.73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2,289,679.28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3,199,512.76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 应收股利" w:id="228"/>
      <w:bookmarkEnd w:id="228"/>
      <w:r>
        <w:rPr>
          <w:b w:val="0"/>
          <w:bCs w:val="0"/>
        </w:rPr>
      </w:r>
      <w:r>
        <w:rPr/>
        <w:t>（</w:t>
      </w:r>
      <w:r>
        <w:rPr>
          <w:rFonts w:ascii="Times New Roman" w:hAnsi="Times New Roman" w:cs="Times New Roman" w:eastAsia="Times New Roman" w:hint="default"/>
        </w:rPr>
        <w:t>2</w:t>
      </w:r>
      <w:r>
        <w:rPr/>
        <w:t>）</w:t>
      </w:r>
      <w:r>
        <w:rPr>
          <w:spacing w:val="86"/>
        </w:rPr>
        <w:t> </w:t>
      </w:r>
      <w:r>
        <w:rPr/>
        <w:t>应收股利</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0" w:footer="979" w:top="1100" w:bottom="1160" w:left="980" w:right="0"/>
        </w:sectPr>
      </w:pPr>
    </w:p>
    <w:p>
      <w:pPr>
        <w:spacing w:line="240" w:lineRule="auto" w:before="13"/>
        <w:rPr>
          <w:rFonts w:ascii="宋体" w:hAnsi="宋体" w:cs="宋体" w:eastAsia="宋体" w:hint="default"/>
          <w:sz w:val="23"/>
          <w:szCs w:val="23"/>
        </w:rPr>
      </w:pPr>
    </w:p>
    <w:p>
      <w:pPr>
        <w:pStyle w:val="Heading4"/>
        <w:spacing w:line="240" w:lineRule="auto"/>
        <w:ind w:left="140" w:right="-20"/>
        <w:jc w:val="left"/>
        <w:rPr>
          <w:b w:val="0"/>
          <w:bCs w:val="0"/>
        </w:rPr>
      </w:pPr>
      <w:bookmarkStart w:name="（3）其他应收款" w:id="229"/>
      <w:bookmarkEnd w:id="229"/>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0" w:right="-20"/>
        <w:jc w:val="left"/>
      </w:pPr>
      <w:r>
        <w:rPr>
          <w:rFonts w:ascii="Times New Roman" w:hAnsi="Times New Roman" w:cs="Times New Roman" w:eastAsia="Times New Roman" w:hint="default"/>
        </w:rPr>
        <w:t>1)</w:t>
      </w:r>
      <w:r>
        <w:rPr/>
        <w:t>其他应收款分类披露</w:t>
      </w:r>
    </w:p>
    <w:p>
      <w:pPr>
        <w:pStyle w:val="BodyText"/>
        <w:spacing w:line="240" w:lineRule="auto" w:before="15"/>
        <w:ind w:left="0" w:right="136"/>
        <w:jc w:val="right"/>
      </w:pPr>
      <w:r>
        <w:rPr/>
        <w:br w:type="column"/>
      </w:r>
      <w:r>
        <w:rPr/>
        <w:t>二六三网络通信股份有限公司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pStyle w:val="BodyText"/>
        <w:spacing w:line="240" w:lineRule="auto"/>
        <w:ind w:left="0" w:right="136"/>
        <w:jc w:val="right"/>
      </w:pPr>
      <w:r>
        <w:rPr/>
        <w:pict>
          <v:group style="position:absolute;margin-left:70.5pt;margin-top:-49.928272pt;width:701pt;height:.1pt;mso-position-horizontal-relative:page;mso-position-vertical-relative:paragraph;z-index:1672" coordorigin="1410,-999" coordsize="14020,2">
            <v:shape style="position:absolute;left:1410;top:-999;width:14020;height:2" coordorigin="1410,-999" coordsize="14020,0" path="m1410,-999l15430,-999e" filled="false" stroked="true" strokeweight=".72pt" strokecolor="#000000">
              <v:path arrowok="t"/>
            </v:shape>
            <w10:wrap type="none"/>
          </v:group>
        </w:pict>
      </w:r>
      <w:r>
        <w:rPr/>
        <w:t>单位： 元</w:t>
      </w:r>
    </w:p>
    <w:p>
      <w:pPr>
        <w:spacing w:after="0" w:line="240" w:lineRule="auto"/>
        <w:jc w:val="right"/>
        <w:sectPr>
          <w:headerReference w:type="default" r:id="rId31"/>
          <w:footerReference w:type="default" r:id="rId32"/>
          <w:pgSz w:w="16840" w:h="11910" w:orient="landscape"/>
          <w:pgMar w:header="0" w:footer="0" w:top="800" w:bottom="0" w:left="1300" w:right="1300"/>
          <w:cols w:num="2" w:equalWidth="0">
            <w:col w:w="1911" w:space="7999"/>
            <w:col w:w="4330"/>
          </w:cols>
        </w:sectPr>
      </w:pPr>
    </w:p>
    <w:p>
      <w:pPr>
        <w:spacing w:line="240" w:lineRule="auto" w:before="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369"/>
        <w:gridCol w:w="1104"/>
        <w:gridCol w:w="1102"/>
        <w:gridCol w:w="1103"/>
        <w:gridCol w:w="1105"/>
        <w:gridCol w:w="1145"/>
        <w:gridCol w:w="1091"/>
        <w:gridCol w:w="1103"/>
        <w:gridCol w:w="1178"/>
        <w:gridCol w:w="1352"/>
        <w:gridCol w:w="1352"/>
      </w:tblGrid>
      <w:tr>
        <w:trPr>
          <w:trHeight w:val="402"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5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7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2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12"/>
              <w:jc w:val="center"/>
              <w:rPr>
                <w:rFonts w:ascii="宋体" w:hAnsi="宋体" w:cs="宋体" w:eastAsia="宋体" w:hint="default"/>
                <w:sz w:val="18"/>
                <w:szCs w:val="18"/>
              </w:rPr>
            </w:pPr>
            <w:r>
              <w:rPr>
                <w:rFonts w:ascii="宋体" w:hAnsi="宋体" w:cs="宋体" w:eastAsia="宋体" w:hint="default"/>
                <w:sz w:val="18"/>
                <w:szCs w:val="18"/>
              </w:rPr>
              <w:t>类别</w:t>
            </w:r>
          </w:p>
        </w:tc>
        <w:tc>
          <w:tcPr>
            <w:tcW w:w="22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0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45" w:type="dxa"/>
            <w:tcBorders>
              <w:top w:val="single" w:sz="4" w:space="0" w:color="000000"/>
              <w:left w:val="single" w:sz="4" w:space="0" w:color="000000"/>
              <w:bottom w:val="nil" w:sz="6" w:space="0" w:color="auto"/>
              <w:right w:val="single" w:sz="4" w:space="0" w:color="000000"/>
            </w:tcBorders>
            <w:shd w:val="clear" w:color="auto" w:fill="D2D2D2"/>
          </w:tcPr>
          <w:p>
            <w:pPr/>
          </w:p>
        </w:tc>
        <w:tc>
          <w:tcPr>
            <w:tcW w:w="21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369" w:type="dxa"/>
            <w:vMerge/>
            <w:tcBorders>
              <w:left w:val="single" w:sz="4" w:space="0" w:color="000000"/>
              <w:bottom w:val="nil" w:sz="6" w:space="0" w:color="auto"/>
              <w:right w:val="single" w:sz="4" w:space="0" w:color="000000"/>
            </w:tcBorders>
            <w:shd w:val="clear" w:color="auto" w:fill="D2D2D2"/>
          </w:tcPr>
          <w:p>
            <w:pPr/>
          </w:p>
        </w:tc>
        <w:tc>
          <w:tcPr>
            <w:tcW w:w="2206" w:type="dxa"/>
            <w:gridSpan w:val="2"/>
            <w:vMerge/>
            <w:tcBorders>
              <w:left w:val="single" w:sz="4" w:space="0" w:color="000000"/>
              <w:bottom w:val="single" w:sz="4" w:space="0" w:color="000000"/>
              <w:right w:val="single" w:sz="4" w:space="0" w:color="000000"/>
            </w:tcBorders>
            <w:shd w:val="clear" w:color="auto" w:fill="D2D2D2"/>
          </w:tcPr>
          <w:p>
            <w:pPr/>
          </w:p>
        </w:tc>
        <w:tc>
          <w:tcPr>
            <w:tcW w:w="2208" w:type="dxa"/>
            <w:gridSpan w:val="2"/>
            <w:vMerge/>
            <w:tcBorders>
              <w:left w:val="single" w:sz="4" w:space="0" w:color="000000"/>
              <w:bottom w:val="single" w:sz="4" w:space="0" w:color="000000"/>
              <w:right w:val="single" w:sz="4" w:space="0" w:color="000000"/>
            </w:tcBorders>
            <w:shd w:val="clear" w:color="auto" w:fill="D2D2D2"/>
          </w:tcPr>
          <w:p>
            <w:pPr/>
          </w:p>
        </w:tc>
        <w:tc>
          <w:tcPr>
            <w:tcW w:w="11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194" w:type="dxa"/>
            <w:gridSpan w:val="2"/>
            <w:vMerge/>
            <w:tcBorders>
              <w:left w:val="single" w:sz="4" w:space="0" w:color="000000"/>
              <w:bottom w:val="single" w:sz="4" w:space="0" w:color="000000"/>
              <w:right w:val="single" w:sz="4" w:space="0" w:color="000000"/>
            </w:tcBorders>
            <w:shd w:val="clear" w:color="auto" w:fill="D2D2D2"/>
          </w:tcPr>
          <w:p>
            <w:pPr/>
          </w:p>
        </w:tc>
        <w:tc>
          <w:tcPr>
            <w:tcW w:w="2530" w:type="dxa"/>
            <w:gridSpan w:val="2"/>
            <w:vMerge/>
            <w:tcBorders>
              <w:left w:val="single" w:sz="4" w:space="0" w:color="000000"/>
              <w:bottom w:val="single" w:sz="4" w:space="0" w:color="000000"/>
              <w:right w:val="single" w:sz="4" w:space="0" w:color="000000"/>
            </w:tcBorders>
            <w:shd w:val="clear" w:color="auto" w:fill="D2D2D2"/>
          </w:tcPr>
          <w:p>
            <w:pPr/>
          </w:p>
        </w:tc>
        <w:tc>
          <w:tcPr>
            <w:tcW w:w="13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0" w:hRule="exact"/>
        </w:trPr>
        <w:tc>
          <w:tcPr>
            <w:tcW w:w="2369" w:type="dxa"/>
            <w:vMerge w:val="restart"/>
            <w:tcBorders>
              <w:top w:val="nil" w:sz="6" w:space="0" w:color="auto"/>
              <w:left w:val="single" w:sz="4" w:space="0" w:color="000000"/>
              <w:right w:val="single" w:sz="4" w:space="0" w:color="000000"/>
            </w:tcBorders>
            <w:shd w:val="clear" w:color="auto" w:fill="D2D2D2"/>
          </w:tcPr>
          <w:p>
            <w:pPr/>
          </w:p>
        </w:tc>
        <w:tc>
          <w:tcPr>
            <w:tcW w:w="11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8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45"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5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1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369" w:type="dxa"/>
            <w:vMerge/>
            <w:tcBorders>
              <w:left w:val="single" w:sz="4" w:space="0" w:color="000000"/>
              <w:bottom w:val="single" w:sz="4" w:space="0" w:color="000000"/>
              <w:right w:val="single" w:sz="4" w:space="0" w:color="000000"/>
            </w:tcBorders>
            <w:shd w:val="clear" w:color="auto" w:fill="D2D2D2"/>
          </w:tcPr>
          <w:p>
            <w:pPr/>
          </w:p>
        </w:tc>
        <w:tc>
          <w:tcPr>
            <w:tcW w:w="1104" w:type="dxa"/>
            <w:vMerge/>
            <w:tcBorders>
              <w:left w:val="single" w:sz="4" w:space="0" w:color="000000"/>
              <w:bottom w:val="single" w:sz="4" w:space="0" w:color="000000"/>
              <w:right w:val="single" w:sz="4" w:space="0" w:color="000000"/>
            </w:tcBorders>
            <w:shd w:val="clear" w:color="auto" w:fill="D2D2D2"/>
          </w:tcPr>
          <w:p>
            <w:pPr/>
          </w:p>
        </w:tc>
        <w:tc>
          <w:tcPr>
            <w:tcW w:w="1102" w:type="dxa"/>
            <w:vMerge/>
            <w:tcBorders>
              <w:left w:val="single" w:sz="4" w:space="0" w:color="000000"/>
              <w:bottom w:val="single" w:sz="4" w:space="0" w:color="000000"/>
              <w:right w:val="single" w:sz="4" w:space="0" w:color="000000"/>
            </w:tcBorders>
            <w:shd w:val="clear" w:color="auto" w:fill="D2D2D2"/>
          </w:tcPr>
          <w:p>
            <w:pPr/>
          </w:p>
        </w:tc>
        <w:tc>
          <w:tcPr>
            <w:tcW w:w="1103" w:type="dxa"/>
            <w:vMerge/>
            <w:tcBorders>
              <w:left w:val="single" w:sz="4" w:space="0" w:color="000000"/>
              <w:bottom w:val="single" w:sz="4" w:space="0" w:color="000000"/>
              <w:right w:val="single" w:sz="4" w:space="0" w:color="000000"/>
            </w:tcBorders>
            <w:shd w:val="clear" w:color="auto" w:fill="D2D2D2"/>
          </w:tcPr>
          <w:p>
            <w:pPr/>
          </w:p>
        </w:tc>
        <w:tc>
          <w:tcPr>
            <w:tcW w:w="1105" w:type="dxa"/>
            <w:vMerge/>
            <w:tcBorders>
              <w:left w:val="single" w:sz="4" w:space="0" w:color="000000"/>
              <w:bottom w:val="single" w:sz="4" w:space="0" w:color="000000"/>
              <w:right w:val="single" w:sz="4" w:space="0" w:color="000000"/>
            </w:tcBorders>
            <w:shd w:val="clear" w:color="auto" w:fill="D2D2D2"/>
          </w:tcPr>
          <w:p>
            <w:pPr/>
          </w:p>
        </w:tc>
        <w:tc>
          <w:tcPr>
            <w:tcW w:w="11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103" w:type="dxa"/>
            <w:vMerge/>
            <w:tcBorders>
              <w:left w:val="single" w:sz="4" w:space="0" w:color="000000"/>
              <w:bottom w:val="single" w:sz="4" w:space="0" w:color="000000"/>
              <w:right w:val="single" w:sz="4" w:space="0" w:color="000000"/>
            </w:tcBorders>
            <w:shd w:val="clear" w:color="auto" w:fill="D2D2D2"/>
          </w:tcPr>
          <w:p>
            <w:pPr/>
          </w:p>
        </w:tc>
        <w:tc>
          <w:tcPr>
            <w:tcW w:w="1178" w:type="dxa"/>
            <w:vMerge/>
            <w:tcBorders>
              <w:left w:val="single" w:sz="4" w:space="0" w:color="000000"/>
              <w:bottom w:val="single" w:sz="4" w:space="0" w:color="000000"/>
              <w:right w:val="single" w:sz="4" w:space="0" w:color="000000"/>
            </w:tcBorders>
            <w:shd w:val="clear" w:color="auto" w:fill="D2D2D2"/>
          </w:tcPr>
          <w:p>
            <w:pPr/>
          </w:p>
        </w:tc>
        <w:tc>
          <w:tcPr>
            <w:tcW w:w="1352" w:type="dxa"/>
            <w:vMerge/>
            <w:tcBorders>
              <w:left w:val="single" w:sz="4" w:space="0" w:color="000000"/>
              <w:bottom w:val="single" w:sz="4" w:space="0" w:color="000000"/>
              <w:right w:val="single" w:sz="4" w:space="0" w:color="000000"/>
            </w:tcBorders>
            <w:shd w:val="clear" w:color="auto" w:fill="D2D2D2"/>
          </w:tcPr>
          <w:p>
            <w:pPr/>
          </w:p>
        </w:tc>
        <w:tc>
          <w:tcPr>
            <w:tcW w:w="13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账准备的其他应收款</w:t>
            </w:r>
          </w:p>
        </w:tc>
        <w:tc>
          <w:tcPr>
            <w:tcW w:w="11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17,604,857.19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535,815.03</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17,069,042.16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16,797,814.07</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629,375.15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16,168,438.92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17,604,857.19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535,815.03</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17,069,042.16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16,797,814.07</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629,375.15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16,168,438.92</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1160" w:left="1300" w:right="1300"/>
        </w:sectPr>
      </w:pPr>
    </w:p>
    <w:p>
      <w:pPr>
        <w:pStyle w:val="BodyText"/>
        <w:spacing w:line="240" w:lineRule="auto" w:before="51"/>
        <w:ind w:left="140" w:right="-20"/>
        <w:jc w:val="left"/>
      </w:pPr>
      <w:r>
        <w:rPr/>
        <w:t>期末单项金额重大并单项计提坏账准备的其他应收款：</w:t>
      </w:r>
    </w:p>
    <w:p>
      <w:pPr>
        <w:pStyle w:val="BodyText"/>
        <w:spacing w:line="338" w:lineRule="auto" w:before="117"/>
        <w:ind w:left="140"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4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40" w:right="0"/>
        <w:jc w:val="left"/>
      </w:pPr>
      <w:r>
        <w:rPr/>
        <w:t>单位： 元</w:t>
      </w:r>
    </w:p>
    <w:p>
      <w:pPr>
        <w:spacing w:after="0" w:line="240" w:lineRule="auto"/>
        <w:jc w:val="left"/>
        <w:sectPr>
          <w:type w:val="continuous"/>
          <w:pgSz w:w="16840" w:h="11910" w:orient="landscape"/>
          <w:pgMar w:top="1060" w:bottom="1160" w:left="1300" w:right="1300"/>
          <w:cols w:num="2" w:equalWidth="0">
            <w:col w:w="4461" w:space="4180"/>
            <w:col w:w="5599"/>
          </w:cols>
        </w:sectPr>
      </w:pPr>
    </w:p>
    <w:p>
      <w:pPr>
        <w:spacing w:line="240" w:lineRule="auto" w:before="13"/>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729,131.40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35,768.17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10,730.45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44,934.15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22,467.08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2,504.94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2,504.94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812,429.55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35,711.56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w:t>
            </w:r>
          </w:p>
        </w:tc>
      </w:tr>
    </w:tbl>
    <w:p>
      <w:pPr>
        <w:pStyle w:val="BodyText"/>
        <w:spacing w:line="240" w:lineRule="auto" w:before="51"/>
        <w:ind w:left="140" w:right="3908"/>
        <w:jc w:val="left"/>
      </w:pPr>
      <w:r>
        <w:rPr/>
        <w:t>确定该组合依据的说明：无</w:t>
      </w:r>
    </w:p>
    <w:p>
      <w:pPr>
        <w:spacing w:line="240" w:lineRule="auto" w:before="10"/>
        <w:rPr>
          <w:rFonts w:ascii="宋体" w:hAnsi="宋体" w:cs="宋体" w:eastAsia="宋体" w:hint="default"/>
          <w:sz w:val="9"/>
          <w:szCs w:val="9"/>
        </w:rPr>
      </w:pPr>
    </w:p>
    <w:p>
      <w:pPr>
        <w:spacing w:before="76"/>
        <w:ind w:left="6445" w:right="7072" w:firstLine="0"/>
        <w:jc w:val="center"/>
        <w:rPr>
          <w:rFonts w:ascii="Times New Roman" w:hAnsi="Times New Roman" w:cs="Times New Roman" w:eastAsia="Times New Roman" w:hint="default"/>
          <w:sz w:val="18"/>
          <w:szCs w:val="18"/>
        </w:rPr>
      </w:pPr>
      <w:r>
        <w:rPr>
          <w:rFonts w:ascii="Times New Roman"/>
          <w:b/>
          <w:sz w:val="18"/>
        </w:rPr>
        <w:t>114 </w:t>
      </w:r>
      <w:r>
        <w:rPr>
          <w:rFonts w:ascii="Times New Roman"/>
          <w:sz w:val="18"/>
        </w:rPr>
        <w:t>/</w:t>
      </w:r>
      <w:r>
        <w:rPr>
          <w:rFonts w:ascii="Times New Roman"/>
          <w:spacing w:val="1"/>
          <w:sz w:val="18"/>
        </w:rPr>
        <w:t> </w:t>
      </w:r>
      <w:r>
        <w:rPr>
          <w:rFonts w:ascii="Times New Roman"/>
          <w:b/>
          <w:sz w:val="18"/>
        </w:rPr>
        <w:t>178</w:t>
      </w:r>
      <w:r>
        <w:rPr>
          <w:rFonts w:ascii="Times New Roman"/>
          <w:sz w:val="18"/>
        </w:rPr>
      </w:r>
    </w:p>
    <w:p>
      <w:pPr>
        <w:spacing w:line="240" w:lineRule="auto" w:before="0"/>
        <w:rPr>
          <w:rFonts w:ascii="Times New Roman" w:hAnsi="Times New Roman" w:cs="Times New Roman" w:eastAsia="Times New Roman" w:hint="default"/>
          <w:b/>
          <w:bCs/>
          <w:sz w:val="20"/>
          <w:szCs w:val="20"/>
        </w:rPr>
      </w:pPr>
    </w:p>
    <w:p>
      <w:pPr>
        <w:spacing w:line="240" w:lineRule="auto" w:before="3"/>
        <w:rPr>
          <w:rFonts w:ascii="Times New Roman" w:hAnsi="Times New Roman" w:cs="Times New Roman" w:eastAsia="Times New Roman" w:hint="default"/>
          <w:b/>
          <w:bCs/>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300"/>
        </w:sectPr>
      </w:pPr>
    </w:p>
    <w:p>
      <w:pPr>
        <w:spacing w:line="240" w:lineRule="auto" w:before="0"/>
        <w:rPr>
          <w:rFonts w:ascii="Times New Roman" w:hAnsi="Times New Roman" w:cs="Times New Roman" w:eastAsia="Times New Roman" w:hint="default"/>
          <w:b/>
          <w:bCs/>
          <w:sz w:val="25"/>
          <w:szCs w:val="25"/>
        </w:rPr>
      </w:pPr>
    </w:p>
    <w:p>
      <w:pPr>
        <w:spacing w:after="0" w:line="240" w:lineRule="auto"/>
        <w:rPr>
          <w:rFonts w:ascii="Times New Roman" w:hAnsi="Times New Roman" w:cs="Times New Roman" w:eastAsia="Times New Roman" w:hint="default"/>
          <w:sz w:val="25"/>
          <w:szCs w:val="25"/>
        </w:rPr>
        <w:sectPr>
          <w:footerReference w:type="default" r:id="rId33"/>
          <w:pgSz w:w="11910" w:h="16840"/>
          <w:pgMar w:footer="979" w:header="0" w:top="1100" w:bottom="1160" w:left="980" w:right="0"/>
          <w:pgNumType w:start="115"/>
        </w:sectPr>
      </w:pPr>
    </w:p>
    <w:p>
      <w:pPr>
        <w:pStyle w:val="BodyText"/>
        <w:spacing w:line="240" w:lineRule="auto" w:before="44"/>
        <w:ind w:right="-20"/>
        <w:jc w:val="left"/>
      </w:pPr>
      <w:r>
        <w:rPr/>
        <w:t>组合中，采用余额百分比法计提坏账准备的其他应收款：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通信业务保证金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11,317,263.59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226,345.27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房租押金等押金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5,475,164.05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273,758.20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16,792,427.64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500,103.47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57" w:lineRule="auto" w:before="51"/>
        <w:ind w:right="4570"/>
        <w:jc w:val="left"/>
      </w:pPr>
      <w:r>
        <w:rPr/>
        <w:t>确定该组合依据的说明： 无</w:t>
      </w:r>
    </w:p>
    <w:p>
      <w:pPr>
        <w:pStyle w:val="BodyText"/>
        <w:spacing w:line="240" w:lineRule="auto" w:before="29"/>
        <w:ind w:right="-16"/>
        <w:jc w:val="left"/>
      </w:pPr>
      <w:r>
        <w:rPr/>
        <w:t>组合中，采用其他方法计提坏账准备的其他应收款：</w:t>
      </w:r>
    </w:p>
    <w:p>
      <w:pPr>
        <w:pStyle w:val="BodyText"/>
        <w:spacing w:line="240" w:lineRule="auto" w:before="117"/>
        <w:ind w:right="45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6"/>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2"/>
        <w:ind w:right="-16"/>
        <w:jc w:val="left"/>
      </w:pPr>
      <w:r>
        <w:rPr/>
        <w:t>本期计提坏账准备金额</w:t>
      </w:r>
      <w:r>
        <w:rPr>
          <w:spacing w:val="-46"/>
        </w:rPr>
        <w:t> </w:t>
      </w:r>
      <w:r>
        <w:rPr>
          <w:rFonts w:ascii="Times New Roman" w:hAnsi="Times New Roman" w:cs="Times New Roman" w:eastAsia="Times New Roman" w:hint="default"/>
        </w:rPr>
        <w:t>41,203.12</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196,796.93</w:t>
      </w:r>
      <w:r>
        <w:rPr>
          <w:rFonts w:ascii="Times New Roman" w:hAnsi="Times New Roman" w:cs="Times New Roman" w:eastAsia="Times New Roman" w:hint="default"/>
          <w:spacing w:val="-1"/>
        </w:rPr>
        <w:t> </w:t>
      </w:r>
      <w:r>
        <w:rPr/>
        <w:t>元。</w:t>
      </w:r>
    </w:p>
    <w:p>
      <w:pPr>
        <w:pStyle w:val="BodyText"/>
        <w:spacing w:line="240" w:lineRule="auto" w:before="103"/>
        <w:ind w:right="-16"/>
        <w:jc w:val="left"/>
      </w:pPr>
      <w:r>
        <w:rPr>
          <w:rFonts w:ascii="Times New Roman" w:hAnsi="Times New Roman" w:cs="Times New Roman" w:eastAsia="Times New Roman" w:hint="default"/>
        </w:rPr>
        <w:t>3)</w:t>
      </w:r>
      <w:r>
        <w:rPr/>
        <w:t>本期实际核销的其他应收款情况：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left="153" w:right="0"/>
        <w:jc w:val="left"/>
      </w:pPr>
      <w:r>
        <w:rPr/>
        <w:t>单位： 元</w:t>
      </w:r>
    </w:p>
    <w:p>
      <w:pPr>
        <w:spacing w:after="0" w:line="240" w:lineRule="auto"/>
        <w:jc w:val="left"/>
        <w:sectPr>
          <w:type w:val="continuous"/>
          <w:pgSz w:w="11910" w:h="16840"/>
          <w:pgMar w:top="1060" w:bottom="1160" w:left="980" w:right="0"/>
          <w:cols w:num="2" w:equalWidth="0">
            <w:col w:w="6725" w:space="210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6,900.00</w:t>
            </w:r>
          </w:p>
        </w:tc>
      </w:tr>
    </w:tbl>
    <w:p>
      <w:pPr>
        <w:spacing w:line="240" w:lineRule="auto" w:before="6"/>
        <w:rPr>
          <w:rFonts w:ascii="宋体" w:hAnsi="宋体" w:cs="宋体" w:eastAsia="宋体" w:hint="default"/>
          <w:sz w:val="27"/>
          <w:szCs w:val="27"/>
        </w:rPr>
      </w:pPr>
    </w:p>
    <w:p>
      <w:pPr>
        <w:pStyle w:val="BodyText"/>
        <w:spacing w:line="240" w:lineRule="auto" w:before="44"/>
        <w:ind w:right="0"/>
        <w:jc w:val="left"/>
      </w:pPr>
      <w:r>
        <w:rPr>
          <w:rFonts w:ascii="Times New Roman" w:hAnsi="Times New Roman" w:cs="Times New Roman" w:eastAsia="Times New Roman" w:hint="default"/>
        </w:rPr>
        <w:t>4)</w:t>
      </w:r>
      <w:r>
        <w:rPr/>
        <w:t>其他应收款按款项性质分类情况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16,792,427.64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15,729,197.89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346,978.90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495,799.08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外部公司往来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232,845.26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6,599.35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232,605.39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566,217.75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17,604,857.19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16,797,814.07</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业务保证金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1,975,550.39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98,777.52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1,473,494.75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29,469.90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业务保证金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1,139,359.83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22,787.20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业务保证金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718,165.25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14,363.31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606"/>
        <w:gridCol w:w="1582"/>
        <w:gridCol w:w="1596"/>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11,306,570.22</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64.22%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285,397.93</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涉及政府补助的应收款项：无</w:t>
      </w:r>
    </w:p>
    <w:p>
      <w:pPr>
        <w:pStyle w:val="BodyText"/>
        <w:spacing w:line="240" w:lineRule="auto" w:before="103"/>
        <w:ind w:right="0"/>
        <w:jc w:val="left"/>
      </w:pPr>
      <w:r>
        <w:rPr>
          <w:rFonts w:ascii="Times New Roman" w:hAnsi="Times New Roman" w:cs="Times New Roman" w:eastAsia="Times New Roman" w:hint="default"/>
        </w:rPr>
        <w:t>7)</w:t>
      </w:r>
      <w:r>
        <w:rPr/>
        <w:t>因金融资产转移而终止确认的其他应收款：无</w:t>
      </w:r>
    </w:p>
    <w:p>
      <w:pPr>
        <w:pStyle w:val="BodyText"/>
        <w:spacing w:line="240" w:lineRule="auto" w:before="103"/>
        <w:ind w:right="0"/>
        <w:jc w:val="left"/>
      </w:pPr>
      <w:r>
        <w:rPr>
          <w:rFonts w:ascii="Times New Roman" w:hAnsi="Times New Roman" w:cs="Times New Roman" w:eastAsia="Times New Roman" w:hint="default"/>
        </w:rPr>
        <w:t>8)</w:t>
      </w:r>
      <w:r>
        <w:rPr/>
        <w:t>转移其他应收款且继续涉入形成的资产、负债金额：无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4"/>
        <w:spacing w:line="240" w:lineRule="auto"/>
        <w:ind w:right="0"/>
        <w:jc w:val="left"/>
        <w:rPr>
          <w:b w:val="0"/>
          <w:bCs w:val="0"/>
        </w:rPr>
      </w:pPr>
      <w:bookmarkStart w:name="5、存货" w:id="230"/>
      <w:bookmarkEnd w:id="230"/>
      <w:r>
        <w:rPr>
          <w:b w:val="0"/>
          <w:bCs w:val="0"/>
        </w:rPr>
      </w:r>
      <w:r>
        <w:rPr>
          <w:rFonts w:ascii="Times New Roman" w:hAnsi="Times New Roman" w:cs="Times New Roman" w:eastAsia="Times New Roman" w:hint="default"/>
        </w:rPr>
        <w:t>5</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512"/>
        <w:jc w:val="left"/>
      </w:pPr>
      <w:r>
        <w:rPr/>
        <w:t>公司是否需要遵守房地产行业的披露要求 否</w:t>
      </w:r>
    </w:p>
    <w:p>
      <w:pPr>
        <w:spacing w:line="240" w:lineRule="auto" w:before="13"/>
        <w:rPr>
          <w:rFonts w:ascii="宋体" w:hAnsi="宋体" w:cs="宋体" w:eastAsia="宋体" w:hint="default"/>
          <w:sz w:val="19"/>
          <w:szCs w:val="19"/>
        </w:rPr>
      </w:pPr>
    </w:p>
    <w:p>
      <w:pPr>
        <w:pStyle w:val="Heading4"/>
        <w:spacing w:line="240" w:lineRule="auto"/>
        <w:ind w:right="0"/>
        <w:jc w:val="left"/>
        <w:rPr>
          <w:b w:val="0"/>
          <w:bCs w:val="0"/>
        </w:rPr>
      </w:pPr>
      <w:bookmarkStart w:name="（1）存货分类" w:id="231"/>
      <w:bookmarkEnd w:id="231"/>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4,058,106.67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299,531.44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3,758,575.23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5,318,790.60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290,453.79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5,028,336.81</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215,827.05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215,827.05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161,914.45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161,914.45</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4,273,933.72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299,531.44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3,974,402.28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5,480,705.05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290,453.79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5,190,251.26</w:t>
            </w:r>
          </w:p>
        </w:tc>
      </w:tr>
    </w:tbl>
    <w:p>
      <w:pPr>
        <w:pStyle w:val="BodyText"/>
        <w:spacing w:line="338" w:lineRule="auto" w:before="51"/>
        <w:ind w:right="2474"/>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3"/>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存货跌价准备" w:id="232"/>
      <w:bookmarkEnd w:id="232"/>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290,453.79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3,728.71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7,190.50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1,841.56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299,531.44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290,453.79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3,728.71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7,190.50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1,841.56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299,531.44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 存货期末余额含有借款费用资本化金额的说明" w:id="233"/>
      <w:bookmarkEnd w:id="233"/>
      <w:r>
        <w:rPr>
          <w:b w:val="0"/>
          <w:bCs w:val="0"/>
        </w:rPr>
      </w:r>
      <w:r>
        <w:rPr/>
        <w:t>（</w:t>
      </w:r>
      <w:r>
        <w:rPr>
          <w:rFonts w:ascii="Times New Roman" w:hAnsi="Times New Roman" w:cs="Times New Roman" w:eastAsia="Times New Roman" w:hint="default"/>
        </w:rPr>
        <w:t>3</w:t>
      </w:r>
      <w:r>
        <w:rPr/>
        <w:t>）</w:t>
      </w:r>
      <w:r>
        <w:rPr>
          <w:spacing w:val="81"/>
        </w:rPr>
        <w:t> </w:t>
      </w:r>
      <w:r>
        <w:rPr/>
        <w:t>存货期末余额含有借款费用资本化金额的说明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 期末建造合同形成的已完工未结算资产情况" w:id="234"/>
      <w:bookmarkEnd w:id="234"/>
      <w:r>
        <w:rPr>
          <w:b w:val="0"/>
          <w:bCs w:val="0"/>
        </w:rPr>
      </w:r>
      <w:r>
        <w:rPr/>
        <w:t>（</w:t>
      </w:r>
      <w:r>
        <w:rPr>
          <w:rFonts w:ascii="Times New Roman" w:hAnsi="Times New Roman" w:cs="Times New Roman" w:eastAsia="Times New Roman" w:hint="default"/>
        </w:rPr>
        <w:t>4</w:t>
      </w:r>
      <w:r>
        <w:rPr/>
        <w:t>）</w:t>
      </w:r>
      <w:r>
        <w:rPr>
          <w:spacing w:val="82"/>
        </w:rPr>
        <w:t> </w:t>
      </w:r>
      <w:r>
        <w:rPr/>
        <w:t>期末建造合同形成的已完工未结算资产情况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6、其他流动资产" w:id="235"/>
      <w:bookmarkEnd w:id="235"/>
      <w:r>
        <w:rPr>
          <w:b w:val="0"/>
          <w:bCs w:val="0"/>
        </w:rPr>
      </w:r>
      <w:r>
        <w:rPr>
          <w:rFonts w:ascii="Times New Roman" w:hAnsi="Times New Roman" w:cs="Times New Roman" w:eastAsia="Times New Roman" w:hint="default"/>
        </w:rPr>
        <w:t>6</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122,280,000.00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10,362,457.53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1,772,141.92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增值税待抵扣进项税额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2,389,132.56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17,437,802.05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135,031,590.09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162,209,943.97</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可供出售金融资产" w:id="236"/>
      <w:bookmarkEnd w:id="236"/>
      <w:r>
        <w:rPr>
          <w:b w:val="0"/>
          <w:bCs w:val="0"/>
        </w:rPr>
      </w:r>
      <w:r>
        <w:rPr>
          <w:rFonts w:ascii="Times New Roman" w:hAnsi="Times New Roman" w:cs="Times New Roman" w:eastAsia="Times New Roman" w:hint="default"/>
        </w:rPr>
        <w:t>7</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可供出售金融资产情况" w:id="237"/>
      <w:bookmarkEnd w:id="237"/>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205"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168,139,940.55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168,139,940.55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185,032,128.20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185,032,128.20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62,250,000.00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62,250,000.00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center"/>
              <w:rPr>
                <w:rFonts w:ascii="Times New Roman" w:hAnsi="Times New Roman" w:cs="Times New Roman" w:eastAsia="Times New Roman" w:hint="default"/>
                <w:sz w:val="18"/>
                <w:szCs w:val="18"/>
              </w:rPr>
            </w:pPr>
            <w:r>
              <w:rPr>
                <w:rFonts w:ascii="Times New Roman"/>
                <w:sz w:val="18"/>
              </w:rPr>
              <w:t>80,982,479.42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80,982,479.42</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105,889,940.55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105,889,940.55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104,049,648.78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104,049,648.78</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168,139,940.55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168,139,940.55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185,032,128.20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185,032,128.20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期末按公允价值计量的可供出售金融资产" w:id="238"/>
      <w:bookmarkEnd w:id="238"/>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209"/>
        <w:gridCol w:w="3243"/>
        <w:gridCol w:w="3231"/>
      </w:tblGrid>
      <w:tr>
        <w:trPr>
          <w:trHeight w:val="402" w:hRule="exact"/>
        </w:trPr>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9"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3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0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债务工具的摊余成本</w:t>
            </w:r>
          </w:p>
        </w:tc>
        <w:tc>
          <w:tcPr>
            <w:tcW w:w="32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29,057,630.00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29,057,630.00</w:t>
            </w:r>
          </w:p>
        </w:tc>
      </w:tr>
      <w:tr>
        <w:trPr>
          <w:trHeight w:val="402" w:hRule="exact"/>
        </w:trPr>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32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62,250,000.00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62,250,000.00</w:t>
            </w:r>
          </w:p>
        </w:tc>
      </w:tr>
      <w:tr>
        <w:trPr>
          <w:trHeight w:val="715" w:hRule="exact"/>
        </w:trPr>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26"/>
              <w:jc w:val="left"/>
              <w:rPr>
                <w:rFonts w:ascii="宋体" w:hAnsi="宋体" w:cs="宋体" w:eastAsia="宋体" w:hint="default"/>
                <w:sz w:val="18"/>
                <w:szCs w:val="18"/>
              </w:rPr>
            </w:pPr>
            <w:r>
              <w:rPr>
                <w:rFonts w:ascii="宋体" w:hAnsi="宋体" w:cs="宋体" w:eastAsia="宋体" w:hint="default"/>
                <w:sz w:val="18"/>
                <w:szCs w:val="18"/>
              </w:rPr>
              <w:t>累计计入其他综合收益的公允价值变动 金额</w:t>
            </w:r>
          </w:p>
        </w:tc>
        <w:tc>
          <w:tcPr>
            <w:tcW w:w="32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33,192,370.00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33,192,370.00</w:t>
            </w:r>
          </w:p>
        </w:tc>
      </w:tr>
    </w:tbl>
    <w:p>
      <w:pPr>
        <w:pStyle w:val="BodyText"/>
        <w:spacing w:line="240" w:lineRule="auto" w:before="51"/>
        <w:ind w:right="0"/>
        <w:jc w:val="left"/>
      </w:pPr>
      <w:r>
        <w:rPr/>
        <w:t>上述股权投资的公允价值计量方法详见附注</w:t>
      </w: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t>。</w:t>
      </w:r>
    </w:p>
    <w:p>
      <w:pPr>
        <w:spacing w:after="0" w:line="240" w:lineRule="auto"/>
        <w:jc w:val="left"/>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4"/>
        <w:spacing w:line="240" w:lineRule="auto" w:before="35"/>
        <w:ind w:right="0"/>
        <w:jc w:val="left"/>
        <w:rPr>
          <w:b w:val="0"/>
          <w:bCs w:val="0"/>
        </w:rPr>
      </w:pPr>
      <w:bookmarkStart w:name="（3）期末按成本计量的可供出售金融资产" w:id="239"/>
      <w:bookmarkEnd w:id="239"/>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4"/>
        <w:gridCol w:w="1181"/>
        <w:gridCol w:w="1001"/>
        <w:gridCol w:w="534"/>
        <w:gridCol w:w="1181"/>
        <w:gridCol w:w="336"/>
        <w:gridCol w:w="535"/>
        <w:gridCol w:w="536"/>
        <w:gridCol w:w="336"/>
        <w:gridCol w:w="1300"/>
        <w:gridCol w:w="734"/>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4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89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4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84" w:right="103" w:hanging="180"/>
              <w:jc w:val="left"/>
              <w:rPr>
                <w:rFonts w:ascii="宋体" w:hAnsi="宋体" w:cs="宋体" w:eastAsia="宋体" w:hint="default"/>
                <w:sz w:val="18"/>
                <w:szCs w:val="18"/>
              </w:rPr>
            </w:pPr>
            <w:r>
              <w:rPr>
                <w:rFonts w:ascii="宋体" w:hAnsi="宋体" w:cs="宋体" w:eastAsia="宋体" w:hint="default"/>
                <w:sz w:val="18"/>
                <w:szCs w:val="18"/>
              </w:rPr>
              <w:t>在被投资单位 持股比例</w:t>
            </w:r>
          </w:p>
        </w:tc>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92" w:right="90"/>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0"/>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期 初</w:t>
            </w:r>
          </w:p>
        </w:tc>
        <w:tc>
          <w:tcPr>
            <w:tcW w:w="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0"/>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2"/>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1" w:right="72"/>
              <w:jc w:val="left"/>
              <w:rPr>
                <w:rFonts w:ascii="宋体" w:hAnsi="宋体" w:cs="宋体" w:eastAsia="宋体" w:hint="default"/>
                <w:sz w:val="18"/>
                <w:szCs w:val="18"/>
              </w:rPr>
            </w:pPr>
            <w:r>
              <w:rPr>
                <w:rFonts w:ascii="宋体" w:hAnsi="宋体" w:cs="宋体" w:eastAsia="宋体" w:hint="default"/>
                <w:sz w:val="18"/>
                <w:szCs w:val="18"/>
              </w:rPr>
              <w:t>期 末</w:t>
            </w:r>
          </w:p>
        </w:tc>
        <w:tc>
          <w:tcPr>
            <w:tcW w:w="1300" w:type="dxa"/>
            <w:vMerge/>
            <w:tcBorders>
              <w:left w:val="single" w:sz="4" w:space="0" w:color="000000"/>
              <w:bottom w:val="single" w:sz="4" w:space="0" w:color="000000"/>
              <w:right w:val="single" w:sz="4" w:space="0" w:color="000000"/>
            </w:tcBorders>
            <w:shd w:val="clear" w:color="auto" w:fill="D2D2D2"/>
          </w:tcPr>
          <w:p>
            <w:pPr/>
          </w:p>
        </w:tc>
        <w:tc>
          <w:tcPr>
            <w:tcW w:w="73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GLOBETOUCH</w:t>
            </w:r>
            <w:r>
              <w:rPr>
                <w:rFonts w:ascii="Times New Roman"/>
                <w:spacing w:val="-5"/>
                <w:sz w:val="18"/>
              </w:rPr>
              <w:t> </w:t>
            </w:r>
            <w:r>
              <w:rPr>
                <w:rFonts w:ascii="Times New Roman"/>
                <w:sz w:val="18"/>
              </w:rPr>
              <w:t>INC.</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19,602,580.40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 w:right="0"/>
              <w:jc w:val="center"/>
              <w:rPr>
                <w:rFonts w:ascii="Times New Roman" w:hAnsi="Times New Roman" w:cs="Times New Roman" w:eastAsia="Times New Roman" w:hint="default"/>
                <w:sz w:val="18"/>
                <w:szCs w:val="18"/>
              </w:rPr>
            </w:pPr>
            <w:r>
              <w:rPr>
                <w:rFonts w:ascii="Times New Roman"/>
                <w:sz w:val="18"/>
              </w:rPr>
              <w:t>986,999.01</w:t>
            </w:r>
          </w:p>
        </w:tc>
        <w:tc>
          <w:tcPr>
            <w:tcW w:w="5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20,589,579.41</w:t>
            </w:r>
          </w:p>
        </w:tc>
        <w:tc>
          <w:tcPr>
            <w:tcW w:w="33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w:t>
            </w: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49"/>
              <w:jc w:val="left"/>
              <w:rPr>
                <w:rFonts w:ascii="Times New Roman" w:hAnsi="Times New Roman" w:cs="Times New Roman" w:eastAsia="Times New Roman" w:hint="default"/>
                <w:sz w:val="18"/>
                <w:szCs w:val="18"/>
              </w:rPr>
            </w:pPr>
            <w:r>
              <w:rPr>
                <w:rFonts w:ascii="Times New Roman"/>
                <w:sz w:val="18"/>
              </w:rPr>
              <w:t>Old Dominion</w:t>
            </w:r>
            <w:r>
              <w:rPr>
                <w:rFonts w:ascii="Times New Roman"/>
                <w:spacing w:val="-4"/>
                <w:sz w:val="18"/>
              </w:rPr>
              <w:t> </w:t>
            </w:r>
            <w:r>
              <w:rPr>
                <w:rFonts w:ascii="Times New Roman"/>
                <w:sz w:val="18"/>
              </w:rPr>
              <w:t>National</w:t>
            </w:r>
            <w:r>
              <w:rPr>
                <w:rFonts w:ascii="Times New Roman"/>
                <w:sz w:val="18"/>
              </w:rPr>
              <w:t> Bank</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7,841,040.00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394,800.00</w:t>
            </w:r>
          </w:p>
        </w:tc>
        <w:tc>
          <w:tcPr>
            <w:tcW w:w="5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8,235,840.00</w:t>
            </w:r>
          </w:p>
        </w:tc>
        <w:tc>
          <w:tcPr>
            <w:tcW w:w="33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1.74%</w:t>
            </w: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北京慧友云商科技有限 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33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12.16%</w:t>
            </w: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91"/>
              <w:jc w:val="left"/>
              <w:rPr>
                <w:rFonts w:ascii="Times New Roman" w:hAnsi="Times New Roman" w:cs="Times New Roman" w:eastAsia="Times New Roman" w:hint="default"/>
                <w:sz w:val="18"/>
                <w:szCs w:val="18"/>
              </w:rPr>
            </w:pPr>
            <w:r>
              <w:rPr>
                <w:rFonts w:ascii="Times New Roman"/>
                <w:spacing w:val="-4"/>
                <w:sz w:val="18"/>
              </w:rPr>
              <w:t>Yulore</w:t>
            </w:r>
            <w:r>
              <w:rPr>
                <w:rFonts w:ascii="Times New Roman"/>
                <w:spacing w:val="-13"/>
                <w:sz w:val="18"/>
              </w:rPr>
              <w:t> </w:t>
            </w:r>
            <w:r>
              <w:rPr>
                <w:rFonts w:ascii="Times New Roman"/>
                <w:sz w:val="18"/>
              </w:rPr>
              <w:t>Technology</w:t>
            </w:r>
            <w:r>
              <w:rPr>
                <w:rFonts w:ascii="Times New Roman"/>
                <w:w w:val="99"/>
                <w:sz w:val="18"/>
              </w:rPr>
              <w:t> </w:t>
            </w:r>
            <w:r>
              <w:rPr>
                <w:rFonts w:ascii="Times New Roman"/>
                <w:sz w:val="18"/>
              </w:rPr>
              <w:t>Limited</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9,106,028.38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458,492.76</w:t>
            </w:r>
          </w:p>
        </w:tc>
        <w:tc>
          <w:tcPr>
            <w:tcW w:w="5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9,564,521.14</w:t>
            </w:r>
          </w:p>
        </w:tc>
        <w:tc>
          <w:tcPr>
            <w:tcW w:w="33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17.37%</w:t>
            </w: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北京致远互联软件股份 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52,500,000.00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52,500,000.00</w:t>
            </w:r>
          </w:p>
        </w:tc>
        <w:tc>
          <w:tcPr>
            <w:tcW w:w="33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6.49%</w:t>
            </w: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104,049,648.78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1,840,291.77</w:t>
            </w:r>
          </w:p>
        </w:tc>
        <w:tc>
          <w:tcPr>
            <w:tcW w:w="5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105,889,940.55</w:t>
            </w:r>
          </w:p>
        </w:tc>
        <w:tc>
          <w:tcPr>
            <w:tcW w:w="33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 报告期内可供出售金融资产减值的变动情况" w:id="240"/>
      <w:bookmarkEnd w:id="240"/>
      <w:r>
        <w:rPr>
          <w:b w:val="0"/>
          <w:bCs w:val="0"/>
        </w:rPr>
      </w:r>
      <w:r>
        <w:rPr/>
        <w:t>（</w:t>
      </w:r>
      <w:r>
        <w:rPr>
          <w:rFonts w:ascii="Times New Roman" w:hAnsi="Times New Roman" w:cs="Times New Roman" w:eastAsia="Times New Roman" w:hint="default"/>
        </w:rPr>
        <w:t>5</w:t>
      </w:r>
      <w:r>
        <w:rPr/>
        <w:t>）</w:t>
      </w:r>
      <w:r>
        <w:rPr>
          <w:spacing w:val="82"/>
        </w:rPr>
        <w:t> </w:t>
      </w:r>
      <w:r>
        <w:rPr/>
        <w:t>报告期内可供出售金融资产减值的变动情况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 可供出售权益工具期末公允价值严重下跌或非暂时性下跌但未计提减值准备的相关" w:id="241"/>
      <w:bookmarkEnd w:id="241"/>
      <w:r>
        <w:rPr>
          <w:b w:val="0"/>
          <w:bCs w:val="0"/>
        </w:rPr>
      </w:r>
      <w:r>
        <w:rPr/>
        <w:t>（</w:t>
      </w:r>
      <w:r>
        <w:rPr>
          <w:rFonts w:ascii="Times New Roman" w:hAnsi="Times New Roman" w:cs="Times New Roman" w:eastAsia="Times New Roman" w:hint="default"/>
        </w:rPr>
        <w:t>6</w:t>
      </w:r>
      <w:r>
        <w:rPr/>
        <w:t>）</w:t>
      </w:r>
      <w:r>
        <w:rPr>
          <w:spacing w:val="77"/>
        </w:rPr>
        <w:t> </w:t>
      </w:r>
      <w:r>
        <w:rPr/>
        <w:t>可供出售权益工具期末公允价值严重下跌或非暂时性下跌但未计提减值准备的相关说明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10032"/>
        <w:jc w:val="left"/>
      </w:pPr>
      <w:r>
        <w:rPr/>
        <w:t>无 其他说明</w:t>
      </w:r>
    </w:p>
    <w:p>
      <w:pPr>
        <w:pStyle w:val="BodyText"/>
        <w:spacing w:line="316" w:lineRule="auto" w:before="26"/>
        <w:ind w:right="0" w:firstLine="487"/>
        <w:jc w:val="left"/>
      </w:pPr>
      <w:r>
        <w:rPr>
          <w:spacing w:val="-1"/>
        </w:rPr>
        <w:t>本集团对年末按成本计量的可供出售金融资产被投资单位不具有控制、共同控制或重大影响，该等投资未在公开市场</w:t>
      </w:r>
      <w:r>
        <w:rPr/>
        <w:t> 交易，公允价值不能可靠计量，故对其投资按成本计量。</w:t>
      </w:r>
    </w:p>
    <w:p>
      <w:pPr>
        <w:spacing w:after="0" w:line="316" w:lineRule="auto"/>
        <w:jc w:val="left"/>
        <w:sectPr>
          <w:pgSz w:w="11910" w:h="16840"/>
          <w:pgMar w:header="0" w:footer="979" w:top="1100" w:bottom="1160" w:left="980" w:right="0"/>
        </w:sectPr>
      </w:pPr>
    </w:p>
    <w:p>
      <w:pPr>
        <w:spacing w:line="240" w:lineRule="auto" w:before="13"/>
        <w:rPr>
          <w:rFonts w:ascii="宋体" w:hAnsi="宋体" w:cs="宋体" w:eastAsia="宋体" w:hint="default"/>
          <w:sz w:val="23"/>
          <w:szCs w:val="23"/>
        </w:rPr>
      </w:pPr>
    </w:p>
    <w:p>
      <w:pPr>
        <w:pStyle w:val="Heading4"/>
        <w:spacing w:line="240" w:lineRule="auto"/>
        <w:ind w:left="140" w:right="0"/>
        <w:jc w:val="left"/>
        <w:rPr>
          <w:b w:val="0"/>
          <w:bCs w:val="0"/>
        </w:rPr>
      </w:pPr>
      <w:r>
        <w:rPr/>
        <w:pict>
          <v:group style="position:absolute;margin-left:70.5pt;margin-top:-.39635pt;width:701pt;height:.1pt;mso-position-horizontal-relative:page;mso-position-vertical-relative:paragraph;z-index:1696" coordorigin="1410,-8" coordsize="14020,2">
            <v:shape style="position:absolute;left:1410;top:-8;width:14020;height:2" coordorigin="1410,-8" coordsize="14020,0" path="m1410,-8l15430,-8e" filled="false" stroked="true" strokeweight=".72pt" strokecolor="#000000">
              <v:path arrowok="t"/>
            </v:shape>
            <w10:wrap type="none"/>
          </v:group>
        </w:pict>
      </w:r>
      <w:bookmarkStart w:name="8、长期股权投资" w:id="242"/>
      <w:bookmarkEnd w:id="242"/>
      <w:r>
        <w:rPr>
          <w:b w:val="0"/>
          <w:bCs w:val="0"/>
        </w:rPr>
      </w:r>
      <w:r>
        <w:rPr>
          <w:rFonts w:ascii="Times New Roman" w:hAnsi="Times New Roman" w:cs="Times New Roman" w:eastAsia="Times New Roman" w:hint="default"/>
          <w:w w:val="95"/>
        </w:rPr>
        <w:t>8</w:t>
      </w:r>
      <w:r>
        <w:rPr>
          <w:w w:val="95"/>
        </w:rPr>
        <w:t>、长期股权投资</w:t>
      </w:r>
      <w:r>
        <w:rPr>
          <w:b w:val="0"/>
          <w:bCs w:val="0"/>
        </w:rPr>
      </w:r>
    </w:p>
    <w:p>
      <w:pPr>
        <w:pStyle w:val="BodyText"/>
        <w:spacing w:line="240" w:lineRule="auto" w:before="15"/>
        <w:ind w:left="140" w:right="0"/>
        <w:jc w:val="left"/>
      </w:pPr>
      <w:r>
        <w:rPr/>
        <w:br w:type="column"/>
      </w:r>
      <w:r>
        <w:rPr/>
        <w:t>二六三网络通信股份有限公司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after="0" w:line="240" w:lineRule="auto"/>
        <w:jc w:val="left"/>
        <w:sectPr>
          <w:headerReference w:type="default" r:id="rId34"/>
          <w:footerReference w:type="default" r:id="rId35"/>
          <w:pgSz w:w="16840" w:h="11910" w:orient="landscape"/>
          <w:pgMar w:header="0" w:footer="0" w:top="800" w:bottom="0" w:left="1300" w:right="1300"/>
          <w:cols w:num="2" w:equalWidth="0">
            <w:col w:w="1720" w:space="8189"/>
            <w:col w:w="4331"/>
          </w:cols>
        </w:sectPr>
      </w:pPr>
    </w:p>
    <w:p>
      <w:pPr>
        <w:spacing w:line="240" w:lineRule="auto" w:before="3"/>
        <w:rPr>
          <w:rFonts w:ascii="宋体" w:hAnsi="宋体" w:cs="宋体" w:eastAsia="宋体" w:hint="default"/>
          <w:sz w:val="23"/>
          <w:szCs w:val="23"/>
        </w:rPr>
      </w:pPr>
    </w:p>
    <w:p>
      <w:pPr>
        <w:pStyle w:val="BodyText"/>
        <w:spacing w:line="240" w:lineRule="auto" w:before="44"/>
        <w:ind w:left="0" w:right="136"/>
        <w:jc w:val="right"/>
      </w:pPr>
      <w:r>
        <w:rPr/>
        <w:t>单位： 元</w:t>
      </w: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116"/>
        <w:gridCol w:w="1001"/>
        <w:gridCol w:w="1091"/>
        <w:gridCol w:w="582"/>
        <w:gridCol w:w="1685"/>
        <w:gridCol w:w="1043"/>
        <w:gridCol w:w="812"/>
        <w:gridCol w:w="1388"/>
        <w:gridCol w:w="811"/>
        <w:gridCol w:w="352"/>
        <w:gridCol w:w="1091"/>
        <w:gridCol w:w="1043"/>
      </w:tblGrid>
      <w:tr>
        <w:trPr>
          <w:trHeight w:val="402" w:hRule="exact"/>
        </w:trPr>
        <w:tc>
          <w:tcPr>
            <w:tcW w:w="31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76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713" w:hRule="exact"/>
        </w:trPr>
        <w:tc>
          <w:tcPr>
            <w:tcW w:w="3116"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5" w:right="104"/>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6" w:right="27" w:hanging="630"/>
              <w:jc w:val="left"/>
              <w:rPr>
                <w:rFonts w:ascii="宋体" w:hAnsi="宋体" w:cs="宋体" w:eastAsia="宋体" w:hint="default"/>
                <w:sz w:val="18"/>
                <w:szCs w:val="18"/>
              </w:rPr>
            </w:pPr>
            <w:r>
              <w:rPr>
                <w:rFonts w:ascii="宋体" w:hAnsi="宋体" w:cs="宋体" w:eastAsia="宋体" w:hint="default"/>
                <w:sz w:val="18"/>
                <w:szCs w:val="18"/>
              </w:rPr>
              <w:t>权益法下确认的投资 损益</w:t>
            </w:r>
          </w:p>
        </w:tc>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5" w:right="65" w:hanging="180"/>
              <w:jc w:val="left"/>
              <w:rPr>
                <w:rFonts w:ascii="宋体" w:hAnsi="宋体" w:cs="宋体" w:eastAsia="宋体" w:hint="default"/>
                <w:sz w:val="18"/>
                <w:szCs w:val="18"/>
              </w:rPr>
            </w:pPr>
            <w:r>
              <w:rPr>
                <w:rFonts w:ascii="宋体" w:hAnsi="宋体" w:cs="宋体" w:eastAsia="宋体" w:hint="default"/>
                <w:sz w:val="18"/>
                <w:szCs w:val="18"/>
              </w:rPr>
              <w:t>其他综合收 益调整</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0" w:right="41"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8" w:right="59" w:hanging="270"/>
              <w:jc w:val="left"/>
              <w:rPr>
                <w:rFonts w:ascii="宋体" w:hAnsi="宋体" w:cs="宋体" w:eastAsia="宋体" w:hint="default"/>
                <w:sz w:val="18"/>
                <w:szCs w:val="18"/>
              </w:rPr>
            </w:pPr>
            <w:r>
              <w:rPr>
                <w:rFonts w:ascii="宋体" w:hAnsi="宋体" w:cs="宋体" w:eastAsia="宋体" w:hint="default"/>
                <w:sz w:val="18"/>
                <w:szCs w:val="18"/>
              </w:rPr>
              <w:t>宣告发放现金股 利或利润</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0" w:right="38"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0" w:right="79"/>
              <w:jc w:val="left"/>
              <w:rPr>
                <w:rFonts w:ascii="宋体" w:hAnsi="宋体" w:cs="宋体" w:eastAsia="宋体" w:hint="default"/>
                <w:sz w:val="18"/>
                <w:szCs w:val="18"/>
              </w:rPr>
            </w:pPr>
            <w:r>
              <w:rPr>
                <w:rFonts w:ascii="宋体" w:hAnsi="宋体" w:cs="宋体" w:eastAsia="宋体" w:hint="default"/>
                <w:sz w:val="18"/>
                <w:szCs w:val="18"/>
              </w:rPr>
              <w:t>其 他</w:t>
            </w:r>
          </w:p>
        </w:tc>
        <w:tc>
          <w:tcPr>
            <w:tcW w:w="1091" w:type="dxa"/>
            <w:vMerge/>
            <w:tcBorders>
              <w:left w:val="single" w:sz="4" w:space="0" w:color="000000"/>
              <w:bottom w:val="single" w:sz="4" w:space="0" w:color="000000"/>
              <w:right w:val="single" w:sz="4" w:space="0" w:color="000000"/>
            </w:tcBorders>
            <w:shd w:val="clear" w:color="auto" w:fill="D2D2D2"/>
          </w:tcPr>
          <w:p>
            <w:pPr/>
          </w:p>
        </w:tc>
        <w:tc>
          <w:tcPr>
            <w:tcW w:w="104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01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1401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北京创新为营网络通信科技有限公司</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创新为营</w:t>
            </w:r>
            <w:r>
              <w:rPr>
                <w:rFonts w:ascii="Times New Roman" w:hAnsi="Times New Roman" w:cs="Times New Roman" w:eastAsia="Times New Roman" w:hint="default"/>
                <w:sz w:val="18"/>
                <w:szCs w:val="18"/>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1,699,404.45</w:t>
            </w:r>
          </w:p>
        </w:tc>
        <w:tc>
          <w:tcPr>
            <w:tcW w:w="1091"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23,628.83</w:t>
            </w:r>
          </w:p>
        </w:tc>
        <w:tc>
          <w:tcPr>
            <w:tcW w:w="1043"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1,723,033.28</w:t>
            </w:r>
          </w:p>
        </w:tc>
        <w:tc>
          <w:tcPr>
            <w:tcW w:w="104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2" w:right="200"/>
              <w:jc w:val="left"/>
              <w:rPr>
                <w:rFonts w:ascii="Times New Roman" w:hAnsi="Times New Roman" w:cs="Times New Roman" w:eastAsia="Times New Roman" w:hint="default"/>
                <w:sz w:val="18"/>
                <w:szCs w:val="18"/>
              </w:rPr>
            </w:pPr>
            <w:r>
              <w:rPr>
                <w:rFonts w:ascii="宋体" w:hAnsi="宋体" w:cs="宋体" w:eastAsia="宋体" w:hint="default"/>
                <w:sz w:val="18"/>
                <w:szCs w:val="18"/>
              </w:rPr>
              <w:t>易美云</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信息技术有限公司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易美云</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4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北京企飞力网络科技有限公司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企飞力</w:t>
            </w:r>
            <w:r>
              <w:rPr>
                <w:rFonts w:ascii="Times New Roman" w:hAnsi="Times New Roman" w:cs="Times New Roman" w:eastAsia="Times New Roman" w:hint="default"/>
                <w:sz w:val="18"/>
                <w:szCs w:val="18"/>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1,981,322.43</w:t>
            </w:r>
          </w:p>
        </w:tc>
        <w:tc>
          <w:tcPr>
            <w:tcW w:w="1091"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80,240.83</w:t>
            </w:r>
          </w:p>
        </w:tc>
        <w:tc>
          <w:tcPr>
            <w:tcW w:w="1043"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2,061,563.26</w:t>
            </w:r>
          </w:p>
        </w:tc>
        <w:tc>
          <w:tcPr>
            <w:tcW w:w="104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苏州龙遨泛人工智能高科技投资中心</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20,000,000.00</w:t>
            </w:r>
          </w:p>
        </w:tc>
        <w:tc>
          <w:tcPr>
            <w:tcW w:w="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-1,186,941.30</w:t>
            </w:r>
          </w:p>
        </w:tc>
        <w:tc>
          <w:tcPr>
            <w:tcW w:w="1043"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18,813,058.70</w:t>
            </w:r>
          </w:p>
        </w:tc>
        <w:tc>
          <w:tcPr>
            <w:tcW w:w="10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3,680,726.88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20,000,000.00</w:t>
            </w:r>
          </w:p>
        </w:tc>
        <w:tc>
          <w:tcPr>
            <w:tcW w:w="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-1,083,071.64</w:t>
            </w:r>
          </w:p>
        </w:tc>
        <w:tc>
          <w:tcPr>
            <w:tcW w:w="1043"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22,597,655.24</w:t>
            </w:r>
          </w:p>
        </w:tc>
        <w:tc>
          <w:tcPr>
            <w:tcW w:w="10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3,680,726.88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20,000,000.00</w:t>
            </w:r>
          </w:p>
        </w:tc>
        <w:tc>
          <w:tcPr>
            <w:tcW w:w="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-1,083,071.64</w:t>
            </w:r>
          </w:p>
        </w:tc>
        <w:tc>
          <w:tcPr>
            <w:tcW w:w="1043"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22,597,655.24</w:t>
            </w:r>
          </w:p>
        </w:tc>
        <w:tc>
          <w:tcPr>
            <w:tcW w:w="104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40" w:right="11018"/>
        <w:jc w:val="left"/>
      </w:pPr>
      <w:r>
        <w:rPr/>
        <w:t>其他说明 注：易美云已于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月完成注销。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before="76"/>
        <w:ind w:left="6445" w:right="7072" w:firstLine="0"/>
        <w:jc w:val="center"/>
        <w:rPr>
          <w:rFonts w:ascii="Times New Roman" w:hAnsi="Times New Roman" w:cs="Times New Roman" w:eastAsia="Times New Roman" w:hint="default"/>
          <w:sz w:val="18"/>
          <w:szCs w:val="18"/>
        </w:rPr>
      </w:pPr>
      <w:r>
        <w:rPr>
          <w:rFonts w:ascii="Times New Roman"/>
          <w:b/>
          <w:sz w:val="18"/>
        </w:rPr>
        <w:t>119 </w:t>
      </w:r>
      <w:r>
        <w:rPr>
          <w:rFonts w:ascii="Times New Roman"/>
          <w:sz w:val="18"/>
        </w:rPr>
        <w:t>/</w:t>
      </w:r>
      <w:r>
        <w:rPr>
          <w:rFonts w:ascii="Times New Roman"/>
          <w:spacing w:val="1"/>
          <w:sz w:val="18"/>
        </w:rPr>
        <w:t> </w:t>
      </w:r>
      <w:r>
        <w:rPr>
          <w:rFonts w:ascii="Times New Roman"/>
          <w:b/>
          <w:sz w:val="18"/>
        </w:rPr>
        <w:t>178</w:t>
      </w:r>
      <w:r>
        <w:rPr>
          <w:rFonts w:ascii="Times New Roman"/>
          <w:sz w:val="18"/>
        </w:rPr>
      </w:r>
    </w:p>
    <w:p>
      <w:pPr>
        <w:spacing w:line="240" w:lineRule="auto" w:before="0"/>
        <w:rPr>
          <w:rFonts w:ascii="Times New Roman" w:hAnsi="Times New Roman" w:cs="Times New Roman" w:eastAsia="Times New Roman" w:hint="default"/>
          <w:b/>
          <w:bCs/>
          <w:sz w:val="20"/>
          <w:szCs w:val="20"/>
        </w:rPr>
      </w:pPr>
    </w:p>
    <w:p>
      <w:pPr>
        <w:spacing w:line="240" w:lineRule="auto" w:before="3"/>
        <w:rPr>
          <w:rFonts w:ascii="Times New Roman" w:hAnsi="Times New Roman" w:cs="Times New Roman" w:eastAsia="Times New Roman" w:hint="default"/>
          <w:b/>
          <w:bCs/>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1" name="image1.jpeg" descr=""/>
            <wp:cNvGraphicFramePr>
              <a:graphicFrameLocks noChangeAspect="1"/>
            </wp:cNvGraphicFramePr>
            <a:graphic>
              <a:graphicData uri="http://schemas.openxmlformats.org/drawingml/2006/picture">
                <pic:pic>
                  <pic:nvPicPr>
                    <pic:cNvPr id="12"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300"/>
        </w:sectPr>
      </w:pPr>
    </w:p>
    <w:p>
      <w:pPr>
        <w:spacing w:line="240" w:lineRule="auto" w:before="7"/>
        <w:rPr>
          <w:rFonts w:ascii="Times New Roman" w:hAnsi="Times New Roman" w:cs="Times New Roman" w:eastAsia="Times New Roman" w:hint="default"/>
          <w:b/>
          <w:bCs/>
          <w:sz w:val="23"/>
          <w:szCs w:val="23"/>
        </w:rPr>
      </w:pPr>
    </w:p>
    <w:p>
      <w:pPr>
        <w:pStyle w:val="Heading4"/>
        <w:spacing w:line="240" w:lineRule="auto" w:before="35"/>
        <w:ind w:right="0"/>
        <w:jc w:val="left"/>
        <w:rPr>
          <w:b w:val="0"/>
          <w:bCs w:val="0"/>
        </w:rPr>
      </w:pPr>
      <w:bookmarkStart w:name="9、投资性房地产" w:id="243"/>
      <w:bookmarkEnd w:id="243"/>
      <w:r>
        <w:rPr>
          <w:b w:val="0"/>
          <w:bCs w:val="0"/>
        </w:rPr>
      </w:r>
      <w:r>
        <w:rPr>
          <w:rFonts w:ascii="Times New Roman" w:hAnsi="Times New Roman" w:cs="Times New Roman" w:eastAsia="Times New Roman" w:hint="default"/>
        </w:rPr>
        <w:t>9</w:t>
      </w:r>
      <w:r>
        <w:rPr/>
        <w:t>、投资性房地产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投资性房地产" w:id="244"/>
      <w:bookmarkEnd w:id="244"/>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32,549,390.44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7,801,834.80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40,351,225.24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1,638,876.90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392,826.00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2,031,702.90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）汇率变动影响</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1,638,876.90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392,826.00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2,031,702.90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34,188,267.34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8,194,660.80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42,382,928.14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2,016,949.28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2,016,949.28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978,176.53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978,176.53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845,573.68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845,573.68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）汇率变动影响</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132,602.85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132,602.85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2,995,125.81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2,995,125.81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31,193,141.53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8,194,660.80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39,387,802.33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30,532,441.16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7,801,834.80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38,334,275.96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采用公允价值计量模式的投资性房地产" w:id="245"/>
      <w:bookmarkEnd w:id="245"/>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未办妥产权证书的投资性房地产情况" w:id="246"/>
      <w:bookmarkEnd w:id="246"/>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footerReference w:type="default" r:id="rId36"/>
          <w:pgSz w:w="11910" w:h="16840"/>
          <w:pgMar w:footer="979" w:header="0" w:top="1100" w:bottom="1160" w:left="980" w:right="0"/>
          <w:pgNumType w:start="12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10、固定资产" w:id="247"/>
      <w:bookmarkEnd w:id="247"/>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152,689,452.45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171,552,704.77</w:t>
            </w: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152,689,452.45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171,552,704.77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固定资产情况" w:id="248"/>
      <w:bookmarkEnd w:id="24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714" w:right="20" w:hanging="680"/>
              <w:jc w:val="left"/>
              <w:rPr>
                <w:rFonts w:ascii="宋体" w:hAnsi="宋体" w:cs="宋体" w:eastAsia="宋体" w:hint="default"/>
                <w:sz w:val="18"/>
                <w:szCs w:val="18"/>
              </w:rPr>
            </w:pPr>
            <w:r>
              <w:rPr>
                <w:rFonts w:ascii="宋体" w:hAnsi="宋体" w:cs="宋体" w:eastAsia="宋体" w:hint="default"/>
                <w:spacing w:val="-10"/>
                <w:sz w:val="18"/>
                <w:szCs w:val="18"/>
              </w:rPr>
              <w:t>房屋及建筑物、构筑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37,704,760.07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338,480,150.07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2,484,303.06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13,014,101.99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391,683,315.19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18,722,449.38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401,348.62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636,861.72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19,760,659.72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14,474,034.58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299,272.76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14,773,307.34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60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1,930,517.47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1,930,517.47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60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264,560.21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386,186.97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160,552.79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811,299.97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汇率变动影响</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2,053,337.12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15,161.65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177,036.17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2,245,534.94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11,204,578.35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520,536.55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11,725,114.90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11,204,578.35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520,536.55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11,725,114.90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37,704,760.07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345,998,021.10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2,885,651.68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13,130,427.16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399,718,860.01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12,571,670.61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192,546,038.27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2,237,789.54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10,808,296.23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218,163,794.65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871,607.41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35,208,267.05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181,782.19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1,268,274.36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37,529,931.01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871,607.41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33,568,967.99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118,304.22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1,002,036.44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35,560,916.06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57,371.28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61,146.25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136,878.17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255,395.70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汇率变动影响</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1,581,927.78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2,331.72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129,359.75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1,713,619.25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10,147,756.60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472,597.22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10,620,353.82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10,147,756.60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472,597.22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10,620,353.82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13,443,278.02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217,606,548.72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2,419,571.73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11,603,973.37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245,073,371.84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1,934,655.66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32,160.11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1,966,815.77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4,418.58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10,780.05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714" w:hRule="exact"/>
        </w:trPr>
        <w:tc>
          <w:tcPr>
            <w:tcW w:w="159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703" w:right="20" w:hanging="680"/>
              <w:jc w:val="left"/>
              <w:rPr>
                <w:rFonts w:ascii="宋体" w:hAnsi="宋体" w:cs="宋体" w:eastAsia="宋体" w:hint="default"/>
                <w:sz w:val="18"/>
                <w:szCs w:val="18"/>
              </w:rPr>
            </w:pPr>
            <w:r>
              <w:rPr>
                <w:rFonts w:ascii="宋体" w:hAnsi="宋体" w:cs="宋体" w:eastAsia="宋体" w:hint="default"/>
                <w:spacing w:val="-10"/>
                <w:sz w:val="18"/>
                <w:szCs w:val="18"/>
              </w:rPr>
              <w:t>房屋及建筑物、构筑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4,418.58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10,780.05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1,930,237.08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25,798.64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1,956,035.72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24,261,482.05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126,461,235.30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466,079.95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1,500,655.15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152,689,452.45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25,133,089.46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143,999,456.14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246,513.52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2,173,645.65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171,552,704.77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暂时闲置的固定资产情况" w:id="249"/>
      <w:bookmarkEnd w:id="249"/>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通过融资租赁租入的固定资产情况" w:id="250"/>
      <w:bookmarkEnd w:id="250"/>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通过经营租赁租出的固定资产" w:id="251"/>
      <w:bookmarkEnd w:id="251"/>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未办妥产权证书的固定资产情况" w:id="252"/>
      <w:bookmarkEnd w:id="252"/>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日，本集团无未办妥产权证书的固定资产</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日：人民币</w:t>
      </w:r>
      <w:r>
        <w:rPr>
          <w:rFonts w:ascii="宋体" w:hAnsi="宋体" w:cs="宋体" w:eastAsia="宋体" w:hint="default"/>
        </w:rPr>
        <w:t>16,354,375.53</w:t>
      </w:r>
      <w:r>
        <w:rPr/>
        <w:t>元</w:t>
      </w:r>
      <w:r>
        <w:rPr>
          <w:rFonts w:ascii="宋体" w:hAnsi="宋体" w:cs="宋体" w:eastAsia="宋体" w:hint="default"/>
        </w:rPr>
        <w:t>)</w:t>
      </w:r>
      <w:r>
        <w:rPr/>
        <w:t>。</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固定资产清理" w:id="253"/>
      <w:bookmarkEnd w:id="253"/>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10032"/>
        <w:jc w:val="left"/>
      </w:pPr>
      <w:r>
        <w:rPr/>
        <w:t>无 其他说明</w:t>
      </w:r>
    </w:p>
    <w:p>
      <w:pPr>
        <w:pStyle w:val="BodyText"/>
        <w:spacing w:line="240" w:lineRule="auto" w:before="26"/>
        <w:ind w:left="514" w:right="0"/>
        <w:jc w:val="left"/>
      </w:pPr>
      <w:r>
        <w:rPr/>
        <w:t>抵押的固定资产情况：于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日，本集团无抵押固定资产的情况</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日：无</w:t>
      </w:r>
      <w:r>
        <w:rPr>
          <w:rFonts w:ascii="宋体" w:hAnsi="宋体" w:cs="宋体" w:eastAsia="宋体" w:hint="default"/>
        </w:rPr>
        <w:t>)</w:t>
      </w:r>
      <w:r>
        <w:rPr/>
        <w:t>。</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11、在建工程" w:id="254"/>
      <w:bookmarkEnd w:id="254"/>
      <w:r>
        <w:rPr>
          <w:b w:val="0"/>
          <w:bCs w:val="0"/>
        </w:rPr>
      </w:r>
      <w:r>
        <w:rPr>
          <w:rFonts w:ascii="Times New Roman" w:hAnsi="Times New Roman" w:cs="Times New Roman" w:eastAsia="Times New Roman" w:hint="default"/>
        </w:rPr>
        <w:t>11</w:t>
      </w:r>
      <w:r>
        <w:rPr/>
        <w:t>、在建工程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617,683.78</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1,627,878.41</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617,683.78</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1,627,878.41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1）在建工程情况" w:id="255"/>
      <w:bookmarkEnd w:id="255"/>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93"/>
              <w:jc w:val="left"/>
              <w:rPr>
                <w:rFonts w:ascii="宋体" w:hAnsi="宋体" w:cs="宋体" w:eastAsia="宋体" w:hint="default"/>
                <w:sz w:val="18"/>
                <w:szCs w:val="18"/>
              </w:rPr>
            </w:pPr>
            <w:r>
              <w:rPr>
                <w:rFonts w:ascii="宋体" w:hAnsi="宋体" w:cs="宋体" w:eastAsia="宋体" w:hint="default"/>
                <w:sz w:val="18"/>
                <w:szCs w:val="18"/>
              </w:rPr>
              <w:t>上海奈盛</w:t>
            </w:r>
            <w:r>
              <w:rPr>
                <w:rFonts w:ascii="Times New Roman" w:hAnsi="Times New Roman" w:cs="Times New Roman" w:eastAsia="Times New Roman" w:hint="default"/>
                <w:sz w:val="18"/>
                <w:szCs w:val="18"/>
              </w:rPr>
              <w:t>-</w:t>
            </w:r>
            <w:r>
              <w:rPr>
                <w:rFonts w:ascii="宋体" w:hAnsi="宋体" w:cs="宋体" w:eastAsia="宋体" w:hint="default"/>
                <w:sz w:val="18"/>
                <w:szCs w:val="18"/>
              </w:rPr>
              <w:t>机房 改造项目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550,959.64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550,959.64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3"/>
              <w:jc w:val="left"/>
              <w:rPr>
                <w:rFonts w:ascii="宋体" w:hAnsi="宋体" w:cs="宋体" w:eastAsia="宋体" w:hint="default"/>
                <w:sz w:val="18"/>
                <w:szCs w:val="18"/>
              </w:rPr>
            </w:pPr>
            <w:r>
              <w:rPr>
                <w:rFonts w:ascii="宋体" w:hAnsi="宋体" w:cs="宋体" w:eastAsia="宋体" w:hint="default"/>
                <w:sz w:val="18"/>
                <w:szCs w:val="18"/>
              </w:rPr>
              <w:t>上海奈盛</w:t>
            </w:r>
            <w:r>
              <w:rPr>
                <w:rFonts w:ascii="Times New Roman" w:hAnsi="Times New Roman" w:cs="Times New Roman" w:eastAsia="Times New Roman" w:hint="default"/>
                <w:sz w:val="18"/>
                <w:szCs w:val="18"/>
              </w:rPr>
              <w:t>-NOMS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二期开发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66,724.14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66,724.14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93"/>
              <w:jc w:val="left"/>
              <w:rPr>
                <w:rFonts w:ascii="宋体" w:hAnsi="宋体" w:cs="宋体" w:eastAsia="宋体" w:hint="default"/>
                <w:sz w:val="18"/>
                <w:szCs w:val="18"/>
              </w:rPr>
            </w:pPr>
            <w:r>
              <w:rPr>
                <w:rFonts w:ascii="宋体" w:hAnsi="宋体" w:cs="宋体" w:eastAsia="宋体" w:hint="default"/>
                <w:sz w:val="18"/>
                <w:szCs w:val="18"/>
              </w:rPr>
              <w:t>广州移动</w:t>
            </w:r>
            <w:r>
              <w:rPr>
                <w:rFonts w:ascii="Times New Roman" w:hAnsi="Times New Roman" w:cs="Times New Roman" w:eastAsia="Times New Roman" w:hint="default"/>
                <w:sz w:val="18"/>
                <w:szCs w:val="18"/>
              </w:rPr>
              <w:t>-</w:t>
            </w:r>
            <w:r>
              <w:rPr>
                <w:rFonts w:ascii="宋体" w:hAnsi="宋体" w:cs="宋体" w:eastAsia="宋体" w:hint="default"/>
                <w:sz w:val="18"/>
                <w:szCs w:val="18"/>
              </w:rPr>
              <w:t>企业 手机项目平台</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1,627,878.41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1,627,878.41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617,683.78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617,683.78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1,627,878.41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1,627,878.41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重要在建工程项目本期变动情况" w:id="256"/>
      <w:bookmarkEnd w:id="256"/>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79"/>
        <w:gridCol w:w="1001"/>
        <w:gridCol w:w="1001"/>
        <w:gridCol w:w="905"/>
        <w:gridCol w:w="1127"/>
        <w:gridCol w:w="420"/>
        <w:gridCol w:w="865"/>
        <w:gridCol w:w="897"/>
        <w:gridCol w:w="712"/>
        <w:gridCol w:w="448"/>
        <w:gridCol w:w="679"/>
        <w:gridCol w:w="420"/>
        <w:gridCol w:w="314"/>
      </w:tblGrid>
      <w:tr>
        <w:trPr>
          <w:trHeight w:val="1650" w:hRule="exact"/>
        </w:trPr>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66" w:right="87" w:hanging="180"/>
              <w:jc w:val="left"/>
              <w:rPr>
                <w:rFonts w:ascii="宋体" w:hAnsi="宋体" w:cs="宋体" w:eastAsia="宋体" w:hint="default"/>
                <w:sz w:val="18"/>
                <w:szCs w:val="18"/>
              </w:rPr>
            </w:pPr>
            <w:r>
              <w:rPr>
                <w:rFonts w:ascii="宋体" w:hAnsi="宋体" w:cs="宋体" w:eastAsia="宋体" w:hint="default"/>
                <w:sz w:val="18"/>
                <w:szCs w:val="18"/>
              </w:rPr>
              <w:t>本期增加 金额</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7" w:right="107"/>
              <w:jc w:val="left"/>
              <w:rPr>
                <w:rFonts w:ascii="宋体" w:hAnsi="宋体" w:cs="宋体" w:eastAsia="宋体" w:hint="default"/>
                <w:sz w:val="18"/>
                <w:szCs w:val="18"/>
              </w:rPr>
            </w:pPr>
            <w:r>
              <w:rPr>
                <w:rFonts w:ascii="宋体" w:hAnsi="宋体" w:cs="宋体" w:eastAsia="宋体" w:hint="default"/>
                <w:sz w:val="18"/>
                <w:szCs w:val="18"/>
              </w:rPr>
              <w:t>本期转入固 定资产金额</w:t>
            </w:r>
          </w:p>
        </w:tc>
        <w:tc>
          <w:tcPr>
            <w:tcW w:w="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24"/>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66"/>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8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2" w:right="82"/>
              <w:jc w:val="both"/>
              <w:rPr>
                <w:rFonts w:ascii="宋体" w:hAnsi="宋体" w:cs="宋体" w:eastAsia="宋体" w:hint="default"/>
                <w:sz w:val="18"/>
                <w:szCs w:val="18"/>
              </w:rPr>
            </w:pPr>
            <w:r>
              <w:rPr>
                <w:rFonts w:ascii="宋体" w:hAnsi="宋体" w:cs="宋体" w:eastAsia="宋体" w:hint="default"/>
                <w:sz w:val="18"/>
                <w:szCs w:val="18"/>
              </w:rPr>
              <w:t>工程累计 投入占预 算比例</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60" w:right="7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8" w:right="37"/>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3" w:right="65"/>
              <w:jc w:val="both"/>
              <w:rPr>
                <w:rFonts w:ascii="宋体" w:hAnsi="宋体" w:cs="宋体" w:eastAsia="宋体" w:hint="default"/>
                <w:sz w:val="18"/>
                <w:szCs w:val="18"/>
              </w:rPr>
            </w:pPr>
            <w:r>
              <w:rPr>
                <w:rFonts w:ascii="宋体" w:hAnsi="宋体" w:cs="宋体" w:eastAsia="宋体" w:hint="default"/>
                <w:sz w:val="18"/>
                <w:szCs w:val="18"/>
              </w:rPr>
              <w:t>其中： 本期利 息资本 化金额</w:t>
            </w:r>
          </w:p>
        </w:tc>
        <w:tc>
          <w:tcPr>
            <w:tcW w:w="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24"/>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2" w:right="60"/>
              <w:jc w:val="both"/>
              <w:rPr>
                <w:rFonts w:ascii="宋体" w:hAnsi="宋体" w:cs="宋体" w:eastAsia="宋体" w:hint="default"/>
                <w:sz w:val="18"/>
                <w:szCs w:val="18"/>
              </w:rPr>
            </w:pPr>
            <w:r>
              <w:rPr>
                <w:rFonts w:ascii="宋体" w:hAnsi="宋体" w:cs="宋体" w:eastAsia="宋体" w:hint="default"/>
                <w:sz w:val="18"/>
                <w:szCs w:val="18"/>
              </w:rPr>
              <w:t>资 金 来 源</w:t>
            </w:r>
          </w:p>
        </w:tc>
      </w:tr>
      <w:tr>
        <w:trPr>
          <w:trHeight w:val="1026"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64"/>
              <w:jc w:val="left"/>
              <w:rPr>
                <w:rFonts w:ascii="宋体" w:hAnsi="宋体" w:cs="宋体" w:eastAsia="宋体" w:hint="default"/>
                <w:sz w:val="18"/>
                <w:szCs w:val="18"/>
              </w:rPr>
            </w:pPr>
            <w:r>
              <w:rPr>
                <w:rFonts w:ascii="宋体" w:hAnsi="宋体" w:cs="宋体" w:eastAsia="宋体" w:hint="default"/>
                <w:sz w:val="18"/>
                <w:szCs w:val="18"/>
              </w:rPr>
              <w:t>上海奈盛</w:t>
            </w:r>
            <w:r>
              <w:rPr>
                <w:rFonts w:ascii="Times New Roman" w:hAnsi="Times New Roman" w:cs="Times New Roman" w:eastAsia="Times New Roman" w:hint="default"/>
                <w:sz w:val="18"/>
                <w:szCs w:val="18"/>
              </w:rPr>
              <w:t>- </w:t>
            </w:r>
            <w:r>
              <w:rPr>
                <w:rFonts w:ascii="宋体" w:hAnsi="宋体" w:cs="宋体" w:eastAsia="宋体" w:hint="default"/>
                <w:sz w:val="18"/>
                <w:szCs w:val="18"/>
              </w:rPr>
              <w:t>机房改造 项目</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1,114,661.92</w:t>
            </w:r>
          </w:p>
        </w:tc>
        <w:tc>
          <w:tcPr>
            <w:tcW w:w="100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550,959.64</w:t>
            </w:r>
          </w:p>
        </w:tc>
        <w:tc>
          <w:tcPr>
            <w:tcW w:w="112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550,959.64</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75.77%</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56.02%</w:t>
            </w:r>
          </w:p>
        </w:tc>
        <w:tc>
          <w:tcPr>
            <w:tcW w:w="448"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其 他</w:t>
            </w:r>
          </w:p>
        </w:tc>
      </w:tr>
      <w:tr>
        <w:trPr>
          <w:trHeight w:val="1026"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上海奈盛</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-NOMS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二</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期开发</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66,724.14</w:t>
            </w:r>
          </w:p>
        </w:tc>
        <w:tc>
          <w:tcPr>
            <w:tcW w:w="112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66,724.14</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w:t>
            </w:r>
          </w:p>
        </w:tc>
        <w:tc>
          <w:tcPr>
            <w:tcW w:w="448"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其 他</w:t>
            </w:r>
          </w:p>
        </w:tc>
      </w:tr>
      <w:tr>
        <w:trPr>
          <w:trHeight w:val="1026"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64"/>
              <w:jc w:val="left"/>
              <w:rPr>
                <w:rFonts w:ascii="宋体" w:hAnsi="宋体" w:cs="宋体" w:eastAsia="宋体" w:hint="default"/>
                <w:sz w:val="18"/>
                <w:szCs w:val="18"/>
              </w:rPr>
            </w:pPr>
            <w:r>
              <w:rPr>
                <w:rFonts w:ascii="宋体" w:hAnsi="宋体" w:cs="宋体" w:eastAsia="宋体" w:hint="default"/>
                <w:sz w:val="18"/>
                <w:szCs w:val="18"/>
              </w:rPr>
              <w:t>广州移动</w:t>
            </w:r>
            <w:r>
              <w:rPr>
                <w:rFonts w:ascii="Times New Roman" w:hAnsi="Times New Roman" w:cs="Times New Roman" w:eastAsia="Times New Roman" w:hint="default"/>
                <w:sz w:val="18"/>
                <w:szCs w:val="18"/>
              </w:rPr>
              <w:t>- </w:t>
            </w:r>
            <w:r>
              <w:rPr>
                <w:rFonts w:ascii="宋体" w:hAnsi="宋体" w:cs="宋体" w:eastAsia="宋体" w:hint="default"/>
                <w:sz w:val="18"/>
                <w:szCs w:val="18"/>
              </w:rPr>
              <w:t>企业手机 项目平台</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1,627,878.41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302,639.06</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1,930,517.47</w:t>
            </w:r>
          </w:p>
        </w:tc>
        <w:tc>
          <w:tcPr>
            <w:tcW w:w="420"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w:t>
            </w:r>
          </w:p>
        </w:tc>
        <w:tc>
          <w:tcPr>
            <w:tcW w:w="448"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其 他</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3,482,661.92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1,627,878.41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920,322.84</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1,930,517.47</w:t>
            </w:r>
          </w:p>
        </w:tc>
        <w:tc>
          <w:tcPr>
            <w:tcW w:w="420"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617,683.78</w:t>
            </w:r>
          </w:p>
        </w:tc>
        <w:tc>
          <w:tcPr>
            <w:tcW w:w="8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48"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本期计提在建工程减值准备情况" w:id="257"/>
      <w:bookmarkEnd w:id="257"/>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工程物资" w:id="258"/>
      <w:bookmarkEnd w:id="258"/>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0"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bookmarkStart w:name="12、无形资产" w:id="259"/>
      <w:bookmarkEnd w:id="259"/>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无形资产情况" w:id="260"/>
      <w:bookmarkEnd w:id="26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373"/>
        <w:gridCol w:w="1397"/>
        <w:gridCol w:w="1385"/>
        <w:gridCol w:w="1385"/>
        <w:gridCol w:w="1386"/>
        <w:gridCol w:w="1385"/>
        <w:gridCol w:w="1384"/>
      </w:tblGrid>
      <w:tr>
        <w:trPr>
          <w:trHeight w:val="402"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27"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138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36" w:right="0"/>
              <w:jc w:val="left"/>
              <w:rPr>
                <w:rFonts w:ascii="宋体" w:hAnsi="宋体" w:cs="宋体" w:eastAsia="宋体" w:hint="default"/>
                <w:sz w:val="18"/>
                <w:szCs w:val="18"/>
              </w:rPr>
            </w:pPr>
            <w:r>
              <w:rPr>
                <w:rFonts w:ascii="宋体" w:hAnsi="宋体" w:cs="宋体" w:eastAsia="宋体" w:hint="default"/>
                <w:sz w:val="18"/>
                <w:szCs w:val="18"/>
              </w:rPr>
              <w:t>软件及其他</w:t>
            </w:r>
          </w:p>
        </w:tc>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3,429,840.84</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15,770,945.12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106,216,067.77</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125,416,853.73</w:t>
            </w:r>
          </w:p>
        </w:tc>
      </w:tr>
      <w:tr>
        <w:trPr>
          <w:trHeight w:val="402"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794,074.40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4,918,471.00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5,712,545.40</w:t>
            </w:r>
          </w:p>
        </w:tc>
      </w:tr>
      <w:tr>
        <w:trPr>
          <w:trHeight w:val="402"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1,117,063.32</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1,117,063.32</w:t>
            </w:r>
          </w:p>
        </w:tc>
      </w:tr>
      <w:tr>
        <w:trPr>
          <w:trHeight w:val="402"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）企业合并增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3,300,000.00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3,300,000.00</w:t>
            </w:r>
          </w:p>
        </w:tc>
      </w:tr>
      <w:tr>
        <w:trPr>
          <w:trHeight w:val="402" w:hRule="exact"/>
        </w:trPr>
        <w:tc>
          <w:tcPr>
            <w:tcW w:w="137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汇率变动影响</w:t>
            </w:r>
          </w:p>
        </w:tc>
        <w:tc>
          <w:tcPr>
            <w:tcW w:w="1397" w:type="dxa"/>
            <w:tcBorders>
              <w:top w:val="single" w:sz="4" w:space="0" w:color="000000"/>
              <w:left w:val="single" w:sz="13" w:space="0" w:color="E0FFFF"/>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794,074.40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501,407.68</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1,295,482.08</w:t>
            </w:r>
          </w:p>
        </w:tc>
      </w:tr>
      <w:tr>
        <w:trPr>
          <w:trHeight w:val="402"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4,528,301.76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4,528,301.76</w:t>
            </w:r>
          </w:p>
        </w:tc>
      </w:tr>
      <w:tr>
        <w:trPr>
          <w:trHeight w:val="402"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报废</w:t>
            </w:r>
          </w:p>
        </w:tc>
        <w:tc>
          <w:tcPr>
            <w:tcW w:w="1397" w:type="dxa"/>
            <w:tcBorders>
              <w:top w:val="single" w:sz="4" w:space="0" w:color="000000"/>
              <w:left w:val="single" w:sz="13" w:space="0" w:color="E0FFFF"/>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4,528,301.76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4,528,301.76</w:t>
            </w:r>
          </w:p>
        </w:tc>
      </w:tr>
      <w:tr>
        <w:trPr>
          <w:trHeight w:val="402"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3,429,840.84</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16,565,019.52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106,606,237.01</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126,601,097.37</w:t>
            </w:r>
          </w:p>
        </w:tc>
      </w:tr>
      <w:tr>
        <w:trPr>
          <w:trHeight w:val="402"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1,125,036.71</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3,154,189.15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76,168,157.69</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80,447,383.55</w:t>
            </w:r>
          </w:p>
        </w:tc>
      </w:tr>
      <w:tr>
        <w:trPr>
          <w:trHeight w:val="402"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72,975.33</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3,471,819.07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25,486,055.27</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29,030,849.67</w:t>
            </w:r>
          </w:p>
        </w:tc>
      </w:tr>
      <w:tr>
        <w:trPr>
          <w:trHeight w:val="402"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72,975.33</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3,197,054.84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25,009,564.78</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28,279,594.95</w:t>
            </w:r>
          </w:p>
        </w:tc>
      </w:tr>
      <w:tr>
        <w:trPr>
          <w:trHeight w:val="402" w:hRule="exact"/>
        </w:trPr>
        <w:tc>
          <w:tcPr>
            <w:tcW w:w="137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汇率变动影响</w:t>
            </w:r>
          </w:p>
        </w:tc>
        <w:tc>
          <w:tcPr>
            <w:tcW w:w="1397" w:type="dxa"/>
            <w:tcBorders>
              <w:top w:val="single" w:sz="4" w:space="0" w:color="000000"/>
              <w:left w:val="single" w:sz="13" w:space="0" w:color="E0FFFF"/>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274,764.23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476,490.49</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751,254.72</w:t>
            </w:r>
          </w:p>
        </w:tc>
      </w:tr>
      <w:tr>
        <w:trPr>
          <w:trHeight w:val="402"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3,018,867.90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3,018,867.90</w:t>
            </w:r>
          </w:p>
        </w:tc>
      </w:tr>
      <w:tr>
        <w:trPr>
          <w:trHeight w:val="402"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报废</w:t>
            </w:r>
          </w:p>
        </w:tc>
        <w:tc>
          <w:tcPr>
            <w:tcW w:w="1397" w:type="dxa"/>
            <w:tcBorders>
              <w:top w:val="single" w:sz="4" w:space="0" w:color="000000"/>
              <w:left w:val="single" w:sz="13" w:space="0" w:color="E0FFFF"/>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3,018,867.90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3,018,867.90</w:t>
            </w:r>
          </w:p>
        </w:tc>
      </w:tr>
      <w:tr>
        <w:trPr>
          <w:trHeight w:val="402"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1,198,012.04</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6,626,008.22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98,635,345.06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106,459,365.32</w:t>
            </w:r>
          </w:p>
        </w:tc>
      </w:tr>
      <w:tr>
        <w:trPr>
          <w:trHeight w:val="402"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2,231,828.80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9,939,011.30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7,970,891.95</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20,141,732.05</w:t>
            </w: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2,304,804.13</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12,616,755.97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30,047,910.08</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44,969,470.18</w:t>
            </w:r>
          </w:p>
        </w:tc>
      </w:tr>
    </w:tbl>
    <w:p>
      <w:pPr>
        <w:pStyle w:val="BodyText"/>
        <w:spacing w:line="240" w:lineRule="auto" w:before="51"/>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69.63%</w:t>
      </w:r>
      <w:r>
        <w:rPr/>
        <w:t>。</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未办妥产权证书的土地使用权情况" w:id="261"/>
      <w:bookmarkEnd w:id="261"/>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0"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bookmarkStart w:name="13、开发支出" w:id="262"/>
      <w:bookmarkEnd w:id="262"/>
      <w:r>
        <w:rPr>
          <w:b w:val="0"/>
          <w:bCs w:val="0"/>
        </w:rPr>
      </w:r>
      <w:r>
        <w:rPr>
          <w:rFonts w:ascii="Times New Roman" w:hAnsi="Times New Roman" w:cs="Times New Roman" w:eastAsia="Times New Roman" w:hint="default"/>
        </w:rPr>
        <w:t>13</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46"/>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2"/>
              <w:ind w:left="22" w:right="174"/>
              <w:jc w:val="left"/>
              <w:rPr>
                <w:rFonts w:ascii="宋体" w:hAnsi="宋体" w:cs="宋体" w:eastAsia="宋体" w:hint="default"/>
                <w:sz w:val="18"/>
                <w:szCs w:val="18"/>
              </w:rPr>
            </w:pP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云视系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1,825,446.41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1,825,446.41</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46"/>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1,825,446.41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1,825,446.41</w:t>
            </w:r>
          </w:p>
        </w:tc>
      </w:tr>
    </w:tbl>
    <w:p>
      <w:pPr>
        <w:pStyle w:val="BodyText"/>
        <w:spacing w:line="357" w:lineRule="auto" w:before="51"/>
        <w:ind w:right="4897"/>
        <w:jc w:val="left"/>
      </w:pPr>
      <w:r>
        <w:rPr/>
        <w:t>其他说明 注</w:t>
      </w:r>
      <w:r>
        <w:rPr>
          <w:rFonts w:ascii="Times New Roman" w:hAnsi="Times New Roman" w:cs="Times New Roman" w:eastAsia="Times New Roman" w:hint="default"/>
        </w:rPr>
        <w:t>;</w:t>
      </w:r>
      <w:r>
        <w:rPr/>
        <w:t>本年度资本化的开发支出占研发支出总额的比例为</w:t>
      </w:r>
      <w:r>
        <w:rPr>
          <w:rFonts w:ascii="Times New Roman" w:hAnsi="Times New Roman" w:cs="Times New Roman" w:eastAsia="Times New Roman" w:hint="default"/>
        </w:rPr>
        <w:t>1.33%(</w:t>
      </w:r>
      <w:r>
        <w:rPr/>
        <w:t>上年末：无</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18"/>
          <w:szCs w:val="18"/>
        </w:rPr>
      </w:pPr>
    </w:p>
    <w:p>
      <w:pPr>
        <w:pStyle w:val="Heading4"/>
        <w:spacing w:line="240" w:lineRule="auto"/>
        <w:ind w:right="0"/>
        <w:jc w:val="left"/>
        <w:rPr>
          <w:b w:val="0"/>
          <w:bCs w:val="0"/>
        </w:rPr>
      </w:pPr>
      <w:bookmarkStart w:name="14、商誉" w:id="263"/>
      <w:bookmarkEnd w:id="263"/>
      <w:r>
        <w:rPr>
          <w:b w:val="0"/>
          <w:bCs w:val="0"/>
        </w:rPr>
      </w:r>
      <w:r>
        <w:rPr>
          <w:rFonts w:ascii="Times New Roman" w:hAnsi="Times New Roman" w:cs="Times New Roman" w:eastAsia="Times New Roman" w:hint="default"/>
        </w:rPr>
        <w:t>14</w:t>
      </w:r>
      <w:r>
        <w:rPr/>
        <w:t>、商誉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商誉账面原值" w:id="264"/>
      <w:bookmarkEnd w:id="264"/>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080"/>
        <w:gridCol w:w="1473"/>
        <w:gridCol w:w="1472"/>
        <w:gridCol w:w="1270"/>
        <w:gridCol w:w="466"/>
        <w:gridCol w:w="464"/>
        <w:gridCol w:w="1470"/>
      </w:tblGrid>
      <w:tr>
        <w:trPr>
          <w:trHeight w:val="206" w:hRule="exact"/>
        </w:trPr>
        <w:tc>
          <w:tcPr>
            <w:tcW w:w="30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27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9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30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4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2" w:type="dxa"/>
            <w:gridSpan w:val="2"/>
            <w:vMerge/>
            <w:tcBorders>
              <w:left w:val="single" w:sz="4" w:space="0" w:color="000000"/>
              <w:bottom w:val="single" w:sz="4" w:space="0" w:color="000000"/>
              <w:right w:val="single" w:sz="4" w:space="0" w:color="000000"/>
            </w:tcBorders>
            <w:shd w:val="clear" w:color="auto" w:fill="D2D2D2"/>
          </w:tcPr>
          <w:p>
            <w:pPr/>
          </w:p>
        </w:tc>
        <w:tc>
          <w:tcPr>
            <w:tcW w:w="930" w:type="dxa"/>
            <w:gridSpan w:val="2"/>
            <w:vMerge/>
            <w:tcBorders>
              <w:left w:val="single" w:sz="4" w:space="0" w:color="000000"/>
              <w:bottom w:val="single" w:sz="4" w:space="0" w:color="000000"/>
              <w:right w:val="single" w:sz="4" w:space="0" w:color="000000"/>
            </w:tcBorders>
            <w:shd w:val="clear" w:color="auto" w:fill="D2D2D2"/>
          </w:tcPr>
          <w:p>
            <w:pPr/>
          </w:p>
        </w:tc>
        <w:tc>
          <w:tcPr>
            <w:tcW w:w="14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3080" w:type="dxa"/>
            <w:vMerge/>
            <w:tcBorders>
              <w:left w:val="single" w:sz="4" w:space="0" w:color="000000"/>
              <w:bottom w:val="nil" w:sz="6" w:space="0" w:color="auto"/>
              <w:right w:val="single" w:sz="4" w:space="0" w:color="000000"/>
            </w:tcBorders>
            <w:shd w:val="clear" w:color="auto" w:fill="D2D2D2"/>
          </w:tcPr>
          <w:p>
            <w:pPr/>
          </w:p>
        </w:tc>
        <w:tc>
          <w:tcPr>
            <w:tcW w:w="1473" w:type="dxa"/>
            <w:vMerge/>
            <w:tcBorders>
              <w:left w:val="single" w:sz="4" w:space="0" w:color="000000"/>
              <w:bottom w:val="nil" w:sz="6" w:space="0" w:color="auto"/>
              <w:right w:val="single" w:sz="4" w:space="0" w:color="000000"/>
            </w:tcBorders>
            <w:shd w:val="clear" w:color="auto" w:fill="D2D2D2"/>
          </w:tcPr>
          <w:p>
            <w:pPr/>
          </w:p>
        </w:tc>
        <w:tc>
          <w:tcPr>
            <w:tcW w:w="14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270" w:type="dxa"/>
            <w:vMerge w:val="restart"/>
            <w:tcBorders>
              <w:top w:val="single" w:sz="4" w:space="0" w:color="000000"/>
              <w:left w:val="single" w:sz="10" w:space="0" w:color="D2D2D2"/>
              <w:right w:val="single" w:sz="9" w:space="0" w:color="D2D2D2"/>
            </w:tcBorders>
            <w:shd w:val="clear" w:color="auto" w:fill="E0FFFF"/>
          </w:tcPr>
          <w:p>
            <w:pPr>
              <w:pStyle w:val="TableParagraph"/>
              <w:spacing w:line="240" w:lineRule="auto" w:before="56"/>
              <w:ind w:left="82" w:right="0"/>
              <w:jc w:val="left"/>
              <w:rPr>
                <w:rFonts w:ascii="宋体" w:hAnsi="宋体" w:cs="宋体" w:eastAsia="宋体" w:hint="default"/>
                <w:sz w:val="18"/>
                <w:szCs w:val="18"/>
              </w:rPr>
            </w:pPr>
            <w:r>
              <w:rPr>
                <w:rFonts w:ascii="宋体" w:hAnsi="宋体" w:cs="宋体" w:eastAsia="宋体" w:hint="default"/>
                <w:sz w:val="18"/>
                <w:szCs w:val="18"/>
              </w:rPr>
              <w:t>汇率变动影响</w:t>
            </w:r>
          </w:p>
        </w:tc>
        <w:tc>
          <w:tcPr>
            <w:tcW w:w="466" w:type="dxa"/>
            <w:vMerge w:val="restart"/>
            <w:tcBorders>
              <w:top w:val="single" w:sz="4" w:space="0" w:color="000000"/>
              <w:left w:val="single" w:sz="4" w:space="0" w:color="000000"/>
              <w:right w:val="single" w:sz="9" w:space="0" w:color="E0FFFF"/>
            </w:tcBorders>
            <w:shd w:val="clear" w:color="auto" w:fill="D2D2D2"/>
          </w:tcPr>
          <w:p>
            <w:pPr>
              <w:pStyle w:val="TableParagraph"/>
              <w:spacing w:line="240" w:lineRule="auto" w:before="56"/>
              <w:ind w:left="46"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464" w:type="dxa"/>
            <w:vMerge w:val="restart"/>
            <w:tcBorders>
              <w:top w:val="single" w:sz="4" w:space="0" w:color="000000"/>
              <w:left w:val="single" w:sz="13" w:space="0" w:color="D2D2D2"/>
              <w:right w:val="single" w:sz="9" w:space="0" w:color="D2D2D2"/>
            </w:tcBorders>
            <w:shd w:val="clear" w:color="auto" w:fill="E0FFFF"/>
          </w:tcPr>
          <w:p>
            <w:pPr>
              <w:pStyle w:val="TableParagraph"/>
              <w:spacing w:line="240" w:lineRule="auto" w:before="56"/>
              <w:ind w:left="3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0"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30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2" w:type="dxa"/>
            <w:vMerge/>
            <w:tcBorders>
              <w:left w:val="single" w:sz="4" w:space="0" w:color="000000"/>
              <w:bottom w:val="single" w:sz="4" w:space="0" w:color="000000"/>
              <w:right w:val="single" w:sz="4" w:space="0" w:color="000000"/>
            </w:tcBorders>
            <w:shd w:val="clear" w:color="auto" w:fill="D2D2D2"/>
          </w:tcPr>
          <w:p>
            <w:pPr/>
          </w:p>
        </w:tc>
        <w:tc>
          <w:tcPr>
            <w:tcW w:w="1270" w:type="dxa"/>
            <w:vMerge/>
            <w:tcBorders>
              <w:left w:val="single" w:sz="10" w:space="0" w:color="D2D2D2"/>
              <w:bottom w:val="single" w:sz="4" w:space="0" w:color="000000"/>
              <w:right w:val="single" w:sz="9" w:space="0" w:color="D2D2D2"/>
            </w:tcBorders>
            <w:shd w:val="clear" w:color="auto" w:fill="E0FFFF"/>
          </w:tcPr>
          <w:p>
            <w:pPr/>
          </w:p>
        </w:tc>
        <w:tc>
          <w:tcPr>
            <w:tcW w:w="466" w:type="dxa"/>
            <w:vMerge/>
            <w:tcBorders>
              <w:left w:val="single" w:sz="4" w:space="0" w:color="000000"/>
              <w:bottom w:val="single" w:sz="4" w:space="0" w:color="000000"/>
              <w:right w:val="single" w:sz="9" w:space="0" w:color="E0FFFF"/>
            </w:tcBorders>
            <w:shd w:val="clear" w:color="auto" w:fill="D2D2D2"/>
          </w:tcPr>
          <w:p>
            <w:pPr/>
          </w:p>
        </w:tc>
        <w:tc>
          <w:tcPr>
            <w:tcW w:w="464" w:type="dxa"/>
            <w:vMerge/>
            <w:tcBorders>
              <w:left w:val="single" w:sz="13" w:space="0" w:color="D2D2D2"/>
              <w:bottom w:val="single" w:sz="4" w:space="0" w:color="000000"/>
              <w:right w:val="single" w:sz="9" w:space="0" w:color="D2D2D2"/>
            </w:tcBorders>
            <w:shd w:val="clear" w:color="auto" w:fill="E0FFFF"/>
          </w:tcPr>
          <w:p>
            <w:pPr/>
          </w:p>
        </w:tc>
        <w:tc>
          <w:tcPr>
            <w:tcW w:w="147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VoIP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IPTV </w:t>
            </w:r>
            <w:r>
              <w:rPr>
                <w:rFonts w:ascii="宋体" w:hAnsi="宋体" w:cs="宋体" w:eastAsia="宋体" w:hint="default"/>
                <w:sz w:val="18"/>
                <w:szCs w:val="18"/>
              </w:rPr>
              <w:t>业务</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733,132,426.79</w:t>
            </w:r>
          </w:p>
        </w:tc>
        <w:tc>
          <w:tcPr>
            <w:tcW w:w="147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733,132,426.79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I-Access(</w:t>
            </w:r>
            <w:r>
              <w:rPr>
                <w:rFonts w:ascii="宋体" w:hAnsi="宋体" w:cs="宋体" w:eastAsia="宋体" w:hint="default"/>
                <w:sz w:val="18"/>
                <w:szCs w:val="18"/>
              </w:rPr>
              <w:t>附注</w:t>
            </w:r>
            <w:r>
              <w:rPr>
                <w:rFonts w:ascii="Times New Roman" w:hAnsi="Times New Roman" w:cs="Times New Roman" w:eastAsia="Times New Roman" w:hint="default"/>
                <w:sz w:val="18"/>
                <w:szCs w:val="18"/>
              </w:rPr>
              <w:t>(</w:t>
            </w:r>
            <w:r>
              <w:rPr>
                <w:rFonts w:ascii="宋体" w:hAnsi="宋体" w:cs="宋体" w:eastAsia="宋体" w:hint="default"/>
                <w:sz w:val="18"/>
                <w:szCs w:val="18"/>
              </w:rPr>
              <w:t>七</w:t>
            </w:r>
            <w:r>
              <w:rPr>
                <w:rFonts w:ascii="Times New Roman" w:hAnsi="Times New Roman" w:cs="Times New Roman" w:eastAsia="Times New Roman" w:hint="default"/>
                <w:sz w:val="18"/>
                <w:szCs w:val="18"/>
              </w:rPr>
              <w:t>))</w:t>
            </w:r>
          </w:p>
        </w:tc>
        <w:tc>
          <w:tcPr>
            <w:tcW w:w="147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298,640,069.71</w:t>
            </w:r>
          </w:p>
        </w:tc>
        <w:tc>
          <w:tcPr>
            <w:tcW w:w="127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298,640,069.71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展动科技</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243,800,754.66</w:t>
            </w:r>
          </w:p>
        </w:tc>
        <w:tc>
          <w:tcPr>
            <w:tcW w:w="147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243,800,754.66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迪讯业务</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99,823,737.18</w:t>
            </w:r>
          </w:p>
        </w:tc>
        <w:tc>
          <w:tcPr>
            <w:tcW w:w="147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5,026,171.46</w:t>
            </w:r>
          </w:p>
        </w:tc>
        <w:tc>
          <w:tcPr>
            <w:tcW w:w="466"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104,849,908.64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z w:val="18"/>
              </w:rPr>
              <w:t> Media</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37,093,127.58</w:t>
            </w:r>
          </w:p>
        </w:tc>
        <w:tc>
          <w:tcPr>
            <w:tcW w:w="147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1,817,763.68</w:t>
            </w:r>
          </w:p>
        </w:tc>
        <w:tc>
          <w:tcPr>
            <w:tcW w:w="466"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38,910,891.26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深圳日升</w:t>
            </w:r>
            <w:r>
              <w:rPr>
                <w:rFonts w:ascii="Times New Roman" w:hAnsi="Times New Roman" w:cs="Times New Roman" w:eastAsia="Times New Roman" w:hint="default"/>
                <w:sz w:val="18"/>
                <w:szCs w:val="18"/>
              </w:rPr>
              <w:t>(</w:t>
            </w:r>
            <w:r>
              <w:rPr>
                <w:rFonts w:ascii="宋体" w:hAnsi="宋体" w:cs="宋体" w:eastAsia="宋体" w:hint="default"/>
                <w:sz w:val="18"/>
                <w:szCs w:val="18"/>
              </w:rPr>
              <w:t>附注</w:t>
            </w:r>
            <w:r>
              <w:rPr>
                <w:rFonts w:ascii="Times New Roman" w:hAnsi="Times New Roman" w:cs="Times New Roman" w:eastAsia="Times New Roman" w:hint="default"/>
                <w:sz w:val="18"/>
                <w:szCs w:val="18"/>
              </w:rPr>
              <w:t>(</w:t>
            </w:r>
            <w:r>
              <w:rPr>
                <w:rFonts w:ascii="宋体" w:hAnsi="宋体" w:cs="宋体" w:eastAsia="宋体" w:hint="default"/>
                <w:sz w:val="18"/>
                <w:szCs w:val="18"/>
              </w:rPr>
              <w:t>七</w:t>
            </w:r>
            <w:r>
              <w:rPr>
                <w:rFonts w:ascii="Times New Roman" w:hAnsi="Times New Roman" w:cs="Times New Roman" w:eastAsia="Times New Roman" w:hint="default"/>
                <w:sz w:val="18"/>
                <w:szCs w:val="18"/>
              </w:rPr>
              <w:t>))</w:t>
            </w:r>
          </w:p>
        </w:tc>
        <w:tc>
          <w:tcPr>
            <w:tcW w:w="147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6,888,454.92</w:t>
            </w:r>
          </w:p>
        </w:tc>
        <w:tc>
          <w:tcPr>
            <w:tcW w:w="127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6,888,454.92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翰平事业部</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34,635,570.72</w:t>
            </w:r>
          </w:p>
        </w:tc>
        <w:tc>
          <w:tcPr>
            <w:tcW w:w="147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34,635,570.72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1,148,485,616.93</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305,528,524.63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6,843,935.14</w:t>
            </w:r>
          </w:p>
        </w:tc>
        <w:tc>
          <w:tcPr>
            <w:tcW w:w="466"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1,460,858,076.70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商誉减值准备" w:id="265"/>
      <w:bookmarkEnd w:id="265"/>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4006"/>
        <w:gridCol w:w="1716"/>
        <w:gridCol w:w="564"/>
        <w:gridCol w:w="564"/>
        <w:gridCol w:w="564"/>
        <w:gridCol w:w="564"/>
        <w:gridCol w:w="1716"/>
      </w:tblGrid>
      <w:tr>
        <w:trPr>
          <w:trHeight w:val="397" w:hRule="exact"/>
        </w:trPr>
        <w:tc>
          <w:tcPr>
            <w:tcW w:w="4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8"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400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VoIP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IPTV </w:t>
            </w:r>
            <w:r>
              <w:rPr>
                <w:rFonts w:ascii="宋体" w:hAnsi="宋体" w:cs="宋体" w:eastAsia="宋体" w:hint="default"/>
                <w:sz w:val="18"/>
                <w:szCs w:val="18"/>
              </w:rPr>
              <w:t>业务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320,271,824.69</w:t>
            </w: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320,271,824.69</w:t>
            </w:r>
          </w:p>
        </w:tc>
      </w:tr>
      <w:tr>
        <w:trPr>
          <w:trHeight w:val="402" w:hRule="exact"/>
        </w:trPr>
        <w:tc>
          <w:tcPr>
            <w:tcW w:w="400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翰平事业部</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34,635,570.72</w:t>
            </w: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34,635,570.72</w:t>
            </w:r>
          </w:p>
        </w:tc>
      </w:tr>
      <w:tr>
        <w:trPr>
          <w:trHeight w:val="402" w:hRule="exact"/>
        </w:trPr>
        <w:tc>
          <w:tcPr>
            <w:tcW w:w="4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354,907,395.41</w:t>
            </w: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354,907,395.41</w:t>
            </w:r>
          </w:p>
        </w:tc>
      </w:tr>
    </w:tbl>
    <w:p>
      <w:pPr>
        <w:pStyle w:val="BodyText"/>
        <w:spacing w:line="240" w:lineRule="auto" w:before="51"/>
        <w:ind w:right="0"/>
        <w:jc w:val="left"/>
      </w:pPr>
      <w:r>
        <w:rPr/>
        <w:t>商誉所在资产组或资产组组合的相关信息</w:t>
      </w:r>
    </w:p>
    <w:p>
      <w:pPr>
        <w:spacing w:after="0" w:line="240" w:lineRule="auto"/>
        <w:jc w:val="left"/>
        <w:sectPr>
          <w:pgSz w:w="11910" w:h="16840"/>
          <w:pgMar w:header="0"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694" w:right="0"/>
        <w:jc w:val="left"/>
      </w:pPr>
      <w:r>
        <w:rPr/>
        <w:t>本集团的商誉来自七个资产组。</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日，分配到这七个资产组的商誉的账面价值及相关减值准备如下：</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2351"/>
        <w:gridCol w:w="2277"/>
        <w:gridCol w:w="2423"/>
        <w:gridCol w:w="2608"/>
      </w:tblGrid>
      <w:tr>
        <w:trPr>
          <w:trHeight w:val="347" w:hRule="exact"/>
        </w:trPr>
        <w:tc>
          <w:tcPr>
            <w:tcW w:w="23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成本</w:t>
            </w:r>
          </w:p>
        </w:tc>
        <w:tc>
          <w:tcPr>
            <w:tcW w:w="24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减值准备</w:t>
            </w:r>
          </w:p>
        </w:tc>
        <w:tc>
          <w:tcPr>
            <w:tcW w:w="26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净额</w:t>
            </w:r>
          </w:p>
        </w:tc>
      </w:tr>
      <w:tr>
        <w:trPr>
          <w:trHeight w:val="347" w:hRule="exact"/>
        </w:trPr>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Times New Roman" w:hAnsi="Times New Roman" w:cs="Times New Roman" w:eastAsia="Times New Roman" w:hint="default"/>
                <w:color w:val="0D0D0D"/>
                <w:sz w:val="20"/>
                <w:szCs w:val="20"/>
              </w:rPr>
              <w:t>VoIP</w:t>
            </w:r>
            <w:r>
              <w:rPr>
                <w:rFonts w:ascii="宋体" w:hAnsi="宋体" w:cs="宋体" w:eastAsia="宋体" w:hint="default"/>
                <w:color w:val="0D0D0D"/>
                <w:sz w:val="20"/>
                <w:szCs w:val="20"/>
              </w:rPr>
              <w:t>及</w:t>
            </w:r>
            <w:r>
              <w:rPr>
                <w:rFonts w:ascii="Times New Roman" w:hAnsi="Times New Roman" w:cs="Times New Roman" w:eastAsia="Times New Roman" w:hint="default"/>
                <w:color w:val="0D0D0D"/>
                <w:sz w:val="20"/>
                <w:szCs w:val="20"/>
              </w:rPr>
              <w:t>IPTV</w:t>
            </w:r>
            <w:r>
              <w:rPr>
                <w:rFonts w:ascii="宋体" w:hAnsi="宋体" w:cs="宋体" w:eastAsia="宋体" w:hint="default"/>
                <w:color w:val="0D0D0D"/>
                <w:sz w:val="20"/>
                <w:szCs w:val="20"/>
              </w:rPr>
              <w:t>业务</w:t>
            </w:r>
            <w:r>
              <w:rPr>
                <w:rFonts w:ascii="宋体" w:hAnsi="宋体" w:cs="宋体" w:eastAsia="宋体" w:hint="default"/>
                <w:sz w:val="20"/>
                <w:szCs w:val="20"/>
              </w:rPr>
            </w:r>
          </w:p>
        </w:tc>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color w:val="0D0D0D"/>
                <w:spacing w:val="-1"/>
                <w:sz w:val="20"/>
              </w:rPr>
              <w:t>733,132,426.79</w:t>
            </w:r>
            <w:r>
              <w:rPr>
                <w:rFonts w:ascii="Times New Roman"/>
                <w:spacing w:val="-1"/>
                <w:sz w:val="20"/>
              </w:rPr>
            </w:r>
          </w:p>
        </w:tc>
        <w:tc>
          <w:tcPr>
            <w:tcW w:w="2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color w:val="0D0D0D"/>
                <w:spacing w:val="-1"/>
                <w:sz w:val="20"/>
              </w:rPr>
              <w:t>320,271,824.69</w:t>
            </w:r>
            <w:r>
              <w:rPr>
                <w:rFonts w:ascii="Times New Roman"/>
                <w:spacing w:val="-1"/>
                <w:sz w:val="20"/>
              </w:rPr>
            </w:r>
          </w:p>
        </w:tc>
        <w:tc>
          <w:tcPr>
            <w:tcW w:w="2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color w:val="0D0D0D"/>
                <w:spacing w:val="-1"/>
                <w:sz w:val="20"/>
              </w:rPr>
              <w:t>412,860,602.10</w:t>
            </w:r>
            <w:r>
              <w:rPr>
                <w:rFonts w:ascii="Times New Roman"/>
                <w:spacing w:val="-1"/>
                <w:sz w:val="20"/>
              </w:rPr>
            </w:r>
          </w:p>
        </w:tc>
      </w:tr>
      <w:tr>
        <w:trPr>
          <w:trHeight w:val="347" w:hRule="exact"/>
        </w:trPr>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82" w:right="0"/>
              <w:jc w:val="left"/>
              <w:rPr>
                <w:rFonts w:ascii="Times New Roman" w:hAnsi="Times New Roman" w:cs="Times New Roman" w:eastAsia="Times New Roman" w:hint="default"/>
                <w:sz w:val="20"/>
                <w:szCs w:val="20"/>
              </w:rPr>
            </w:pPr>
            <w:r>
              <w:rPr>
                <w:rFonts w:ascii="Times New Roman"/>
                <w:color w:val="0D0D0D"/>
                <w:sz w:val="20"/>
              </w:rPr>
              <w:t>I-Access</w:t>
            </w:r>
            <w:r>
              <w:rPr>
                <w:rFonts w:ascii="Times New Roman"/>
                <w:sz w:val="20"/>
              </w:rPr>
            </w:r>
          </w:p>
        </w:tc>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color w:val="0D0D0D"/>
                <w:spacing w:val="-1"/>
                <w:sz w:val="20"/>
              </w:rPr>
              <w:t>298,640,069.71</w:t>
            </w:r>
            <w:r>
              <w:rPr>
                <w:rFonts w:ascii="Times New Roman"/>
                <w:spacing w:val="-1"/>
                <w:sz w:val="20"/>
              </w:rPr>
            </w:r>
          </w:p>
        </w:tc>
        <w:tc>
          <w:tcPr>
            <w:tcW w:w="2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color w:val="0D0D0D"/>
                <w:w w:val="100"/>
                <w:sz w:val="20"/>
              </w:rPr>
              <w:t>-</w:t>
            </w:r>
            <w:r>
              <w:rPr>
                <w:rFonts w:ascii="Times New Roman"/>
                <w:w w:val="100"/>
                <w:sz w:val="20"/>
              </w:rPr>
            </w:r>
          </w:p>
        </w:tc>
        <w:tc>
          <w:tcPr>
            <w:tcW w:w="2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color w:val="0D0D0D"/>
                <w:spacing w:val="-1"/>
                <w:sz w:val="20"/>
              </w:rPr>
              <w:t>298,640,069.71</w:t>
            </w:r>
            <w:r>
              <w:rPr>
                <w:rFonts w:ascii="Times New Roman"/>
                <w:spacing w:val="-1"/>
                <w:sz w:val="20"/>
              </w:rPr>
            </w:r>
          </w:p>
        </w:tc>
      </w:tr>
      <w:tr>
        <w:trPr>
          <w:trHeight w:val="348" w:hRule="exact"/>
        </w:trPr>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color w:val="0D0D0D"/>
                <w:sz w:val="20"/>
                <w:szCs w:val="20"/>
              </w:rPr>
              <w:t>展动科技</w:t>
            </w:r>
            <w:r>
              <w:rPr>
                <w:rFonts w:ascii="宋体" w:hAnsi="宋体" w:cs="宋体" w:eastAsia="宋体" w:hint="default"/>
                <w:sz w:val="20"/>
                <w:szCs w:val="20"/>
              </w:rPr>
            </w:r>
          </w:p>
        </w:tc>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color w:val="0D0D0D"/>
                <w:spacing w:val="-1"/>
                <w:sz w:val="20"/>
              </w:rPr>
              <w:t>243,800,754.66</w:t>
            </w:r>
            <w:r>
              <w:rPr>
                <w:rFonts w:ascii="Times New Roman"/>
                <w:spacing w:val="-1"/>
                <w:sz w:val="20"/>
              </w:rPr>
            </w:r>
          </w:p>
        </w:tc>
        <w:tc>
          <w:tcPr>
            <w:tcW w:w="2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color w:val="0D0D0D"/>
                <w:w w:val="100"/>
                <w:sz w:val="20"/>
              </w:rPr>
              <w:t>-</w:t>
            </w:r>
            <w:r>
              <w:rPr>
                <w:rFonts w:ascii="Times New Roman"/>
                <w:w w:val="100"/>
                <w:sz w:val="20"/>
              </w:rPr>
            </w:r>
          </w:p>
        </w:tc>
        <w:tc>
          <w:tcPr>
            <w:tcW w:w="2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color w:val="0D0D0D"/>
                <w:spacing w:val="-1"/>
                <w:sz w:val="20"/>
              </w:rPr>
              <w:t>243,800,754.66</w:t>
            </w:r>
            <w:r>
              <w:rPr>
                <w:rFonts w:ascii="Times New Roman"/>
                <w:spacing w:val="-1"/>
                <w:sz w:val="20"/>
              </w:rPr>
            </w:r>
          </w:p>
        </w:tc>
      </w:tr>
      <w:tr>
        <w:trPr>
          <w:trHeight w:val="347" w:hRule="exact"/>
        </w:trPr>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color w:val="0D0D0D"/>
                <w:sz w:val="20"/>
                <w:szCs w:val="20"/>
              </w:rPr>
              <w:t>迪讯业务</w:t>
            </w:r>
            <w:r>
              <w:rPr>
                <w:rFonts w:ascii="宋体" w:hAnsi="宋体" w:cs="宋体" w:eastAsia="宋体" w:hint="default"/>
                <w:sz w:val="20"/>
                <w:szCs w:val="20"/>
              </w:rPr>
            </w:r>
          </w:p>
        </w:tc>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color w:val="0D0D0D"/>
                <w:spacing w:val="-1"/>
                <w:sz w:val="20"/>
              </w:rPr>
              <w:t>104,849,908.64</w:t>
            </w:r>
            <w:r>
              <w:rPr>
                <w:rFonts w:ascii="Times New Roman"/>
                <w:spacing w:val="-1"/>
                <w:sz w:val="20"/>
              </w:rPr>
            </w:r>
          </w:p>
        </w:tc>
        <w:tc>
          <w:tcPr>
            <w:tcW w:w="2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color w:val="0D0D0D"/>
                <w:w w:val="100"/>
                <w:sz w:val="20"/>
              </w:rPr>
              <w:t>-</w:t>
            </w:r>
            <w:r>
              <w:rPr>
                <w:rFonts w:ascii="Times New Roman"/>
                <w:w w:val="100"/>
                <w:sz w:val="20"/>
              </w:rPr>
            </w:r>
          </w:p>
        </w:tc>
        <w:tc>
          <w:tcPr>
            <w:tcW w:w="2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color w:val="0D0D0D"/>
                <w:spacing w:val="-1"/>
                <w:sz w:val="20"/>
              </w:rPr>
              <w:t>104,849,908.64</w:t>
            </w:r>
            <w:r>
              <w:rPr>
                <w:rFonts w:ascii="Times New Roman"/>
                <w:spacing w:val="-1"/>
                <w:sz w:val="20"/>
              </w:rPr>
            </w:r>
          </w:p>
        </w:tc>
      </w:tr>
      <w:tr>
        <w:trPr>
          <w:trHeight w:val="347" w:hRule="exact"/>
        </w:trPr>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color w:val="0D0D0D"/>
                <w:sz w:val="20"/>
              </w:rPr>
              <w:t>iTalk Media</w:t>
            </w:r>
            <w:r>
              <w:rPr>
                <w:rFonts w:ascii="Times New Roman"/>
                <w:sz w:val="20"/>
              </w:rPr>
            </w:r>
          </w:p>
        </w:tc>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color w:val="0D0D0D"/>
                <w:spacing w:val="-1"/>
                <w:sz w:val="20"/>
              </w:rPr>
              <w:t>38,910,891.26</w:t>
            </w:r>
            <w:r>
              <w:rPr>
                <w:rFonts w:ascii="Times New Roman"/>
                <w:spacing w:val="-1"/>
                <w:sz w:val="20"/>
              </w:rPr>
            </w:r>
          </w:p>
        </w:tc>
        <w:tc>
          <w:tcPr>
            <w:tcW w:w="2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color w:val="0D0D0D"/>
                <w:w w:val="100"/>
                <w:sz w:val="20"/>
              </w:rPr>
              <w:t>-</w:t>
            </w:r>
            <w:r>
              <w:rPr>
                <w:rFonts w:ascii="Times New Roman"/>
                <w:w w:val="100"/>
                <w:sz w:val="20"/>
              </w:rPr>
            </w:r>
          </w:p>
        </w:tc>
        <w:tc>
          <w:tcPr>
            <w:tcW w:w="2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color w:val="0D0D0D"/>
                <w:spacing w:val="-1"/>
                <w:sz w:val="20"/>
              </w:rPr>
              <w:t>38,910,891.26</w:t>
            </w:r>
            <w:r>
              <w:rPr>
                <w:rFonts w:ascii="Times New Roman"/>
                <w:spacing w:val="-1"/>
                <w:sz w:val="20"/>
              </w:rPr>
            </w:r>
          </w:p>
        </w:tc>
      </w:tr>
      <w:tr>
        <w:trPr>
          <w:trHeight w:val="347" w:hRule="exact"/>
        </w:trPr>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color w:val="0D0D0D"/>
                <w:sz w:val="20"/>
                <w:szCs w:val="20"/>
              </w:rPr>
              <w:t>深圳日升</w:t>
            </w:r>
            <w:r>
              <w:rPr>
                <w:rFonts w:ascii="宋体" w:hAnsi="宋体" w:cs="宋体" w:eastAsia="宋体" w:hint="default"/>
                <w:sz w:val="20"/>
                <w:szCs w:val="20"/>
              </w:rPr>
            </w:r>
          </w:p>
        </w:tc>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color w:val="0D0D0D"/>
                <w:spacing w:val="-1"/>
                <w:sz w:val="20"/>
              </w:rPr>
              <w:t>6,888,454.92</w:t>
            </w:r>
            <w:r>
              <w:rPr>
                <w:rFonts w:ascii="Times New Roman"/>
                <w:spacing w:val="-1"/>
                <w:sz w:val="20"/>
              </w:rPr>
            </w:r>
          </w:p>
        </w:tc>
        <w:tc>
          <w:tcPr>
            <w:tcW w:w="2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color w:val="0D0D0D"/>
                <w:w w:val="100"/>
                <w:sz w:val="20"/>
              </w:rPr>
              <w:t>-</w:t>
            </w:r>
            <w:r>
              <w:rPr>
                <w:rFonts w:ascii="Times New Roman"/>
                <w:w w:val="100"/>
                <w:sz w:val="20"/>
              </w:rPr>
            </w:r>
          </w:p>
        </w:tc>
        <w:tc>
          <w:tcPr>
            <w:tcW w:w="2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color w:val="0D0D0D"/>
                <w:spacing w:val="-1"/>
                <w:sz w:val="20"/>
              </w:rPr>
              <w:t>6,888,454.92</w:t>
            </w:r>
            <w:r>
              <w:rPr>
                <w:rFonts w:ascii="Times New Roman"/>
                <w:spacing w:val="-1"/>
                <w:sz w:val="20"/>
              </w:rPr>
            </w:r>
          </w:p>
        </w:tc>
      </w:tr>
      <w:tr>
        <w:trPr>
          <w:trHeight w:val="347" w:hRule="exact"/>
        </w:trPr>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color w:val="0D0D0D"/>
                <w:sz w:val="20"/>
                <w:szCs w:val="20"/>
              </w:rPr>
              <w:t>翰平事业部</w:t>
            </w:r>
            <w:r>
              <w:rPr>
                <w:rFonts w:ascii="宋体" w:hAnsi="宋体" w:cs="宋体" w:eastAsia="宋体" w:hint="default"/>
                <w:sz w:val="20"/>
                <w:szCs w:val="20"/>
              </w:rPr>
            </w:r>
          </w:p>
        </w:tc>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color w:val="0D0D0D"/>
                <w:spacing w:val="-1"/>
                <w:sz w:val="20"/>
              </w:rPr>
              <w:t>34,635,570.72</w:t>
            </w:r>
            <w:r>
              <w:rPr>
                <w:rFonts w:ascii="Times New Roman"/>
                <w:spacing w:val="-1"/>
                <w:sz w:val="20"/>
              </w:rPr>
            </w:r>
          </w:p>
        </w:tc>
        <w:tc>
          <w:tcPr>
            <w:tcW w:w="2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color w:val="0D0D0D"/>
                <w:spacing w:val="-1"/>
                <w:sz w:val="20"/>
              </w:rPr>
              <w:t>34,635,570.72</w:t>
            </w:r>
            <w:r>
              <w:rPr>
                <w:rFonts w:ascii="Times New Roman"/>
                <w:spacing w:val="-1"/>
                <w:sz w:val="20"/>
              </w:rPr>
            </w:r>
          </w:p>
        </w:tc>
        <w:tc>
          <w:tcPr>
            <w:tcW w:w="2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color w:val="0D0D0D"/>
                <w:w w:val="100"/>
                <w:sz w:val="20"/>
              </w:rPr>
              <w:t>-</w:t>
            </w:r>
            <w:r>
              <w:rPr>
                <w:rFonts w:ascii="Times New Roman"/>
                <w:w w:val="100"/>
                <w:sz w:val="20"/>
              </w:rPr>
            </w:r>
          </w:p>
        </w:tc>
      </w:tr>
      <w:tr>
        <w:trPr>
          <w:trHeight w:val="348" w:hRule="exact"/>
        </w:trPr>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color w:val="0D0D0D"/>
                <w:sz w:val="20"/>
                <w:szCs w:val="20"/>
              </w:rPr>
              <w:t>合计</w:t>
            </w:r>
            <w:r>
              <w:rPr>
                <w:rFonts w:ascii="宋体" w:hAnsi="宋体" w:cs="宋体" w:eastAsia="宋体" w:hint="default"/>
                <w:sz w:val="20"/>
                <w:szCs w:val="20"/>
              </w:rPr>
            </w:r>
          </w:p>
        </w:tc>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color w:val="0D0D0D"/>
                <w:spacing w:val="-1"/>
                <w:sz w:val="20"/>
              </w:rPr>
              <w:t>1,460,858,076.70</w:t>
            </w:r>
            <w:r>
              <w:rPr>
                <w:rFonts w:ascii="Times New Roman"/>
                <w:spacing w:val="-1"/>
                <w:sz w:val="20"/>
              </w:rPr>
            </w:r>
          </w:p>
        </w:tc>
        <w:tc>
          <w:tcPr>
            <w:tcW w:w="2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color w:val="0D0D0D"/>
                <w:spacing w:val="-1"/>
                <w:sz w:val="20"/>
              </w:rPr>
              <w:t>354,907,395.41</w:t>
            </w:r>
            <w:r>
              <w:rPr>
                <w:rFonts w:ascii="Times New Roman"/>
                <w:spacing w:val="-1"/>
                <w:sz w:val="20"/>
              </w:rPr>
            </w:r>
          </w:p>
        </w:tc>
        <w:tc>
          <w:tcPr>
            <w:tcW w:w="2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color w:val="0D0D0D"/>
                <w:spacing w:val="-1"/>
                <w:sz w:val="20"/>
              </w:rPr>
              <w:t>1,105,950,681.29</w:t>
            </w:r>
            <w:r>
              <w:rPr>
                <w:rFonts w:ascii="Times New Roman"/>
                <w:spacing w:val="-1"/>
                <w:sz w:val="20"/>
              </w:rPr>
            </w:r>
          </w:p>
        </w:tc>
      </w:tr>
    </w:tbl>
    <w:p>
      <w:pPr>
        <w:pStyle w:val="BodyText"/>
        <w:spacing w:line="360" w:lineRule="auto" w:before="10"/>
        <w:ind w:left="514" w:right="0" w:hanging="70"/>
        <w:jc w:val="left"/>
      </w:pPr>
      <w:r>
        <w:rPr/>
        <w:t>本年末，根据减值测试结果，本集团管理层认为本年度商誉无进一步减值。 </w:t>
      </w:r>
      <w:r>
        <w:rPr>
          <w:spacing w:val="-2"/>
        </w:rPr>
        <w:t>说明商誉减值测试过程、关键参数（如预计未来现金流量现值时的预测期增长率、稳定期增长率、利润率、折现率、预</w:t>
      </w:r>
    </w:p>
    <w:p>
      <w:pPr>
        <w:pStyle w:val="BodyText"/>
        <w:spacing w:line="222" w:lineRule="exact"/>
        <w:ind w:right="0"/>
        <w:jc w:val="both"/>
      </w:pPr>
      <w:r>
        <w:rPr/>
        <w:t>测期等）及商誉减值损失的确认方法：</w:t>
      </w:r>
    </w:p>
    <w:p>
      <w:pPr>
        <w:pStyle w:val="BodyText"/>
        <w:spacing w:line="240" w:lineRule="auto" w:before="116"/>
        <w:ind w:left="514" w:right="0"/>
        <w:jc w:val="left"/>
      </w:pPr>
      <w:r>
        <w:rPr/>
        <w:t>计算上述资产组的可收回金额的关键假设及其依据如下：</w:t>
      </w:r>
    </w:p>
    <w:p>
      <w:pPr>
        <w:spacing w:before="64"/>
        <w:ind w:left="514" w:right="0" w:firstLine="0"/>
        <w:jc w:val="left"/>
        <w:rPr>
          <w:rFonts w:ascii="宋体" w:hAnsi="宋体" w:cs="宋体" w:eastAsia="宋体" w:hint="default"/>
          <w:sz w:val="19"/>
          <w:szCs w:val="19"/>
        </w:rPr>
      </w:pPr>
      <w:r>
        <w:rPr>
          <w:rFonts w:ascii="Times New Roman" w:hAnsi="Times New Roman" w:cs="Times New Roman" w:eastAsia="Times New Roman" w:hint="default"/>
          <w:i/>
          <w:w w:val="99"/>
          <w:sz w:val="18"/>
          <w:szCs w:val="18"/>
        </w:rPr>
      </w:r>
      <w:r>
        <w:rPr>
          <w:rFonts w:ascii="Times New Roman" w:hAnsi="Times New Roman" w:cs="Times New Roman" w:eastAsia="Times New Roman" w:hint="default"/>
          <w:i/>
          <w:sz w:val="18"/>
          <w:szCs w:val="18"/>
          <w:u w:val="single" w:color="000000"/>
        </w:rPr>
        <w:t>VoIP</w:t>
      </w:r>
      <w:r>
        <w:rPr>
          <w:rFonts w:ascii="宋体" w:hAnsi="宋体" w:cs="宋体" w:eastAsia="宋体" w:hint="default"/>
          <w:i/>
          <w:sz w:val="19"/>
          <w:szCs w:val="19"/>
          <w:u w:val="single" w:color="000000"/>
        </w:rPr>
        <w:t>及</w:t>
      </w:r>
      <w:r>
        <w:rPr>
          <w:rFonts w:ascii="Times New Roman" w:hAnsi="Times New Roman" w:cs="Times New Roman" w:eastAsia="Times New Roman" w:hint="default"/>
          <w:i/>
          <w:sz w:val="18"/>
          <w:szCs w:val="18"/>
          <w:u w:val="single" w:color="000000"/>
        </w:rPr>
        <w:t>IPTV</w:t>
      </w:r>
      <w:r>
        <w:rPr>
          <w:rFonts w:ascii="宋体" w:hAnsi="宋体" w:cs="宋体" w:eastAsia="宋体" w:hint="default"/>
          <w:i/>
          <w:sz w:val="19"/>
          <w:szCs w:val="19"/>
          <w:u w:val="single" w:color="000000"/>
        </w:rPr>
        <w:t>业务</w:t>
      </w:r>
      <w:r>
        <w:rPr>
          <w:rFonts w:ascii="宋体" w:hAnsi="宋体" w:cs="宋体" w:eastAsia="宋体" w:hint="default"/>
          <w:i/>
          <w:sz w:val="19"/>
          <w:szCs w:val="19"/>
        </w:rPr>
        <w:t>：</w:t>
      </w:r>
      <w:r>
        <w:rPr>
          <w:rFonts w:ascii="宋体" w:hAnsi="宋体" w:cs="宋体" w:eastAsia="宋体" w:hint="default"/>
          <w:sz w:val="19"/>
          <w:szCs w:val="19"/>
        </w:rPr>
      </w:r>
    </w:p>
    <w:p>
      <w:pPr>
        <w:pStyle w:val="BodyText"/>
        <w:spacing w:line="304" w:lineRule="auto" w:before="63"/>
        <w:ind w:right="1131" w:firstLine="360"/>
        <w:jc w:val="both"/>
      </w:pPr>
      <w:r>
        <w:rPr>
          <w:rFonts w:ascii="Times New Roman" w:hAnsi="Times New Roman" w:cs="Times New Roman" w:eastAsia="Times New Roman" w:hint="default"/>
        </w:rPr>
        <w:t>VoIP</w:t>
      </w:r>
      <w:r>
        <w:rPr/>
        <w:t>及</w:t>
      </w:r>
      <w:r>
        <w:rPr>
          <w:rFonts w:ascii="Times New Roman" w:hAnsi="Times New Roman" w:cs="Times New Roman" w:eastAsia="Times New Roman" w:hint="default"/>
        </w:rPr>
        <w:t>IPTV</w:t>
      </w:r>
      <w:r>
        <w:rPr/>
        <w:t>业务的可回收金额按照预计未来现金流量现值确定。未来现金流量基于管理层批准的</w:t>
      </w:r>
      <w:r>
        <w:rPr>
          <w:rFonts w:ascii="Times New Roman" w:hAnsi="Times New Roman" w:cs="Times New Roman" w:eastAsia="Times New Roman" w:hint="default"/>
        </w:rPr>
        <w:t>2019</w:t>
      </w:r>
      <w:r>
        <w:rPr/>
        <w:t>年至</w:t>
      </w:r>
      <w:r>
        <w:rPr>
          <w:rFonts w:ascii="Times New Roman" w:hAnsi="Times New Roman" w:cs="Times New Roman" w:eastAsia="Times New Roman" w:hint="default"/>
        </w:rPr>
        <w:t>2023</w:t>
      </w:r>
      <w:r>
        <w:rPr/>
        <w:t>年的财 </w:t>
      </w:r>
      <w:r>
        <w:rPr>
          <w:spacing w:val="-2"/>
        </w:rPr>
        <w:t>务预算确定，并采用</w:t>
      </w:r>
      <w:r>
        <w:rPr>
          <w:rFonts w:ascii="Times New Roman" w:hAnsi="Times New Roman" w:cs="Times New Roman" w:eastAsia="Times New Roman" w:hint="default"/>
          <w:spacing w:val="-2"/>
        </w:rPr>
        <w:t>[12.11%]</w:t>
      </w:r>
      <w:r>
        <w:rPr>
          <w:spacing w:val="-2"/>
        </w:rPr>
        <w:t>的折现率</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12.86%)</w:t>
      </w:r>
      <w:r>
        <w:rPr>
          <w:spacing w:val="-2"/>
        </w:rPr>
        <w:t>。该资产组超过</w:t>
      </w:r>
      <w:r>
        <w:rPr>
          <w:rFonts w:ascii="Times New Roman" w:hAnsi="Times New Roman" w:cs="Times New Roman" w:eastAsia="Times New Roman" w:hint="default"/>
          <w:spacing w:val="-2"/>
        </w:rPr>
        <w:t>5</w:t>
      </w:r>
      <w:r>
        <w:rPr>
          <w:spacing w:val="-2"/>
        </w:rPr>
        <w:t>年的现金流量采用稳定的永续现金流。在</w:t>
      </w:r>
      <w:r>
        <w:rPr>
          <w:spacing w:val="-45"/>
        </w:rPr>
        <w:t> </w:t>
      </w:r>
      <w:r>
        <w:rPr>
          <w:spacing w:val="-45"/>
        </w:rPr>
      </w:r>
      <w:r>
        <w:rPr>
          <w:spacing w:val="-2"/>
        </w:rPr>
        <w:t>预计未来现金流量时使用的其他关键假设还有：基于该资产组过去的业绩和管理层对市场发展的预期估计预计用户数量和单</w:t>
      </w:r>
      <w:r>
        <w:rPr>
          <w:spacing w:val="-64"/>
        </w:rPr>
        <w:t> </w:t>
      </w:r>
      <w:r>
        <w:rPr>
          <w:spacing w:val="-64"/>
        </w:rPr>
      </w:r>
      <w:r>
        <w:rPr>
          <w:spacing w:val="-1"/>
        </w:rPr>
        <w:t>位用户产生收入</w:t>
      </w:r>
      <w:r>
        <w:rPr>
          <w:rFonts w:ascii="Times New Roman" w:hAnsi="Times New Roman" w:cs="Times New Roman" w:eastAsia="Times New Roman" w:hint="default"/>
          <w:spacing w:val="-1"/>
        </w:rPr>
        <w:t>(APU)</w:t>
      </w:r>
      <w:r>
        <w:rPr>
          <w:spacing w:val="-1"/>
        </w:rPr>
        <w:t>、毛利率、费用、折旧摊销和长期资产投资增加。管理层认为上述假设发生的任何合理变化均不会导</w:t>
      </w:r>
      <w:r>
        <w:rPr>
          <w:spacing w:val="-59"/>
        </w:rPr>
        <w:t> </w:t>
      </w:r>
      <w:r>
        <w:rPr>
          <w:spacing w:val="-59"/>
        </w:rPr>
      </w:r>
      <w:r>
        <w:rPr/>
        <w:t>致包含商誉的</w:t>
      </w:r>
      <w:r>
        <w:rPr>
          <w:rFonts w:ascii="Times New Roman" w:hAnsi="Times New Roman" w:cs="Times New Roman" w:eastAsia="Times New Roman" w:hint="default"/>
        </w:rPr>
        <w:t>VoIP</w:t>
      </w:r>
      <w:r>
        <w:rPr/>
        <w:t>及</w:t>
      </w:r>
      <w:r>
        <w:rPr>
          <w:rFonts w:ascii="Times New Roman" w:hAnsi="Times New Roman" w:cs="Times New Roman" w:eastAsia="Times New Roman" w:hint="default"/>
        </w:rPr>
        <w:t>IPTV</w:t>
      </w:r>
      <w:r>
        <w:rPr/>
        <w:t>业务资产组的账面价值合计超过其可收回余额。</w:t>
      </w:r>
    </w:p>
    <w:p>
      <w:pPr>
        <w:pStyle w:val="BodyText"/>
        <w:spacing w:line="312" w:lineRule="auto"/>
        <w:ind w:left="514" w:right="1118"/>
        <w:jc w:val="left"/>
      </w:pPr>
      <w:r>
        <w:rPr>
          <w:rFonts w:ascii="宋体" w:hAnsi="宋体" w:cs="宋体" w:eastAsia="宋体" w:hint="default"/>
          <w:i/>
          <w:w w:val="94"/>
          <w:sz w:val="19"/>
          <w:szCs w:val="19"/>
        </w:rPr>
      </w:r>
      <w:r>
        <w:rPr>
          <w:rFonts w:ascii="宋体" w:hAnsi="宋体" w:cs="宋体" w:eastAsia="宋体" w:hint="default"/>
          <w:i/>
          <w:sz w:val="19"/>
          <w:szCs w:val="19"/>
          <w:u w:val="single" w:color="000000"/>
        </w:rPr>
        <w:t>迪迅业务</w:t>
      </w:r>
      <w:r>
        <w:rPr>
          <w:rFonts w:ascii="宋体" w:hAnsi="宋体" w:cs="宋体" w:eastAsia="宋体" w:hint="default"/>
          <w:i/>
          <w:sz w:val="19"/>
          <w:szCs w:val="19"/>
        </w:rPr>
      </w:r>
      <w:r>
        <w:rPr/>
        <w:t>： </w:t>
      </w:r>
      <w:r>
        <w:rPr>
          <w:spacing w:val="-2"/>
        </w:rPr>
        <w:t>迪讯业务的可回收金额按照预计未来现金流量现值确定。未来现金流量基于管理层批准的</w:t>
      </w:r>
      <w:r>
        <w:rPr>
          <w:rFonts w:ascii="Times New Roman" w:hAnsi="Times New Roman" w:cs="Times New Roman" w:eastAsia="Times New Roman" w:hint="default"/>
          <w:spacing w:val="-2"/>
        </w:rPr>
        <w:t>2019</w:t>
      </w:r>
      <w:r>
        <w:rPr>
          <w:spacing w:val="-2"/>
        </w:rPr>
        <w:t>年至</w:t>
      </w:r>
      <w:r>
        <w:rPr>
          <w:rFonts w:ascii="Times New Roman" w:hAnsi="Times New Roman" w:cs="Times New Roman" w:eastAsia="Times New Roman" w:hint="default"/>
          <w:spacing w:val="-2"/>
        </w:rPr>
        <w:t>2023</w:t>
      </w:r>
      <w:r>
        <w:rPr>
          <w:spacing w:val="-2"/>
        </w:rPr>
        <w:t>年的财务预算确</w:t>
      </w:r>
    </w:p>
    <w:p>
      <w:pPr>
        <w:pStyle w:val="BodyText"/>
        <w:spacing w:line="312" w:lineRule="auto" w:before="3"/>
        <w:ind w:right="1131"/>
        <w:jc w:val="both"/>
      </w:pPr>
      <w:r>
        <w:rPr>
          <w:spacing w:val="-2"/>
        </w:rPr>
        <w:t>定，并采用</w:t>
      </w:r>
      <w:r>
        <w:rPr>
          <w:rFonts w:ascii="Times New Roman" w:hAnsi="Times New Roman" w:cs="Times New Roman" w:eastAsia="Times New Roman" w:hint="default"/>
          <w:spacing w:val="-2"/>
        </w:rPr>
        <w:t>[12.10%]</w:t>
      </w:r>
      <w:r>
        <w:rPr>
          <w:spacing w:val="-2"/>
        </w:rPr>
        <w:t>的折现率</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12.86%)</w:t>
      </w:r>
      <w:r>
        <w:rPr>
          <w:spacing w:val="-2"/>
        </w:rPr>
        <w:t>。该资产组超过</w:t>
      </w:r>
      <w:r>
        <w:rPr>
          <w:rFonts w:ascii="Times New Roman" w:hAnsi="Times New Roman" w:cs="Times New Roman" w:eastAsia="Times New Roman" w:hint="default"/>
          <w:spacing w:val="-2"/>
        </w:rPr>
        <w:t>5</w:t>
      </w:r>
      <w:r>
        <w:rPr>
          <w:spacing w:val="-2"/>
        </w:rPr>
        <w:t>年的现金流量采用稳定的永续现金流。在预计未来</w:t>
      </w:r>
      <w:r>
        <w:rPr>
          <w:spacing w:val="-42"/>
        </w:rPr>
        <w:t> </w:t>
      </w:r>
      <w:r>
        <w:rPr>
          <w:spacing w:val="-42"/>
        </w:rPr>
      </w:r>
      <w:r>
        <w:rPr>
          <w:spacing w:val="-2"/>
        </w:rPr>
        <w:t>现金流量时使用的其他关键假设还有：基于该资产组过去的经营数据、合同签订情况和管理层对市场发展的预期估计预计营</w:t>
      </w:r>
      <w:r>
        <w:rPr>
          <w:spacing w:val="-64"/>
        </w:rPr>
        <w:t> </w:t>
      </w:r>
      <w:r>
        <w:rPr>
          <w:spacing w:val="-64"/>
        </w:rPr>
      </w:r>
      <w:r>
        <w:rPr>
          <w:spacing w:val="-2"/>
        </w:rPr>
        <w:t>业收入、毛利率、费用、折旧摊销和长期资产投资增加。管理层认为上述假设发生的任何合理变化均不会导致包含商誉的迪</w:t>
      </w:r>
      <w:r>
        <w:rPr>
          <w:spacing w:val="-66"/>
        </w:rPr>
        <w:t> </w:t>
      </w:r>
      <w:r>
        <w:rPr>
          <w:spacing w:val="-66"/>
        </w:rPr>
      </w:r>
      <w:r>
        <w:rPr/>
        <w:t>讯业务资产组的账面价值合计超过其可收回余额。</w:t>
      </w:r>
    </w:p>
    <w:p>
      <w:pPr>
        <w:pStyle w:val="Heading6"/>
        <w:spacing w:line="240" w:lineRule="auto" w:before="10"/>
        <w:ind w:left="513" w:right="0"/>
        <w:jc w:val="left"/>
        <w:rPr>
          <w:i w:val="0"/>
        </w:rPr>
      </w:pPr>
      <w:r>
        <w:rPr>
          <w:w w:val="94"/>
        </w:rPr>
      </w:r>
      <w:r>
        <w:rPr>
          <w:u w:val="single" w:color="000000"/>
        </w:rPr>
        <w:t>展动科技</w:t>
      </w:r>
      <w:r>
        <w:rPr/>
        <w:t>：</w:t>
      </w:r>
      <w:r>
        <w:rPr>
          <w:i w:val="0"/>
        </w:rPr>
      </w:r>
    </w:p>
    <w:p>
      <w:pPr>
        <w:pStyle w:val="BodyText"/>
        <w:spacing w:line="309" w:lineRule="auto" w:before="75"/>
        <w:ind w:right="1130" w:firstLine="360"/>
        <w:jc w:val="both"/>
      </w:pPr>
      <w:r>
        <w:rPr>
          <w:spacing w:val="-2"/>
        </w:rPr>
        <w:t>展动科技的可回收金额按照预计未来现金流量现值确定。未来现金流量基于管理层批准的</w:t>
      </w:r>
      <w:r>
        <w:rPr>
          <w:rFonts w:ascii="Times New Roman" w:hAnsi="Times New Roman" w:cs="Times New Roman" w:eastAsia="Times New Roman" w:hint="default"/>
          <w:spacing w:val="-2"/>
        </w:rPr>
        <w:t>2019</w:t>
      </w:r>
      <w:r>
        <w:rPr>
          <w:spacing w:val="-2"/>
        </w:rPr>
        <w:t>年至</w:t>
      </w:r>
      <w:r>
        <w:rPr>
          <w:rFonts w:ascii="Times New Roman" w:hAnsi="Times New Roman" w:cs="Times New Roman" w:eastAsia="Times New Roman" w:hint="default"/>
          <w:spacing w:val="-2"/>
        </w:rPr>
        <w:t>2023</w:t>
      </w:r>
      <w:r>
        <w:rPr>
          <w:spacing w:val="-2"/>
        </w:rPr>
        <w:t>年的财务预算确</w:t>
      </w:r>
      <w:r>
        <w:rPr/>
        <w:t> </w:t>
      </w:r>
      <w:r>
        <w:rPr>
          <w:spacing w:val="-2"/>
        </w:rPr>
        <w:t>定，并采用</w:t>
      </w:r>
      <w:r>
        <w:rPr>
          <w:rFonts w:ascii="Times New Roman" w:hAnsi="Times New Roman" w:cs="Times New Roman" w:eastAsia="Times New Roman" w:hint="default"/>
          <w:spacing w:val="-2"/>
        </w:rPr>
        <w:t>[11.86%]</w:t>
      </w:r>
      <w:r>
        <w:rPr>
          <w:spacing w:val="-2"/>
        </w:rPr>
        <w:t>的折现率</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12.49%)</w:t>
      </w:r>
      <w:r>
        <w:rPr>
          <w:spacing w:val="-2"/>
        </w:rPr>
        <w:t>。该资产组超过</w:t>
      </w:r>
      <w:r>
        <w:rPr>
          <w:rFonts w:ascii="Times New Roman" w:hAnsi="Times New Roman" w:cs="Times New Roman" w:eastAsia="Times New Roman" w:hint="default"/>
          <w:spacing w:val="-2"/>
        </w:rPr>
        <w:t>5</w:t>
      </w:r>
      <w:r>
        <w:rPr>
          <w:spacing w:val="-2"/>
        </w:rPr>
        <w:t>年的现金流量采用稳定的永续现金流。在预计未来</w:t>
      </w:r>
      <w:r>
        <w:rPr>
          <w:spacing w:val="-43"/>
        </w:rPr>
        <w:t> </w:t>
      </w:r>
      <w:r>
        <w:rPr>
          <w:spacing w:val="-43"/>
        </w:rPr>
      </w:r>
      <w:r>
        <w:rPr>
          <w:spacing w:val="-2"/>
        </w:rPr>
        <w:t>现金流量时使用的其他关键假设还有：基于该资产组过去的业绩、行业的发展趋势和管理层对市场发展的预期估计预计预计</w:t>
      </w:r>
      <w:r>
        <w:rPr>
          <w:spacing w:val="-64"/>
        </w:rPr>
        <w:t> </w:t>
      </w:r>
      <w:r>
        <w:rPr>
          <w:spacing w:val="-64"/>
        </w:rPr>
      </w:r>
      <w:r>
        <w:rPr>
          <w:spacing w:val="-2"/>
        </w:rPr>
        <w:t>营业收入、毛利率、费用、折旧摊销和长期资产投资增加。管理层认为上述假设发生的任何合理变化均不会导致包含商誉的</w:t>
      </w:r>
      <w:r>
        <w:rPr>
          <w:spacing w:val="-66"/>
        </w:rPr>
        <w:t> </w:t>
      </w:r>
      <w:r>
        <w:rPr>
          <w:spacing w:val="-66"/>
        </w:rPr>
      </w:r>
      <w:r>
        <w:rPr/>
        <w:t>展动科技资产组的账面价值合计超过其可收回余额。</w:t>
      </w:r>
    </w:p>
    <w:p>
      <w:pPr>
        <w:spacing w:before="12"/>
        <w:ind w:left="514" w:right="0" w:firstLine="0"/>
        <w:jc w:val="left"/>
        <w:rPr>
          <w:rFonts w:ascii="宋体" w:hAnsi="宋体" w:cs="宋体" w:eastAsia="宋体" w:hint="default"/>
          <w:sz w:val="19"/>
          <w:szCs w:val="19"/>
        </w:rPr>
      </w:pPr>
      <w:r>
        <w:rPr>
          <w:rFonts w:ascii="Times New Roman" w:hAnsi="Times New Roman" w:cs="Times New Roman" w:eastAsia="Times New Roman" w:hint="default"/>
          <w:i/>
          <w:w w:val="99"/>
          <w:sz w:val="18"/>
          <w:szCs w:val="18"/>
        </w:rPr>
      </w:r>
      <w:r>
        <w:rPr>
          <w:rFonts w:ascii="Times New Roman" w:hAnsi="Times New Roman" w:cs="Times New Roman" w:eastAsia="Times New Roman" w:hint="default"/>
          <w:i/>
          <w:sz w:val="18"/>
          <w:szCs w:val="18"/>
          <w:u w:val="single" w:color="000000"/>
        </w:rPr>
        <w:t>iTalk</w:t>
      </w:r>
      <w:r>
        <w:rPr>
          <w:rFonts w:ascii="Times New Roman" w:hAnsi="Times New Roman" w:cs="Times New Roman" w:eastAsia="Times New Roman" w:hint="default"/>
          <w:i/>
          <w:spacing w:val="-13"/>
          <w:sz w:val="18"/>
          <w:szCs w:val="18"/>
          <w:u w:val="single" w:color="000000"/>
        </w:rPr>
        <w:t> </w:t>
      </w:r>
      <w:r>
        <w:rPr>
          <w:rFonts w:ascii="Times New Roman" w:hAnsi="Times New Roman" w:cs="Times New Roman" w:eastAsia="Times New Roman" w:hint="default"/>
          <w:i/>
          <w:sz w:val="18"/>
          <w:szCs w:val="18"/>
          <w:u w:val="single" w:color="000000"/>
        </w:rPr>
        <w:t>Media</w:t>
      </w:r>
      <w:r>
        <w:rPr>
          <w:rFonts w:ascii="Times New Roman" w:hAnsi="Times New Roman" w:cs="Times New Roman" w:eastAsia="Times New Roman" w:hint="default"/>
          <w:i/>
          <w:sz w:val="18"/>
          <w:szCs w:val="18"/>
        </w:rPr>
      </w:r>
      <w:r>
        <w:rPr>
          <w:rFonts w:ascii="宋体" w:hAnsi="宋体" w:cs="宋体" w:eastAsia="宋体" w:hint="default"/>
          <w:i/>
          <w:sz w:val="19"/>
          <w:szCs w:val="19"/>
        </w:rPr>
        <w:t>：</w:t>
      </w:r>
      <w:r>
        <w:rPr>
          <w:rFonts w:ascii="宋体" w:hAnsi="宋体" w:cs="宋体" w:eastAsia="宋体" w:hint="default"/>
          <w:sz w:val="19"/>
          <w:szCs w:val="19"/>
        </w:rPr>
      </w:r>
    </w:p>
    <w:p>
      <w:pPr>
        <w:pStyle w:val="BodyText"/>
        <w:spacing w:line="309" w:lineRule="auto" w:before="63"/>
        <w:ind w:right="1130" w:firstLine="360"/>
        <w:jc w:val="both"/>
      </w:pPr>
      <w:r>
        <w:rPr>
          <w:rFonts w:ascii="Times New Roman" w:hAnsi="Times New Roman" w:cs="Times New Roman" w:eastAsia="Times New Roman" w:hint="default"/>
        </w:rPr>
        <w:t>iTalk</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
        </w:rPr>
        <w:t>Media</w:t>
      </w:r>
      <w:r>
        <w:rPr>
          <w:spacing w:val="-2"/>
        </w:rPr>
        <w:t>的可回收金额按照预计未来现金流量现值确定。未来现金流量基于管理层批准的</w:t>
      </w:r>
      <w:r>
        <w:rPr>
          <w:rFonts w:ascii="Times New Roman" w:hAnsi="Times New Roman" w:cs="Times New Roman" w:eastAsia="Times New Roman" w:hint="default"/>
          <w:spacing w:val="-2"/>
        </w:rPr>
        <w:t>2019</w:t>
      </w:r>
      <w:r>
        <w:rPr>
          <w:spacing w:val="-2"/>
        </w:rPr>
        <w:t>年至</w:t>
      </w:r>
      <w:r>
        <w:rPr>
          <w:rFonts w:ascii="Times New Roman" w:hAnsi="Times New Roman" w:cs="Times New Roman" w:eastAsia="Times New Roman" w:hint="default"/>
          <w:spacing w:val="-2"/>
        </w:rPr>
        <w:t>2023</w:t>
      </w:r>
      <w:r>
        <w:rPr>
          <w:spacing w:val="-2"/>
        </w:rPr>
        <w:t>年的财务预算</w:t>
      </w:r>
      <w:r>
        <w:rPr/>
        <w:t> </w:t>
      </w:r>
      <w:r>
        <w:rPr>
          <w:spacing w:val="-2"/>
        </w:rPr>
        <w:t>确定，并采用</w:t>
      </w:r>
      <w:r>
        <w:rPr>
          <w:rFonts w:ascii="Times New Roman" w:hAnsi="Times New Roman" w:cs="Times New Roman" w:eastAsia="Times New Roman" w:hint="default"/>
          <w:spacing w:val="-2"/>
        </w:rPr>
        <w:t>[13.42%]</w:t>
      </w:r>
      <w:r>
        <w:rPr>
          <w:spacing w:val="-2"/>
        </w:rPr>
        <w:t>的折现率</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14.86%)</w:t>
      </w:r>
      <w:r>
        <w:rPr>
          <w:spacing w:val="-2"/>
        </w:rPr>
        <w:t>。该资产组超过</w:t>
      </w:r>
      <w:r>
        <w:rPr>
          <w:rFonts w:ascii="Times New Roman" w:hAnsi="Times New Roman" w:cs="Times New Roman" w:eastAsia="Times New Roman" w:hint="default"/>
          <w:spacing w:val="-2"/>
        </w:rPr>
        <w:t>5</w:t>
      </w:r>
      <w:r>
        <w:rPr>
          <w:spacing w:val="-2"/>
        </w:rPr>
        <w:t>年的现金流量采用稳定的永续现金流。在预计未</w:t>
      </w:r>
      <w:r>
        <w:rPr>
          <w:spacing w:val="-44"/>
        </w:rPr>
        <w:t> </w:t>
      </w:r>
      <w:r>
        <w:rPr>
          <w:spacing w:val="-44"/>
        </w:rPr>
      </w:r>
      <w:r>
        <w:rPr>
          <w:spacing w:val="-2"/>
        </w:rPr>
        <w:t>来现金流量时使用的其他关键假设还有：基于该资产组过去的业绩、行业的发展趋势和管理层对市场发展的预期估计预计预</w:t>
      </w:r>
      <w:r>
        <w:rPr>
          <w:spacing w:val="-64"/>
        </w:rPr>
        <w:t> </w:t>
      </w:r>
      <w:r>
        <w:rPr>
          <w:spacing w:val="-64"/>
        </w:rPr>
      </w:r>
      <w:r>
        <w:rPr>
          <w:spacing w:val="-2"/>
        </w:rPr>
        <w:t>计营业收入、毛利率、费用、折旧摊销和长期资产投资增加。管理层认为上述假设发生的任何合理变化均不会导致包含商誉</w:t>
      </w:r>
      <w:r>
        <w:rPr>
          <w:spacing w:val="-66"/>
        </w:rPr>
        <w:t> </w:t>
      </w:r>
      <w:r>
        <w:rPr>
          <w:spacing w:val="-66"/>
        </w:rPr>
      </w:r>
      <w:r>
        <w:rPr/>
        <w:t>的</w:t>
      </w:r>
      <w:r>
        <w:rPr>
          <w:rFonts w:ascii="Times New Roman" w:hAnsi="Times New Roman" w:cs="Times New Roman" w:eastAsia="Times New Roman" w:hint="default"/>
        </w:rPr>
        <w:t>iTalk</w:t>
      </w:r>
      <w:r>
        <w:rPr>
          <w:rFonts w:ascii="Times New Roman" w:hAnsi="Times New Roman" w:cs="Times New Roman" w:eastAsia="Times New Roman" w:hint="default"/>
          <w:spacing w:val="-2"/>
        </w:rPr>
        <w:t> </w:t>
      </w:r>
      <w:r>
        <w:rPr>
          <w:rFonts w:ascii="Times New Roman" w:hAnsi="Times New Roman" w:cs="Times New Roman" w:eastAsia="Times New Roman" w:hint="default"/>
        </w:rPr>
        <w:t>Media</w:t>
      </w:r>
      <w:r>
        <w:rPr/>
        <w:t>资产组的账面价值合计超过其可收回余额。</w:t>
      </w:r>
    </w:p>
    <w:p>
      <w:pPr>
        <w:pStyle w:val="Heading6"/>
        <w:spacing w:line="242" w:lineRule="exact" w:before="0"/>
        <w:ind w:left="513" w:right="0"/>
        <w:jc w:val="left"/>
        <w:rPr>
          <w:i w:val="0"/>
        </w:rPr>
      </w:pPr>
      <w:r>
        <w:rPr>
          <w:w w:val="94"/>
        </w:rPr>
      </w:r>
      <w:r>
        <w:rPr>
          <w:u w:val="single" w:color="000000"/>
        </w:rPr>
        <w:t>深圳日升</w:t>
      </w:r>
      <w:r>
        <w:rPr/>
        <w:t>：</w:t>
      </w:r>
      <w:r>
        <w:rPr>
          <w:i w:val="0"/>
        </w:rPr>
      </w:r>
    </w:p>
    <w:p>
      <w:pPr>
        <w:pStyle w:val="BodyText"/>
        <w:spacing w:line="307" w:lineRule="auto" w:before="75"/>
        <w:ind w:right="0" w:firstLine="360"/>
        <w:jc w:val="left"/>
      </w:pPr>
      <w:r>
        <w:rPr>
          <w:spacing w:val="-2"/>
        </w:rPr>
        <w:t>深圳日升的可回收金额按照预计未来现金流量现值确定。未来现金流量基于管理层批准的</w:t>
      </w:r>
      <w:r>
        <w:rPr>
          <w:rFonts w:ascii="Times New Roman" w:hAnsi="Times New Roman" w:cs="Times New Roman" w:eastAsia="Times New Roman" w:hint="default"/>
          <w:spacing w:val="-2"/>
        </w:rPr>
        <w:t>2019</w:t>
      </w:r>
      <w:r>
        <w:rPr>
          <w:spacing w:val="-2"/>
        </w:rPr>
        <w:t>年至</w:t>
      </w:r>
      <w:r>
        <w:rPr>
          <w:rFonts w:ascii="Times New Roman" w:hAnsi="Times New Roman" w:cs="Times New Roman" w:eastAsia="Times New Roman" w:hint="default"/>
          <w:spacing w:val="-2"/>
        </w:rPr>
        <w:t>2023</w:t>
      </w:r>
      <w:r>
        <w:rPr>
          <w:spacing w:val="-2"/>
        </w:rPr>
        <w:t>年的财务预算确</w:t>
      </w:r>
      <w:r>
        <w:rPr/>
        <w:t> 定，并采用</w:t>
      </w:r>
      <w:r>
        <w:rPr>
          <w:rFonts w:ascii="Times New Roman" w:hAnsi="Times New Roman" w:cs="Times New Roman" w:eastAsia="Times New Roman" w:hint="default"/>
        </w:rPr>
        <w:t>[14.50%]</w:t>
      </w:r>
      <w:r>
        <w:rPr/>
        <w:t>的折现率。该资产组超过</w:t>
      </w:r>
      <w:r>
        <w:rPr>
          <w:rFonts w:ascii="Times New Roman" w:hAnsi="Times New Roman" w:cs="Times New Roman" w:eastAsia="Times New Roman" w:hint="default"/>
        </w:rPr>
        <w:t>5</w:t>
      </w:r>
      <w:r>
        <w:rPr/>
        <w:t>年的现金流量采用稳定的永续现金流。在预计未来现金流量时使用的其他关</w:t>
      </w:r>
      <w:r>
        <w:rPr>
          <w:spacing w:val="-50"/>
        </w:rPr>
        <w:t> </w:t>
      </w:r>
      <w:r>
        <w:rPr>
          <w:spacing w:val="-50"/>
        </w:rPr>
      </w:r>
      <w:r>
        <w:rPr>
          <w:spacing w:val="-4"/>
        </w:rPr>
        <w:t>键假设还有：基于该资产组过去的业绩、行业的发展趋势和管理层对市场发展的预期估计预计预计营业收入、毛利率、费用、</w:t>
      </w:r>
      <w:r>
        <w:rPr>
          <w:spacing w:val="-46"/>
        </w:rPr>
        <w:t> </w:t>
      </w:r>
      <w:r>
        <w:rPr>
          <w:spacing w:val="-46"/>
        </w:rPr>
      </w:r>
      <w:r>
        <w:rPr>
          <w:spacing w:val="-2"/>
        </w:rPr>
        <w:t>折旧摊销和长期资产投资增加。管理层认为上述假设发生的任何合理变化均不会导致包含商誉的深圳日升资产组的账面价值</w:t>
      </w:r>
    </w:p>
    <w:p>
      <w:pPr>
        <w:spacing w:after="0" w:line="307" w:lineRule="auto"/>
        <w:jc w:val="left"/>
        <w:sectPr>
          <w:pgSz w:w="11910" w:h="16840"/>
          <w:pgMar w:header="0"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t>合计超过其可收回余额。</w:t>
      </w:r>
    </w:p>
    <w:p>
      <w:pPr>
        <w:spacing w:before="64"/>
        <w:ind w:left="514" w:right="0" w:firstLine="0"/>
        <w:jc w:val="left"/>
        <w:rPr>
          <w:rFonts w:ascii="宋体" w:hAnsi="宋体" w:cs="宋体" w:eastAsia="宋体" w:hint="default"/>
          <w:sz w:val="19"/>
          <w:szCs w:val="19"/>
        </w:rPr>
      </w:pPr>
      <w:r>
        <w:rPr>
          <w:rFonts w:ascii="Times New Roman" w:hAnsi="Times New Roman" w:cs="Times New Roman" w:eastAsia="Times New Roman" w:hint="default"/>
          <w:i/>
          <w:w w:val="99"/>
          <w:sz w:val="18"/>
          <w:szCs w:val="18"/>
        </w:rPr>
      </w:r>
      <w:r>
        <w:rPr>
          <w:rFonts w:ascii="Times New Roman" w:hAnsi="Times New Roman" w:cs="Times New Roman" w:eastAsia="Times New Roman" w:hint="default"/>
          <w:i/>
          <w:sz w:val="18"/>
          <w:szCs w:val="18"/>
          <w:u w:val="single" w:color="000000"/>
        </w:rPr>
        <w:t>I-Access</w:t>
      </w:r>
      <w:r>
        <w:rPr>
          <w:rFonts w:ascii="Times New Roman" w:hAnsi="Times New Roman" w:cs="Times New Roman" w:eastAsia="Times New Roman" w:hint="default"/>
          <w:i/>
          <w:sz w:val="18"/>
          <w:szCs w:val="18"/>
        </w:rPr>
      </w:r>
      <w:r>
        <w:rPr>
          <w:rFonts w:ascii="宋体" w:hAnsi="宋体" w:cs="宋体" w:eastAsia="宋体" w:hint="default"/>
          <w:i/>
          <w:sz w:val="19"/>
          <w:szCs w:val="19"/>
        </w:rPr>
        <w:t>：</w:t>
      </w:r>
      <w:r>
        <w:rPr>
          <w:rFonts w:ascii="宋体" w:hAnsi="宋体" w:cs="宋体" w:eastAsia="宋体" w:hint="default"/>
          <w:sz w:val="19"/>
          <w:szCs w:val="19"/>
        </w:rPr>
      </w:r>
    </w:p>
    <w:p>
      <w:pPr>
        <w:pStyle w:val="BodyText"/>
        <w:spacing w:line="304" w:lineRule="auto" w:before="63"/>
        <w:ind w:right="1043" w:firstLine="360"/>
        <w:jc w:val="left"/>
      </w:pPr>
      <w:r>
        <w:rPr>
          <w:rFonts w:ascii="Times New Roman" w:hAnsi="Times New Roman" w:cs="Times New Roman" w:eastAsia="Times New Roman" w:hint="default"/>
        </w:rPr>
        <w:t>I-Access</w:t>
      </w:r>
      <w:r>
        <w:rPr/>
        <w:t>的可回收金额按照预计未来现金流量现值确定。未来现金流量基于管理层批准的</w:t>
      </w:r>
      <w:r>
        <w:rPr>
          <w:rFonts w:ascii="Times New Roman" w:hAnsi="Times New Roman" w:cs="Times New Roman" w:eastAsia="Times New Roman" w:hint="default"/>
        </w:rPr>
        <w:t>2019</w:t>
      </w:r>
      <w:r>
        <w:rPr/>
        <w:t>年至</w:t>
      </w:r>
      <w:r>
        <w:rPr>
          <w:rFonts w:ascii="Times New Roman" w:hAnsi="Times New Roman" w:cs="Times New Roman" w:eastAsia="Times New Roman" w:hint="default"/>
        </w:rPr>
        <w:t>2023</w:t>
      </w:r>
      <w:r>
        <w:rPr/>
        <w:t>年的财务预算确 定，并采用</w:t>
      </w:r>
      <w:r>
        <w:rPr>
          <w:rFonts w:ascii="Times New Roman" w:hAnsi="Times New Roman" w:cs="Times New Roman" w:eastAsia="Times New Roman" w:hint="default"/>
        </w:rPr>
        <w:t>[14.75%]</w:t>
      </w:r>
      <w:r>
        <w:rPr/>
        <w:t>的折现率。该资产组超过</w:t>
      </w:r>
      <w:r>
        <w:rPr>
          <w:rFonts w:ascii="Times New Roman" w:hAnsi="Times New Roman" w:cs="Times New Roman" w:eastAsia="Times New Roman" w:hint="default"/>
        </w:rPr>
        <w:t>5</w:t>
      </w:r>
      <w:r>
        <w:rPr/>
        <w:t>年的现金流量采用稳定的永续现金流。在预计未来现金流量时使用的其他关</w:t>
      </w:r>
      <w:r>
        <w:rPr>
          <w:spacing w:val="-50"/>
        </w:rPr>
        <w:t> </w:t>
      </w:r>
      <w:r>
        <w:rPr>
          <w:spacing w:val="-50"/>
        </w:rPr>
      </w:r>
      <w:r>
        <w:rPr>
          <w:spacing w:val="-4"/>
        </w:rPr>
        <w:t>键假设还有：基于该资产组过去的业绩、行业的发展趋势和管理层对市场发展的预期估计预计预计营业收入、毛利率、费用、</w:t>
      </w:r>
      <w:r>
        <w:rPr>
          <w:spacing w:val="-46"/>
        </w:rPr>
        <w:t> </w:t>
      </w:r>
      <w:r>
        <w:rPr>
          <w:spacing w:val="-46"/>
        </w:rPr>
      </w:r>
      <w:r>
        <w:rPr/>
        <w:t>折旧摊销和长期资产投资增加。管理层认为上述假设发生的任何合理变化均不会导致包含商誉的</w:t>
      </w:r>
      <w:r>
        <w:rPr>
          <w:rFonts w:ascii="Times New Roman" w:hAnsi="Times New Roman" w:cs="Times New Roman" w:eastAsia="Times New Roman" w:hint="default"/>
        </w:rPr>
        <w:t>I-Access</w:t>
      </w:r>
      <w:r>
        <w:rPr/>
        <w:t>资产组的账面价值</w:t>
      </w:r>
      <w:r>
        <w:rPr>
          <w:spacing w:val="-84"/>
        </w:rPr>
        <w:t> </w:t>
      </w:r>
      <w:r>
        <w:rPr/>
        <w:t>合计超过其可收回余额。</w:t>
      </w:r>
    </w:p>
    <w:p>
      <w:pPr>
        <w:spacing w:line="240" w:lineRule="auto" w:before="3"/>
        <w:rPr>
          <w:rFonts w:ascii="宋体" w:hAnsi="宋体" w:cs="宋体" w:eastAsia="宋体" w:hint="default"/>
          <w:sz w:val="23"/>
          <w:szCs w:val="23"/>
        </w:rPr>
      </w:pPr>
    </w:p>
    <w:p>
      <w:pPr>
        <w:pStyle w:val="Heading4"/>
        <w:spacing w:line="240" w:lineRule="auto"/>
        <w:ind w:right="0"/>
        <w:jc w:val="left"/>
        <w:rPr>
          <w:b w:val="0"/>
          <w:bCs w:val="0"/>
        </w:rPr>
      </w:pPr>
      <w:bookmarkStart w:name="15、长期待摊费用" w:id="266"/>
      <w:bookmarkEnd w:id="266"/>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机房及办公楼装修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60,158,536.86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1,308,684.02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8,824,749.89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40,792.67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52,601,678.32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用户获取费用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14,246,429.49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2,089,656.91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6,091,733.60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10,244,352.80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IPTV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用户获取费用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18,438,594.09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3,371,086.46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7,004,534.77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721,966.63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14,083,179.15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onet </w:t>
            </w:r>
            <w:r>
              <w:rPr>
                <w:rFonts w:ascii="宋体" w:hAnsi="宋体" w:cs="宋体" w:eastAsia="宋体" w:hint="default"/>
                <w:sz w:val="18"/>
                <w:szCs w:val="18"/>
              </w:rPr>
              <w:t>软件系统平台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37,995.59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37,995.59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办公楼租金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4,737,062.36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4,070,010.64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667,051.72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佣金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225,694.21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35,609.97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50,435.45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210,868.73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生产软件服务费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26,039.38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107,601.17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84,917.38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48,723.17</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97,870,351.98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6,912,638.53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26,164,377.32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762,759.30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77,855,853.89</w:t>
            </w:r>
          </w:p>
        </w:tc>
      </w:tr>
    </w:tbl>
    <w:p>
      <w:pPr>
        <w:pStyle w:val="BodyText"/>
        <w:spacing w:line="357" w:lineRule="auto" w:before="51"/>
        <w:ind w:right="4182"/>
        <w:jc w:val="left"/>
      </w:pPr>
      <w:r>
        <w:rPr/>
        <w:t>其他说明 注</w:t>
      </w:r>
      <w:r>
        <w:rPr>
          <w:rFonts w:ascii="Times New Roman" w:hAnsi="Times New Roman" w:cs="Times New Roman" w:eastAsia="Times New Roman" w:hint="default"/>
        </w:rPr>
        <w:t>1</w:t>
      </w:r>
      <w:r>
        <w:rPr/>
        <w:t>：本年其他减少主要系本集团对长期待摊费用项目进行了复核，确认损失所致。</w:t>
      </w:r>
    </w:p>
    <w:p>
      <w:pPr>
        <w:spacing w:line="240" w:lineRule="auto" w:before="5"/>
        <w:rPr>
          <w:rFonts w:ascii="宋体" w:hAnsi="宋体" w:cs="宋体" w:eastAsia="宋体" w:hint="default"/>
          <w:sz w:val="18"/>
          <w:szCs w:val="18"/>
        </w:rPr>
      </w:pPr>
    </w:p>
    <w:p>
      <w:pPr>
        <w:pStyle w:val="Heading4"/>
        <w:spacing w:line="240" w:lineRule="auto"/>
        <w:ind w:right="0"/>
        <w:jc w:val="left"/>
        <w:rPr>
          <w:b w:val="0"/>
          <w:bCs w:val="0"/>
        </w:rPr>
      </w:pPr>
      <w:bookmarkStart w:name="16、递延所得税资产/递延所得税负债" w:id="267"/>
      <w:bookmarkEnd w:id="267"/>
      <w:r>
        <w:rPr>
          <w:b w:val="0"/>
          <w:bCs w:val="0"/>
        </w:rPr>
      </w: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268"/>
      <w:bookmarkEnd w:id="26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10,536,143.25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1,642,904.72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4,957,075.73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876,148.06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32,467,824.28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5,403,986.66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64,526,945.62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12,365,806.25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未实现的汇兑净损失</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1,617,306.25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388,153.50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1,465,415.75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351,699.78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380,727.63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10,272,658.68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1,493,434.99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7,874,175.92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984,271.99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计提未支付的费用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5,629,921.36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1,426,240.34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18,008,668.24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3,422,617.94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62,739,853.82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10,735,447.84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96,832,281.26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18,000,544.02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2）未经抵销的递延所得税负债" w:id="269"/>
      <w:bookmarkEnd w:id="269"/>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12,597,344.63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2,994,819.64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12,616,755.97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3,294,696.37</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6"/>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33,192,370.00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8,298,084.27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56,124,849.42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14,031,212.36</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 w:right="66"/>
              <w:jc w:val="left"/>
              <w:rPr>
                <w:rFonts w:ascii="宋体" w:hAnsi="宋体" w:cs="宋体" w:eastAsia="宋体" w:hint="default"/>
                <w:sz w:val="18"/>
                <w:szCs w:val="18"/>
              </w:rPr>
            </w:pPr>
            <w:r>
              <w:rPr>
                <w:rFonts w:ascii="宋体" w:hAnsi="宋体" w:cs="宋体" w:eastAsia="宋体" w:hint="default"/>
                <w:sz w:val="18"/>
                <w:szCs w:val="18"/>
              </w:rPr>
              <w:t>加速折旧或摊销的长期 资产</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39,853,584.67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5,642,008.08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38,106,707.90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7,554,251.35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85,643,299.30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16,934,911.99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106,848,313.29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24,880,160.08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以抵销后净额列示的递延所得税资产或负债" w:id="270"/>
      <w:bookmarkEnd w:id="270"/>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10,735,447.84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18,000,544.02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16,934,911.99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24,880,160.08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未确认递延所得税资产明细" w:id="271"/>
      <w:bookmarkEnd w:id="271"/>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160,814,590.60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183,576,069.80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277,190,448.94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203,212,340.81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438,005,039.54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386,788,410.61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未确认递延所得税资产的可抵扣亏损将于以下年度到期" w:id="272"/>
      <w:bookmarkEnd w:id="272"/>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9,377,066.48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4,227,556.22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4,246,384.96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22,169,699.63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36,472,348.34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4,465,391.63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65,222,405.28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28,985,223.98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81,684,579.67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44,318,218.64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2024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2025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13,263,650.64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2026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59,530,431.41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2027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51,847,556.18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2028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41,742,389.51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无期限</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6,640,331.10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6,209,556.08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277,190,448.94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203,212,340.81</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pStyle w:val="BodyText"/>
        <w:spacing w:line="300" w:lineRule="auto" w:before="116"/>
        <w:ind w:right="1130" w:firstLine="360"/>
        <w:jc w:val="both"/>
      </w:pPr>
      <w:r>
        <w:rPr>
          <w:spacing w:val="-2"/>
        </w:rPr>
        <w:t>注</w:t>
      </w:r>
      <w:r>
        <w:rPr>
          <w:rFonts w:ascii="Times New Roman" w:hAnsi="Times New Roman" w:cs="Times New Roman" w:eastAsia="Times New Roman" w:hint="default"/>
          <w:spacing w:val="-2"/>
        </w:rPr>
        <w:t>1</w:t>
      </w:r>
      <w:r>
        <w:rPr>
          <w:spacing w:val="-2"/>
        </w:rPr>
        <w:t>：根据财政部、税务总局财税</w:t>
      </w:r>
      <w:r>
        <w:rPr>
          <w:rFonts w:ascii="Times New Roman" w:hAnsi="Times New Roman" w:cs="Times New Roman" w:eastAsia="Times New Roman" w:hint="default"/>
          <w:spacing w:val="-2"/>
        </w:rPr>
        <w:t>[2018]76</w:t>
      </w:r>
      <w:r>
        <w:rPr>
          <w:spacing w:val="-2"/>
        </w:rPr>
        <w:t>号《关于延长高新技术企业和科技型中小企业亏损结转年限的通知》，自</w:t>
      </w:r>
      <w:r>
        <w:rPr>
          <w:rFonts w:ascii="Times New Roman" w:hAnsi="Times New Roman" w:cs="Times New Roman" w:eastAsia="Times New Roman" w:hint="default"/>
          <w:spacing w:val="-2"/>
        </w:rPr>
        <w:t>2018</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日起，对于高新技术企业，其具备高新技术企业资质年度之前</w:t>
      </w:r>
      <w:r>
        <w:rPr>
          <w:rFonts w:ascii="Times New Roman" w:hAnsi="Times New Roman" w:cs="Times New Roman" w:eastAsia="Times New Roman" w:hint="default"/>
        </w:rPr>
        <w:t>5</w:t>
      </w:r>
      <w:r>
        <w:rPr/>
        <w:t>个年度发生的尚未弥补完的亏损，准予结转以后年度</w:t>
      </w:r>
      <w:r>
        <w:rPr>
          <w:spacing w:val="-83"/>
        </w:rPr>
        <w:t> </w:t>
      </w:r>
      <w:r>
        <w:rPr>
          <w:spacing w:val="-83"/>
        </w:rPr>
      </w:r>
      <w:r>
        <w:rPr/>
        <w:t>弥补，最长结转年限由</w:t>
      </w:r>
      <w:r>
        <w:rPr>
          <w:rFonts w:ascii="Times New Roman" w:hAnsi="Times New Roman" w:cs="Times New Roman" w:eastAsia="Times New Roman" w:hint="default"/>
        </w:rPr>
        <w:t>5</w:t>
      </w:r>
      <w:r>
        <w:rPr/>
        <w:t>年延长至</w:t>
      </w:r>
      <w:r>
        <w:rPr>
          <w:rFonts w:ascii="Times New Roman" w:hAnsi="Times New Roman" w:cs="Times New Roman" w:eastAsia="Times New Roman" w:hint="default"/>
        </w:rPr>
        <w:t>10</w:t>
      </w:r>
      <w:r>
        <w:rPr/>
        <w:t>年。</w:t>
      </w:r>
    </w:p>
    <w:p>
      <w:pPr>
        <w:pStyle w:val="BodyText"/>
        <w:spacing w:line="240" w:lineRule="auto" w:before="13"/>
        <w:ind w:left="514" w:right="0"/>
        <w:jc w:val="left"/>
      </w:pPr>
      <w:r>
        <w:rPr/>
        <w:t>注</w:t>
      </w:r>
      <w:r>
        <w:rPr>
          <w:rFonts w:ascii="Times New Roman" w:hAnsi="Times New Roman" w:cs="Times New Roman" w:eastAsia="Times New Roman" w:hint="default"/>
        </w:rPr>
        <w:t>2</w:t>
      </w:r>
      <w:r>
        <w:rPr/>
        <w:t>：本公司之境外经营子公司累计余额为人民币</w:t>
      </w:r>
      <w:r>
        <w:rPr>
          <w:rFonts w:ascii="Times New Roman" w:hAnsi="Times New Roman" w:cs="Times New Roman" w:eastAsia="Times New Roman" w:hint="default"/>
        </w:rPr>
        <w:t>6,640,331.10   </w:t>
      </w:r>
      <w:r>
        <w:rPr/>
        <w:t>元的可抵扣亏损按照当地税法规定可在未来无限期内弥</w:t>
      </w:r>
    </w:p>
    <w:p>
      <w:pPr>
        <w:pStyle w:val="BodyText"/>
        <w:spacing w:line="240" w:lineRule="auto" w:before="63"/>
        <w:ind w:right="0"/>
        <w:jc w:val="left"/>
        <w:rPr>
          <w:rFonts w:ascii="Times New Roman" w:hAnsi="Times New Roman" w:cs="Times New Roman" w:eastAsia="Times New Roman" w:hint="default"/>
        </w:rPr>
      </w:pPr>
      <w:r>
        <w:rPr/>
        <w:t>补</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pStyle w:val="Heading4"/>
        <w:spacing w:line="240" w:lineRule="auto" w:before="131"/>
        <w:ind w:right="0"/>
        <w:jc w:val="left"/>
        <w:rPr>
          <w:b w:val="0"/>
          <w:bCs w:val="0"/>
        </w:rPr>
      </w:pPr>
      <w:bookmarkStart w:name="17、短期借款" w:id="273"/>
      <w:bookmarkEnd w:id="273"/>
      <w:r>
        <w:rPr>
          <w:b w:val="0"/>
          <w:bCs w:val="0"/>
        </w:rPr>
      </w:r>
      <w:r>
        <w:rPr>
          <w:rFonts w:ascii="Times New Roman" w:hAnsi="Times New Roman" w:cs="Times New Roman" w:eastAsia="Times New Roman" w:hint="default"/>
        </w:rPr>
        <w:t>17</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短期借款分类" w:id="274"/>
      <w:bookmarkEnd w:id="274"/>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19,800,000.00</w:t>
            </w:r>
          </w:p>
        </w:tc>
      </w:tr>
    </w:tbl>
    <w:p>
      <w:pPr>
        <w:pStyle w:val="BodyText"/>
        <w:spacing w:line="240" w:lineRule="auto" w:before="51"/>
        <w:ind w:right="0"/>
        <w:jc w:val="left"/>
      </w:pPr>
      <w:r>
        <w:rPr/>
        <w:t>短期借款分类的说明：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已逾期未偿还的短期借款情况" w:id="275"/>
      <w:bookmarkEnd w:id="275"/>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8、应付票据及应付账款" w:id="276"/>
      <w:bookmarkEnd w:id="276"/>
      <w:r>
        <w:rPr>
          <w:b w:val="0"/>
          <w:bCs w:val="0"/>
        </w:rPr>
      </w:r>
      <w:r>
        <w:rPr>
          <w:rFonts w:ascii="Times New Roman" w:hAnsi="Times New Roman" w:cs="Times New Roman" w:eastAsia="Times New Roman" w:hint="default"/>
        </w:rPr>
        <w:t>18</w:t>
      </w:r>
      <w:r>
        <w:rPr/>
        <w:t>、应付票据及应付账款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80,058,709.02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53,782,732.64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80,058,709.02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53,782,732.64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付票据分类列示" w:id="277"/>
      <w:bookmarkEnd w:id="277"/>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0"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bookmarkStart w:name="（2）应付账款列示" w:id="278"/>
      <w:bookmarkEnd w:id="278"/>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7"/>
        <w:rPr>
          <w:rFonts w:ascii="宋体" w:hAnsi="宋体" w:cs="宋体" w:eastAsia="宋体" w:hint="default"/>
          <w:b/>
          <w:bCs/>
          <w:sz w:val="9"/>
          <w:szCs w:val="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应付带宽、运营费用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53,003,256.34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25,949,021.19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20,523,372.04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14,234,193.21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应付市场费用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2,940,167.50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4,898,937.43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2,273,997.69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6,610,065.51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应付其他款项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1,317,915.45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2,090,515.30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80,058,709.02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53,782,732.64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账龄超过1年的重要应付账款" w:id="279"/>
      <w:bookmarkEnd w:id="279"/>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94" w:right="0"/>
        <w:jc w:val="left"/>
      </w:pPr>
      <w:r>
        <w:rPr/>
        <w:t>年末无账龄超过一年的重大应付账款。</w:t>
      </w:r>
    </w:p>
    <w:p>
      <w:pPr>
        <w:spacing w:line="240" w:lineRule="auto" w:before="6"/>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0" w:footer="979" w:top="1100" w:bottom="1160" w:left="980" w:right="0"/>
        </w:sectPr>
      </w:pPr>
    </w:p>
    <w:p>
      <w:pPr>
        <w:pStyle w:val="Heading4"/>
        <w:spacing w:line="240" w:lineRule="auto" w:before="35"/>
        <w:ind w:right="0"/>
        <w:jc w:val="left"/>
        <w:rPr>
          <w:b w:val="0"/>
          <w:bCs w:val="0"/>
        </w:rPr>
      </w:pPr>
      <w:bookmarkStart w:name="19、预收款项" w:id="280"/>
      <w:bookmarkEnd w:id="280"/>
      <w:r>
        <w:rPr>
          <w:b w:val="0"/>
          <w:bCs w:val="0"/>
        </w:rPr>
      </w:r>
      <w:r>
        <w:rPr>
          <w:rFonts w:ascii="Times New Roman" w:hAnsi="Times New Roman" w:cs="Times New Roman" w:eastAsia="Times New Roman" w:hint="default"/>
        </w:rPr>
        <w:t>19</w:t>
      </w:r>
      <w:r>
        <w:rPr/>
        <w:t>、预收款项</w:t>
      </w:r>
      <w:r>
        <w:rPr>
          <w:b w:val="0"/>
          <w:bCs w:val="0"/>
        </w:rPr>
      </w:r>
    </w:p>
    <w:p>
      <w:pPr>
        <w:pStyle w:val="Heading4"/>
        <w:spacing w:line="240" w:lineRule="auto" w:before="142"/>
        <w:ind w:right="0"/>
        <w:jc w:val="left"/>
        <w:rPr>
          <w:b w:val="0"/>
          <w:bCs w:val="0"/>
        </w:rPr>
      </w:pPr>
      <w:bookmarkStart w:name="（1）预收款项列示" w:id="281"/>
      <w:bookmarkEnd w:id="281"/>
      <w:r>
        <w:rPr>
          <w:b w:val="0"/>
          <w:bCs w:val="0"/>
        </w:rPr>
      </w:r>
      <w:r>
        <w:rPr>
          <w:w w:val="95"/>
        </w:rPr>
        <w:t>（</w:t>
      </w:r>
      <w:r>
        <w:rPr>
          <w:rFonts w:ascii="Times New Roman" w:hAnsi="Times New Roman" w:cs="Times New Roman" w:eastAsia="Times New Roman" w:hint="default"/>
          <w:w w:val="95"/>
        </w:rPr>
        <w:t>1</w:t>
      </w:r>
      <w:r>
        <w:rPr>
          <w:w w:val="95"/>
        </w:rPr>
        <w:t>）预收款项列示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40"/>
        <w:ind w:left="153" w:right="0"/>
        <w:jc w:val="left"/>
      </w:pPr>
      <w:r>
        <w:rPr/>
        <w:t>单位： 元</w:t>
      </w:r>
    </w:p>
    <w:p>
      <w:pPr>
        <w:spacing w:after="0" w:line="240" w:lineRule="auto"/>
        <w:jc w:val="left"/>
        <w:sectPr>
          <w:type w:val="continuous"/>
          <w:pgSz w:w="11910" w:h="16840"/>
          <w:pgMar w:top="1060" w:bottom="1160" w:left="980" w:right="0"/>
          <w:cols w:num="2" w:equalWidth="0">
            <w:col w:w="1946" w:space="6884"/>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预收服务款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229,857,594.32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227,055,337.84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229,857,594.32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227,055,337.84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预收款项" w:id="282"/>
      <w:bookmarkEnd w:id="28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年末无账龄超过一年的重大预收款项。</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期末建造合同形成的已结算未完工项目情况" w:id="283"/>
      <w:bookmarkEnd w:id="283"/>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0、应付职工薪酬" w:id="284"/>
      <w:bookmarkEnd w:id="284"/>
      <w:r>
        <w:rPr>
          <w:b w:val="0"/>
          <w:bCs w:val="0"/>
        </w:rPr>
      </w:r>
      <w:r>
        <w:rPr>
          <w:rFonts w:ascii="Times New Roman" w:hAnsi="Times New Roman" w:cs="Times New Roman" w:eastAsia="Times New Roman" w:hint="default"/>
        </w:rPr>
        <w:t>20</w:t>
      </w:r>
      <w:r>
        <w:rPr/>
        <w:t>、应付职工薪酬</w:t>
      </w:r>
      <w:r>
        <w:rPr>
          <w:b w:val="0"/>
          <w:bCs w:val="0"/>
        </w:rPr>
      </w:r>
    </w:p>
    <w:p>
      <w:pPr>
        <w:spacing w:line="240" w:lineRule="auto" w:before="1"/>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0"/>
        </w:sectPr>
      </w:pPr>
    </w:p>
    <w:p>
      <w:pPr>
        <w:pStyle w:val="Heading4"/>
        <w:spacing w:line="240" w:lineRule="auto" w:before="35"/>
        <w:ind w:right="0"/>
        <w:jc w:val="left"/>
        <w:rPr>
          <w:b w:val="0"/>
          <w:bCs w:val="0"/>
        </w:rPr>
      </w:pPr>
      <w:bookmarkStart w:name="（1）应付职工薪酬列示" w:id="285"/>
      <w:bookmarkEnd w:id="285"/>
      <w:r>
        <w:rPr>
          <w:b w:val="0"/>
          <w:bCs w:val="0"/>
        </w:rPr>
      </w:r>
      <w:r>
        <w:rPr>
          <w:w w:val="95"/>
        </w:rPr>
        <w:t>（</w:t>
      </w:r>
      <w:r>
        <w:rPr>
          <w:rFonts w:ascii="Times New Roman" w:hAnsi="Times New Roman" w:cs="Times New Roman" w:eastAsia="Times New Roman" w:hint="default"/>
          <w:w w:val="95"/>
        </w:rPr>
        <w:t>1</w:t>
      </w:r>
      <w:r>
        <w:rPr>
          <w:w w:val="95"/>
        </w:rPr>
        <w:t>）应付职工薪酬列示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367" w:space="6463"/>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31,320,712.87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295,263,300.20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295,304,307.05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31,279,706.02</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1,644,629.42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30,456,319.55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30,381,949.35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1,718,999.62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1,073,152.24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1,715,143.79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1,989,526.51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798,769.52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34,038,494.53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327,434,763.54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327,675,782.91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33,797,475.16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2）短期薪酬列示" w:id="286"/>
      <w:bookmarkEnd w:id="286"/>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30,113,434.09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261,652,958.66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261,962,556.87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29,803,835.88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1,923,806.14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1,923,806.14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1,185,828.13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15,910,324.13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15,824,495.86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1,271,656.40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806,639.31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14,251,615.88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14,186,931.04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871,324.15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329,559.14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530,680.67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515,698.98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344,540.83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49,629.68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1,128,027.58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1,121,865.84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55,791.42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21,450.65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15,563,397.76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15,449,619.16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135,229.25</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111,969.76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58,099.57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53,870.19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100,843.75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85,729.45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15,114.30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31,320,712.87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295,263,300.20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295,304,307.05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31,279,706.02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设定提存计划列示" w:id="287"/>
      <w:bookmarkEnd w:id="287"/>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1,595,584.91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29,684,806.81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29,613,256.34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1,667,135.38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49,044.51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771,512.74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768,693.01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51,864.24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1,644,629.42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30,456,319.55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30,381,949.35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1,718,999.62</w:t>
            </w:r>
          </w:p>
        </w:tc>
      </w:tr>
    </w:tbl>
    <w:p>
      <w:pPr>
        <w:pStyle w:val="BodyText"/>
        <w:spacing w:line="240" w:lineRule="auto" w:before="51"/>
        <w:ind w:right="0"/>
        <w:jc w:val="both"/>
      </w:pPr>
      <w:r>
        <w:rPr/>
        <w:t>其他说明：</w:t>
      </w:r>
    </w:p>
    <w:p>
      <w:pPr>
        <w:pStyle w:val="BodyText"/>
        <w:spacing w:line="316" w:lineRule="auto" w:before="116"/>
        <w:ind w:left="461" w:right="0" w:firstLine="52"/>
        <w:jc w:val="left"/>
      </w:pPr>
      <w:r>
        <w:rPr/>
        <w:t>其他短期薪酬主要包括残保金。 </w:t>
      </w:r>
      <w:r>
        <w:rPr>
          <w:spacing w:val="-1"/>
        </w:rPr>
        <w:t>本集团境内子公司按规定参加由政府机构设立的养老保险、失业保险计划，根据该等计划，本集团分别按员工上年平均</w:t>
      </w:r>
    </w:p>
    <w:p>
      <w:pPr>
        <w:pStyle w:val="BodyText"/>
        <w:spacing w:line="300" w:lineRule="auto" w:before="19"/>
        <w:ind w:right="1132"/>
        <w:jc w:val="both"/>
      </w:pPr>
      <w:r>
        <w:rPr>
          <w:spacing w:val="-2"/>
        </w:rPr>
        <w:t>工资的</w:t>
      </w:r>
      <w:r>
        <w:rPr>
          <w:rFonts w:ascii="Times New Roman" w:hAnsi="Times New Roman" w:cs="Times New Roman" w:eastAsia="Times New Roman" w:hint="default"/>
          <w:spacing w:val="-2"/>
        </w:rPr>
        <w:t>19%</w:t>
      </w:r>
      <w:r>
        <w:rPr>
          <w:spacing w:val="-2"/>
        </w:rPr>
        <w:t>、</w:t>
      </w:r>
      <w:r>
        <w:rPr>
          <w:rFonts w:ascii="Times New Roman" w:hAnsi="Times New Roman" w:cs="Times New Roman" w:eastAsia="Times New Roman" w:hint="default"/>
          <w:spacing w:val="-2"/>
        </w:rPr>
        <w:t>0.8%</w:t>
      </w:r>
      <w:r>
        <w:rPr>
          <w:spacing w:val="-2"/>
        </w:rPr>
        <w:t>每月向该等计划缴存费用。除上述每月缴存费用外，本集团不再承担进一步支付义务。相应的支出于发生</w:t>
      </w:r>
      <w:r>
        <w:rPr>
          <w:spacing w:val="-45"/>
        </w:rPr>
        <w:t> </w:t>
      </w:r>
      <w:r>
        <w:rPr>
          <w:spacing w:val="-45"/>
        </w:rPr>
      </w:r>
      <w:r>
        <w:rPr/>
        <w:t>时计入当期损益或相关资产的成本。</w:t>
      </w:r>
    </w:p>
    <w:p>
      <w:pPr>
        <w:pStyle w:val="BodyText"/>
        <w:spacing w:line="316" w:lineRule="auto" w:before="31"/>
        <w:ind w:left="461" w:right="0"/>
        <w:jc w:val="left"/>
      </w:pPr>
      <w:r>
        <w:rPr/>
        <w:t>本集团境外子公司根据所在地养老保险、失业保险政策进行费用的缴纳。 </w:t>
      </w:r>
      <w:r>
        <w:rPr>
          <w:spacing w:val="3"/>
        </w:rPr>
        <w:t>本集团本年应分别向养老保险、失业保险计划缴存费用人民币</w:t>
      </w:r>
      <w:r>
        <w:rPr>
          <w:rFonts w:ascii="Times New Roman" w:hAnsi="Times New Roman" w:cs="Times New Roman" w:eastAsia="Times New Roman" w:hint="default"/>
          <w:spacing w:val="3"/>
        </w:rPr>
        <w:t>29,684,806.81</w:t>
      </w:r>
      <w:r>
        <w:rPr>
          <w:spacing w:val="3"/>
        </w:rPr>
        <w:t>元及人民币</w:t>
      </w:r>
      <w:r>
        <w:rPr>
          <w:rFonts w:ascii="Times New Roman" w:hAnsi="Times New Roman" w:cs="Times New Roman" w:eastAsia="Times New Roman" w:hint="default"/>
          <w:spacing w:val="3"/>
        </w:rPr>
        <w:t>771,512.74</w:t>
      </w:r>
      <w:r>
        <w:rPr>
          <w:spacing w:val="3"/>
        </w:rPr>
        <w:t>元</w:t>
      </w:r>
      <w:r>
        <w:rPr>
          <w:rFonts w:ascii="Times New Roman" w:hAnsi="Times New Roman" w:cs="Times New Roman" w:eastAsia="Times New Roman" w:hint="default"/>
          <w:spacing w:val="3"/>
        </w:rPr>
        <w:t>(2017</w:t>
      </w:r>
      <w:r>
        <w:rPr>
          <w:spacing w:val="3"/>
        </w:rPr>
        <w:t>年：人民币</w:t>
      </w:r>
    </w:p>
    <w:p>
      <w:pPr>
        <w:pStyle w:val="BodyText"/>
        <w:spacing w:line="300" w:lineRule="auto"/>
        <w:ind w:right="1125"/>
        <w:jc w:val="both"/>
      </w:pPr>
      <w:r>
        <w:rPr>
          <w:rFonts w:ascii="Times New Roman" w:hAnsi="Times New Roman" w:cs="Times New Roman" w:eastAsia="Times New Roman" w:hint="default"/>
        </w:rPr>
        <w:t>27,785,268.86</w:t>
      </w:r>
      <w:r>
        <w:rPr/>
        <w:t>元及人民币</w:t>
      </w:r>
      <w:r>
        <w:rPr>
          <w:rFonts w:ascii="Times New Roman" w:hAnsi="Times New Roman" w:cs="Times New Roman" w:eastAsia="Times New Roman" w:hint="default"/>
        </w:rPr>
        <w:t>2,355,224.93</w:t>
      </w:r>
      <w:r>
        <w:rPr/>
        <w:t>元</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日，本集团尚有人民币</w:t>
      </w:r>
      <w:r>
        <w:rPr>
          <w:rFonts w:ascii="Times New Roman" w:hAnsi="Times New Roman" w:cs="Times New Roman" w:eastAsia="Times New Roman" w:hint="default"/>
        </w:rPr>
        <w:t>1,667,135.38</w:t>
      </w:r>
      <w:r>
        <w:rPr/>
        <w:t>元及人民币</w:t>
      </w:r>
      <w:r>
        <w:rPr>
          <w:rFonts w:ascii="Times New Roman" w:hAnsi="Times New Roman" w:cs="Times New Roman" w:eastAsia="Times New Roman" w:hint="default"/>
        </w:rPr>
        <w:t>51,864.24</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1,595,584.91</w:t>
      </w:r>
      <w:r>
        <w:rPr/>
        <w:t>元及人民币</w:t>
      </w:r>
      <w:r>
        <w:rPr>
          <w:rFonts w:ascii="Times New Roman" w:hAnsi="Times New Roman" w:cs="Times New Roman" w:eastAsia="Times New Roman" w:hint="default"/>
        </w:rPr>
        <w:t>49,044.51</w:t>
      </w:r>
      <w:r>
        <w:rPr/>
        <w:t>元</w:t>
      </w:r>
      <w:r>
        <w:rPr>
          <w:rFonts w:ascii="Times New Roman" w:hAnsi="Times New Roman" w:cs="Times New Roman" w:eastAsia="Times New Roman" w:hint="default"/>
        </w:rPr>
        <w:t>)</w:t>
      </w:r>
      <w:r>
        <w:rPr/>
        <w:t>的应缴存费用是于本报告期应付而未支付的养老保险及失业保险。 有关应缴存费用已于报告期后支付。</w:t>
      </w:r>
    </w:p>
    <w:p>
      <w:pPr>
        <w:spacing w:after="0" w:line="300" w:lineRule="auto"/>
        <w:jc w:val="both"/>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21、应交税费" w:id="288"/>
      <w:bookmarkEnd w:id="288"/>
      <w:r>
        <w:rPr>
          <w:b w:val="0"/>
          <w:bCs w:val="0"/>
        </w:rPr>
      </w:r>
      <w:r>
        <w:rPr>
          <w:rFonts w:ascii="Times New Roman" w:hAnsi="Times New Roman" w:cs="Times New Roman" w:eastAsia="Times New Roman" w:hint="default"/>
        </w:rPr>
        <w:t>21</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2,847,189.76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1,698,295.51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9,079,430.96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4,747,759.18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1,274,552.14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1,870,572.88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66,894.19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65,859.77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54,003.26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57,180.70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境外公司销售税等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495,747.03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676,708.41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8,303.74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-519.91</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13,826,121.08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9,115,856.54</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2、其他应付款" w:id="289"/>
      <w:bookmarkEnd w:id="289"/>
      <w:r>
        <w:rPr>
          <w:b w:val="0"/>
          <w:bCs w:val="0"/>
        </w:rPr>
      </w:r>
      <w:r>
        <w:rPr>
          <w:rFonts w:ascii="Times New Roman" w:hAnsi="Times New Roman" w:cs="Times New Roman" w:eastAsia="Times New Roman" w:hint="default"/>
        </w:rPr>
        <w:t>22</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18,375.13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181,835,463.95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102,532,554.99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181,835,463.95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102,550,930.12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付利息" w:id="290"/>
      <w:bookmarkEnd w:id="290"/>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18,375.13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18,375.13</w:t>
            </w:r>
          </w:p>
        </w:tc>
      </w:tr>
    </w:tbl>
    <w:p>
      <w:pPr>
        <w:pStyle w:val="BodyText"/>
        <w:spacing w:line="240" w:lineRule="auto" w:before="51"/>
        <w:ind w:right="0"/>
        <w:jc w:val="left"/>
      </w:pPr>
      <w:r>
        <w:rPr/>
        <w:t>重要的已逾期未支付的利息情况：无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应付股利" w:id="291"/>
      <w:bookmarkEnd w:id="291"/>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3）其他应付款" w:id="292"/>
      <w:bookmarkEnd w:id="292"/>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63,872,868.06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1,914,562.18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4,428,241.69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房租及管理费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1,170,046.78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1,646,960.74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外部公司往来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489,314.64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395,233.23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诉讼及赔偿款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13,395,110.00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3,421,540.35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2,834,141.27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181,835,463.95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102,532,554.99</w:t>
            </w:r>
          </w:p>
        </w:tc>
      </w:tr>
    </w:tbl>
    <w:p>
      <w:pPr>
        <w:pStyle w:val="BodyText"/>
        <w:spacing w:line="340" w:lineRule="auto" w:before="51"/>
        <w:ind w:right="8083"/>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r>
        <w:rPr>
          <w:w w:val="99"/>
        </w:rPr>
        <w:t> </w:t>
      </w:r>
      <w:r>
        <w:rPr/>
        <w:t>无</w:t>
      </w:r>
    </w:p>
    <w:p>
      <w:pPr>
        <w:pStyle w:val="BodyText"/>
        <w:spacing w:line="240" w:lineRule="auto" w:before="40"/>
        <w:ind w:right="0"/>
        <w:jc w:val="left"/>
      </w:pPr>
      <w:r>
        <w:rPr/>
        <w:t>其他说明</w:t>
      </w:r>
    </w:p>
    <w:p>
      <w:pPr>
        <w:pStyle w:val="BodyText"/>
        <w:spacing w:line="300" w:lineRule="auto" w:before="115"/>
        <w:ind w:right="1122" w:firstLine="360"/>
        <w:jc w:val="left"/>
      </w:pPr>
      <w:r>
        <w:rPr/>
        <w:t>注：股权收购款余额为本公司之子公司上海通信收购</w:t>
      </w:r>
      <w:r>
        <w:rPr>
          <w:rFonts w:ascii="Times New Roman" w:hAnsi="Times New Roman" w:cs="Times New Roman" w:eastAsia="Times New Roman" w:hint="default"/>
        </w:rPr>
        <w:t>I-Access</w:t>
      </w:r>
      <w:r>
        <w:rPr/>
        <w:t>应付余款人民币</w:t>
      </w:r>
      <w:r>
        <w:rPr>
          <w:rFonts w:ascii="Times New Roman" w:hAnsi="Times New Roman" w:cs="Times New Roman" w:eastAsia="Times New Roman" w:hint="default"/>
        </w:rPr>
        <w:t>13,950.00</w:t>
      </w:r>
      <w:r>
        <w:rPr/>
        <w:t>万元。以前年度购买展动科技股 权收购款人民币</w:t>
      </w:r>
      <w:r>
        <w:rPr>
          <w:rFonts w:ascii="Times New Roman" w:hAnsi="Times New Roman" w:cs="Times New Roman" w:eastAsia="Times New Roman" w:hint="default"/>
        </w:rPr>
        <w:t>4,923.63</w:t>
      </w:r>
      <w:r>
        <w:rPr/>
        <w:t>万元及购买</w:t>
      </w:r>
      <w:r>
        <w:rPr>
          <w:rFonts w:ascii="Times New Roman" w:hAnsi="Times New Roman" w:cs="Times New Roman" w:eastAsia="Times New Roman" w:hint="default"/>
        </w:rPr>
        <w:t>iTalk</w:t>
      </w:r>
      <w:r>
        <w:rPr>
          <w:rFonts w:ascii="Times New Roman" w:hAnsi="Times New Roman" w:cs="Times New Roman" w:eastAsia="Times New Roman" w:hint="default"/>
          <w:spacing w:val="-7"/>
        </w:rPr>
        <w:t> </w:t>
      </w:r>
      <w:r>
        <w:rPr>
          <w:rFonts w:ascii="Times New Roman" w:hAnsi="Times New Roman" w:cs="Times New Roman" w:eastAsia="Times New Roman" w:hint="default"/>
        </w:rPr>
        <w:t>Media</w:t>
      </w:r>
      <w:r>
        <w:rPr/>
        <w:t>股权收购款人民币</w:t>
      </w:r>
      <w:r>
        <w:rPr>
          <w:rFonts w:ascii="Times New Roman" w:hAnsi="Times New Roman" w:cs="Times New Roman" w:eastAsia="Times New Roman" w:hint="default"/>
        </w:rPr>
        <w:t>1,463.66</w:t>
      </w:r>
      <w:r>
        <w:rPr/>
        <w:t>万元已于本年全部支付。</w:t>
      </w:r>
    </w:p>
    <w:p>
      <w:pPr>
        <w:spacing w:after="0" w:line="300" w:lineRule="auto"/>
        <w:jc w:val="left"/>
        <w:sectPr>
          <w:pgSz w:w="11910" w:h="16840"/>
          <w:pgMar w:header="0" w:footer="979" w:top="1100" w:bottom="1160" w:left="980" w:right="0"/>
        </w:sectPr>
      </w:pPr>
    </w:p>
    <w:p>
      <w:pPr>
        <w:pStyle w:val="Heading4"/>
        <w:spacing w:line="240" w:lineRule="auto" w:before="108"/>
        <w:ind w:right="0"/>
        <w:jc w:val="left"/>
        <w:rPr>
          <w:b w:val="0"/>
          <w:bCs w:val="0"/>
        </w:rPr>
      </w:pPr>
      <w:bookmarkStart w:name="23、递延收益" w:id="293"/>
      <w:bookmarkEnd w:id="293"/>
      <w:r>
        <w:rPr>
          <w:b w:val="0"/>
          <w:bCs w:val="0"/>
        </w:rPr>
      </w:r>
      <w:r>
        <w:rPr>
          <w:rFonts w:ascii="Times New Roman" w:hAnsi="Times New Roman" w:cs="Times New Roman" w:eastAsia="Times New Roman" w:hint="default"/>
          <w:w w:val="95"/>
        </w:rPr>
        <w:t>23</w:t>
      </w:r>
      <w:r>
        <w:rPr>
          <w:w w:val="95"/>
        </w:rPr>
        <w:t>、递延收益</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3"/>
        <w:rPr>
          <w:rFonts w:ascii="宋体" w:hAnsi="宋体" w:cs="宋体" w:eastAsia="宋体" w:hint="default"/>
          <w:b/>
          <w:bCs/>
          <w:sz w:val="19"/>
          <w:szCs w:val="19"/>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1418" w:space="7412"/>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3,011,515.67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1,784,500.00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2,427,015.67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3,011,515.67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1,784,500.00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2,427,015.67</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664"/>
        <w:gridCol w:w="1006"/>
        <w:gridCol w:w="1221"/>
        <w:gridCol w:w="1028"/>
        <w:gridCol w:w="1380"/>
        <w:gridCol w:w="948"/>
        <w:gridCol w:w="475"/>
        <w:gridCol w:w="1004"/>
        <w:gridCol w:w="968"/>
      </w:tblGrid>
      <w:tr>
        <w:trPr>
          <w:trHeight w:val="1025" w:hRule="exact"/>
        </w:trPr>
        <w:tc>
          <w:tcPr>
            <w:tcW w:w="1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6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24" w:right="64"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14" w:right="54" w:hanging="360"/>
              <w:jc w:val="left"/>
              <w:rPr>
                <w:rFonts w:ascii="宋体" w:hAnsi="宋体" w:cs="宋体" w:eastAsia="宋体" w:hint="default"/>
                <w:sz w:val="18"/>
                <w:szCs w:val="18"/>
              </w:rPr>
            </w:pPr>
            <w:r>
              <w:rPr>
                <w:rFonts w:ascii="宋体" w:hAnsi="宋体" w:cs="宋体" w:eastAsia="宋体" w:hint="default"/>
                <w:sz w:val="18"/>
                <w:szCs w:val="18"/>
              </w:rPr>
              <w:t>本期计入其他收 益金额</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8" w:right="108"/>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1" w:right="53"/>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302" w:lineRule="auto" w:before="75"/>
              <w:ind w:left="388" w:right="92" w:hanging="29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 关</w:t>
            </w:r>
          </w:p>
        </w:tc>
      </w:tr>
      <w:tr>
        <w:trPr>
          <w:trHeight w:val="402" w:hRule="exact"/>
        </w:trPr>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云通信项目</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2,292,000.00</w:t>
            </w:r>
          </w:p>
        </w:tc>
        <w:tc>
          <w:tcPr>
            <w:tcW w:w="1221"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1,146,000.00</w:t>
            </w:r>
          </w:p>
        </w:tc>
        <w:tc>
          <w:tcPr>
            <w:tcW w:w="948"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1,146,000.00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9"/>
              <w:jc w:val="both"/>
              <w:rPr>
                <w:rFonts w:ascii="Times New Roman" w:hAnsi="Times New Roman" w:cs="Times New Roman" w:eastAsia="Times New Roman" w:hint="default"/>
                <w:sz w:val="18"/>
                <w:szCs w:val="18"/>
              </w:rPr>
            </w:pPr>
            <w:r>
              <w:rPr>
                <w:rFonts w:ascii="宋体" w:hAnsi="宋体" w:cs="宋体" w:eastAsia="宋体" w:hint="default"/>
                <w:sz w:val="18"/>
                <w:szCs w:val="18"/>
              </w:rPr>
              <w:t>移动数据虚拟专用 网络服务平台项目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719,515.67</w:t>
            </w:r>
          </w:p>
        </w:tc>
        <w:tc>
          <w:tcPr>
            <w:tcW w:w="1221"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387,500.00</w:t>
            </w:r>
          </w:p>
        </w:tc>
        <w:tc>
          <w:tcPr>
            <w:tcW w:w="948"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332,015.67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企业号云呼智能</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通信平台</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006"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02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251,000.00</w:t>
            </w:r>
          </w:p>
        </w:tc>
        <w:tc>
          <w:tcPr>
            <w:tcW w:w="948"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949,000.00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4" w:hRule="exact"/>
        </w:trPr>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3,011,515.67</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02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1,784,500.00</w:t>
            </w:r>
          </w:p>
        </w:tc>
        <w:tc>
          <w:tcPr>
            <w:tcW w:w="948"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2,427,015.67</w:t>
            </w:r>
          </w:p>
        </w:tc>
        <w:tc>
          <w:tcPr>
            <w:tcW w:w="9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240" w:lineRule="auto" w:before="115"/>
        <w:ind w:left="514" w:right="0"/>
        <w:jc w:val="left"/>
      </w:pPr>
      <w:r>
        <w:rPr/>
        <w:t>注</w:t>
      </w:r>
      <w:r>
        <w:rPr>
          <w:rFonts w:ascii="Times New Roman" w:hAnsi="Times New Roman" w:cs="Times New Roman" w:eastAsia="Times New Roman" w:hint="default"/>
        </w:rPr>
        <w:t>1</w:t>
      </w:r>
      <w:r>
        <w:rPr/>
        <w:t>：根据北京市财政局关于下达</w:t>
      </w:r>
      <w:r>
        <w:rPr>
          <w:rFonts w:ascii="Times New Roman" w:hAnsi="Times New Roman" w:cs="Times New Roman" w:eastAsia="Times New Roman" w:hint="default"/>
        </w:rPr>
        <w:t>2013</w:t>
      </w:r>
      <w:r>
        <w:rPr/>
        <w:t>年中关村现代服务业试点项目财政补助资金预算的函，本集团</w:t>
      </w:r>
      <w:r>
        <w:rPr>
          <w:rFonts w:ascii="Times New Roman" w:hAnsi="Times New Roman" w:cs="Times New Roman" w:eastAsia="Times New Roman" w:hint="default"/>
        </w:rPr>
        <w:t>2014</w:t>
      </w:r>
      <w:r>
        <w:rPr/>
        <w:t>年收到人民币</w:t>
      </w:r>
    </w:p>
    <w:p>
      <w:pPr>
        <w:pStyle w:val="BodyText"/>
        <w:spacing w:line="240" w:lineRule="auto" w:before="63"/>
        <w:ind w:right="0"/>
        <w:jc w:val="left"/>
      </w:pPr>
      <w:r>
        <w:rPr>
          <w:rFonts w:ascii="Times New Roman" w:hAnsi="Times New Roman" w:cs="Times New Roman" w:eastAsia="Times New Roman" w:hint="default"/>
        </w:rPr>
        <w:t>573</w:t>
      </w:r>
      <w:r>
        <w:rPr/>
        <w:t>万元拨款补助。该拨款专项用于</w:t>
      </w:r>
      <w:r>
        <w:rPr>
          <w:rFonts w:ascii="Times New Roman" w:hAnsi="Times New Roman" w:cs="Times New Roman" w:eastAsia="Times New Roman" w:hint="default"/>
        </w:rPr>
        <w:t>“263</w:t>
      </w:r>
      <w:r>
        <w:rPr/>
        <w:t>云通信</w:t>
      </w:r>
      <w:r>
        <w:rPr>
          <w:rFonts w:ascii="Times New Roman" w:hAnsi="Times New Roman" w:cs="Times New Roman" w:eastAsia="Times New Roman" w:hint="default"/>
        </w:rPr>
        <w:t>”</w:t>
      </w:r>
      <w:r>
        <w:rPr/>
        <w:t>企业通信云服务平台的建设与推广，项目已于</w:t>
      </w:r>
      <w:r>
        <w:rPr>
          <w:rFonts w:ascii="Times New Roman" w:hAnsi="Times New Roman" w:cs="Times New Roman" w:eastAsia="Times New Roman" w:hint="default"/>
        </w:rPr>
        <w:t>2015</w:t>
      </w:r>
      <w:r>
        <w:rPr/>
        <w:t>年完成验收，本集团按照</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514" w:right="1132" w:hanging="360"/>
        <w:jc w:val="left"/>
      </w:pPr>
      <w:r>
        <w:rPr/>
        <w:t>所购买的资产使用年限分期计入当期损益。 </w:t>
      </w:r>
      <w:r>
        <w:rPr>
          <w:spacing w:val="-1"/>
        </w:rPr>
        <w:t>注</w:t>
      </w:r>
      <w:r>
        <w:rPr>
          <w:rFonts w:ascii="Times New Roman" w:hAnsi="Times New Roman" w:cs="Times New Roman" w:eastAsia="Times New Roman" w:hint="default"/>
          <w:spacing w:val="-1"/>
        </w:rPr>
        <w:t>2</w:t>
      </w:r>
      <w:r>
        <w:rPr>
          <w:spacing w:val="-1"/>
        </w:rPr>
        <w:t>：根据《关于下达</w:t>
      </w:r>
      <w:r>
        <w:rPr>
          <w:rFonts w:ascii="Times New Roman" w:hAnsi="Times New Roman" w:cs="Times New Roman" w:eastAsia="Times New Roman" w:hint="default"/>
          <w:spacing w:val="-1"/>
        </w:rPr>
        <w:t>2014</w:t>
      </w:r>
      <w:r>
        <w:rPr>
          <w:spacing w:val="-1"/>
        </w:rPr>
        <w:t>年第一批上海市服务业发展引导资金计划的通知》</w:t>
      </w:r>
      <w:r>
        <w:rPr>
          <w:rFonts w:ascii="Times New Roman" w:hAnsi="Times New Roman" w:cs="Times New Roman" w:eastAsia="Times New Roman" w:hint="default"/>
          <w:spacing w:val="-1"/>
        </w:rPr>
        <w:t>(</w:t>
      </w:r>
      <w:r>
        <w:rPr>
          <w:spacing w:val="-1"/>
        </w:rPr>
        <w:t>沪发改服务</w:t>
      </w:r>
      <w:r>
        <w:rPr>
          <w:rFonts w:ascii="Times New Roman" w:hAnsi="Times New Roman" w:cs="Times New Roman" w:eastAsia="Times New Roman" w:hint="default"/>
          <w:spacing w:val="-1"/>
        </w:rPr>
        <w:t>[2014]8</w:t>
      </w:r>
      <w:r>
        <w:rPr>
          <w:spacing w:val="-1"/>
        </w:rPr>
        <w:t>号</w:t>
      </w:r>
      <w:r>
        <w:rPr>
          <w:rFonts w:ascii="Times New Roman" w:hAnsi="Times New Roman" w:cs="Times New Roman" w:eastAsia="Times New Roman" w:hint="default"/>
          <w:spacing w:val="-1"/>
        </w:rPr>
        <w:t>)</w:t>
      </w:r>
      <w:r>
        <w:rPr>
          <w:spacing w:val="-1"/>
        </w:rPr>
        <w:t>，以及</w:t>
      </w:r>
      <w:r>
        <w:rPr>
          <w:rFonts w:ascii="Times New Roman" w:hAnsi="Times New Roman" w:cs="Times New Roman" w:eastAsia="Times New Roman" w:hint="default"/>
          <w:spacing w:val="-1"/>
        </w:rPr>
        <w:t>2014-09</w:t>
      </w:r>
      <w:r>
        <w:rPr>
          <w:spacing w:val="-1"/>
        </w:rPr>
        <w:t>《虹</w:t>
      </w:r>
    </w:p>
    <w:p>
      <w:pPr>
        <w:pStyle w:val="BodyText"/>
        <w:spacing w:line="300" w:lineRule="auto"/>
        <w:ind w:right="1129"/>
        <w:jc w:val="both"/>
      </w:pPr>
      <w:r>
        <w:rPr/>
        <w:t>口区服务业发展引导资金扶持项目协议书》的规定，上海市虹口区发展和改革委员会、上海市财政局分别拨付人民币</w:t>
      </w:r>
      <w:r>
        <w:rPr>
          <w:rFonts w:ascii="Times New Roman" w:hAnsi="Times New Roman" w:cs="Times New Roman" w:eastAsia="Times New Roman" w:hint="default"/>
        </w:rPr>
        <w:t>200</w:t>
      </w:r>
      <w:r>
        <w:rPr/>
        <w:t>万</w:t>
      </w:r>
      <w:r>
        <w:rPr>
          <w:spacing w:val="-82"/>
        </w:rPr>
        <w:t> </w:t>
      </w:r>
      <w:r>
        <w:rPr>
          <w:spacing w:val="-2"/>
        </w:rPr>
        <w:t>元用于上海通信的</w:t>
      </w:r>
      <w:r>
        <w:rPr>
          <w:rFonts w:ascii="Times New Roman" w:hAnsi="Times New Roman" w:cs="Times New Roman" w:eastAsia="Times New Roman" w:hint="default"/>
          <w:spacing w:val="-2"/>
        </w:rPr>
        <w:t>“</w:t>
      </w:r>
      <w:r>
        <w:rPr>
          <w:spacing w:val="-2"/>
        </w:rPr>
        <w:t>移动数据虚拟专用网络服务平台</w:t>
      </w:r>
      <w:r>
        <w:rPr>
          <w:rFonts w:ascii="Times New Roman" w:hAnsi="Times New Roman" w:cs="Times New Roman" w:eastAsia="Times New Roman" w:hint="default"/>
          <w:spacing w:val="-2"/>
        </w:rPr>
        <w:t>”</w:t>
      </w:r>
      <w:r>
        <w:rPr>
          <w:spacing w:val="-2"/>
        </w:rPr>
        <w:t>项目的建设。上海通信分别于</w:t>
      </w:r>
      <w:r>
        <w:rPr>
          <w:rFonts w:ascii="Times New Roman" w:hAnsi="Times New Roman" w:cs="Times New Roman" w:eastAsia="Times New Roman" w:hint="default"/>
          <w:spacing w:val="-2"/>
        </w:rPr>
        <w:t>2014</w:t>
      </w:r>
      <w:r>
        <w:rPr>
          <w:spacing w:val="-2"/>
        </w:rPr>
        <w:t>年度、</w:t>
      </w:r>
      <w:r>
        <w:rPr>
          <w:rFonts w:ascii="Times New Roman" w:hAnsi="Times New Roman" w:cs="Times New Roman" w:eastAsia="Times New Roman" w:hint="default"/>
          <w:spacing w:val="-2"/>
        </w:rPr>
        <w:t>2015</w:t>
      </w:r>
      <w:r>
        <w:rPr>
          <w:spacing w:val="-2"/>
        </w:rPr>
        <w:t>年度收到该补助款，上海</w:t>
      </w:r>
      <w:r>
        <w:rPr>
          <w:spacing w:val="-35"/>
        </w:rPr>
        <w:t> </w:t>
      </w:r>
      <w:r>
        <w:rPr>
          <w:spacing w:val="-35"/>
        </w:rPr>
      </w:r>
      <w:r>
        <w:rPr/>
        <w:t>通信利用该补助款购买相关设备，并按照所购买的资产使用年限分期计入当期损益。</w:t>
      </w:r>
    </w:p>
    <w:p>
      <w:pPr>
        <w:pStyle w:val="BodyText"/>
        <w:spacing w:line="300" w:lineRule="auto" w:before="31"/>
        <w:ind w:right="1130" w:firstLine="360"/>
        <w:jc w:val="both"/>
      </w:pPr>
      <w:r>
        <w:rPr/>
        <w:t>注</w:t>
      </w:r>
      <w:r>
        <w:rPr>
          <w:rFonts w:ascii="Times New Roman" w:hAnsi="Times New Roman" w:cs="Times New Roman" w:eastAsia="Times New Roman" w:hint="default"/>
        </w:rPr>
        <w:t>3</w:t>
      </w:r>
      <w:r>
        <w:rPr/>
        <w:t>：根据《上海张江国家自主创新示范区专项发展资金使用和管理办法》</w:t>
      </w:r>
      <w:r>
        <w:rPr>
          <w:rFonts w:ascii="Times New Roman" w:hAnsi="Times New Roman" w:cs="Times New Roman" w:eastAsia="Times New Roman" w:hint="default"/>
        </w:rPr>
        <w:t>(</w:t>
      </w:r>
      <w:r>
        <w:rPr/>
        <w:t>沪财预</w:t>
      </w:r>
      <w:r>
        <w:rPr>
          <w:rFonts w:ascii="Times New Roman" w:hAnsi="Times New Roman" w:cs="Times New Roman" w:eastAsia="Times New Roman" w:hint="default"/>
        </w:rPr>
        <w:t>[2016]149</w:t>
      </w:r>
      <w:r>
        <w:rPr/>
        <w:t>号</w:t>
      </w:r>
      <w:r>
        <w:rPr>
          <w:rFonts w:ascii="Times New Roman" w:hAnsi="Times New Roman" w:cs="Times New Roman" w:eastAsia="Times New Roman" w:hint="default"/>
        </w:rPr>
        <w:t>)</w:t>
      </w:r>
      <w:r>
        <w:rPr/>
        <w:t>、《上海张江国家自主 创新示范区专项发展资金项目经费管理实施办法》</w:t>
      </w:r>
      <w:r>
        <w:rPr>
          <w:rFonts w:ascii="Times New Roman" w:hAnsi="Times New Roman" w:cs="Times New Roman" w:eastAsia="Times New Roman" w:hint="default"/>
        </w:rPr>
        <w:t>(</w:t>
      </w:r>
      <w:r>
        <w:rPr/>
        <w:t>沪张江高新管委</w:t>
      </w:r>
      <w:r>
        <w:rPr>
          <w:rFonts w:ascii="Times New Roman" w:hAnsi="Times New Roman" w:cs="Times New Roman" w:eastAsia="Times New Roman" w:hint="default"/>
        </w:rPr>
        <w:t>[2016]86</w:t>
      </w:r>
      <w:r>
        <w:rPr/>
        <w:t>号</w:t>
      </w:r>
      <w:r>
        <w:rPr>
          <w:rFonts w:ascii="Times New Roman" w:hAnsi="Times New Roman" w:cs="Times New Roman" w:eastAsia="Times New Roman" w:hint="default"/>
        </w:rPr>
        <w:t>)</w:t>
      </w:r>
      <w:r>
        <w:rPr/>
        <w:t>和《关于下达张江国家自主创新示范区专项</w:t>
      </w:r>
      <w:r>
        <w:rPr>
          <w:spacing w:val="-57"/>
        </w:rPr>
        <w:t> </w:t>
      </w:r>
      <w:r>
        <w:rPr>
          <w:spacing w:val="-57"/>
        </w:rPr>
      </w:r>
      <w:r>
        <w:rPr>
          <w:spacing w:val="-2"/>
        </w:rPr>
        <w:t>发展资金</w:t>
      </w:r>
      <w:r>
        <w:rPr>
          <w:rFonts w:ascii="Times New Roman" w:hAnsi="Times New Roman" w:cs="Times New Roman" w:eastAsia="Times New Roman" w:hint="default"/>
          <w:spacing w:val="-2"/>
        </w:rPr>
        <w:t>2017</w:t>
      </w:r>
      <w:r>
        <w:rPr>
          <w:spacing w:val="-2"/>
        </w:rPr>
        <w:t>年度重点项目</w:t>
      </w:r>
      <w:r>
        <w:rPr>
          <w:rFonts w:ascii="Times New Roman" w:hAnsi="Times New Roman" w:cs="Times New Roman" w:eastAsia="Times New Roman" w:hint="default"/>
          <w:spacing w:val="-2"/>
        </w:rPr>
        <w:t>(</w:t>
      </w:r>
      <w:r>
        <w:rPr>
          <w:spacing w:val="-2"/>
        </w:rPr>
        <w:t>虹口园</w:t>
      </w:r>
      <w:r>
        <w:rPr>
          <w:rFonts w:ascii="Times New Roman" w:hAnsi="Times New Roman" w:cs="Times New Roman" w:eastAsia="Times New Roman" w:hint="default"/>
          <w:spacing w:val="-2"/>
        </w:rPr>
        <w:t>)</w:t>
      </w:r>
      <w:r>
        <w:rPr>
          <w:spacing w:val="-2"/>
        </w:rPr>
        <w:t>资助经费的通知》</w:t>
      </w:r>
      <w:r>
        <w:rPr>
          <w:rFonts w:ascii="Times New Roman" w:hAnsi="Times New Roman" w:cs="Times New Roman" w:eastAsia="Times New Roman" w:hint="default"/>
          <w:spacing w:val="-2"/>
        </w:rPr>
        <w:t>(</w:t>
      </w:r>
      <w:r>
        <w:rPr>
          <w:spacing w:val="-2"/>
        </w:rPr>
        <w:t>沪张江高新管委</w:t>
      </w:r>
      <w:r>
        <w:rPr>
          <w:rFonts w:ascii="Times New Roman" w:hAnsi="Times New Roman" w:cs="Times New Roman" w:eastAsia="Times New Roman" w:hint="default"/>
          <w:spacing w:val="-2"/>
        </w:rPr>
        <w:t>[2018]74</w:t>
      </w:r>
      <w:r>
        <w:rPr>
          <w:spacing w:val="-2"/>
        </w:rPr>
        <w:t>号</w:t>
      </w:r>
      <w:r>
        <w:rPr>
          <w:rFonts w:ascii="Times New Roman" w:hAnsi="Times New Roman" w:cs="Times New Roman" w:eastAsia="Times New Roman" w:hint="default"/>
          <w:spacing w:val="-2"/>
        </w:rPr>
        <w:t>)</w:t>
      </w:r>
      <w:r>
        <w:rPr>
          <w:spacing w:val="-2"/>
        </w:rPr>
        <w:t>的规定，上海市虹口区科学技术委员会拨</w:t>
      </w:r>
      <w:r>
        <w:rPr>
          <w:spacing w:val="-47"/>
        </w:rPr>
        <w:t> </w:t>
      </w:r>
      <w:r>
        <w:rPr>
          <w:spacing w:val="-47"/>
        </w:rPr>
      </w:r>
      <w:r>
        <w:rPr/>
        <w:t>付人民币</w:t>
      </w:r>
      <w:r>
        <w:rPr>
          <w:rFonts w:ascii="Times New Roman" w:hAnsi="Times New Roman" w:cs="Times New Roman" w:eastAsia="Times New Roman" w:hint="default"/>
        </w:rPr>
        <w:t>200</w:t>
      </w:r>
      <w:r>
        <w:rPr/>
        <w:t>万元用于上海通信的</w:t>
      </w:r>
      <w:r>
        <w:rPr>
          <w:rFonts w:ascii="Times New Roman" w:hAnsi="Times New Roman" w:cs="Times New Roman" w:eastAsia="Times New Roman" w:hint="default"/>
        </w:rPr>
        <w:t>“263</w:t>
      </w:r>
      <w:r>
        <w:rPr/>
        <w:t>企业号云呼智能通信平台</w:t>
      </w:r>
      <w:r>
        <w:rPr>
          <w:rFonts w:ascii="Times New Roman" w:hAnsi="Times New Roman" w:cs="Times New Roman" w:eastAsia="Times New Roman" w:hint="default"/>
        </w:rPr>
        <w:t>”</w:t>
      </w:r>
      <w:r>
        <w:rPr/>
        <w:t>项目的建设。上海通信于</w:t>
      </w:r>
      <w:r>
        <w:rPr>
          <w:rFonts w:ascii="Times New Roman" w:hAnsi="Times New Roman" w:cs="Times New Roman" w:eastAsia="Times New Roman" w:hint="default"/>
        </w:rPr>
        <w:t>2018</w:t>
      </w:r>
      <w:r>
        <w:rPr/>
        <w:t>年度收到人民币</w:t>
      </w:r>
      <w:r>
        <w:rPr>
          <w:rFonts w:ascii="Times New Roman" w:hAnsi="Times New Roman" w:cs="Times New Roman" w:eastAsia="Times New Roman" w:hint="default"/>
        </w:rPr>
        <w:t>120</w:t>
      </w:r>
      <w:r>
        <w:rPr/>
        <w:t>万元用于</w:t>
      </w:r>
      <w:r>
        <w:rPr>
          <w:spacing w:val="-67"/>
        </w:rPr>
        <w:t> </w:t>
      </w:r>
      <w:r>
        <w:rPr/>
        <w:t>设备的购买，并按照所购买的资产使用年限分期计入当期损益。</w:t>
      </w:r>
    </w:p>
    <w:p>
      <w:pPr>
        <w:spacing w:line="240" w:lineRule="auto" w:before="6"/>
        <w:rPr>
          <w:rFonts w:ascii="宋体" w:hAnsi="宋体" w:cs="宋体" w:eastAsia="宋体" w:hint="default"/>
          <w:sz w:val="23"/>
          <w:szCs w:val="23"/>
        </w:rPr>
      </w:pPr>
    </w:p>
    <w:p>
      <w:pPr>
        <w:pStyle w:val="Heading4"/>
        <w:spacing w:line="240" w:lineRule="auto"/>
        <w:ind w:right="0"/>
        <w:jc w:val="both"/>
        <w:rPr>
          <w:b w:val="0"/>
          <w:bCs w:val="0"/>
        </w:rPr>
      </w:pPr>
      <w:bookmarkStart w:name="24、股本" w:id="294"/>
      <w:bookmarkEnd w:id="294"/>
      <w:r>
        <w:rPr>
          <w:b w:val="0"/>
          <w:bCs w:val="0"/>
        </w:rPr>
      </w:r>
      <w:r>
        <w:rPr>
          <w:rFonts w:ascii="Times New Roman" w:hAnsi="Times New Roman" w:cs="Times New Roman" w:eastAsia="Times New Roman" w:hint="default"/>
        </w:rPr>
        <w:t>24</w:t>
      </w:r>
      <w:r>
        <w:rPr/>
        <w:t>、股本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787,380,220.00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7" w:right="0"/>
              <w:jc w:val="left"/>
              <w:rPr>
                <w:rFonts w:ascii="Times New Roman" w:hAnsi="Times New Roman" w:cs="Times New Roman" w:eastAsia="Times New Roman" w:hint="default"/>
                <w:sz w:val="18"/>
                <w:szCs w:val="18"/>
              </w:rPr>
            </w:pPr>
            <w:r>
              <w:rPr>
                <w:rFonts w:ascii="Times New Roman"/>
                <w:sz w:val="18"/>
              </w:rPr>
              <w:t>7,600,000.00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8" w:right="0"/>
              <w:jc w:val="left"/>
              <w:rPr>
                <w:rFonts w:ascii="Times New Roman" w:hAnsi="Times New Roman" w:cs="Times New Roman" w:eastAsia="Times New Roman" w:hint="default"/>
                <w:sz w:val="18"/>
                <w:szCs w:val="18"/>
              </w:rPr>
            </w:pPr>
            <w:r>
              <w:rPr>
                <w:rFonts w:ascii="Times New Roman"/>
                <w:sz w:val="18"/>
              </w:rPr>
              <w:t>7,600,000.00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794,980,220.00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5、资本公积" w:id="295"/>
      <w:bookmarkEnd w:id="295"/>
      <w:r>
        <w:rPr>
          <w:b w:val="0"/>
          <w:bCs w:val="0"/>
        </w:rPr>
      </w:r>
      <w:r>
        <w:rPr>
          <w:rFonts w:ascii="Times New Roman" w:hAnsi="Times New Roman" w:cs="Times New Roman" w:eastAsia="Times New Roman" w:hint="default"/>
        </w:rPr>
        <w:t>25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815,173,789.55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11,780,000.00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826,953,789.55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17,667,052.98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5,920,800.00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23,587,852.98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832,840,842.53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17,700,800.00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850,541,642.53</w:t>
            </w:r>
          </w:p>
        </w:tc>
      </w:tr>
    </w:tbl>
    <w:p>
      <w:pPr>
        <w:pStyle w:val="BodyText"/>
        <w:spacing w:line="240" w:lineRule="auto" w:before="51"/>
        <w:ind w:right="0"/>
        <w:jc w:val="left"/>
      </w:pPr>
      <w:r>
        <w:rPr/>
        <w:t>其他说明，包括本期增减变动情况、变动原因说明：</w:t>
      </w:r>
    </w:p>
    <w:p>
      <w:pPr>
        <w:pStyle w:val="BodyText"/>
        <w:spacing w:line="300" w:lineRule="auto" w:before="115"/>
        <w:ind w:left="514" w:right="0"/>
        <w:jc w:val="left"/>
      </w:pPr>
      <w:r>
        <w:rPr/>
        <w:t>注</w:t>
      </w:r>
      <w:r>
        <w:rPr>
          <w:rFonts w:ascii="Times New Roman" w:hAnsi="Times New Roman" w:cs="Times New Roman" w:eastAsia="Times New Roman" w:hint="default"/>
        </w:rPr>
        <w:t>1</w:t>
      </w:r>
      <w:r>
        <w:rPr/>
        <w:t>：股本溢价本年增加系公司本年度向激励对象授予限制性股票所致，详见附注</w:t>
      </w: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t>。 </w:t>
      </w:r>
      <w:r>
        <w:rPr>
          <w:spacing w:val="-1"/>
        </w:rPr>
        <w:t>注</w:t>
      </w:r>
      <w:r>
        <w:rPr>
          <w:rFonts w:ascii="Times New Roman" w:hAnsi="Times New Roman" w:cs="Times New Roman" w:eastAsia="Times New Roman" w:hint="default"/>
          <w:spacing w:val="-1"/>
        </w:rPr>
        <w:t>2</w:t>
      </w:r>
      <w:r>
        <w:rPr>
          <w:spacing w:val="-1"/>
        </w:rPr>
        <w:t>：其他资本公积本年增加人民币</w:t>
      </w:r>
      <w:r>
        <w:rPr>
          <w:rFonts w:ascii="Times New Roman" w:hAnsi="Times New Roman" w:cs="Times New Roman" w:eastAsia="Times New Roman" w:hint="default"/>
          <w:spacing w:val="-1"/>
        </w:rPr>
        <w:t>5,920,800.00</w:t>
      </w:r>
      <w:r>
        <w:rPr>
          <w:spacing w:val="-1"/>
        </w:rPr>
        <w:t>元，系本集团本年度依据预计可行权权益工具的数量确认的股份支付费</w:t>
      </w:r>
    </w:p>
    <w:p>
      <w:pPr>
        <w:pStyle w:val="BodyText"/>
        <w:spacing w:line="240" w:lineRule="auto" w:before="13"/>
        <w:ind w:right="0"/>
        <w:jc w:val="left"/>
      </w:pPr>
      <w:r>
        <w:rPr/>
        <w:t>用。</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6、库存股" w:id="296"/>
      <w:bookmarkEnd w:id="296"/>
      <w:r>
        <w:rPr>
          <w:b w:val="0"/>
          <w:bCs w:val="0"/>
        </w:rPr>
      </w:r>
      <w:r>
        <w:rPr>
          <w:rFonts w:ascii="Times New Roman" w:hAnsi="Times New Roman" w:cs="Times New Roman" w:eastAsia="Times New Roman" w:hint="default"/>
        </w:rPr>
        <w:t>26</w:t>
      </w:r>
      <w:r>
        <w:rPr/>
        <w:t>、库存股</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与限制性股票回购义务 相关的库存股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19,380,000.00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35,340,000.00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19,380,000.00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35,340,000.00</w:t>
            </w:r>
          </w:p>
        </w:tc>
      </w:tr>
    </w:tbl>
    <w:p>
      <w:pPr>
        <w:pStyle w:val="BodyText"/>
        <w:spacing w:line="357" w:lineRule="auto" w:before="51"/>
        <w:ind w:left="514" w:right="1142" w:hanging="360"/>
        <w:jc w:val="left"/>
        <w:rPr>
          <w:rFonts w:ascii="Times New Roman" w:hAnsi="Times New Roman" w:cs="Times New Roman" w:eastAsia="Times New Roman" w:hint="default"/>
        </w:rPr>
      </w:pPr>
      <w:r>
        <w:rPr/>
        <w:t>其他说明，包括本期增减变动情况、变动原因说明： 注：库存股本年增加系本集团本年度向激励对象授予限制性股票所致。截至本年末</w:t>
      </w:r>
      <w:r>
        <w:rPr>
          <w:spacing w:val="-20"/>
        </w:rPr>
        <w:t> </w:t>
      </w:r>
      <w:r>
        <w:rPr/>
        <w:t>，</w:t>
      </w:r>
      <w:r>
        <w:rPr>
          <w:rFonts w:ascii="Times New Roman" w:hAnsi="Times New Roman" w:cs="Times New Roman" w:eastAsia="Times New Roman" w:hint="default"/>
        </w:rPr>
        <w:t>2017</w:t>
      </w:r>
      <w:r>
        <w:rPr/>
        <w:t>年度股权激励尚有</w:t>
      </w:r>
      <w:r>
        <w:rPr>
          <w:rFonts w:ascii="Times New Roman" w:hAnsi="Times New Roman" w:cs="Times New Roman" w:eastAsia="Times New Roman" w:hint="default"/>
        </w:rPr>
        <w:t>3,800,000</w:t>
      </w:r>
    </w:p>
    <w:p>
      <w:pPr>
        <w:pStyle w:val="BodyText"/>
        <w:spacing w:line="214" w:lineRule="exact"/>
        <w:ind w:right="0"/>
        <w:jc w:val="left"/>
      </w:pPr>
      <w:r>
        <w:rPr/>
        <w:t>股未回购及解锁，</w:t>
      </w:r>
      <w:r>
        <w:rPr>
          <w:rFonts w:ascii="Times New Roman" w:hAnsi="Times New Roman" w:cs="Times New Roman" w:eastAsia="Times New Roman" w:hint="default"/>
        </w:rPr>
        <w:t>2018</w:t>
      </w:r>
      <w:r>
        <w:rPr/>
        <w:t>年度股权激励尚有</w:t>
      </w:r>
      <w:r>
        <w:rPr>
          <w:rFonts w:ascii="Times New Roman" w:hAnsi="Times New Roman" w:cs="Times New Roman" w:eastAsia="Times New Roman" w:hint="default"/>
        </w:rPr>
        <w:t>7,600,000</w:t>
      </w:r>
      <w:r>
        <w:rPr/>
        <w:t>股未回购及解锁，详见附注</w:t>
      </w: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t>。</w:t>
      </w:r>
    </w:p>
    <w:p>
      <w:pPr>
        <w:spacing w:after="0" w:line="214" w:lineRule="exact"/>
        <w:jc w:val="left"/>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27、其他综合收益" w:id="297"/>
      <w:bookmarkEnd w:id="297"/>
      <w:r>
        <w:rPr>
          <w:b w:val="0"/>
          <w:bCs w:val="0"/>
        </w:rPr>
      </w:r>
      <w:r>
        <w:rPr>
          <w:rFonts w:ascii="Times New Roman" w:hAnsi="Times New Roman" w:cs="Times New Roman" w:eastAsia="Times New Roman" w:hint="default"/>
        </w:rPr>
        <w:t>27</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374"/>
        <w:gridCol w:w="1105"/>
        <w:gridCol w:w="1322"/>
        <w:gridCol w:w="1681"/>
        <w:gridCol w:w="1146"/>
        <w:gridCol w:w="1265"/>
        <w:gridCol w:w="697"/>
        <w:gridCol w:w="1093"/>
      </w:tblGrid>
      <w:tr>
        <w:trPr>
          <w:trHeight w:val="402" w:hRule="exact"/>
        </w:trPr>
        <w:tc>
          <w:tcPr>
            <w:tcW w:w="1374" w:type="dxa"/>
            <w:vMerge w:val="restart"/>
            <w:tcBorders>
              <w:top w:val="single" w:sz="4" w:space="0" w:color="000000"/>
              <w:left w:val="single" w:sz="4" w:space="0" w:color="000000"/>
              <w:right w:val="single" w:sz="4" w:space="0" w:color="000000"/>
            </w:tcBorders>
            <w:shd w:val="clear" w:color="auto" w:fill="D2D2D2"/>
          </w:tcPr>
          <w:p>
            <w:pPr/>
          </w:p>
        </w:tc>
        <w:tc>
          <w:tcPr>
            <w:tcW w:w="1105" w:type="dxa"/>
            <w:vMerge w:val="restart"/>
            <w:tcBorders>
              <w:top w:val="single" w:sz="4" w:space="0" w:color="000000"/>
              <w:left w:val="single" w:sz="4" w:space="0" w:color="000000"/>
              <w:right w:val="single" w:sz="4" w:space="0" w:color="000000"/>
            </w:tcBorders>
            <w:shd w:val="clear" w:color="auto" w:fill="D2D2D2"/>
          </w:tcPr>
          <w:p>
            <w:pPr/>
          </w:p>
        </w:tc>
        <w:tc>
          <w:tcPr>
            <w:tcW w:w="611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93" w:type="dxa"/>
            <w:vMerge w:val="restart"/>
            <w:tcBorders>
              <w:top w:val="single" w:sz="4" w:space="0" w:color="000000"/>
              <w:left w:val="single" w:sz="4" w:space="0" w:color="000000"/>
              <w:right w:val="single" w:sz="4" w:space="0" w:color="000000"/>
            </w:tcBorders>
            <w:shd w:val="clear" w:color="auto" w:fill="D2D2D2"/>
          </w:tcPr>
          <w:p>
            <w:pPr/>
          </w:p>
        </w:tc>
      </w:tr>
      <w:tr>
        <w:trPr>
          <w:trHeight w:val="139" w:hRule="exact"/>
        </w:trPr>
        <w:tc>
          <w:tcPr>
            <w:tcW w:w="1374" w:type="dxa"/>
            <w:vMerge/>
            <w:tcBorders>
              <w:left w:val="single" w:sz="4" w:space="0" w:color="000000"/>
              <w:bottom w:val="nil" w:sz="6" w:space="0" w:color="auto"/>
              <w:right w:val="single" w:sz="4" w:space="0" w:color="000000"/>
            </w:tcBorders>
            <w:shd w:val="clear" w:color="auto" w:fill="D2D2D2"/>
          </w:tcPr>
          <w:p>
            <w:pPr/>
          </w:p>
        </w:tc>
        <w:tc>
          <w:tcPr>
            <w:tcW w:w="1105" w:type="dxa"/>
            <w:vMerge/>
            <w:tcBorders>
              <w:left w:val="single" w:sz="4" w:space="0" w:color="000000"/>
              <w:bottom w:val="nil" w:sz="6" w:space="0" w:color="auto"/>
              <w:right w:val="single" w:sz="4" w:space="0" w:color="000000"/>
            </w:tcBorders>
            <w:shd w:val="clear" w:color="auto" w:fill="D2D2D2"/>
          </w:tcPr>
          <w:p>
            <w:pPr/>
          </w:p>
        </w:tc>
        <w:tc>
          <w:tcPr>
            <w:tcW w:w="13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3" w:right="72"/>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1093"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13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2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475" w:right="24" w:hanging="450"/>
              <w:jc w:val="left"/>
              <w:rPr>
                <w:rFonts w:ascii="宋体" w:hAnsi="宋体" w:cs="宋体" w:eastAsia="宋体" w:hint="default"/>
                <w:sz w:val="18"/>
                <w:szCs w:val="18"/>
              </w:rPr>
            </w:pPr>
            <w:r>
              <w:rPr>
                <w:rFonts w:ascii="宋体" w:hAnsi="宋体" w:cs="宋体" w:eastAsia="宋体" w:hint="default"/>
                <w:sz w:val="18"/>
                <w:szCs w:val="18"/>
              </w:rPr>
              <w:t>本期所得税前发 生额</w:t>
            </w:r>
          </w:p>
        </w:tc>
        <w:tc>
          <w:tcPr>
            <w:tcW w:w="168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6" w:right="23"/>
              <w:jc w:val="left"/>
              <w:rPr>
                <w:rFonts w:ascii="宋体" w:hAnsi="宋体" w:cs="宋体" w:eastAsia="宋体" w:hint="default"/>
                <w:sz w:val="18"/>
                <w:szCs w:val="18"/>
              </w:rPr>
            </w:pPr>
            <w:r>
              <w:rPr>
                <w:rFonts w:ascii="宋体" w:hAnsi="宋体" w:cs="宋体" w:eastAsia="宋体" w:hint="default"/>
                <w:sz w:val="18"/>
                <w:szCs w:val="18"/>
              </w:rPr>
              <w:t>减：前期计入其他综 合收益当期转入损益</w:t>
            </w:r>
          </w:p>
        </w:tc>
        <w:tc>
          <w:tcPr>
            <w:tcW w:w="114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477" w:right="26" w:hanging="450"/>
              <w:jc w:val="left"/>
              <w:rPr>
                <w:rFonts w:ascii="宋体" w:hAnsi="宋体" w:cs="宋体" w:eastAsia="宋体" w:hint="default"/>
                <w:sz w:val="18"/>
                <w:szCs w:val="18"/>
              </w:rPr>
            </w:pPr>
            <w:r>
              <w:rPr>
                <w:rFonts w:ascii="宋体" w:hAnsi="宋体" w:cs="宋体" w:eastAsia="宋体" w:hint="default"/>
                <w:sz w:val="18"/>
                <w:szCs w:val="18"/>
              </w:rPr>
              <w:t>减：所得税费 用</w:t>
            </w:r>
          </w:p>
        </w:tc>
        <w:tc>
          <w:tcPr>
            <w:tcW w:w="12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446" w:right="87" w:hanging="361"/>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697" w:type="dxa"/>
            <w:vMerge/>
            <w:tcBorders>
              <w:left w:val="single" w:sz="4" w:space="0" w:color="000000"/>
              <w:right w:val="single" w:sz="4" w:space="0" w:color="000000"/>
            </w:tcBorders>
            <w:shd w:val="clear" w:color="auto" w:fill="D2D2D2"/>
          </w:tcPr>
          <w:p>
            <w:pPr/>
          </w:p>
        </w:tc>
        <w:tc>
          <w:tcPr>
            <w:tcW w:w="10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1374" w:type="dxa"/>
            <w:vMerge w:val="restart"/>
            <w:tcBorders>
              <w:top w:val="nil" w:sz="6" w:space="0" w:color="auto"/>
              <w:left w:val="single" w:sz="4" w:space="0" w:color="000000"/>
              <w:right w:val="single" w:sz="4" w:space="0" w:color="000000"/>
            </w:tcBorders>
            <w:shd w:val="clear" w:color="auto" w:fill="D2D2D2"/>
          </w:tcPr>
          <w:p>
            <w:pPr/>
          </w:p>
        </w:tc>
        <w:tc>
          <w:tcPr>
            <w:tcW w:w="1105" w:type="dxa"/>
            <w:vMerge w:val="restart"/>
            <w:tcBorders>
              <w:top w:val="nil" w:sz="6" w:space="0" w:color="auto"/>
              <w:left w:val="single" w:sz="4" w:space="0" w:color="000000"/>
              <w:right w:val="single" w:sz="4" w:space="0" w:color="000000"/>
            </w:tcBorders>
            <w:shd w:val="clear" w:color="auto" w:fill="D2D2D2"/>
          </w:tcPr>
          <w:p>
            <w:pPr/>
          </w:p>
        </w:tc>
        <w:tc>
          <w:tcPr>
            <w:tcW w:w="1322" w:type="dxa"/>
            <w:vMerge/>
            <w:tcBorders>
              <w:left w:val="single" w:sz="4" w:space="0" w:color="000000"/>
              <w:bottom w:val="nil" w:sz="6" w:space="0" w:color="auto"/>
              <w:right w:val="single" w:sz="4" w:space="0" w:color="000000"/>
            </w:tcBorders>
            <w:shd w:val="clear" w:color="auto" w:fill="D2D2D2"/>
          </w:tcPr>
          <w:p>
            <w:pPr/>
          </w:p>
        </w:tc>
        <w:tc>
          <w:tcPr>
            <w:tcW w:w="1681" w:type="dxa"/>
            <w:vMerge/>
            <w:tcBorders>
              <w:left w:val="single" w:sz="4" w:space="0" w:color="000000"/>
              <w:bottom w:val="nil" w:sz="6" w:space="0" w:color="auto"/>
              <w:right w:val="single" w:sz="4" w:space="0" w:color="000000"/>
            </w:tcBorders>
            <w:shd w:val="clear" w:color="auto" w:fill="D2D2D2"/>
          </w:tcPr>
          <w:p>
            <w:pPr/>
          </w:p>
        </w:tc>
        <w:tc>
          <w:tcPr>
            <w:tcW w:w="1146" w:type="dxa"/>
            <w:vMerge/>
            <w:tcBorders>
              <w:left w:val="single" w:sz="4" w:space="0" w:color="000000"/>
              <w:bottom w:val="nil" w:sz="6" w:space="0" w:color="auto"/>
              <w:right w:val="single" w:sz="4" w:space="0" w:color="000000"/>
            </w:tcBorders>
            <w:shd w:val="clear" w:color="auto" w:fill="D2D2D2"/>
          </w:tcPr>
          <w:p>
            <w:pPr/>
          </w:p>
        </w:tc>
        <w:tc>
          <w:tcPr>
            <w:tcW w:w="1265" w:type="dxa"/>
            <w:vMerge/>
            <w:tcBorders>
              <w:left w:val="single" w:sz="4" w:space="0" w:color="000000"/>
              <w:bottom w:val="nil" w:sz="6" w:space="0" w:color="auto"/>
              <w:right w:val="single" w:sz="4" w:space="0" w:color="000000"/>
            </w:tcBorders>
            <w:shd w:val="clear" w:color="auto" w:fill="D2D2D2"/>
          </w:tcPr>
          <w:p>
            <w:pPr/>
          </w:p>
        </w:tc>
        <w:tc>
          <w:tcPr>
            <w:tcW w:w="697" w:type="dxa"/>
            <w:vMerge/>
            <w:tcBorders>
              <w:left w:val="single" w:sz="4" w:space="0" w:color="000000"/>
              <w:right w:val="single" w:sz="4" w:space="0" w:color="000000"/>
            </w:tcBorders>
            <w:shd w:val="clear" w:color="auto" w:fill="D2D2D2"/>
          </w:tcPr>
          <w:p>
            <w:pPr/>
          </w:p>
        </w:tc>
        <w:tc>
          <w:tcPr>
            <w:tcW w:w="10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74" w:type="dxa"/>
            <w:vMerge/>
            <w:tcBorders>
              <w:left w:val="single" w:sz="4" w:space="0" w:color="000000"/>
              <w:bottom w:val="single" w:sz="4" w:space="0" w:color="000000"/>
              <w:right w:val="single" w:sz="4" w:space="0" w:color="000000"/>
            </w:tcBorders>
            <w:shd w:val="clear" w:color="auto" w:fill="D2D2D2"/>
          </w:tcPr>
          <w:p>
            <w:pPr/>
          </w:p>
        </w:tc>
        <w:tc>
          <w:tcPr>
            <w:tcW w:w="1105" w:type="dxa"/>
            <w:vMerge/>
            <w:tcBorders>
              <w:left w:val="single" w:sz="4" w:space="0" w:color="000000"/>
              <w:bottom w:val="single" w:sz="4" w:space="0" w:color="000000"/>
              <w:right w:val="single" w:sz="4" w:space="0" w:color="000000"/>
            </w:tcBorders>
            <w:shd w:val="clear" w:color="auto" w:fill="D2D2D2"/>
          </w:tcPr>
          <w:p>
            <w:pPr/>
          </w:p>
        </w:tc>
        <w:tc>
          <w:tcPr>
            <w:tcW w:w="13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4" w:space="0" w:color="000000"/>
              <w:bottom w:val="single" w:sz="4" w:space="0" w:color="000000"/>
              <w:right w:val="single" w:sz="4" w:space="0" w:color="000000"/>
            </w:tcBorders>
            <w:shd w:val="clear" w:color="auto" w:fill="D2D2D2"/>
          </w:tcPr>
          <w:p>
            <w:pPr/>
          </w:p>
        </w:tc>
        <w:tc>
          <w:tcPr>
            <w:tcW w:w="1093"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1"/>
              <w:jc w:val="both"/>
              <w:rPr>
                <w:rFonts w:ascii="宋体" w:hAnsi="宋体" w:cs="宋体" w:eastAsia="宋体" w:hint="default"/>
                <w:sz w:val="18"/>
                <w:szCs w:val="18"/>
              </w:rPr>
            </w:pPr>
            <w:r>
              <w:rPr>
                <w:rFonts w:ascii="宋体" w:hAnsi="宋体" w:cs="宋体" w:eastAsia="宋体" w:hint="default"/>
                <w:sz w:val="18"/>
                <w:szCs w:val="18"/>
              </w:rPr>
              <w:t>二、将重分类进 损益的其他综合 收益</w:t>
            </w:r>
          </w:p>
        </w:tc>
        <w:tc>
          <w:tcPr>
            <w:tcW w:w="11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51,488,131.38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-6,977,137.38</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-104,114.49</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-5,733,128.09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-1,139,894.80</w:t>
            </w:r>
          </w:p>
        </w:tc>
        <w:tc>
          <w:tcPr>
            <w:tcW w:w="697"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50,348,236.58</w:t>
            </w:r>
          </w:p>
        </w:tc>
      </w:tr>
      <w:tr>
        <w:trPr>
          <w:trHeight w:val="1026" w:hRule="exact"/>
        </w:trPr>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1"/>
              <w:jc w:val="both"/>
              <w:rPr>
                <w:rFonts w:ascii="宋体" w:hAnsi="宋体" w:cs="宋体" w:eastAsia="宋体" w:hint="default"/>
                <w:sz w:val="18"/>
                <w:szCs w:val="18"/>
              </w:rPr>
            </w:pPr>
            <w:r>
              <w:rPr>
                <w:rFonts w:ascii="宋体" w:hAnsi="宋体" w:cs="宋体" w:eastAsia="宋体" w:hint="default"/>
                <w:sz w:val="18"/>
                <w:szCs w:val="18"/>
              </w:rPr>
              <w:t>可供出售金融资 产公允价值变动 损益</w:t>
            </w:r>
          </w:p>
        </w:tc>
        <w:tc>
          <w:tcPr>
            <w:tcW w:w="11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42,093,637.06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-22,932,479.42</w:t>
            </w:r>
          </w:p>
        </w:tc>
        <w:tc>
          <w:tcPr>
            <w:tcW w:w="1681"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-5,733,128.09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-17,199,351.33</w:t>
            </w:r>
          </w:p>
        </w:tc>
        <w:tc>
          <w:tcPr>
            <w:tcW w:w="697"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24,894,285.73</w:t>
            </w:r>
          </w:p>
        </w:tc>
      </w:tr>
      <w:tr>
        <w:trPr>
          <w:trHeight w:val="714" w:hRule="exact"/>
        </w:trPr>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1"/>
              <w:jc w:val="left"/>
              <w:rPr>
                <w:rFonts w:ascii="宋体" w:hAnsi="宋体" w:cs="宋体" w:eastAsia="宋体" w:hint="default"/>
                <w:sz w:val="18"/>
                <w:szCs w:val="18"/>
              </w:rPr>
            </w:pPr>
            <w:r>
              <w:rPr>
                <w:rFonts w:ascii="宋体" w:hAnsi="宋体" w:cs="宋体" w:eastAsia="宋体" w:hint="default"/>
                <w:sz w:val="18"/>
                <w:szCs w:val="18"/>
              </w:rPr>
              <w:t>外币财务报表折 算差额</w:t>
            </w:r>
          </w:p>
        </w:tc>
        <w:tc>
          <w:tcPr>
            <w:tcW w:w="11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9,394,494.32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15,955,342.04</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-104,114.49</w:t>
            </w:r>
          </w:p>
        </w:tc>
        <w:tc>
          <w:tcPr>
            <w:tcW w:w="114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16,059,456.53</w:t>
            </w:r>
          </w:p>
        </w:tc>
        <w:tc>
          <w:tcPr>
            <w:tcW w:w="697"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25,453,950.85</w:t>
            </w:r>
          </w:p>
        </w:tc>
      </w:tr>
      <w:tr>
        <w:trPr>
          <w:trHeight w:val="715" w:hRule="exact"/>
        </w:trPr>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1"/>
              <w:jc w:val="left"/>
              <w:rPr>
                <w:rFonts w:ascii="宋体" w:hAnsi="宋体" w:cs="宋体" w:eastAsia="宋体" w:hint="default"/>
                <w:sz w:val="18"/>
                <w:szCs w:val="18"/>
              </w:rPr>
            </w:pPr>
            <w:r>
              <w:rPr>
                <w:rFonts w:ascii="宋体" w:hAnsi="宋体" w:cs="宋体" w:eastAsia="宋体" w:hint="default"/>
                <w:sz w:val="18"/>
                <w:szCs w:val="18"/>
              </w:rPr>
              <w:t>其他综合收益合 计</w:t>
            </w:r>
          </w:p>
        </w:tc>
        <w:tc>
          <w:tcPr>
            <w:tcW w:w="11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51,488,131.38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-6,977,137.38</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-104,114.49</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-5,733,128.09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-1,139,894.80</w:t>
            </w:r>
          </w:p>
        </w:tc>
        <w:tc>
          <w:tcPr>
            <w:tcW w:w="697"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50,348,236.58</w:t>
            </w:r>
          </w:p>
        </w:tc>
      </w:tr>
    </w:tbl>
    <w:p>
      <w:pPr>
        <w:pStyle w:val="BodyText"/>
        <w:spacing w:line="357" w:lineRule="auto" w:before="51"/>
        <w:ind w:left="514" w:right="2472" w:hanging="360"/>
        <w:jc w:val="left"/>
      </w:pPr>
      <w:r>
        <w:rPr/>
        <w:t>其他说明，包括对现金流量套期损益的有效部分转为被套期项目初始确认金额调整： 注：系注销子公司迪讯香港时，将归属于本集团所有者权益的外币报表折算差额转入当期损益产生。</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28、盈余公积" w:id="298"/>
      <w:bookmarkEnd w:id="298"/>
      <w:r>
        <w:rPr>
          <w:b w:val="0"/>
          <w:bCs w:val="0"/>
        </w:rPr>
      </w:r>
      <w:r>
        <w:rPr>
          <w:rFonts w:ascii="Times New Roman" w:hAnsi="Times New Roman" w:cs="Times New Roman" w:eastAsia="Times New Roman" w:hint="default"/>
        </w:rPr>
        <w:t>28</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89,953,459.93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778,281.44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90,731,741.37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89,953,459.93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778,281.44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90,731,741.37</w:t>
            </w:r>
          </w:p>
        </w:tc>
      </w:tr>
    </w:tbl>
    <w:p>
      <w:pPr>
        <w:pStyle w:val="BodyText"/>
        <w:spacing w:line="357" w:lineRule="auto" w:before="51"/>
        <w:ind w:left="514" w:right="6252" w:hanging="360"/>
        <w:jc w:val="left"/>
      </w:pPr>
      <w:r>
        <w:rPr/>
        <w:t>盈余公积说明，包括本期增减变动情况、变动原因说明： 注</w:t>
      </w:r>
      <w:r>
        <w:rPr>
          <w:rFonts w:ascii="Times New Roman" w:hAnsi="Times New Roman" w:cs="Times New Roman" w:eastAsia="Times New Roman" w:hint="default"/>
        </w:rPr>
        <w:t>1</w:t>
      </w:r>
      <w:r>
        <w:rPr/>
        <w:t>：提取法定盈余公积</w:t>
      </w:r>
    </w:p>
    <w:p>
      <w:pPr>
        <w:pStyle w:val="BodyText"/>
        <w:spacing w:line="214" w:lineRule="exact"/>
        <w:ind w:left="516" w:right="0"/>
        <w:jc w:val="left"/>
      </w:pPr>
      <w:r>
        <w:rPr/>
        <w:t>根据公司章程规定，法定盈余公积金按净利润之</w:t>
      </w:r>
      <w:r>
        <w:rPr>
          <w:rFonts w:ascii="Times New Roman" w:hAnsi="Times New Roman" w:cs="Times New Roman" w:eastAsia="Times New Roman" w:hint="default"/>
        </w:rPr>
        <w:t>10%</w:t>
      </w:r>
      <w:r>
        <w:rPr/>
        <w:t>提取。本公司本年度提取法定盈余公积人民币</w:t>
      </w:r>
      <w:r>
        <w:rPr>
          <w:rFonts w:ascii="Times New Roman" w:hAnsi="Times New Roman" w:cs="Times New Roman" w:eastAsia="Times New Roman" w:hint="default"/>
        </w:rPr>
        <w:t>778,281.44</w:t>
      </w:r>
      <w:r>
        <w:rPr>
          <w:rFonts w:ascii="Times New Roman" w:hAnsi="Times New Roman" w:cs="Times New Roman" w:eastAsia="Times New Roman" w:hint="default"/>
          <w:spacing w:val="25"/>
        </w:rPr>
        <w:t> </w:t>
      </w:r>
      <w:r>
        <w:rPr/>
        <w:t>元。</w:t>
      </w:r>
    </w:p>
    <w:p>
      <w:pPr>
        <w:pStyle w:val="BodyText"/>
        <w:spacing w:line="240" w:lineRule="auto" w:before="63"/>
        <w:ind w:left="514" w:right="0"/>
        <w:jc w:val="left"/>
      </w:pPr>
      <w:r>
        <w:rPr/>
        <w:t>注</w:t>
      </w:r>
      <w:r>
        <w:rPr>
          <w:rFonts w:ascii="Times New Roman" w:hAnsi="Times New Roman" w:cs="Times New Roman" w:eastAsia="Times New Roman" w:hint="default"/>
        </w:rPr>
        <w:t>2</w:t>
      </w:r>
      <w:r>
        <w:rPr/>
        <w:t>：资本负债表日后决议的利润分配情况</w:t>
      </w:r>
    </w:p>
    <w:p>
      <w:pPr>
        <w:pStyle w:val="BodyText"/>
        <w:spacing w:line="316" w:lineRule="auto" w:before="63"/>
        <w:ind w:right="1130" w:firstLine="362"/>
        <w:jc w:val="both"/>
      </w:pPr>
      <w:r>
        <w:rPr/>
        <w:t>经</w:t>
      </w:r>
      <w:r>
        <w:rPr>
          <w:spacing w:val="-72"/>
        </w:rPr>
        <w:t> </w:t>
      </w:r>
      <w:r>
        <w:rPr>
          <w:rFonts w:ascii="宋体" w:hAnsi="宋体" w:cs="宋体" w:eastAsia="宋体" w:hint="default"/>
        </w:rPr>
        <w:t>2019</w:t>
      </w:r>
      <w:r>
        <w:rPr>
          <w:rFonts w:ascii="宋体" w:hAnsi="宋体" w:cs="宋体" w:eastAsia="宋体" w:hint="default"/>
          <w:spacing w:val="-72"/>
        </w:rPr>
        <w:t> </w:t>
      </w:r>
      <w:r>
        <w:rPr/>
        <w:t>年</w:t>
      </w:r>
      <w:r>
        <w:rPr>
          <w:spacing w:val="-74"/>
        </w:rPr>
        <w:t> </w:t>
      </w:r>
      <w:r>
        <w:rPr>
          <w:rFonts w:ascii="宋体" w:hAnsi="宋体" w:cs="宋体" w:eastAsia="宋体" w:hint="default"/>
        </w:rPr>
        <w:t>3</w:t>
      </w:r>
      <w:r>
        <w:rPr>
          <w:rFonts w:ascii="宋体" w:hAnsi="宋体" w:cs="宋体" w:eastAsia="宋体" w:hint="default"/>
          <w:spacing w:val="-72"/>
        </w:rPr>
        <w:t> </w:t>
      </w:r>
      <w:r>
        <w:rPr/>
        <w:t>月</w:t>
      </w:r>
      <w:r>
        <w:rPr>
          <w:spacing w:val="-72"/>
        </w:rPr>
        <w:t> </w:t>
      </w:r>
      <w:r>
        <w:rPr>
          <w:rFonts w:ascii="宋体" w:hAnsi="宋体" w:cs="宋体" w:eastAsia="宋体" w:hint="default"/>
        </w:rPr>
        <w:t>28</w:t>
      </w:r>
      <w:r>
        <w:rPr>
          <w:rFonts w:ascii="宋体" w:hAnsi="宋体" w:cs="宋体" w:eastAsia="宋体" w:hint="default"/>
          <w:spacing w:val="-72"/>
        </w:rPr>
        <w:t> </w:t>
      </w:r>
      <w:r>
        <w:rPr>
          <w:spacing w:val="16"/>
        </w:rPr>
        <w:t>日本公司第六届董事会第七次会议审议通过，</w:t>
      </w:r>
      <w:r>
        <w:rPr>
          <w:spacing w:val="44"/>
        </w:rPr>
        <w:t> </w:t>
      </w:r>
      <w:r>
        <w:rPr>
          <w:spacing w:val="15"/>
        </w:rPr>
        <w:t>本公司计划以截止到</w:t>
      </w:r>
      <w:r>
        <w:rPr>
          <w:spacing w:val="-71"/>
        </w:rPr>
        <w:t> </w:t>
      </w:r>
      <w:r>
        <w:rPr>
          <w:rFonts w:ascii="宋体" w:hAnsi="宋体" w:cs="宋体" w:eastAsia="宋体" w:hint="default"/>
        </w:rPr>
        <w:t>2018</w:t>
      </w:r>
      <w:r>
        <w:rPr>
          <w:rFonts w:ascii="宋体" w:hAnsi="宋体" w:cs="宋体" w:eastAsia="宋体" w:hint="default"/>
          <w:spacing w:val="-72"/>
        </w:rPr>
        <w:t> </w:t>
      </w:r>
      <w:r>
        <w:rPr/>
        <w:t>年</w:t>
      </w:r>
      <w:r>
        <w:rPr>
          <w:spacing w:val="-71"/>
        </w:rPr>
        <w:t> </w:t>
      </w:r>
      <w:r>
        <w:rPr>
          <w:rFonts w:ascii="宋体" w:hAnsi="宋体" w:cs="宋体" w:eastAsia="宋体" w:hint="default"/>
        </w:rPr>
        <w:t>12</w:t>
      </w:r>
      <w:r>
        <w:rPr>
          <w:rFonts w:ascii="宋体" w:hAnsi="宋体" w:cs="宋体" w:eastAsia="宋体" w:hint="default"/>
          <w:spacing w:val="-72"/>
        </w:rPr>
        <w:t> </w:t>
      </w:r>
      <w:r>
        <w:rPr/>
        <w:t>月</w:t>
      </w:r>
      <w:r>
        <w:rPr>
          <w:spacing w:val="-72"/>
        </w:rPr>
        <w:t> </w:t>
      </w:r>
      <w:r>
        <w:rPr>
          <w:rFonts w:ascii="宋体" w:hAnsi="宋体" w:cs="宋体" w:eastAsia="宋体" w:hint="default"/>
        </w:rPr>
        <w:t>31</w:t>
      </w:r>
      <w:r>
        <w:rPr>
          <w:rFonts w:ascii="宋体" w:hAnsi="宋体" w:cs="宋体" w:eastAsia="宋体" w:hint="default"/>
          <w:spacing w:val="-72"/>
        </w:rPr>
        <w:t> </w:t>
      </w:r>
      <w:r>
        <w:rPr>
          <w:spacing w:val="14"/>
        </w:rPr>
        <w:t>日的总股本</w:t>
      </w:r>
      <w:r>
        <w:rPr/>
        <w:t> </w:t>
      </w:r>
      <w:r>
        <w:rPr>
          <w:rFonts w:ascii="宋体" w:hAnsi="宋体" w:cs="宋体" w:eastAsia="宋体" w:hint="default"/>
          <w:spacing w:val="-2"/>
        </w:rPr>
        <w:t>794,980,220</w:t>
      </w:r>
      <w:r>
        <w:rPr>
          <w:spacing w:val="-2"/>
        </w:rPr>
        <w:t>股为基数，向全体股东每</w:t>
      </w:r>
      <w:r>
        <w:rPr>
          <w:rFonts w:ascii="宋体" w:hAnsi="宋体" w:cs="宋体" w:eastAsia="宋体" w:hint="default"/>
          <w:spacing w:val="-2"/>
        </w:rPr>
        <w:t>10</w:t>
      </w:r>
      <w:r>
        <w:rPr>
          <w:spacing w:val="-2"/>
        </w:rPr>
        <w:t>股派发现金红利人民币</w:t>
      </w:r>
      <w:r>
        <w:rPr>
          <w:rFonts w:ascii="宋体" w:hAnsi="宋体" w:cs="宋体" w:eastAsia="宋体" w:hint="default"/>
          <w:spacing w:val="-2"/>
        </w:rPr>
        <w:t>1.00</w:t>
      </w:r>
      <w:r>
        <w:rPr>
          <w:spacing w:val="-2"/>
        </w:rPr>
        <w:t>元（含税），共计现金股利人民币</w:t>
      </w:r>
      <w:r>
        <w:rPr>
          <w:rFonts w:ascii="宋体" w:hAnsi="宋体" w:cs="宋体" w:eastAsia="宋体" w:hint="default"/>
          <w:spacing w:val="-2"/>
        </w:rPr>
        <w:t>79,498,022.00</w:t>
      </w:r>
      <w:r>
        <w:rPr>
          <w:spacing w:val="-2"/>
        </w:rPr>
        <w:t>元。自</w:t>
      </w:r>
      <w:r>
        <w:rPr>
          <w:spacing w:val="-37"/>
        </w:rPr>
        <w:t> </w:t>
      </w:r>
      <w:r>
        <w:rPr>
          <w:spacing w:val="-37"/>
        </w:rPr>
      </w:r>
      <w:r>
        <w:rPr>
          <w:spacing w:val="-2"/>
        </w:rPr>
        <w:t>董事会审议上述利润分配预案后至实施利润分配方案的股权登记日期间，若本公司股本因限制性股票激励计划和股票期权激</w:t>
      </w:r>
      <w:r>
        <w:rPr>
          <w:spacing w:val="-64"/>
        </w:rPr>
        <w:t> </w:t>
      </w:r>
      <w:r>
        <w:rPr>
          <w:spacing w:val="-64"/>
        </w:rPr>
      </w:r>
      <w:r>
        <w:rPr>
          <w:spacing w:val="-2"/>
        </w:rPr>
        <w:t>励计划发生变动的，依照未来实施分配方案时股权登记日的股本为基数实施，并保持上述分配比例不变对总额进行调整。上</w:t>
      </w:r>
      <w:r>
        <w:rPr>
          <w:spacing w:val="-66"/>
        </w:rPr>
        <w:t> </w:t>
      </w:r>
      <w:r>
        <w:rPr>
          <w:spacing w:val="-66"/>
        </w:rPr>
      </w:r>
      <w:r>
        <w:rPr/>
        <w:t>述股利分配方案尚待股东大会批准。</w:t>
      </w:r>
    </w:p>
    <w:p>
      <w:pPr>
        <w:pStyle w:val="BodyText"/>
        <w:spacing w:line="240" w:lineRule="auto" w:before="19"/>
        <w:ind w:left="514" w:right="0"/>
        <w:jc w:val="left"/>
      </w:pPr>
      <w:r>
        <w:rPr/>
        <w:t>注</w:t>
      </w: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子公司已提取的盈余公积</w:t>
      </w:r>
    </w:p>
    <w:p>
      <w:pPr>
        <w:pStyle w:val="BodyText"/>
        <w:spacing w:line="300" w:lineRule="auto" w:before="63"/>
        <w:ind w:right="1121" w:firstLine="362"/>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日，本集团未分配利润余额中包括境内子公司已提取的盈余公积为人民币</w:t>
      </w:r>
      <w:r>
        <w:rPr>
          <w:rFonts w:ascii="Times New Roman" w:hAnsi="Times New Roman" w:cs="Times New Roman" w:eastAsia="Times New Roman" w:hint="default"/>
        </w:rPr>
        <w:t>54,975,887.97</w:t>
      </w:r>
      <w:r>
        <w:rPr>
          <w:rFonts w:ascii="Times New Roman" w:hAnsi="Times New Roman" w:cs="Times New Roman" w:eastAsia="Times New Roman" w:hint="default"/>
          <w:spacing w:val="29"/>
        </w:rPr>
        <w:t> </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 </w:t>
      </w:r>
      <w:r>
        <w:rPr/>
        <w:t>日：人民币</w:t>
      </w:r>
      <w:r>
        <w:rPr>
          <w:rFonts w:ascii="Times New Roman" w:hAnsi="Times New Roman" w:cs="Times New Roman" w:eastAsia="Times New Roman" w:hint="default"/>
        </w:rPr>
        <w:t>54,716,848.48</w:t>
      </w:r>
      <w:r>
        <w:rPr/>
        <w:t>元</w:t>
      </w:r>
      <w:r>
        <w:rPr>
          <w:rFonts w:ascii="Times New Roman" w:hAnsi="Times New Roman" w:cs="Times New Roman" w:eastAsia="Times New Roman" w:hint="default"/>
        </w:rPr>
        <w:t>)</w:t>
      </w:r>
      <w:r>
        <w:rPr/>
        <w:t>。</w:t>
      </w:r>
    </w:p>
    <w:p>
      <w:pPr>
        <w:spacing w:after="0" w:line="300" w:lineRule="auto"/>
        <w:jc w:val="left"/>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29、未分配利润" w:id="299"/>
      <w:bookmarkEnd w:id="299"/>
      <w:r>
        <w:rPr>
          <w:b w:val="0"/>
          <w:bCs w:val="0"/>
        </w:rPr>
      </w:r>
      <w:r>
        <w:rPr>
          <w:rFonts w:ascii="Times New Roman" w:hAnsi="Times New Roman" w:cs="Times New Roman" w:eastAsia="Times New Roman" w:hint="default"/>
        </w:rPr>
        <w:t>29</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66,177,012.06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36,407,962.39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66,177,012.06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36,407,962.39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86,042,223.02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30,986,896.11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778,281.44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1,217,846.44</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151,440,953.64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66,177,012.06</w:t>
            </w:r>
          </w:p>
        </w:tc>
      </w:tr>
    </w:tbl>
    <w:p>
      <w:pPr>
        <w:pStyle w:val="BodyText"/>
        <w:spacing w:line="240" w:lineRule="auto" w:before="51"/>
        <w:ind w:right="0"/>
        <w:jc w:val="left"/>
      </w:pPr>
      <w:r>
        <w:rPr/>
        <w:t>调整期初未分配利润明细：</w:t>
      </w:r>
    </w:p>
    <w:p>
      <w:pPr>
        <w:pStyle w:val="BodyText"/>
        <w:spacing w:line="240" w:lineRule="auto" w:before="116"/>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0、营业收入和营业成本" w:id="300"/>
      <w:bookmarkEnd w:id="300"/>
      <w:r>
        <w:rPr>
          <w:b w:val="0"/>
          <w:bCs w:val="0"/>
        </w:rPr>
      </w:r>
      <w:r>
        <w:rPr>
          <w:rFonts w:ascii="Times New Roman" w:hAnsi="Times New Roman" w:cs="Times New Roman" w:eastAsia="Times New Roman" w:hint="default"/>
        </w:rPr>
        <w:t>30</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7"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910,443,774.61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375,584,472.22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810,078,447.47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289,724,532.52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18,289,750.02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7,038,946.76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25,773,288.40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12,310,012.47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928,733,524.63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382,623,418.98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835,851,735.87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302,034,544.99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1、税金及附加" w:id="301"/>
      <w:bookmarkEnd w:id="301"/>
      <w:r>
        <w:rPr>
          <w:b w:val="0"/>
          <w:bCs w:val="0"/>
        </w:rPr>
      </w:r>
      <w:r>
        <w:rPr>
          <w:rFonts w:ascii="Times New Roman" w:hAnsi="Times New Roman" w:cs="Times New Roman" w:eastAsia="Times New Roman" w:hint="default"/>
        </w:rPr>
        <w:t>31</w:t>
      </w:r>
      <w:r>
        <w:rPr/>
        <w:t>、税金及附加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739,351.20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744,407.23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653,208.23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642,429.65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美国销售税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287,614.56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572,214.34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1,642,687.92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1,442,526.54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3,322,861.91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3,401,577.76</w:t>
            </w:r>
          </w:p>
        </w:tc>
      </w:tr>
    </w:tbl>
    <w:p>
      <w:pPr>
        <w:pStyle w:val="BodyText"/>
        <w:spacing w:line="240" w:lineRule="auto" w:before="51"/>
        <w:ind w:right="0"/>
        <w:jc w:val="left"/>
      </w:pPr>
      <w:r>
        <w:rPr/>
        <w:t>其他说明：</w:t>
      </w:r>
    </w:p>
    <w:p>
      <w:pPr>
        <w:pStyle w:val="BodyText"/>
        <w:spacing w:line="240" w:lineRule="auto" w:before="116"/>
        <w:ind w:left="514" w:right="0"/>
        <w:jc w:val="left"/>
      </w:pPr>
      <w:r>
        <w:rPr/>
        <w:t>注</w:t>
      </w:r>
      <w:r>
        <w:rPr>
          <w:rFonts w:ascii="Times New Roman" w:hAnsi="Times New Roman" w:cs="Times New Roman" w:eastAsia="Times New Roman" w:hint="default"/>
        </w:rPr>
        <w:t>:</w:t>
      </w:r>
      <w:r>
        <w:rPr/>
        <w:t>其他主要为印花税、房产税、车船使用税等。</w:t>
      </w:r>
    </w:p>
    <w:p>
      <w:pPr>
        <w:spacing w:after="0" w:line="240" w:lineRule="auto"/>
        <w:jc w:val="left"/>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32、销售费用" w:id="302"/>
      <w:bookmarkEnd w:id="302"/>
      <w:r>
        <w:rPr>
          <w:b w:val="0"/>
          <w:bCs w:val="0"/>
        </w:rPr>
      </w:r>
      <w:r>
        <w:rPr>
          <w:rFonts w:ascii="Times New Roman" w:hAnsi="Times New Roman" w:cs="Times New Roman" w:eastAsia="Times New Roman" w:hint="default"/>
        </w:rPr>
        <w:t>32</w:t>
      </w:r>
      <w:r>
        <w:rPr/>
        <w:t>、销售费用</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124,716,477.38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139,541,005.66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29,886,526.25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41,751,270.39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房租及管理费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11,993,589.27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11,219,919.98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4,013,508.83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4,157,168.46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1,416,720.62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1,942,012.85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办公邮电费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1,497,362.23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1,972,357.71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4,379,397.40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6,062,300.55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177,903,581.98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206,646,035.60</w:t>
            </w:r>
          </w:p>
        </w:tc>
      </w:tr>
    </w:tbl>
    <w:p>
      <w:pPr>
        <w:pStyle w:val="BodyText"/>
        <w:spacing w:line="240" w:lineRule="auto" w:before="51"/>
        <w:ind w:right="0"/>
        <w:jc w:val="left"/>
      </w:pPr>
      <w:r>
        <w:rPr/>
        <w:t>其他说明：</w:t>
      </w:r>
    </w:p>
    <w:p>
      <w:pPr>
        <w:spacing w:line="240" w:lineRule="auto" w:before="13"/>
        <w:rPr>
          <w:rFonts w:ascii="宋体" w:hAnsi="宋体" w:cs="宋体" w:eastAsia="宋体" w:hint="default"/>
          <w:sz w:val="12"/>
          <w:szCs w:val="12"/>
        </w:rPr>
      </w:pPr>
    </w:p>
    <w:p>
      <w:pPr>
        <w:pStyle w:val="Heading4"/>
        <w:spacing w:line="240" w:lineRule="auto"/>
        <w:ind w:right="0"/>
        <w:jc w:val="left"/>
        <w:rPr>
          <w:b w:val="0"/>
          <w:bCs w:val="0"/>
        </w:rPr>
      </w:pPr>
      <w:bookmarkStart w:name="33、管理费用" w:id="303"/>
      <w:bookmarkEnd w:id="303"/>
      <w:r>
        <w:rPr>
          <w:b w:val="0"/>
          <w:bCs w:val="0"/>
        </w:rPr>
      </w:r>
      <w:r>
        <w:rPr>
          <w:rFonts w:ascii="Times New Roman" w:hAnsi="Times New Roman" w:cs="Times New Roman" w:eastAsia="Times New Roman" w:hint="default"/>
        </w:rPr>
        <w:t>33</w:t>
      </w:r>
      <w:r>
        <w:rPr/>
        <w:t>、管理费用</w:t>
      </w:r>
      <w:r>
        <w:rPr>
          <w:b w:val="0"/>
          <w:bCs w:val="0"/>
        </w:rPr>
      </w:r>
    </w:p>
    <w:p>
      <w:pPr>
        <w:spacing w:line="240" w:lineRule="auto" w:before="7"/>
        <w:rPr>
          <w:rFonts w:ascii="宋体" w:hAnsi="宋体" w:cs="宋体" w:eastAsia="宋体" w:hint="default"/>
          <w:b/>
          <w:bCs/>
          <w:sz w:val="9"/>
          <w:szCs w:val="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102,410,571.49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86,503,934.19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房租及管理费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19,505,078.07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23,266,701.00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咨询审计费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8,739,323.06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20,056,192.76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6,086,577.31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7,075,847.74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办公邮电费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4,103,783.16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3,926,098.23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股份支付费用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5,920,800.00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3,847,521.93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4,231,330.54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3,681,600.35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10,165,035.77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14,486,667.67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161,162,499.40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162,844,563.87</w:t>
            </w:r>
          </w:p>
        </w:tc>
      </w:tr>
    </w:tbl>
    <w:p>
      <w:pPr>
        <w:pStyle w:val="BodyText"/>
        <w:spacing w:line="240" w:lineRule="auto" w:before="51"/>
        <w:ind w:right="0"/>
        <w:jc w:val="left"/>
      </w:pPr>
      <w:r>
        <w:rPr/>
        <w:t>其他说明：</w:t>
      </w:r>
    </w:p>
    <w:p>
      <w:pPr>
        <w:spacing w:line="240" w:lineRule="auto" w:before="13"/>
        <w:rPr>
          <w:rFonts w:ascii="宋体" w:hAnsi="宋体" w:cs="宋体" w:eastAsia="宋体" w:hint="default"/>
          <w:sz w:val="12"/>
          <w:szCs w:val="12"/>
        </w:rPr>
      </w:pPr>
    </w:p>
    <w:p>
      <w:pPr>
        <w:pStyle w:val="Heading4"/>
        <w:spacing w:line="240" w:lineRule="auto"/>
        <w:ind w:right="0"/>
        <w:jc w:val="left"/>
        <w:rPr>
          <w:b w:val="0"/>
          <w:bCs w:val="0"/>
        </w:rPr>
      </w:pPr>
      <w:bookmarkStart w:name="34、研发费用" w:id="304"/>
      <w:bookmarkEnd w:id="304"/>
      <w:r>
        <w:rPr>
          <w:b w:val="0"/>
          <w:bCs w:val="0"/>
        </w:rPr>
      </w:r>
      <w:r>
        <w:rPr>
          <w:rFonts w:ascii="Times New Roman" w:hAnsi="Times New Roman" w:cs="Times New Roman" w:eastAsia="Times New Roman" w:hint="default"/>
        </w:rPr>
        <w:t>34</w:t>
      </w:r>
      <w:r>
        <w:rPr/>
        <w:t>、研发费用</w:t>
      </w:r>
      <w:r>
        <w:rPr>
          <w:b w:val="0"/>
          <w:bCs w:val="0"/>
        </w:rPr>
      </w:r>
    </w:p>
    <w:p>
      <w:pPr>
        <w:spacing w:line="240" w:lineRule="auto" w:before="7"/>
        <w:rPr>
          <w:rFonts w:ascii="宋体" w:hAnsi="宋体" w:cs="宋体" w:eastAsia="宋体" w:hint="default"/>
          <w:b/>
          <w:bCs/>
          <w:sz w:val="9"/>
          <w:szCs w:val="9"/>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105,194,300.80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123,265,890.86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26,046,928.78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30,763,516.34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1,290,632.54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1,775,377.85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2,733,809.76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4,597,415.95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135,265,671.88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160,402,201.00</w:t>
            </w:r>
          </w:p>
        </w:tc>
      </w:tr>
    </w:tbl>
    <w:p>
      <w:pPr>
        <w:pStyle w:val="BodyText"/>
        <w:spacing w:line="240" w:lineRule="auto" w:before="51"/>
        <w:ind w:right="0"/>
        <w:jc w:val="left"/>
      </w:pPr>
      <w:r>
        <w:rPr/>
        <w:t>其他说明：</w:t>
      </w:r>
    </w:p>
    <w:p>
      <w:pPr>
        <w:spacing w:after="0" w:line="240" w:lineRule="auto"/>
        <w:jc w:val="left"/>
        <w:sectPr>
          <w:pgSz w:w="11910" w:h="16840"/>
          <w:pgMar w:header="0" w:footer="979" w:top="1100" w:bottom="1160" w:left="980" w:right="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9" w:top="1100" w:bottom="1160" w:left="980" w:right="0"/>
        </w:sectPr>
      </w:pPr>
    </w:p>
    <w:p>
      <w:pPr>
        <w:pStyle w:val="Heading4"/>
        <w:spacing w:line="240" w:lineRule="auto" w:before="35"/>
        <w:ind w:right="0"/>
        <w:jc w:val="left"/>
        <w:rPr>
          <w:b w:val="0"/>
          <w:bCs w:val="0"/>
        </w:rPr>
      </w:pPr>
      <w:bookmarkStart w:name="35、财务费用" w:id="305"/>
      <w:bookmarkEnd w:id="305"/>
      <w:r>
        <w:rPr>
          <w:b w:val="0"/>
          <w:bCs w:val="0"/>
        </w:rPr>
      </w:r>
      <w:r>
        <w:rPr>
          <w:rFonts w:ascii="Times New Roman" w:hAnsi="Times New Roman" w:cs="Times New Roman" w:eastAsia="Times New Roman" w:hint="default"/>
          <w:w w:val="95"/>
        </w:rPr>
        <w:t>35</w:t>
      </w:r>
      <w:r>
        <w:rPr>
          <w:w w:val="95"/>
        </w:rPr>
        <w:t>、财务费用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3"/>
          <w:szCs w:val="13"/>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1418" w:space="7412"/>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706,287.48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1,367,212.70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-17,716,806.65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-22,460,900.41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184,482.49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7,266,049.51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393,789.21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385,640.51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-16,432,247.47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-13,441,997.69</w:t>
            </w:r>
          </w:p>
        </w:tc>
      </w:tr>
    </w:tbl>
    <w:p>
      <w:pPr>
        <w:pStyle w:val="BodyText"/>
        <w:spacing w:line="240" w:lineRule="auto" w:before="51"/>
        <w:ind w:right="0"/>
        <w:jc w:val="left"/>
      </w:pPr>
      <w:r>
        <w:rPr/>
        <w:t>其他说明：</w:t>
      </w:r>
    </w:p>
    <w:p>
      <w:pPr>
        <w:spacing w:line="240" w:lineRule="auto" w:before="5"/>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40"/>
          <w:pgMar w:top="1060" w:bottom="1160" w:left="980" w:right="0"/>
        </w:sectPr>
      </w:pPr>
    </w:p>
    <w:p>
      <w:pPr>
        <w:pStyle w:val="Heading4"/>
        <w:spacing w:line="240" w:lineRule="auto" w:before="35"/>
        <w:ind w:right="0"/>
        <w:jc w:val="left"/>
        <w:rPr>
          <w:b w:val="0"/>
          <w:bCs w:val="0"/>
        </w:rPr>
      </w:pPr>
      <w:bookmarkStart w:name="36、资产减值损失" w:id="306"/>
      <w:bookmarkEnd w:id="306"/>
      <w:r>
        <w:rPr>
          <w:b w:val="0"/>
          <w:bCs w:val="0"/>
        </w:rPr>
      </w:r>
      <w:r>
        <w:rPr>
          <w:rFonts w:ascii="Times New Roman" w:hAnsi="Times New Roman" w:cs="Times New Roman" w:eastAsia="Times New Roman" w:hint="default"/>
          <w:w w:val="95"/>
        </w:rPr>
        <w:t>36</w:t>
      </w:r>
      <w:r>
        <w:rPr>
          <w:w w:val="95"/>
        </w:rPr>
        <w:t>、资产减值损失</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1840" w:space="6990"/>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5,944,801.98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2,678,760.41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3,728.71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-616.51</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1,966,815.77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5,948,530.69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4,644,959.67</w:t>
            </w:r>
          </w:p>
        </w:tc>
      </w:tr>
    </w:tbl>
    <w:p>
      <w:pPr>
        <w:pStyle w:val="BodyText"/>
        <w:spacing w:line="240" w:lineRule="auto" w:before="51"/>
        <w:ind w:right="0"/>
        <w:jc w:val="left"/>
      </w:pPr>
      <w:r>
        <w:rPr/>
        <w:t>其他说明：</w:t>
      </w:r>
    </w:p>
    <w:p>
      <w:pPr>
        <w:spacing w:line="240" w:lineRule="auto" w:before="5"/>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40"/>
          <w:pgMar w:top="1060" w:bottom="1160" w:left="980" w:right="0"/>
        </w:sectPr>
      </w:pPr>
    </w:p>
    <w:p>
      <w:pPr>
        <w:pStyle w:val="Heading4"/>
        <w:spacing w:line="240" w:lineRule="auto" w:before="35"/>
        <w:ind w:right="0"/>
        <w:jc w:val="left"/>
        <w:rPr>
          <w:b w:val="0"/>
          <w:bCs w:val="0"/>
        </w:rPr>
      </w:pPr>
      <w:bookmarkStart w:name="37、其他收益" w:id="307"/>
      <w:bookmarkEnd w:id="307"/>
      <w:r>
        <w:rPr>
          <w:b w:val="0"/>
          <w:bCs w:val="0"/>
        </w:rPr>
      </w:r>
      <w:r>
        <w:rPr>
          <w:rFonts w:ascii="Times New Roman" w:hAnsi="Times New Roman" w:cs="Times New Roman" w:eastAsia="Times New Roman" w:hint="default"/>
          <w:w w:val="95"/>
        </w:rPr>
        <w:t>37</w:t>
      </w:r>
      <w:r>
        <w:rPr>
          <w:w w:val="95"/>
        </w:rPr>
        <w:t>、其他收益</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3"/>
          <w:szCs w:val="13"/>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1418" w:space="7412"/>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3,257,589.11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2,627,229.12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个税扣缴税款手续费返还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641,048.38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53,559.01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3,898,637.49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2,680,788.13</w:t>
            </w:r>
          </w:p>
        </w:tc>
      </w:tr>
    </w:tbl>
    <w:p>
      <w:pPr>
        <w:spacing w:line="240" w:lineRule="auto" w:before="6"/>
        <w:rPr>
          <w:rFonts w:ascii="宋体" w:hAnsi="宋体" w:cs="宋体" w:eastAsia="宋体" w:hint="default"/>
          <w:sz w:val="5"/>
          <w:szCs w:val="5"/>
        </w:rPr>
      </w:pPr>
    </w:p>
    <w:p>
      <w:pPr>
        <w:spacing w:after="0" w:line="240" w:lineRule="auto"/>
        <w:rPr>
          <w:rFonts w:ascii="宋体" w:hAnsi="宋体" w:cs="宋体" w:eastAsia="宋体" w:hint="default"/>
          <w:sz w:val="5"/>
          <w:szCs w:val="5"/>
        </w:rPr>
        <w:sectPr>
          <w:type w:val="continuous"/>
          <w:pgSz w:w="11910" w:h="16840"/>
          <w:pgMar w:top="1060" w:bottom="1160" w:left="980" w:right="0"/>
        </w:sectPr>
      </w:pPr>
    </w:p>
    <w:p>
      <w:pPr>
        <w:pStyle w:val="Heading4"/>
        <w:spacing w:line="240" w:lineRule="auto" w:before="35"/>
        <w:ind w:right="0"/>
        <w:jc w:val="left"/>
        <w:rPr>
          <w:b w:val="0"/>
          <w:bCs w:val="0"/>
        </w:rPr>
      </w:pPr>
      <w:bookmarkStart w:name="38、投资收益" w:id="308"/>
      <w:bookmarkEnd w:id="308"/>
      <w:r>
        <w:rPr>
          <w:b w:val="0"/>
          <w:bCs w:val="0"/>
        </w:rPr>
      </w:r>
      <w:r>
        <w:rPr>
          <w:rFonts w:ascii="Times New Roman" w:hAnsi="Times New Roman" w:cs="Times New Roman" w:eastAsia="Times New Roman" w:hint="default"/>
          <w:w w:val="95"/>
        </w:rPr>
        <w:t>38</w:t>
      </w:r>
      <w:r>
        <w:rPr>
          <w:w w:val="95"/>
        </w:rPr>
        <w:t>、投资收益</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1418" w:space="7412"/>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-1,083,071.64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385,599.13</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5,016,401.34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4,344,727.11</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4,059,112.59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处置</w:t>
            </w: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购买日之前持有股权相关的其他综合 收益转入投资损失</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-104,114.49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-43,078.33</w:t>
            </w:r>
            <w:r>
              <w:rPr>
                <w:rFonts w:ascii="Times New Roman"/>
                <w:sz w:val="18"/>
              </w:rPr>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购买日之前持有的被购买方的股权在购买 日的公允价值与原账面价值差额</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16,328,324.38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7,888,327.80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21,415,572.29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39、营业外收入" w:id="309"/>
      <w:bookmarkEnd w:id="309"/>
      <w:r>
        <w:rPr>
          <w:b w:val="0"/>
          <w:bCs w:val="0"/>
        </w:rPr>
      </w:r>
      <w:r>
        <w:rPr>
          <w:rFonts w:ascii="Times New Roman" w:hAnsi="Times New Roman" w:cs="Times New Roman" w:eastAsia="Times New Roman" w:hint="default"/>
        </w:rPr>
        <w:t>39</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1,237,261.84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2,013,503.36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1,237,261.84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451,967.89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69,494.25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451,967.89</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1,689,229.73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2,082,997.61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1,689,229.73</w:t>
            </w:r>
          </w:p>
        </w:tc>
      </w:tr>
    </w:tbl>
    <w:p>
      <w:pPr>
        <w:pStyle w:val="BodyText"/>
        <w:spacing w:line="240" w:lineRule="auto" w:before="51"/>
        <w:ind w:right="0"/>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418"/>
        <w:gridCol w:w="1038"/>
        <w:gridCol w:w="420"/>
        <w:gridCol w:w="2574"/>
        <w:gridCol w:w="791"/>
        <w:gridCol w:w="545"/>
        <w:gridCol w:w="1052"/>
        <w:gridCol w:w="1051"/>
        <w:gridCol w:w="806"/>
      </w:tblGrid>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3"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4"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2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 w:right="29"/>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 w:right="86"/>
              <w:jc w:val="both"/>
              <w:rPr>
                <w:rFonts w:ascii="宋体" w:hAnsi="宋体" w:cs="宋体" w:eastAsia="宋体" w:hint="default"/>
                <w:sz w:val="18"/>
                <w:szCs w:val="18"/>
              </w:rPr>
            </w:pPr>
            <w:r>
              <w:rPr>
                <w:rFonts w:ascii="宋体" w:hAnsi="宋体" w:cs="宋体" w:eastAsia="宋体" w:hint="default"/>
                <w:sz w:val="18"/>
                <w:szCs w:val="18"/>
              </w:rPr>
              <w:t>是否 特殊 补贴</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29" w:right="70" w:hanging="361"/>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29" w:right="71"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38" w:right="36"/>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出口业务贴息资 金</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02"/>
              <w:jc w:val="left"/>
              <w:rPr>
                <w:rFonts w:ascii="宋体" w:hAnsi="宋体" w:cs="宋体" w:eastAsia="宋体" w:hint="default"/>
                <w:sz w:val="18"/>
                <w:szCs w:val="18"/>
              </w:rPr>
            </w:pPr>
            <w:r>
              <w:rPr>
                <w:rFonts w:ascii="宋体" w:hAnsi="宋体" w:cs="宋体" w:eastAsia="宋体" w:hint="default"/>
                <w:sz w:val="18"/>
                <w:szCs w:val="18"/>
              </w:rPr>
              <w:t>北京市商务 委员会</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因从事国家鼓励和扶持特定行 业、产业而获得的补助（按国家 级政策规定依法取得）</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578,479.00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651,250.00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2"/>
              <w:jc w:val="both"/>
              <w:rPr>
                <w:rFonts w:ascii="宋体" w:hAnsi="宋体" w:cs="宋体" w:eastAsia="宋体" w:hint="default"/>
                <w:sz w:val="18"/>
                <w:szCs w:val="18"/>
              </w:rPr>
            </w:pPr>
            <w:r>
              <w:rPr>
                <w:rFonts w:ascii="宋体" w:hAnsi="宋体" w:cs="宋体" w:eastAsia="宋体" w:hint="default"/>
                <w:sz w:val="18"/>
                <w:szCs w:val="18"/>
              </w:rPr>
              <w:t>高新技术企业一 次性发展补贴资 金</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02"/>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因从事国家鼓励和扶持特定行 业、产业而获得的补助（按国家 级政策规定依法取得）</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产业转型升级专 项资金</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2"/>
              <w:jc w:val="both"/>
              <w:rPr>
                <w:rFonts w:ascii="宋体" w:hAnsi="宋体" w:cs="宋体" w:eastAsia="宋体" w:hint="default"/>
                <w:sz w:val="18"/>
                <w:szCs w:val="18"/>
              </w:rPr>
            </w:pPr>
            <w:r>
              <w:rPr>
                <w:rFonts w:ascii="宋体" w:hAnsi="宋体" w:cs="宋体" w:eastAsia="宋体" w:hint="default"/>
                <w:sz w:val="18"/>
                <w:szCs w:val="18"/>
              </w:rPr>
              <w:t>北京市昌平 区科学技术 委员</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574"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430,880.00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8"/>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年度承接国 际服务外包业务 专项资金</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02"/>
              <w:jc w:val="left"/>
              <w:rPr>
                <w:rFonts w:ascii="宋体" w:hAnsi="宋体" w:cs="宋体" w:eastAsia="宋体" w:hint="default"/>
                <w:sz w:val="18"/>
                <w:szCs w:val="18"/>
              </w:rPr>
            </w:pPr>
            <w:r>
              <w:rPr>
                <w:rFonts w:ascii="宋体" w:hAnsi="宋体" w:cs="宋体" w:eastAsia="宋体" w:hint="default"/>
                <w:sz w:val="18"/>
                <w:szCs w:val="18"/>
              </w:rPr>
              <w:t>北京市商务 委员会</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因从事国家鼓励和扶持特定行 业、产业而获得的补助（按国家 级政策规定依法取得）</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129,203.27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收企业稳定岗位 补助</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2"/>
              <w:jc w:val="both"/>
              <w:rPr>
                <w:rFonts w:ascii="宋体" w:hAnsi="宋体" w:cs="宋体" w:eastAsia="宋体" w:hint="default"/>
                <w:sz w:val="18"/>
                <w:szCs w:val="18"/>
              </w:rPr>
            </w:pPr>
            <w:r>
              <w:rPr>
                <w:rFonts w:ascii="宋体" w:hAnsi="宋体" w:cs="宋体" w:eastAsia="宋体" w:hint="default"/>
                <w:sz w:val="18"/>
                <w:szCs w:val="18"/>
              </w:rPr>
              <w:t>广州市社会 保险基金管 理中心</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因从事国家鼓励和扶持特定行 业、产业而获得的补助（按国家 级政策规定依法取得）</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5,610.12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收企业稳定岗位 补助</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2"/>
              <w:jc w:val="both"/>
              <w:rPr>
                <w:rFonts w:ascii="宋体" w:hAnsi="宋体" w:cs="宋体" w:eastAsia="宋体" w:hint="default"/>
                <w:sz w:val="18"/>
                <w:szCs w:val="18"/>
              </w:rPr>
            </w:pPr>
            <w:r>
              <w:rPr>
                <w:rFonts w:ascii="宋体" w:hAnsi="宋体" w:cs="宋体" w:eastAsia="宋体" w:hint="default"/>
                <w:sz w:val="18"/>
                <w:szCs w:val="18"/>
              </w:rPr>
              <w:t>北京市市社 会保险基金 管理中心</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因从事国家鼓励和扶持特定行 业、产业而获得的补助（按国家 级政策规定依法取得）</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196,559.97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574"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408,782.84</w:t>
            </w:r>
          </w:p>
        </w:tc>
        <w:tc>
          <w:tcPr>
            <w:tcW w:w="105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3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2574"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1,237,261.84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2,013,503.36</w:t>
            </w:r>
          </w:p>
        </w:tc>
        <w:tc>
          <w:tcPr>
            <w:tcW w:w="8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after="0" w:line="240" w:lineRule="auto"/>
        <w:jc w:val="left"/>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9" w:top="1100" w:bottom="1160" w:left="980" w:right="0"/>
        </w:sectPr>
      </w:pPr>
    </w:p>
    <w:p>
      <w:pPr>
        <w:pStyle w:val="Heading4"/>
        <w:spacing w:line="240" w:lineRule="auto" w:before="35"/>
        <w:ind w:right="0"/>
        <w:jc w:val="left"/>
        <w:rPr>
          <w:b w:val="0"/>
          <w:bCs w:val="0"/>
        </w:rPr>
      </w:pPr>
      <w:bookmarkStart w:name="40、营业外支出" w:id="310"/>
      <w:bookmarkEnd w:id="310"/>
      <w:r>
        <w:rPr>
          <w:b w:val="0"/>
          <w:bCs w:val="0"/>
        </w:rPr>
      </w:r>
      <w:r>
        <w:rPr>
          <w:rFonts w:ascii="Times New Roman" w:hAnsi="Times New Roman" w:cs="Times New Roman" w:eastAsia="Times New Roman" w:hint="default"/>
          <w:w w:val="95"/>
        </w:rPr>
        <w:t>40</w:t>
      </w:r>
      <w:r>
        <w:rPr>
          <w:w w:val="95"/>
        </w:rPr>
        <w:t>、营业外支出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1629" w:space="7201"/>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174,808.67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54,838.43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174,808.67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2,392,511.10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1,964,924.07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2,392,511.10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诉讼和解费用</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5,911,920.00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47,980.32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-79,287.08</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47,980.32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2,615,300.09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7,852,395.42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2,615,300.09</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1、所得税费用" w:id="311"/>
      <w:bookmarkEnd w:id="311"/>
      <w:r>
        <w:rPr>
          <w:b w:val="0"/>
          <w:bCs w:val="0"/>
        </w:rPr>
      </w:r>
      <w:r>
        <w:rPr>
          <w:rFonts w:ascii="Times New Roman" w:hAnsi="Times New Roman" w:cs="Times New Roman" w:eastAsia="Times New Roman" w:hint="default"/>
        </w:rPr>
        <w:t>41</w:t>
      </w:r>
      <w:r>
        <w:rPr/>
        <w:t>、所得税费用</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type w:val="continuous"/>
          <w:pgSz w:w="11910" w:h="16840"/>
          <w:pgMar w:top="1060" w:bottom="1160" w:left="980" w:right="0"/>
        </w:sectPr>
      </w:pPr>
    </w:p>
    <w:p>
      <w:pPr>
        <w:pStyle w:val="Heading4"/>
        <w:spacing w:line="240" w:lineRule="auto" w:before="35"/>
        <w:ind w:right="0"/>
        <w:jc w:val="left"/>
        <w:rPr>
          <w:b w:val="0"/>
          <w:bCs w:val="0"/>
        </w:rPr>
      </w:pPr>
      <w:bookmarkStart w:name="（1）所得税费用表" w:id="312"/>
      <w:bookmarkEnd w:id="312"/>
      <w:r>
        <w:rPr>
          <w:b w:val="0"/>
          <w:bCs w:val="0"/>
        </w:rPr>
      </w:r>
      <w:r>
        <w:rPr>
          <w:w w:val="95"/>
        </w:rPr>
        <w:t>（</w:t>
      </w:r>
      <w:r>
        <w:rPr>
          <w:rFonts w:ascii="Times New Roman" w:hAnsi="Times New Roman" w:cs="Times New Roman" w:eastAsia="Times New Roman" w:hint="default"/>
          <w:w w:val="95"/>
        </w:rPr>
        <w:t>1</w:t>
      </w:r>
      <w:r>
        <w:rPr>
          <w:w w:val="95"/>
        </w:rPr>
        <w:t>）所得税费用表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3"/>
          <w:szCs w:val="13"/>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1946" w:space="6884"/>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8,993,421.44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9,377,695.48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5,586,226.33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-3,663,023.73</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14,579,647.77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5,714,671.75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会计利润与所得税费用调整过程" w:id="313"/>
      <w:bookmarkEnd w:id="313"/>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88,930,003.49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22,232,500.87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-12,851,709.49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-2,361,524.71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-1,218,081.41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2,130,077.71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-531,383.51</w:t>
            </w:r>
            <w:r>
              <w:rPr>
                <w:rFonts w:ascii="Times New Roman"/>
                <w:sz w:val="18"/>
              </w:rPr>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17,104,532.40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税率变动的影响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-1,785,307.17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研发加计扣除的影响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-8,139,456.92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14,579,647.77</w:t>
            </w:r>
          </w:p>
        </w:tc>
      </w:tr>
    </w:tbl>
    <w:p>
      <w:pPr>
        <w:pStyle w:val="BodyText"/>
        <w:spacing w:line="240" w:lineRule="auto" w:before="51"/>
        <w:ind w:right="0"/>
        <w:jc w:val="left"/>
      </w:pPr>
      <w:r>
        <w:rPr/>
        <w:t>其他说明</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0"/>
          <w:szCs w:val="20"/>
        </w:rPr>
      </w:pPr>
    </w:p>
    <w:p>
      <w:pPr>
        <w:spacing w:line="547" w:lineRule="auto" w:before="35"/>
        <w:ind w:left="154" w:right="8855" w:firstLine="0"/>
        <w:jc w:val="left"/>
        <w:rPr>
          <w:rFonts w:ascii="宋体" w:hAnsi="宋体" w:cs="宋体" w:eastAsia="宋体" w:hint="default"/>
          <w:sz w:val="21"/>
          <w:szCs w:val="21"/>
        </w:rPr>
      </w:pPr>
      <w:bookmarkStart w:name="42、其他综合收益" w:id="314"/>
      <w:bookmarkEnd w:id="314"/>
      <w:r>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宋体" w:hAnsi="宋体" w:cs="宋体" w:eastAsia="宋体" w:hint="default"/>
          <w:sz w:val="18"/>
          <w:szCs w:val="18"/>
        </w:rPr>
        <w:t>。 </w:t>
      </w:r>
      <w:bookmarkStart w:name="43、现金流量表项目" w:id="315"/>
      <w:bookmarkEnd w:id="315"/>
      <w:r>
        <w:rPr>
          <w:rFonts w:ascii="宋体" w:hAnsi="宋体" w:cs="宋体" w:eastAsia="宋体" w:hint="default"/>
          <w:sz w:val="18"/>
          <w:szCs w:val="18"/>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6"/>
        <w:ind w:right="0"/>
        <w:jc w:val="left"/>
        <w:rPr>
          <w:b w:val="0"/>
          <w:bCs w:val="0"/>
        </w:rPr>
      </w:pPr>
      <w:bookmarkStart w:name="（1）收到的其他与经营活动有关的现金" w:id="316"/>
      <w:bookmarkEnd w:id="31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3,910,350.95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2,853,164.38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18,460,530.25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22,185,624.87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代收集成款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1,724,610.10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10,657,503.75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909,296.12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4,764,899.95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1,711,604.44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2,182,403.90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代扣个税返还</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641,048.38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53,559.01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1,705,066.29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1,532,907.59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29,062,506.53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44,230,063.45</w:t>
            </w:r>
          </w:p>
        </w:tc>
      </w:tr>
    </w:tbl>
    <w:p>
      <w:pPr>
        <w:pStyle w:val="BodyText"/>
        <w:spacing w:line="240" w:lineRule="auto" w:before="51"/>
        <w:ind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支付的其他与经营活动有关的现金" w:id="317"/>
      <w:bookmarkEnd w:id="31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日常费用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29,325,667.74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32,380,872.19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市场营销费用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28,325,180.58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31,590,729.61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房租物业及水电暖费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36,538,409.50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42,808,496.19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中介机构及法务专项费用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23,413,508.96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10,686,868.82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243,059.16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3,097,312.48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代付集成款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1,757,481.00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10,522,389.08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单位或个人往来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23,972,996.45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6,182,668.77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1,290,452.85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1,304,744.29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144,866,756.24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138,574,081.43</w:t>
            </w:r>
          </w:p>
        </w:tc>
      </w:tr>
    </w:tbl>
    <w:p>
      <w:pPr>
        <w:pStyle w:val="BodyText"/>
        <w:spacing w:line="240" w:lineRule="auto" w:before="51"/>
        <w:ind w:right="0"/>
        <w:jc w:val="left"/>
      </w:pPr>
      <w:r>
        <w:rPr/>
        <w:t>支付的其他与经营活动有关的现金说明：</w:t>
      </w:r>
    </w:p>
    <w:p>
      <w:pPr>
        <w:spacing w:after="0" w:line="240" w:lineRule="auto"/>
        <w:jc w:val="left"/>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3）收到的其他与投资活动有关的现金" w:id="318"/>
      <w:bookmarkEnd w:id="318"/>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802,430,000.00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802,430,000.00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521,500,000.00</w:t>
            </w:r>
          </w:p>
        </w:tc>
      </w:tr>
    </w:tbl>
    <w:p>
      <w:pPr>
        <w:pStyle w:val="BodyText"/>
        <w:spacing w:line="240" w:lineRule="auto" w:before="51"/>
        <w:ind w:right="0"/>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支付的其他与投资活动有关的现金" w:id="319"/>
      <w:bookmarkEnd w:id="319"/>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781,710,000.00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589,500,000.00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781,710,000.00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589,500,000.00</w:t>
            </w:r>
          </w:p>
        </w:tc>
      </w:tr>
    </w:tbl>
    <w:p>
      <w:pPr>
        <w:pStyle w:val="BodyText"/>
        <w:spacing w:line="240" w:lineRule="auto" w:before="51"/>
        <w:ind w:right="0"/>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收到的其他与筹资活动有关的现金" w:id="320"/>
      <w:bookmarkEnd w:id="320"/>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支付的其他与筹资活动有关的现金" w:id="321"/>
      <w:bookmarkEnd w:id="321"/>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股权激励授予限制性股票的回购款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94,355,160.00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94,355,160.00</w:t>
            </w:r>
          </w:p>
        </w:tc>
      </w:tr>
    </w:tbl>
    <w:p>
      <w:pPr>
        <w:pStyle w:val="BodyText"/>
        <w:spacing w:line="240" w:lineRule="auto" w:before="51"/>
        <w:ind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4、现金流量表补充资料" w:id="322"/>
      <w:bookmarkEnd w:id="322"/>
      <w:r>
        <w:rPr>
          <w:b w:val="0"/>
          <w:bCs w:val="0"/>
        </w:rPr>
      </w:r>
      <w:r>
        <w:rPr>
          <w:rFonts w:ascii="Times New Roman" w:hAnsi="Times New Roman" w:cs="Times New Roman" w:eastAsia="Times New Roman" w:hint="default"/>
        </w:rPr>
        <w:t>44</w:t>
      </w:r>
      <w:r>
        <w:rPr/>
        <w:t>、现金流量表补充资料</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0" w:footer="979" w:top="1100" w:bottom="1160" w:left="980" w:right="0"/>
        </w:sectPr>
      </w:pPr>
    </w:p>
    <w:p>
      <w:pPr>
        <w:pStyle w:val="Heading4"/>
        <w:spacing w:line="240" w:lineRule="auto" w:before="35"/>
        <w:ind w:right="0"/>
        <w:jc w:val="left"/>
        <w:rPr>
          <w:b w:val="0"/>
          <w:bCs w:val="0"/>
        </w:rPr>
      </w:pPr>
      <w:bookmarkStart w:name="（1）现金流量表补充资料" w:id="323"/>
      <w:bookmarkEnd w:id="323"/>
      <w:r>
        <w:rPr>
          <w:b w:val="0"/>
          <w:bCs w:val="0"/>
        </w:rPr>
      </w:r>
      <w:r>
        <w:rPr>
          <w:w w:val="95"/>
        </w:rPr>
        <w:t>（</w:t>
      </w:r>
      <w:r>
        <w:rPr>
          <w:rFonts w:ascii="Times New Roman" w:hAnsi="Times New Roman" w:cs="Times New Roman" w:eastAsia="Times New Roman" w:hint="default"/>
          <w:w w:val="95"/>
        </w:rPr>
        <w:t>1</w:t>
      </w:r>
      <w:r>
        <w:rPr>
          <w:w w:val="95"/>
        </w:rPr>
        <w:t>）现金流量表补充资料</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577" w:space="6253"/>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74,350,355.72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21,565,162.25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5,948,530.69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4,644,959.67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36,406,489.74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33,985,864.24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28,279,594.95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32,516,276.65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299"/>
        <w:gridCol w:w="1060"/>
        <w:gridCol w:w="2014"/>
        <w:gridCol w:w="3184"/>
      </w:tblGrid>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95" w:right="0"/>
              <w:jc w:val="left"/>
              <w:rPr>
                <w:rFonts w:ascii="Times New Roman" w:hAnsi="Times New Roman" w:cs="Times New Roman" w:eastAsia="Times New Roman" w:hint="default"/>
                <w:sz w:val="18"/>
                <w:szCs w:val="18"/>
              </w:rPr>
            </w:pPr>
            <w:r>
              <w:rPr>
                <w:rFonts w:ascii="Times New Roman"/>
                <w:sz w:val="18"/>
              </w:rPr>
              <w:t>26,164,377.32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28,947,885.50</w:t>
            </w:r>
          </w:p>
        </w:tc>
      </w:tr>
      <w:tr>
        <w:trPr>
          <w:trHeight w:val="714"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6"/>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870,098.70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366,979.28</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2,392,511.10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1,964,924.07</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1,358,711.80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7,826,214.72</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25" w:right="0"/>
              <w:jc w:val="left"/>
              <w:rPr>
                <w:rFonts w:ascii="Times New Roman" w:hAnsi="Times New Roman" w:cs="Times New Roman" w:eastAsia="Times New Roman" w:hint="default"/>
                <w:sz w:val="18"/>
                <w:szCs w:val="18"/>
              </w:rPr>
            </w:pPr>
            <w:r>
              <w:rPr>
                <w:rFonts w:ascii="Times New Roman"/>
                <w:sz w:val="18"/>
              </w:rPr>
              <w:t>-7,888,327.80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-21,415,572.29</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6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8,760,889.47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1,394,594.09</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6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-3,174,663.14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-4,909,708.65</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25" w:right="0"/>
              <w:jc w:val="left"/>
              <w:rPr>
                <w:rFonts w:ascii="Times New Roman" w:hAnsi="Times New Roman" w:cs="Times New Roman" w:eastAsia="Times New Roman" w:hint="default"/>
                <w:sz w:val="18"/>
                <w:szCs w:val="18"/>
              </w:rPr>
            </w:pPr>
            <w:r>
              <w:rPr>
                <w:rFonts w:ascii="Times New Roman"/>
                <w:sz w:val="18"/>
              </w:rPr>
              <w:t>-1,777,539.88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-4,224,164.10</w:t>
            </w:r>
          </w:p>
        </w:tc>
      </w:tr>
      <w:tr>
        <w:trPr>
          <w:trHeight w:val="714"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6"/>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5" w:right="0"/>
              <w:jc w:val="left"/>
              <w:rPr>
                <w:rFonts w:ascii="Times New Roman" w:hAnsi="Times New Roman" w:cs="Times New Roman" w:eastAsia="Times New Roman" w:hint="default"/>
                <w:sz w:val="18"/>
                <w:szCs w:val="18"/>
              </w:rPr>
            </w:pPr>
            <w:r>
              <w:rPr>
                <w:rFonts w:ascii="Times New Roman"/>
                <w:sz w:val="18"/>
              </w:rPr>
              <w:t>-22,015,563.38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37,145,218.99</w:t>
            </w:r>
          </w:p>
        </w:tc>
      </w:tr>
      <w:tr>
        <w:trPr>
          <w:trHeight w:val="714"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6"/>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5" w:right="0"/>
              <w:jc w:val="left"/>
              <w:rPr>
                <w:rFonts w:ascii="Times New Roman" w:hAnsi="Times New Roman" w:cs="Times New Roman" w:eastAsia="Times New Roman" w:hint="default"/>
                <w:sz w:val="18"/>
                <w:szCs w:val="18"/>
              </w:rPr>
            </w:pPr>
            <w:r>
              <w:rPr>
                <w:rFonts w:ascii="Times New Roman"/>
                <w:sz w:val="18"/>
              </w:rPr>
              <w:t>-27,516,095.37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-610,175.59</w:t>
            </w:r>
            <w:r>
              <w:rPr>
                <w:rFonts w:ascii="Times New Roman"/>
                <w:sz w:val="18"/>
              </w:rPr>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5,336,300.00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2,151,521.93</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127,495,669.92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141,349,980.76</w:t>
            </w:r>
          </w:p>
        </w:tc>
      </w:tr>
      <w:tr>
        <w:trPr>
          <w:trHeight w:val="161" w:hRule="exact"/>
        </w:trPr>
        <w:tc>
          <w:tcPr>
            <w:tcW w:w="3299"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7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299" w:type="dxa"/>
            <w:vMerge/>
            <w:tcBorders>
              <w:left w:val="single" w:sz="4" w:space="0" w:color="000000"/>
              <w:right w:val="single" w:sz="4" w:space="0" w:color="000000"/>
            </w:tcBorders>
            <w:shd w:val="clear" w:color="auto" w:fill="D2D2D2"/>
          </w:tcPr>
          <w:p>
            <w:pPr/>
          </w:p>
        </w:tc>
        <w:tc>
          <w:tcPr>
            <w:tcW w:w="3074"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299" w:type="dxa"/>
            <w:vMerge/>
            <w:tcBorders>
              <w:left w:val="single" w:sz="4" w:space="0" w:color="000000"/>
              <w:bottom w:val="single" w:sz="4" w:space="0" w:color="000000"/>
              <w:right w:val="single" w:sz="4" w:space="0" w:color="000000"/>
            </w:tcBorders>
            <w:shd w:val="clear" w:color="auto" w:fill="D2D2D2"/>
          </w:tcPr>
          <w:p>
            <w:pPr/>
          </w:p>
        </w:tc>
        <w:tc>
          <w:tcPr>
            <w:tcW w:w="307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615,424,871.29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750,705,917.52</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750,705,917.52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1,100,934,642.67</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45" w:right="0"/>
              <w:jc w:val="left"/>
              <w:rPr>
                <w:rFonts w:ascii="Times New Roman" w:hAnsi="Times New Roman" w:cs="Times New Roman" w:eastAsia="Times New Roman" w:hint="default"/>
                <w:sz w:val="18"/>
                <w:szCs w:val="18"/>
              </w:rPr>
            </w:pPr>
            <w:r>
              <w:rPr>
                <w:rFonts w:ascii="Times New Roman"/>
                <w:sz w:val="18"/>
              </w:rPr>
              <w:t>-135,281,046.23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-350,228,725.15</w:t>
            </w:r>
          </w:p>
        </w:tc>
      </w:tr>
    </w:tbl>
    <w:p>
      <w:pPr>
        <w:spacing w:line="240" w:lineRule="auto" w:before="6"/>
        <w:rPr>
          <w:rFonts w:ascii="宋体" w:hAnsi="宋体" w:cs="宋体" w:eastAsia="宋体" w:hint="default"/>
          <w:sz w:val="5"/>
          <w:szCs w:val="5"/>
        </w:rPr>
      </w:pPr>
    </w:p>
    <w:p>
      <w:pPr>
        <w:spacing w:after="0" w:line="240" w:lineRule="auto"/>
        <w:rPr>
          <w:rFonts w:ascii="宋体" w:hAnsi="宋体" w:cs="宋体" w:eastAsia="宋体" w:hint="default"/>
          <w:sz w:val="5"/>
          <w:szCs w:val="5"/>
        </w:rPr>
        <w:sectPr>
          <w:pgSz w:w="11910" w:h="16840"/>
          <w:pgMar w:header="0" w:footer="979" w:top="1100" w:bottom="1160" w:left="980" w:right="0"/>
        </w:sectPr>
      </w:pPr>
    </w:p>
    <w:p>
      <w:pPr>
        <w:pStyle w:val="Heading4"/>
        <w:spacing w:line="240" w:lineRule="auto" w:before="35"/>
        <w:ind w:right="0"/>
        <w:jc w:val="left"/>
        <w:rPr>
          <w:b w:val="0"/>
          <w:bCs w:val="0"/>
        </w:rPr>
      </w:pPr>
      <w:bookmarkStart w:name="（2）本期支付的取得子公司的现金净额" w:id="324"/>
      <w:bookmarkEnd w:id="324"/>
      <w:r>
        <w:rPr>
          <w:b w:val="0"/>
          <w:bCs w:val="0"/>
        </w:rPr>
      </w:r>
      <w:r>
        <w:rPr>
          <w:w w:val="95"/>
        </w:rPr>
        <w:t>（</w:t>
      </w:r>
      <w:r>
        <w:rPr>
          <w:rFonts w:ascii="Times New Roman" w:hAnsi="Times New Roman" w:cs="Times New Roman" w:eastAsia="Times New Roman" w:hint="default"/>
          <w:w w:val="95"/>
        </w:rPr>
        <w:t>2</w:t>
      </w:r>
      <w:r>
        <w:rPr>
          <w:w w:val="95"/>
        </w:rPr>
        <w:t>）本期支付的取得子公司的现金净额</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3842" w:space="4988"/>
            <w:col w:w="2100"/>
          </w:cols>
        </w:sectPr>
      </w:pPr>
    </w:p>
    <w:p>
      <w:pPr>
        <w:spacing w:line="240" w:lineRule="auto" w:before="1"/>
        <w:rPr>
          <w:rFonts w:ascii="宋体" w:hAnsi="宋体" w:cs="宋体" w:eastAsia="宋体" w:hint="default"/>
          <w:sz w:val="8"/>
          <w:szCs w:val="8"/>
        </w:rPr>
      </w:pPr>
      <w:r>
        <w:rPr/>
        <w:pict>
          <v:group style="position:absolute;margin-left:223.339996pt;margin-top:208.12999pt;width:151.25pt;height:40.9pt;mso-position-horizontal-relative:page;mso-position-vertical-relative:page;z-index:-1003528" coordorigin="4467,4163" coordsize="3025,818">
            <v:group style="position:absolute;left:4478;top:4174;width:2;height:393" coordorigin="4478,4174" coordsize="2,393">
              <v:shape style="position:absolute;left:4478;top:4174;width:2;height:393" coordorigin="4478,4174" coordsize="0,393" path="m4478,4174l4478,4566e" filled="false" stroked="true" strokeweight="1.140pt" strokecolor="#ffffff">
                <v:path arrowok="t"/>
              </v:shape>
            </v:group>
            <v:group style="position:absolute;left:4490;top:4174;width:3002;height:393" coordorigin="4490,4174" coordsize="3002,393">
              <v:shape style="position:absolute;left:4490;top:4174;width:3002;height:393" coordorigin="4490,4174" coordsize="3002,393" path="m4490,4566l7491,4566,7491,4174,4490,4174,4490,4566xe" filled="true" fillcolor="#ffffff" stroked="false">
                <v:path arrowok="t"/>
                <v:fill type="solid"/>
              </v:shape>
            </v:group>
            <v:group style="position:absolute;left:4478;top:4576;width:2;height:393" coordorigin="4478,4576" coordsize="2,393">
              <v:shape style="position:absolute;left:4478;top:4576;width:2;height:393" coordorigin="4478,4576" coordsize="0,393" path="m4478,4576l4478,4968e" filled="false" stroked="true" strokeweight="1.140pt" strokecolor="#ffffff">
                <v:path arrowok="t"/>
              </v:shape>
            </v:group>
            <v:group style="position:absolute;left:4490;top:4576;width:3002;height:393" coordorigin="4490,4576" coordsize="3002,393">
              <v:shape style="position:absolute;left:4490;top:4576;width:3002;height:393" coordorigin="4490,4576" coordsize="3002,393" path="m4490,4968l7491,4968,7491,4576,4490,4576,4490,496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190,500,000.00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6,410,962.72</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63,157,049.98</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展动科技</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49,236,260.06</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z w:val="18"/>
              </w:rPr>
              <w:t> Media</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13,920,789.92</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247,246,087.26</w:t>
            </w:r>
          </w:p>
        </w:tc>
      </w:tr>
    </w:tbl>
    <w:p>
      <w:pPr>
        <w:pStyle w:val="BodyText"/>
        <w:spacing w:line="240" w:lineRule="auto" w:before="51"/>
        <w:ind w:right="0"/>
        <w:jc w:val="left"/>
      </w:pPr>
      <w:r>
        <w:rPr/>
        <w:t>其他说明：</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bookmarkStart w:name="（3）本期收到的处置子公司的现金净额" w:id="325"/>
      <w:bookmarkEnd w:id="325"/>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pStyle w:val="BodyText"/>
        <w:spacing w:line="240" w:lineRule="auto" w:before="48"/>
        <w:ind w:right="0"/>
        <w:jc w:val="left"/>
      </w:pPr>
      <w:r>
        <w:rPr/>
        <w:t>无</w:t>
      </w:r>
    </w:p>
    <w:p>
      <w:pPr>
        <w:spacing w:line="240" w:lineRule="auto" w:before="6"/>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0" w:footer="979" w:top="1100" w:bottom="1160" w:left="980" w:right="0"/>
        </w:sectPr>
      </w:pPr>
    </w:p>
    <w:p>
      <w:pPr>
        <w:pStyle w:val="Heading4"/>
        <w:spacing w:line="240" w:lineRule="auto" w:before="35"/>
        <w:ind w:right="0"/>
        <w:jc w:val="left"/>
        <w:rPr>
          <w:b w:val="0"/>
          <w:bCs w:val="0"/>
        </w:rPr>
      </w:pPr>
      <w:bookmarkStart w:name="（4）现金和现金等价物的构成" w:id="326"/>
      <w:bookmarkEnd w:id="326"/>
      <w:r>
        <w:rPr>
          <w:b w:val="0"/>
          <w:bCs w:val="0"/>
        </w:rPr>
      </w:r>
      <w:r>
        <w:rPr>
          <w:w w:val="95"/>
        </w:rPr>
        <w:t>（</w:t>
      </w:r>
      <w:r>
        <w:rPr>
          <w:rFonts w:ascii="Times New Roman" w:hAnsi="Times New Roman" w:cs="Times New Roman" w:eastAsia="Times New Roman" w:hint="default"/>
          <w:w w:val="95"/>
        </w:rPr>
        <w:t>4</w:t>
      </w:r>
      <w:r>
        <w:rPr>
          <w:w w:val="95"/>
        </w:rPr>
        <w:t>）现金和现金等价物的构成</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999" w:space="5831"/>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615,424,871.29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750,705,917.52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30,351.44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38,613.04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615,394,519.85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750,667,304.48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615,424,871.29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750,705,917.52</w:t>
            </w:r>
          </w:p>
        </w:tc>
      </w:tr>
    </w:tbl>
    <w:p>
      <w:pPr>
        <w:pStyle w:val="BodyText"/>
        <w:spacing w:line="240" w:lineRule="auto" w:before="51"/>
        <w:ind w:right="0"/>
        <w:jc w:val="left"/>
      </w:pPr>
      <w:r>
        <w:rPr/>
        <w:t>其他说明：</w:t>
      </w:r>
    </w:p>
    <w:p>
      <w:pPr>
        <w:spacing w:line="240" w:lineRule="auto" w:before="5"/>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40"/>
          <w:pgMar w:top="1060" w:bottom="1160" w:left="980" w:right="0"/>
        </w:sectPr>
      </w:pPr>
    </w:p>
    <w:p>
      <w:pPr>
        <w:pStyle w:val="Heading4"/>
        <w:spacing w:line="240" w:lineRule="auto" w:before="35"/>
        <w:ind w:right="0"/>
        <w:jc w:val="left"/>
        <w:rPr>
          <w:b w:val="0"/>
          <w:bCs w:val="0"/>
        </w:rPr>
      </w:pPr>
      <w:bookmarkStart w:name="45、所有权或使用权受到限制的资产" w:id="327"/>
      <w:bookmarkEnd w:id="327"/>
      <w:r>
        <w:rPr>
          <w:b w:val="0"/>
          <w:bCs w:val="0"/>
        </w:rPr>
      </w:r>
      <w:r>
        <w:rPr>
          <w:rFonts w:ascii="Times New Roman" w:hAnsi="Times New Roman" w:cs="Times New Roman" w:eastAsia="Times New Roman" w:hint="default"/>
          <w:w w:val="95"/>
        </w:rPr>
        <w:t>45</w:t>
      </w:r>
      <w:r>
        <w:rPr>
          <w:w w:val="95"/>
        </w:rPr>
        <w:t>、所有权或使用权受到限制的资产</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3"/>
          <w:szCs w:val="13"/>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3524" w:space="5305"/>
            <w:col w:w="2101"/>
          </w:cols>
        </w:sectPr>
      </w:pPr>
    </w:p>
    <w:p>
      <w:pPr>
        <w:spacing w:line="240" w:lineRule="auto" w:before="0"/>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849"/>
        <w:gridCol w:w="1288"/>
        <w:gridCol w:w="7546"/>
      </w:tblGrid>
      <w:tr>
        <w:trPr>
          <w:trHeight w:val="401" w:hRule="exact"/>
        </w:trPr>
        <w:tc>
          <w:tcPr>
            <w:tcW w:w="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7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288,585.96</w:t>
            </w:r>
          </w:p>
        </w:tc>
        <w:tc>
          <w:tcPr>
            <w:tcW w:w="7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公司申请信用卡，用银行存款提供的保证金；公司用银行存款向供应商提供的保证金</w:t>
            </w:r>
          </w:p>
        </w:tc>
      </w:tr>
      <w:tr>
        <w:trPr>
          <w:trHeight w:val="402" w:hRule="exact"/>
        </w:trPr>
        <w:tc>
          <w:tcPr>
            <w:tcW w:w="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8"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288,585.96</w:t>
            </w:r>
          </w:p>
        </w:tc>
        <w:tc>
          <w:tcPr>
            <w:tcW w:w="7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6、外币货币性项目" w:id="328"/>
      <w:bookmarkEnd w:id="328"/>
      <w:r>
        <w:rPr>
          <w:b w:val="0"/>
          <w:bCs w:val="0"/>
        </w:rPr>
      </w:r>
      <w:r>
        <w:rPr>
          <w:rFonts w:ascii="Times New Roman" w:hAnsi="Times New Roman" w:cs="Times New Roman" w:eastAsia="Times New Roman" w:hint="default"/>
        </w:rPr>
        <w:t>46</w:t>
      </w:r>
      <w:r>
        <w:rPr/>
        <w:t>、外币货币性项目</w:t>
      </w:r>
      <w:r>
        <w:rPr>
          <w:b w:val="0"/>
          <w:bCs w:val="0"/>
        </w:rPr>
      </w:r>
    </w:p>
    <w:p>
      <w:pPr>
        <w:spacing w:line="240" w:lineRule="auto" w:before="1"/>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0"/>
        </w:sectPr>
      </w:pPr>
    </w:p>
    <w:p>
      <w:pPr>
        <w:pStyle w:val="Heading4"/>
        <w:spacing w:line="240" w:lineRule="auto" w:before="35"/>
        <w:ind w:right="0"/>
        <w:jc w:val="left"/>
        <w:rPr>
          <w:b w:val="0"/>
          <w:bCs w:val="0"/>
        </w:rPr>
      </w:pPr>
      <w:bookmarkStart w:name="（1）外币货币性项目" w:id="329"/>
      <w:bookmarkEnd w:id="329"/>
      <w:r>
        <w:rPr>
          <w:b w:val="0"/>
          <w:bCs w:val="0"/>
        </w:rPr>
      </w:r>
      <w:r>
        <w:rPr>
          <w:w w:val="95"/>
        </w:rPr>
        <w:t>（</w:t>
      </w:r>
      <w:r>
        <w:rPr>
          <w:rFonts w:ascii="Times New Roman" w:hAnsi="Times New Roman" w:cs="Times New Roman" w:eastAsia="Times New Roman" w:hint="default"/>
          <w:w w:val="95"/>
        </w:rPr>
        <w:t>1</w:t>
      </w:r>
      <w:r>
        <w:rPr>
          <w:w w:val="95"/>
        </w:rPr>
        <w:t>）外币货币性项目</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157" w:space="6673"/>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173,920,182.60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22,753,219.91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156,159,898.89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13,684,104.48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11,989,628.40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161,341.75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778,473.94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936,783.05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5.0381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4,719,606.69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21,398.26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107,123.97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2,672,871.00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0.0619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165,450.71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65,790,929.94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5,881,964.52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40,369,098.89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24,179.00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189,739.87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24,399,300.14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21,378,666.78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81,013.23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390,888.83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624,570.09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5.0381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3,146,646.57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新西兰元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902.60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4.5954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4,147.81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45,385.20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227,207.39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1,365,651.00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0.0619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84,533.80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7,238,166.20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502,816.13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3,450,927.66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79,612.50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94,837.53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5.0381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477,800.96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新西兰元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4.5954</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9,497.70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47,547.39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3,631,907.89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3,182,277.69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0.0619</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32,981,556.33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3,876,052.96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26,602,126.68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27,391.44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132,163.70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332,131.88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5.0381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1,673,313.62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新西兰元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4.5954</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8,658.80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43,347.68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4,920,170.74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4,311,053.60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21,277.00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166,967.00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849,500.00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0.0619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52,584.05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4,617,476.99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331,004.41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2,271,749.47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2,982.23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14,389.26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22,813.41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5.0381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114,936.24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新西兰元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4.5954</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18,939.33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94,814.07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2,408,598.88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2,110,414.34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180,510.69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0.0619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11,173.61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7"/>
        <w:rPr>
          <w:rFonts w:ascii="Times New Roman" w:hAnsi="Times New Roman" w:cs="Times New Roman" w:eastAsia="Times New Roman" w:hint="default"/>
          <w:sz w:val="23"/>
          <w:szCs w:val="23"/>
        </w:rPr>
      </w:pPr>
    </w:p>
    <w:p>
      <w:pPr>
        <w:pStyle w:val="Heading4"/>
        <w:spacing w:line="259" w:lineRule="auto" w:before="35"/>
        <w:ind w:right="0"/>
        <w:jc w:val="left"/>
        <w:rPr>
          <w:b w:val="0"/>
          <w:bCs w:val="0"/>
        </w:rPr>
      </w:pPr>
      <w:bookmarkStart w:name="（2）境外经营实体说明，包括对于重要的境外经营实体，应披露其境外主要经营地、记账" w:id="330"/>
      <w:bookmarkEnd w:id="330"/>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7"/>
        </w:rPr>
        <w:t> </w:t>
      </w:r>
      <w:r>
        <w:rPr>
          <w:spacing w:val="-67"/>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18" w:firstLine="360"/>
        <w:jc w:val="left"/>
      </w:pPr>
      <w:r>
        <w:rPr/>
        <w:t>本集团重要的境外经营实体为</w:t>
      </w:r>
      <w:r>
        <w:rPr>
          <w:rFonts w:ascii="Times New Roman" w:hAnsi="Times New Roman" w:cs="Times New Roman" w:eastAsia="Times New Roman" w:hint="default"/>
        </w:rPr>
        <w:t>iTalk</w:t>
      </w:r>
      <w:r>
        <w:rPr>
          <w:rFonts w:ascii="Times New Roman" w:hAnsi="Times New Roman" w:cs="Times New Roman" w:eastAsia="Times New Roman" w:hint="default"/>
          <w:spacing w:val="17"/>
        </w:rPr>
        <w:t> </w:t>
      </w:r>
      <w:r>
        <w:rPr>
          <w:rFonts w:ascii="Times New Roman" w:hAnsi="Times New Roman" w:cs="Times New Roman" w:eastAsia="Times New Roman" w:hint="default"/>
        </w:rPr>
        <w:t>Global</w:t>
      </w:r>
      <w:r>
        <w:rPr/>
        <w:t>公司，其主要经营地为美国，记账本位币为美元。上述美元项目主要由该子</w:t>
      </w:r>
      <w:r>
        <w:rPr>
          <w:spacing w:val="1"/>
        </w:rPr>
        <w:t> </w:t>
      </w:r>
      <w:r>
        <w:rPr/>
        <w:t>公司持有。</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bookmarkStart w:name="47、政府补助" w:id="331"/>
      <w:bookmarkEnd w:id="331"/>
      <w:r>
        <w:rPr>
          <w:b w:val="0"/>
          <w:bCs w:val="0"/>
        </w:rPr>
      </w:r>
      <w:r>
        <w:rPr>
          <w:rFonts w:ascii="Times New Roman" w:hAnsi="Times New Roman" w:cs="Times New Roman" w:eastAsia="Times New Roman" w:hint="default"/>
        </w:rPr>
        <w:t>47</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政府补助基本情况" w:id="332"/>
      <w:bookmarkEnd w:id="332"/>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云通信项目</w:t>
            </w:r>
            <w:r>
              <w:rPr>
                <w:rFonts w:ascii="Times New Roman" w:hAnsi="Times New Roman" w:cs="Times New Roman" w:eastAsia="Times New Roman" w:hint="default"/>
                <w:sz w:val="18"/>
                <w:szCs w:val="18"/>
              </w:rPr>
              <w:t>(</w:t>
            </w:r>
            <w:r>
              <w:rPr>
                <w:rFonts w:ascii="宋体" w:hAnsi="宋体" w:cs="宋体" w:eastAsia="宋体" w:hint="default"/>
                <w:sz w:val="18"/>
                <w:szCs w:val="18"/>
              </w:rPr>
              <w:t>附注七</w:t>
            </w:r>
            <w:r>
              <w:rPr>
                <w:rFonts w:ascii="Times New Roman" w:hAnsi="Times New Roman" w:cs="Times New Roman" w:eastAsia="Times New Roman" w:hint="default"/>
                <w:sz w:val="18"/>
                <w:szCs w:val="18"/>
              </w:rPr>
              <w:t>(23))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Times New Roman" w:hAnsi="Times New Roman" w:cs="Times New Roman" w:eastAsia="Times New Roman" w:hint="default"/>
                <w:sz w:val="18"/>
                <w:szCs w:val="18"/>
              </w:rPr>
            </w:pPr>
            <w:r>
              <w:rPr>
                <w:rFonts w:ascii="宋体" w:hAnsi="宋体" w:cs="宋体" w:eastAsia="宋体" w:hint="default"/>
                <w:sz w:val="18"/>
                <w:szCs w:val="18"/>
              </w:rPr>
              <w:t>移动数据虚拟专用网络服务 平台项目</w:t>
            </w:r>
            <w:r>
              <w:rPr>
                <w:rFonts w:ascii="Times New Roman" w:hAnsi="Times New Roman" w:cs="Times New Roman" w:eastAsia="Times New Roman" w:hint="default"/>
                <w:sz w:val="18"/>
                <w:szCs w:val="18"/>
              </w:rPr>
              <w:t>(</w:t>
            </w:r>
            <w:r>
              <w:rPr>
                <w:rFonts w:ascii="宋体" w:hAnsi="宋体" w:cs="宋体" w:eastAsia="宋体" w:hint="default"/>
                <w:sz w:val="18"/>
                <w:szCs w:val="18"/>
              </w:rPr>
              <w:t>附注七</w:t>
            </w:r>
            <w:r>
              <w:rPr>
                <w:rFonts w:ascii="Times New Roman" w:hAnsi="Times New Roman" w:cs="Times New Roman" w:eastAsia="Times New Roman" w:hint="default"/>
                <w:sz w:val="18"/>
                <w:szCs w:val="18"/>
              </w:rPr>
              <w:t>(23))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387,500.00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387,500.00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企业号云呼智能通信平台</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附注七</w:t>
            </w:r>
            <w:r>
              <w:rPr>
                <w:rFonts w:ascii="Times New Roman" w:hAnsi="Times New Roman" w:cs="Times New Roman" w:eastAsia="Times New Roman" w:hint="default"/>
                <w:sz w:val="18"/>
                <w:szCs w:val="18"/>
              </w:rPr>
              <w:t>(23))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软件产品增值税即征即退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237,589.11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237,589.11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在线教育培训项目</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广州市企业研发经费投入后 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1,108,300.00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1,108,300.00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高新技术企业认定通过奖励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出口业务贴息资金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578,479.00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578,479.00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高新技术企业一次性发展补 贴资金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产业转型升级专项资金</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408,782.84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408,782.84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5,443,850.95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4,494,850.95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政府补助退回情况" w:id="333"/>
      <w:bookmarkEnd w:id="333"/>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48、其他" w:id="334"/>
      <w:bookmarkEnd w:id="334"/>
      <w:r>
        <w:rPr>
          <w:b w:val="0"/>
          <w:bCs w:val="0"/>
        </w:rPr>
      </w:r>
      <w:r>
        <w:rPr>
          <w:rFonts w:ascii="Times New Roman" w:hAnsi="Times New Roman" w:cs="Times New Roman" w:eastAsia="Times New Roman" w:hint="default"/>
        </w:rPr>
        <w:t>48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9132"/>
        <w:jc w:val="left"/>
      </w:pPr>
      <w:r>
        <w:rPr>
          <w:rFonts w:ascii="Times New Roman" w:hAnsi="Times New Roman" w:cs="Times New Roman" w:eastAsia="Times New Roman" w:hint="default"/>
        </w:rPr>
        <w:t>(1)</w:t>
      </w:r>
      <w:r>
        <w:rPr/>
        <w:t>基本每股收益</w:t>
      </w:r>
      <w:r>
        <w:rPr>
          <w:w w:val="99"/>
        </w:rPr>
        <w:t> </w:t>
      </w:r>
      <w:r>
        <w:rPr/>
        <w:t>分子计算过程如下：</w:t>
      </w:r>
    </w:p>
    <w:tbl>
      <w:tblPr>
        <w:tblW w:w="0" w:type="auto"/>
        <w:jc w:val="left"/>
        <w:tblInd w:w="137" w:type="dxa"/>
        <w:tblLayout w:type="fixed"/>
        <w:tblCellMar>
          <w:top w:w="0" w:type="dxa"/>
          <w:left w:w="0" w:type="dxa"/>
          <w:bottom w:w="0" w:type="dxa"/>
          <w:right w:w="0" w:type="dxa"/>
        </w:tblCellMar>
        <w:tblLook w:val="01E0"/>
      </w:tblPr>
      <w:tblGrid>
        <w:gridCol w:w="5552"/>
        <w:gridCol w:w="2054"/>
        <w:gridCol w:w="2053"/>
      </w:tblGrid>
      <w:tr>
        <w:trPr>
          <w:trHeight w:val="347" w:hRule="exact"/>
        </w:trPr>
        <w:tc>
          <w:tcPr>
            <w:tcW w:w="5552"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20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660"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20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658"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47" w:hRule="exact"/>
        </w:trPr>
        <w:tc>
          <w:tcPr>
            <w:tcW w:w="5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归属于普通股股东的当年净</w:t>
            </w:r>
            <w:r>
              <w:rPr>
                <w:rFonts w:ascii="Times New Roman" w:hAnsi="Times New Roman" w:cs="Times New Roman" w:eastAsia="Times New Roman" w:hint="default"/>
                <w:sz w:val="18"/>
                <w:szCs w:val="18"/>
              </w:rPr>
              <w:t>(</w:t>
            </w:r>
            <w:r>
              <w:rPr>
                <w:rFonts w:ascii="宋体" w:hAnsi="宋体" w:cs="宋体" w:eastAsia="宋体" w:hint="default"/>
                <w:sz w:val="18"/>
                <w:szCs w:val="18"/>
              </w:rPr>
              <w:t>亏损</w:t>
            </w:r>
            <w:r>
              <w:rPr>
                <w:rFonts w:ascii="Times New Roman" w:hAnsi="Times New Roman" w:cs="Times New Roman" w:eastAsia="Times New Roman" w:hint="default"/>
                <w:sz w:val="18"/>
                <w:szCs w:val="18"/>
              </w:rPr>
              <w:t>)</w:t>
            </w:r>
            <w:r>
              <w:rPr>
                <w:rFonts w:ascii="宋体" w:hAnsi="宋体" w:cs="宋体" w:eastAsia="宋体" w:hint="default"/>
                <w:sz w:val="18"/>
                <w:szCs w:val="18"/>
              </w:rPr>
              <w:t>利润</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86,042,223.02</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30,986,896.11</w:t>
            </w:r>
          </w:p>
        </w:tc>
      </w:tr>
      <w:tr>
        <w:trPr>
          <w:trHeight w:val="348" w:hRule="exact"/>
        </w:trPr>
        <w:tc>
          <w:tcPr>
            <w:tcW w:w="5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减：当年分配给预计未来可解锁限制性股票的现金股利</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5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用于计算基本每股收益的分子</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86,042,223.02</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30,986,896.11</w:t>
            </w:r>
          </w:p>
        </w:tc>
      </w:tr>
    </w:tbl>
    <w:p>
      <w:pPr>
        <w:pStyle w:val="BodyText"/>
        <w:spacing w:line="240" w:lineRule="auto" w:before="31"/>
        <w:ind w:right="0"/>
        <w:jc w:val="left"/>
      </w:pPr>
      <w:r>
        <w:rPr/>
        <w:t>分母计算过程如下：</w:t>
      </w: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5552"/>
        <w:gridCol w:w="2054"/>
        <w:gridCol w:w="2053"/>
      </w:tblGrid>
      <w:tr>
        <w:trPr>
          <w:trHeight w:val="347" w:hRule="exact"/>
        </w:trPr>
        <w:tc>
          <w:tcPr>
            <w:tcW w:w="5552"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20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20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48" w:hRule="exact"/>
        </w:trPr>
        <w:tc>
          <w:tcPr>
            <w:tcW w:w="5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年初已发行的普通股股数</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787,380,220</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796,907,220</w:t>
            </w:r>
          </w:p>
        </w:tc>
      </w:tr>
      <w:tr>
        <w:trPr>
          <w:trHeight w:val="347" w:hRule="exact"/>
        </w:trPr>
        <w:tc>
          <w:tcPr>
            <w:tcW w:w="5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减：年初已发行的限制性股票股数</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3,800,000</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13,327,000</w:t>
            </w:r>
          </w:p>
        </w:tc>
      </w:tr>
      <w:tr>
        <w:trPr>
          <w:trHeight w:val="347" w:hRule="exact"/>
        </w:trPr>
        <w:tc>
          <w:tcPr>
            <w:tcW w:w="5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加：本年增发的除限制性股票外的普通股加权数</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5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加：本年解锁的限制性股票加权数</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5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用于计算基本每股收益的分母</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783,580,220</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783,580,220</w:t>
            </w:r>
          </w:p>
        </w:tc>
      </w:tr>
    </w:tbl>
    <w:p>
      <w:pPr>
        <w:pStyle w:val="BodyText"/>
        <w:spacing w:line="300" w:lineRule="auto" w:before="10"/>
        <w:ind w:right="9132" w:firstLine="73"/>
        <w:jc w:val="left"/>
      </w:pPr>
      <w:r>
        <w:rPr>
          <w:rFonts w:ascii="Times New Roman" w:hAnsi="Times New Roman" w:cs="Times New Roman" w:eastAsia="Times New Roman" w:hint="default"/>
        </w:rPr>
        <w:t>(2)</w:t>
      </w:r>
      <w:r>
        <w:rPr/>
        <w:t>稀释每股收益</w:t>
      </w:r>
      <w:r>
        <w:rPr>
          <w:w w:val="99"/>
        </w:rPr>
        <w:t> </w:t>
      </w:r>
      <w:r>
        <w:rPr/>
        <w:t>分子计算过程如下：</w:t>
      </w:r>
    </w:p>
    <w:tbl>
      <w:tblPr>
        <w:tblW w:w="0" w:type="auto"/>
        <w:jc w:val="left"/>
        <w:tblInd w:w="137" w:type="dxa"/>
        <w:tblLayout w:type="fixed"/>
        <w:tblCellMar>
          <w:top w:w="0" w:type="dxa"/>
          <w:left w:w="0" w:type="dxa"/>
          <w:bottom w:w="0" w:type="dxa"/>
          <w:right w:w="0" w:type="dxa"/>
        </w:tblCellMar>
        <w:tblLook w:val="01E0"/>
      </w:tblPr>
      <w:tblGrid>
        <w:gridCol w:w="5552"/>
        <w:gridCol w:w="2054"/>
        <w:gridCol w:w="2053"/>
      </w:tblGrid>
      <w:tr>
        <w:trPr>
          <w:trHeight w:val="347" w:hRule="exact"/>
        </w:trPr>
        <w:tc>
          <w:tcPr>
            <w:tcW w:w="5552"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20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660"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20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658"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48" w:hRule="exact"/>
        </w:trPr>
        <w:tc>
          <w:tcPr>
            <w:tcW w:w="5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归属于普通股股东的当年净</w:t>
            </w:r>
            <w:r>
              <w:rPr>
                <w:rFonts w:ascii="Times New Roman" w:hAnsi="Times New Roman" w:cs="Times New Roman" w:eastAsia="Times New Roman" w:hint="default"/>
                <w:sz w:val="18"/>
                <w:szCs w:val="18"/>
              </w:rPr>
              <w:t>(</w:t>
            </w:r>
            <w:r>
              <w:rPr>
                <w:rFonts w:ascii="宋体" w:hAnsi="宋体" w:cs="宋体" w:eastAsia="宋体" w:hint="default"/>
                <w:sz w:val="18"/>
                <w:szCs w:val="18"/>
              </w:rPr>
              <w:t>亏损</w:t>
            </w:r>
            <w:r>
              <w:rPr>
                <w:rFonts w:ascii="Times New Roman" w:hAnsi="Times New Roman" w:cs="Times New Roman" w:eastAsia="Times New Roman" w:hint="default"/>
                <w:sz w:val="18"/>
                <w:szCs w:val="18"/>
              </w:rPr>
              <w:t>)</w:t>
            </w:r>
            <w:r>
              <w:rPr>
                <w:rFonts w:ascii="宋体" w:hAnsi="宋体" w:cs="宋体" w:eastAsia="宋体" w:hint="default"/>
                <w:sz w:val="18"/>
                <w:szCs w:val="18"/>
              </w:rPr>
              <w:t>利润</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1" w:right="0"/>
              <w:jc w:val="left"/>
              <w:rPr>
                <w:rFonts w:ascii="Times New Roman" w:hAnsi="Times New Roman" w:cs="Times New Roman" w:eastAsia="Times New Roman" w:hint="default"/>
                <w:sz w:val="18"/>
                <w:szCs w:val="18"/>
              </w:rPr>
            </w:pPr>
            <w:r>
              <w:rPr>
                <w:rFonts w:ascii="Times New Roman"/>
                <w:sz w:val="18"/>
              </w:rPr>
              <w:t>86,042,223.02</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0" w:right="0"/>
              <w:jc w:val="left"/>
              <w:rPr>
                <w:rFonts w:ascii="Times New Roman" w:hAnsi="Times New Roman" w:cs="Times New Roman" w:eastAsia="Times New Roman" w:hint="default"/>
                <w:sz w:val="18"/>
                <w:szCs w:val="18"/>
              </w:rPr>
            </w:pPr>
            <w:r>
              <w:rPr>
                <w:rFonts w:ascii="Times New Roman"/>
                <w:sz w:val="18"/>
              </w:rPr>
              <w:t>30,986,896.11</w:t>
            </w:r>
          </w:p>
        </w:tc>
      </w:tr>
    </w:tbl>
    <w:p>
      <w:pPr>
        <w:pStyle w:val="BodyText"/>
        <w:spacing w:line="240" w:lineRule="auto" w:before="31"/>
        <w:ind w:right="0"/>
        <w:jc w:val="left"/>
      </w:pPr>
      <w:r>
        <w:rPr/>
        <w:t>分母计算过程如下：</w:t>
      </w: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5512"/>
        <w:gridCol w:w="2074"/>
        <w:gridCol w:w="2072"/>
      </w:tblGrid>
      <w:tr>
        <w:trPr>
          <w:trHeight w:val="347" w:hRule="exact"/>
        </w:trPr>
        <w:tc>
          <w:tcPr>
            <w:tcW w:w="5512"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20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20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47" w:hRule="exact"/>
        </w:trPr>
        <w:tc>
          <w:tcPr>
            <w:tcW w:w="5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年初已发行的普通股股数</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787,380,220</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796,907,220</w:t>
            </w:r>
          </w:p>
        </w:tc>
      </w:tr>
      <w:tr>
        <w:trPr>
          <w:trHeight w:val="347" w:hRule="exact"/>
        </w:trPr>
        <w:tc>
          <w:tcPr>
            <w:tcW w:w="5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减：年初已发行的限制性股票股数</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3,800,000</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13,327,000</w:t>
            </w:r>
          </w:p>
        </w:tc>
      </w:tr>
      <w:tr>
        <w:trPr>
          <w:trHeight w:val="347" w:hRule="exact"/>
        </w:trPr>
        <w:tc>
          <w:tcPr>
            <w:tcW w:w="5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加：尚未解锁限制性股票增加的普通股股数</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483,563</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5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加：尚未行权的股票期权增加的普通股股数</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5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用于计算稀释每股收益的分母</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784,063,783</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783,580,220</w:t>
            </w:r>
          </w:p>
        </w:tc>
      </w:tr>
    </w:tbl>
    <w:p>
      <w:pPr>
        <w:pStyle w:val="BodyText"/>
        <w:spacing w:line="300" w:lineRule="auto" w:before="10"/>
        <w:ind w:right="1118" w:firstLine="360"/>
        <w:jc w:val="left"/>
      </w:pPr>
      <w:r>
        <w:rPr>
          <w:spacing w:val="-2"/>
        </w:rPr>
        <w:t>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日，尚未完成的限制性股票激励计划未满足解锁所附业绩条件，因此在计算</w:t>
      </w:r>
      <w:r>
        <w:rPr>
          <w:rFonts w:ascii="Times New Roman" w:hAnsi="Times New Roman" w:cs="Times New Roman" w:eastAsia="Times New Roman" w:hint="default"/>
          <w:spacing w:val="-2"/>
        </w:rPr>
        <w:t>2017</w:t>
      </w:r>
      <w:r>
        <w:rPr>
          <w:spacing w:val="-2"/>
        </w:rPr>
        <w:t>年度稀释性每股收益时</w:t>
      </w:r>
      <w:r>
        <w:rPr/>
        <w:t> 不予考虑。</w:t>
      </w:r>
    </w:p>
    <w:p>
      <w:pPr>
        <w:pStyle w:val="BodyText"/>
        <w:spacing w:line="240" w:lineRule="auto" w:before="31"/>
        <w:ind w:right="0"/>
        <w:jc w:val="left"/>
      </w:pPr>
      <w:r>
        <w:rPr>
          <w:rFonts w:ascii="Times New Roman" w:hAnsi="Times New Roman" w:cs="Times New Roman" w:eastAsia="Times New Roman" w:hint="default"/>
        </w:rPr>
        <w:t>(3)</w:t>
      </w:r>
      <w:r>
        <w:rPr/>
        <w:t>每股收益</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5476"/>
        <w:gridCol w:w="2091"/>
        <w:gridCol w:w="2092"/>
      </w:tblGrid>
      <w:tr>
        <w:trPr>
          <w:trHeight w:val="347" w:hRule="exact"/>
        </w:trPr>
        <w:tc>
          <w:tcPr>
            <w:tcW w:w="5476"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20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676"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20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677"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47" w:hRule="exact"/>
        </w:trPr>
        <w:tc>
          <w:tcPr>
            <w:tcW w:w="5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0.11</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0.04</w:t>
            </w:r>
          </w:p>
        </w:tc>
      </w:tr>
      <w:tr>
        <w:trPr>
          <w:trHeight w:val="348" w:hRule="exact"/>
        </w:trPr>
        <w:tc>
          <w:tcPr>
            <w:tcW w:w="5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2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0.11</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0.04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八、合并范围的变更" w:id="335"/>
      <w:bookmarkEnd w:id="335"/>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非同一控制下企业合并" w:id="336"/>
      <w:bookmarkEnd w:id="336"/>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期发生的非同一控制下企业合并" w:id="337"/>
      <w:bookmarkEnd w:id="337"/>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深圳日升</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能够实际控 制被购买方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53,908,345.1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2,732,999.53</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I-Access</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能够实际控 制被购买方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57,199,935.1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17,285,867.0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合并成本及商誉" w:id="338"/>
      <w:bookmarkEnd w:id="338"/>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深圳日升</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I-Access</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13,111,545.08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11,359,930.29</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6,888,454.92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298,640,069.71</w:t>
            </w:r>
          </w:p>
        </w:tc>
      </w:tr>
    </w:tbl>
    <w:p>
      <w:pPr>
        <w:pStyle w:val="BodyText"/>
        <w:spacing w:line="240" w:lineRule="auto" w:before="51"/>
        <w:ind w:right="0"/>
        <w:jc w:val="left"/>
      </w:pPr>
      <w:r>
        <w:rPr/>
        <w:t>合并成本公允价值的确定方法、或有对价及其变动的说明：</w:t>
      </w:r>
    </w:p>
    <w:p>
      <w:pPr>
        <w:pStyle w:val="BodyText"/>
        <w:spacing w:line="300" w:lineRule="auto" w:before="116"/>
        <w:ind w:right="1128" w:firstLine="506"/>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日，公司之子公司上海通信收购深圳日升</w:t>
      </w:r>
      <w:r>
        <w:rPr>
          <w:rFonts w:ascii="Times New Roman" w:hAnsi="Times New Roman" w:cs="Times New Roman" w:eastAsia="Times New Roman" w:hint="default"/>
        </w:rPr>
        <w:t>100%</w:t>
      </w:r>
      <w:r>
        <w:rPr/>
        <w:t>的股权，股权对价为人民币</w:t>
      </w:r>
      <w:r>
        <w:rPr>
          <w:rFonts w:ascii="Times New Roman" w:hAnsi="Times New Roman" w:cs="Times New Roman" w:eastAsia="Times New Roman" w:hint="default"/>
        </w:rPr>
        <w:t>2,000</w:t>
      </w:r>
      <w:r>
        <w:rPr/>
        <w:t>万元。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w:t>
      </w:r>
      <w:r>
        <w:rPr>
          <w:spacing w:val="2"/>
        </w:rPr>
        <w:t> </w:t>
      </w:r>
      <w:r>
        <w:rPr/>
        <w:t>上海通信取得深圳日升的实际控制权。</w:t>
      </w:r>
    </w:p>
    <w:p>
      <w:pPr>
        <w:pStyle w:val="BodyText"/>
        <w:spacing w:line="300" w:lineRule="auto" w:before="31"/>
        <w:ind w:right="1131" w:firstLine="506"/>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日，公司之子公司上海通信收购</w:t>
      </w:r>
      <w:r>
        <w:rPr>
          <w:rFonts w:ascii="Times New Roman" w:hAnsi="Times New Roman" w:cs="Times New Roman" w:eastAsia="Times New Roman" w:hint="default"/>
        </w:rPr>
        <w:t>I-Access100%</w:t>
      </w:r>
      <w:r>
        <w:rPr/>
        <w:t>的股权，股权对价为人民币</w:t>
      </w:r>
      <w:r>
        <w:rPr>
          <w:rFonts w:ascii="Times New Roman" w:hAnsi="Times New Roman" w:cs="Times New Roman" w:eastAsia="Times New Roman" w:hint="default"/>
        </w:rPr>
        <w:t>31,000</w:t>
      </w:r>
      <w:r>
        <w:rPr/>
        <w:t>万元。此外，合同根据股</w:t>
      </w:r>
      <w:r>
        <w:rPr>
          <w:w w:val="99"/>
        </w:rPr>
        <w:t> </w:t>
      </w:r>
      <w:r>
        <w:rPr>
          <w:spacing w:val="-1"/>
        </w:rPr>
        <w:t>权转让协议约定，若深圳日升和</w:t>
      </w:r>
      <w:r>
        <w:rPr>
          <w:rFonts w:ascii="Times New Roman" w:hAnsi="Times New Roman" w:cs="Times New Roman" w:eastAsia="Times New Roman" w:hint="default"/>
          <w:spacing w:val="-1"/>
        </w:rPr>
        <w:t>I-Access</w:t>
      </w:r>
      <w:r>
        <w:rPr>
          <w:rFonts w:ascii="Times New Roman" w:hAnsi="Times New Roman" w:cs="Times New Roman" w:eastAsia="Times New Roman" w:hint="default"/>
        </w:rPr>
        <w:t> </w:t>
      </w:r>
      <w:r>
        <w:rPr>
          <w:rFonts w:ascii="Times New Roman" w:hAnsi="Times New Roman" w:cs="Times New Roman" w:eastAsia="Times New Roman" w:hint="default"/>
          <w:spacing w:val="-1"/>
        </w:rPr>
        <w:t>2018</w:t>
      </w:r>
      <w:r>
        <w:rPr>
          <w:spacing w:val="-1"/>
        </w:rPr>
        <w:t>年至</w:t>
      </w:r>
      <w:r>
        <w:rPr>
          <w:rFonts w:ascii="Times New Roman" w:hAnsi="Times New Roman" w:cs="Times New Roman" w:eastAsia="Times New Roman" w:hint="default"/>
          <w:spacing w:val="-1"/>
        </w:rPr>
        <w:t>2020</w:t>
      </w:r>
      <w:r>
        <w:rPr>
          <w:spacing w:val="-1"/>
        </w:rPr>
        <w:t>年累计净利润未完成未达到承诺业绩目标，则原股东根据深圳日升和</w:t>
      </w:r>
      <w:r>
        <w:rPr>
          <w:spacing w:val="-70"/>
        </w:rPr>
        <w:t> </w:t>
      </w:r>
      <w:r>
        <w:rPr>
          <w:spacing w:val="-70"/>
        </w:rPr>
      </w:r>
      <w:r>
        <w:rPr>
          <w:rFonts w:ascii="Times New Roman" w:hAnsi="Times New Roman" w:cs="Times New Roman" w:eastAsia="Times New Roman" w:hint="default"/>
          <w:spacing w:val="6"/>
        </w:rPr>
        <w:t>I-Access</w:t>
      </w:r>
      <w:r>
        <w:rPr>
          <w:spacing w:val="6"/>
        </w:rPr>
        <w:t>实际完成利润情况与目标利润的差异为基准计算确定应退回的股权转让款金额。</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7</w:t>
      </w:r>
      <w:r>
        <w:rPr>
          <w:spacing w:val="6"/>
        </w:rPr>
        <w:t>月</w:t>
      </w:r>
      <w:r>
        <w:rPr>
          <w:rFonts w:ascii="Times New Roman" w:hAnsi="Times New Roman" w:cs="Times New Roman" w:eastAsia="Times New Roman" w:hint="default"/>
          <w:spacing w:val="6"/>
        </w:rPr>
        <w:t>5</w:t>
      </w:r>
      <w:r>
        <w:rPr>
          <w:spacing w:val="6"/>
        </w:rPr>
        <w:t>日，上海通信取得</w:t>
      </w:r>
    </w:p>
    <w:p>
      <w:pPr>
        <w:pStyle w:val="BodyText"/>
        <w:spacing w:line="300" w:lineRule="auto" w:before="13"/>
        <w:ind w:left="641" w:right="1049" w:hanging="488"/>
        <w:jc w:val="left"/>
      </w:pPr>
      <w:r>
        <w:rPr>
          <w:rFonts w:ascii="Times New Roman" w:hAnsi="Times New Roman" w:cs="Times New Roman" w:eastAsia="Times New Roman" w:hint="default"/>
        </w:rPr>
        <w:t>I-Access</w:t>
      </w:r>
      <w:r>
        <w:rPr/>
        <w:t>的实际控制权。于购买日，本集团预计预计深圳日升和</w:t>
      </w:r>
      <w:r>
        <w:rPr>
          <w:rFonts w:ascii="Times New Roman" w:hAnsi="Times New Roman" w:cs="Times New Roman" w:eastAsia="Times New Roman" w:hint="default"/>
        </w:rPr>
        <w:t>I-Access</w:t>
      </w:r>
      <w:r>
        <w:rPr/>
        <w:t>可以完成业绩目标，相关或有资产的公允价值为零。 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日，公司预计深圳日升和</w:t>
      </w:r>
      <w:r>
        <w:rPr>
          <w:rFonts w:ascii="Times New Roman" w:hAnsi="Times New Roman" w:cs="Times New Roman" w:eastAsia="Times New Roman" w:hint="default"/>
        </w:rPr>
        <w:t>I-Access</w:t>
      </w:r>
      <w:r>
        <w:rPr/>
        <w:t>可以完成业绩目标，或有资产的公允价值未发生变动。</w:t>
      </w:r>
    </w:p>
    <w:p>
      <w:pPr>
        <w:spacing w:after="0" w:line="300" w:lineRule="auto"/>
        <w:jc w:val="left"/>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9" w:top="1100" w:bottom="1160" w:left="980" w:right="0"/>
        </w:sectPr>
      </w:pPr>
    </w:p>
    <w:p>
      <w:pPr>
        <w:pStyle w:val="Heading4"/>
        <w:spacing w:line="240" w:lineRule="auto" w:before="35"/>
        <w:ind w:right="0"/>
        <w:jc w:val="left"/>
        <w:rPr>
          <w:b w:val="0"/>
          <w:bCs w:val="0"/>
        </w:rPr>
      </w:pPr>
      <w:bookmarkStart w:name="（3）被购买方于购买日可辨认资产、负债" w:id="339"/>
      <w:bookmarkEnd w:id="339"/>
      <w:r>
        <w:rPr>
          <w:b w:val="0"/>
          <w:bCs w:val="0"/>
        </w:rPr>
      </w:r>
      <w:r>
        <w:rPr>
          <w:w w:val="95"/>
        </w:rPr>
        <w:t>（</w:t>
      </w:r>
      <w:r>
        <w:rPr>
          <w:rFonts w:ascii="Times New Roman" w:hAnsi="Times New Roman" w:cs="Times New Roman" w:eastAsia="Times New Roman" w:hint="default"/>
          <w:w w:val="95"/>
        </w:rPr>
        <w:t>3</w:t>
      </w:r>
      <w:r>
        <w:rPr>
          <w:w w:val="95"/>
        </w:rPr>
        <w:t>）被购买方于购买日可辨认资产、负债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052" w:space="4778"/>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97" w:hRule="exact"/>
        </w:trPr>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
        </w:tc>
        <w:tc>
          <w:tcPr>
            <w:tcW w:w="3828"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深圳日升</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I-Access</w:t>
            </w:r>
          </w:p>
        </w:tc>
      </w:tr>
      <w:tr>
        <w:trPr>
          <w:trHeight w:val="40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40,938,562.53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37,638,562.53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33,341,062.63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33,341,062.63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1,547,854.43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1,547,854.43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4,863,108.29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4,863,108.29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25,080,913.22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25,080,913.22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25,787,292.52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25,787,292.52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179,010.87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179,010.87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123,767.32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123,767.32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209,639.91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209,639.91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346,264.37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346,264.37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1,786,774.66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1,786,774.66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6,181,293.74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6,181,293.74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195,193.18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195,193.18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3,852,897.53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3,852,897.53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586,952.83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586,952.83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238,662.29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238,662.29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27,827,017.45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27,332,017.45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21,981,132.34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21,981,132.34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25,820,065.60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25,820,065.60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14,492,055.39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14,492,055.39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495,000.00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79,656.31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79,656.31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353,774.25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353,774.25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22,795.32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22,795.32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1,158,177.60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1,158,177.60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7,160,054.20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7,160,054.20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226,571.12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226,571.12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13,111,545.08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10,306,545.08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11,359,930.29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11,359,930.29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13,111,545.08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10,306,545.08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11,359,930.29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11,359,930.29</w:t>
            </w:r>
          </w:p>
        </w:tc>
      </w:tr>
    </w:tbl>
    <w:p>
      <w:pPr>
        <w:pStyle w:val="BodyText"/>
        <w:spacing w:line="240" w:lineRule="auto" w:before="51"/>
        <w:ind w:right="0"/>
        <w:jc w:val="left"/>
      </w:pPr>
      <w:r>
        <w:rPr/>
        <w:t>可辨认资产、负债公允价值的确定方法：</w:t>
      </w:r>
    </w:p>
    <w:p>
      <w:pPr>
        <w:spacing w:line="240" w:lineRule="auto" w:before="1"/>
        <w:rPr>
          <w:rFonts w:ascii="宋体" w:hAnsi="宋体" w:cs="宋体" w:eastAsia="宋体" w:hint="default"/>
          <w:sz w:val="13"/>
          <w:szCs w:val="13"/>
        </w:rPr>
      </w:pPr>
    </w:p>
    <w:p>
      <w:pPr>
        <w:pStyle w:val="Heading4"/>
        <w:spacing w:line="240" w:lineRule="auto"/>
        <w:ind w:right="0"/>
        <w:jc w:val="left"/>
        <w:rPr>
          <w:b w:val="0"/>
          <w:bCs w:val="0"/>
        </w:rPr>
      </w:pPr>
      <w:bookmarkStart w:name="（4）购买日之前持有的股权按照公允价值重新计量产生的利得或损失" w:id="340"/>
      <w:bookmarkEnd w:id="340"/>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pStyle w:val="BodyText"/>
        <w:spacing w:line="240" w:lineRule="auto" w:before="87"/>
        <w:ind w:right="0"/>
        <w:jc w:val="left"/>
      </w:pPr>
      <w:r>
        <w:rPr/>
        <w:t>是否存在通过多次交易分步实现企业合并且在报告期内取得控制权的交易</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Heading4"/>
        <w:spacing w:line="240" w:lineRule="auto" w:before="156"/>
        <w:ind w:right="0"/>
        <w:jc w:val="left"/>
        <w:rPr>
          <w:b w:val="0"/>
          <w:bCs w:val="0"/>
        </w:rPr>
      </w:pPr>
      <w:bookmarkStart w:name="（5）购买日或合并当期期末无法合理确定合并对价或被购买方可辨认资产、负债公允价值" w:id="341"/>
      <w:bookmarkEnd w:id="341"/>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pStyle w:val="BodyText"/>
        <w:spacing w:line="240" w:lineRule="auto" w:before="88"/>
        <w:ind w:right="0"/>
        <w:jc w:val="left"/>
      </w:pPr>
      <w:r>
        <w:rPr/>
        <w:t>无</w:t>
      </w:r>
    </w:p>
    <w:p>
      <w:pPr>
        <w:spacing w:line="240" w:lineRule="auto" w:before="1"/>
        <w:rPr>
          <w:rFonts w:ascii="宋体" w:hAnsi="宋体" w:cs="宋体" w:eastAsia="宋体" w:hint="default"/>
          <w:sz w:val="13"/>
          <w:szCs w:val="13"/>
        </w:rPr>
      </w:pPr>
    </w:p>
    <w:p>
      <w:pPr>
        <w:pStyle w:val="Heading4"/>
        <w:spacing w:line="240" w:lineRule="auto"/>
        <w:ind w:right="0"/>
        <w:jc w:val="left"/>
        <w:rPr>
          <w:b w:val="0"/>
          <w:bCs w:val="0"/>
        </w:rPr>
      </w:pPr>
      <w:bookmarkStart w:name="（6）其他说明" w:id="342"/>
      <w:bookmarkEnd w:id="342"/>
      <w:r>
        <w:rPr>
          <w:b w:val="0"/>
          <w:bCs w:val="0"/>
        </w:rPr>
      </w:r>
      <w:r>
        <w:rPr/>
        <w:t>（</w:t>
      </w:r>
      <w:r>
        <w:rPr>
          <w:rFonts w:ascii="Times New Roman" w:hAnsi="Times New Roman" w:cs="Times New Roman" w:eastAsia="Times New Roman" w:hint="default"/>
        </w:rPr>
        <w:t>6</w:t>
      </w:r>
      <w:r>
        <w:rPr/>
        <w:t>）其他说明</w:t>
      </w:r>
      <w:r>
        <w:rPr>
          <w:b w:val="0"/>
          <w:bCs w:val="0"/>
        </w:rPr>
      </w:r>
    </w:p>
    <w:p>
      <w:pPr>
        <w:pStyle w:val="BodyText"/>
        <w:spacing w:line="240" w:lineRule="auto" w:before="88"/>
        <w:ind w:right="0"/>
        <w:jc w:val="left"/>
      </w:pPr>
      <w:r>
        <w:rPr/>
        <w:t>无</w:t>
      </w:r>
    </w:p>
    <w:p>
      <w:pPr>
        <w:spacing w:line="240" w:lineRule="auto" w:before="13"/>
        <w:rPr>
          <w:rFonts w:ascii="宋体" w:hAnsi="宋体" w:cs="宋体" w:eastAsia="宋体" w:hint="default"/>
          <w:sz w:val="12"/>
          <w:szCs w:val="12"/>
        </w:rPr>
      </w:pPr>
    </w:p>
    <w:p>
      <w:pPr>
        <w:pStyle w:val="Heading4"/>
        <w:spacing w:line="240" w:lineRule="auto"/>
        <w:ind w:right="0"/>
        <w:jc w:val="left"/>
        <w:rPr>
          <w:b w:val="0"/>
          <w:bCs w:val="0"/>
        </w:rPr>
      </w:pPr>
      <w:bookmarkStart w:name="2、同一控制下企业合并" w:id="343"/>
      <w:bookmarkEnd w:id="343"/>
      <w:r>
        <w:rPr>
          <w:b w:val="0"/>
          <w:bCs w:val="0"/>
        </w:rPr>
      </w:r>
      <w:r>
        <w:rPr>
          <w:rFonts w:ascii="Times New Roman" w:hAnsi="Times New Roman" w:cs="Times New Roman" w:eastAsia="Times New Roman" w:hint="default"/>
        </w:rPr>
        <w:t>2</w:t>
      </w:r>
      <w:r>
        <w:rPr/>
        <w:t>、同一控制下企业合并</w:t>
      </w:r>
      <w:r>
        <w:rPr>
          <w:b w:val="0"/>
          <w:bCs w:val="0"/>
        </w:rPr>
      </w:r>
    </w:p>
    <w:p>
      <w:pPr>
        <w:pStyle w:val="BodyText"/>
        <w:spacing w:line="240" w:lineRule="auto" w:before="89"/>
        <w:ind w:right="0"/>
        <w:jc w:val="left"/>
      </w:pPr>
      <w:r>
        <w:rPr/>
        <w:t>无</w:t>
      </w:r>
    </w:p>
    <w:p>
      <w:pPr>
        <w:spacing w:line="240" w:lineRule="auto" w:before="1"/>
        <w:rPr>
          <w:rFonts w:ascii="宋体" w:hAnsi="宋体" w:cs="宋体" w:eastAsia="宋体" w:hint="default"/>
          <w:sz w:val="13"/>
          <w:szCs w:val="13"/>
        </w:rPr>
      </w:pPr>
    </w:p>
    <w:p>
      <w:pPr>
        <w:pStyle w:val="Heading4"/>
        <w:spacing w:line="240" w:lineRule="auto"/>
        <w:ind w:right="0"/>
        <w:jc w:val="left"/>
        <w:rPr>
          <w:b w:val="0"/>
          <w:bCs w:val="0"/>
        </w:rPr>
      </w:pPr>
      <w:bookmarkStart w:name="3、反向购买" w:id="344"/>
      <w:bookmarkEnd w:id="344"/>
      <w:r>
        <w:rPr>
          <w:b w:val="0"/>
          <w:bCs w:val="0"/>
        </w:rPr>
      </w:r>
      <w:r>
        <w:rPr>
          <w:rFonts w:ascii="Times New Roman" w:hAnsi="Times New Roman" w:cs="Times New Roman" w:eastAsia="Times New Roman" w:hint="default"/>
        </w:rPr>
        <w:t>3</w:t>
      </w:r>
      <w:r>
        <w:rPr/>
        <w:t>、反向购买</w:t>
      </w:r>
      <w:r>
        <w:rPr>
          <w:b w:val="0"/>
          <w:bCs w:val="0"/>
        </w:rPr>
      </w:r>
    </w:p>
    <w:p>
      <w:pPr>
        <w:pStyle w:val="BodyText"/>
        <w:spacing w:line="240" w:lineRule="auto" w:before="46"/>
        <w:ind w:right="0"/>
        <w:jc w:val="left"/>
      </w:pPr>
      <w:r>
        <w:rPr/>
        <w:t>无</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4、处置子公司" w:id="345"/>
      <w:bookmarkEnd w:id="345"/>
      <w:r>
        <w:rPr>
          <w:b w:val="0"/>
          <w:bCs w:val="0"/>
        </w:rPr>
      </w:r>
      <w:r>
        <w:rPr>
          <w:rFonts w:ascii="Times New Roman" w:hAnsi="Times New Roman" w:cs="Times New Roman" w:eastAsia="Times New Roman" w:hint="default"/>
        </w:rPr>
        <w:t>4</w:t>
      </w:r>
      <w:r>
        <w:rPr/>
        <w:t>、处置子公司</w:t>
      </w:r>
      <w:r>
        <w:rPr>
          <w:b w:val="0"/>
          <w:bCs w:val="0"/>
        </w:rPr>
      </w:r>
    </w:p>
    <w:p>
      <w:pPr>
        <w:pStyle w:val="BodyText"/>
        <w:spacing w:line="240" w:lineRule="auto" w:before="87"/>
        <w:ind w:right="0"/>
        <w:jc w:val="left"/>
      </w:pPr>
      <w:r>
        <w:rPr/>
        <w:t>是否存在单次处置对子公司投资即丧失控制权的情形</w:t>
      </w:r>
    </w:p>
    <w:p>
      <w:pPr>
        <w:pStyle w:val="BodyText"/>
        <w:spacing w:line="338" w:lineRule="auto" w:before="117"/>
        <w:ind w:right="49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Heading4"/>
        <w:spacing w:line="240" w:lineRule="auto" w:before="157"/>
        <w:ind w:right="0"/>
        <w:jc w:val="left"/>
        <w:rPr>
          <w:b w:val="0"/>
          <w:bCs w:val="0"/>
        </w:rPr>
      </w:pPr>
      <w:bookmarkStart w:name="5、其他原因的合并范围变动" w:id="346"/>
      <w:bookmarkEnd w:id="346"/>
      <w:r>
        <w:rPr>
          <w:b w:val="0"/>
          <w:bCs w:val="0"/>
        </w:rPr>
      </w:r>
      <w:r>
        <w:rPr>
          <w:rFonts w:ascii="Times New Roman" w:hAnsi="Times New Roman" w:cs="Times New Roman" w:eastAsia="Times New Roman" w:hint="default"/>
        </w:rPr>
        <w:t>5</w:t>
      </w:r>
      <w:r>
        <w:rPr/>
        <w:t>、其他原因的合并范围变动</w:t>
      </w:r>
      <w:r>
        <w:rPr>
          <w:b w:val="0"/>
          <w:bCs w:val="0"/>
        </w:rPr>
      </w:r>
    </w:p>
    <w:p>
      <w:pPr>
        <w:pStyle w:val="BodyText"/>
        <w:spacing w:line="240" w:lineRule="auto" w:before="87"/>
        <w:ind w:right="0"/>
        <w:jc w:val="left"/>
      </w:pPr>
      <w:r>
        <w:rPr/>
        <w:t>说明其他原因导致的合并范围变动（如，新设子公司、清算子公司等）及其相关情况：</w:t>
      </w:r>
    </w:p>
    <w:p>
      <w:pPr>
        <w:pStyle w:val="BodyText"/>
        <w:spacing w:line="240" w:lineRule="auto" w:before="116"/>
        <w:ind w:left="514" w:right="0"/>
        <w:jc w:val="left"/>
      </w:pPr>
      <w:r>
        <w:rPr>
          <w:rFonts w:ascii="Times New Roman" w:hAnsi="Times New Roman" w:cs="Times New Roman" w:eastAsia="Times New Roman" w:hint="default"/>
        </w:rPr>
        <w:t>2018</w:t>
      </w:r>
      <w:r>
        <w:rPr/>
        <w:t>年，投资设立</w:t>
      </w:r>
      <w:r>
        <w:rPr>
          <w:rFonts w:ascii="Times New Roman" w:hAnsi="Times New Roman" w:cs="Times New Roman" w:eastAsia="Times New Roman" w:hint="default"/>
        </w:rPr>
        <w:t>iTalkBB VIP,</w:t>
      </w:r>
      <w:r>
        <w:rPr>
          <w:rFonts w:ascii="Times New Roman" w:hAnsi="Times New Roman" w:cs="Times New Roman" w:eastAsia="Times New Roman" w:hint="default"/>
          <w:spacing w:val="-4"/>
        </w:rPr>
        <w:t> </w:t>
      </w:r>
      <w:r>
        <w:rPr>
          <w:rFonts w:ascii="Times New Roman" w:hAnsi="Times New Roman" w:cs="Times New Roman" w:eastAsia="Times New Roman" w:hint="default"/>
        </w:rPr>
        <w:t>Inc.</w:t>
      </w:r>
      <w:r>
        <w:rPr/>
        <w:t>。</w:t>
      </w:r>
    </w:p>
    <w:p>
      <w:pPr>
        <w:pStyle w:val="BodyText"/>
        <w:spacing w:line="240" w:lineRule="auto" w:before="63"/>
        <w:ind w:left="514"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月，迪讯</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w:t>
      </w:r>
      <w:r>
        <w:rPr>
          <w:rFonts w:ascii="Times New Roman" w:hAnsi="Times New Roman" w:cs="Times New Roman" w:eastAsia="Times New Roman" w:hint="default"/>
        </w:rPr>
        <w:t>(</w:t>
      </w:r>
      <w:r>
        <w:rPr/>
        <w:t>英文名：</w:t>
      </w:r>
      <w:r>
        <w:rPr>
          <w:rFonts w:ascii="Times New Roman" w:hAnsi="Times New Roman" w:cs="Times New Roman" w:eastAsia="Times New Roman" w:hint="default"/>
        </w:rPr>
        <w:t>Delcom (HK)</w:t>
      </w:r>
      <w:r>
        <w:rPr>
          <w:rFonts w:ascii="Times New Roman" w:hAnsi="Times New Roman" w:cs="Times New Roman" w:eastAsia="Times New Roman" w:hint="default"/>
          <w:spacing w:val="-4"/>
        </w:rPr>
        <w:t> </w:t>
      </w:r>
      <w:r>
        <w:rPr>
          <w:rFonts w:ascii="Times New Roman" w:hAnsi="Times New Roman" w:cs="Times New Roman" w:eastAsia="Times New Roman" w:hint="default"/>
        </w:rPr>
        <w:t>Limited)</w:t>
      </w:r>
      <w:r>
        <w:rPr/>
        <w:t>和前海迪迅</w:t>
      </w:r>
      <w:r>
        <w:rPr>
          <w:rFonts w:ascii="Times New Roman" w:hAnsi="Times New Roman" w:cs="Times New Roman" w:eastAsia="Times New Roman" w:hint="default"/>
        </w:rPr>
        <w:t>(</w:t>
      </w:r>
      <w:r>
        <w:rPr/>
        <w:t>深圳</w:t>
      </w:r>
      <w:r>
        <w:rPr>
          <w:rFonts w:ascii="Times New Roman" w:hAnsi="Times New Roman" w:cs="Times New Roman" w:eastAsia="Times New Roman" w:hint="default"/>
        </w:rPr>
        <w:t>)</w:t>
      </w:r>
      <w:r>
        <w:rPr/>
        <w:t>有限公司完成注销。</w:t>
      </w:r>
    </w:p>
    <w:p>
      <w:pPr>
        <w:pStyle w:val="Heading4"/>
        <w:spacing w:line="240" w:lineRule="auto" w:before="158"/>
        <w:ind w:right="0"/>
        <w:jc w:val="left"/>
        <w:rPr>
          <w:b w:val="0"/>
          <w:bCs w:val="0"/>
        </w:rPr>
      </w:pPr>
      <w:bookmarkStart w:name="6、其他" w:id="347"/>
      <w:bookmarkEnd w:id="347"/>
      <w:r>
        <w:rPr>
          <w:b w:val="0"/>
          <w:bCs w:val="0"/>
        </w:rPr>
      </w:r>
      <w:r>
        <w:rPr>
          <w:rFonts w:ascii="Times New Roman" w:hAnsi="Times New Roman" w:cs="Times New Roman" w:eastAsia="Times New Roman" w:hint="default"/>
        </w:rPr>
        <w:t>6</w:t>
      </w:r>
      <w:r>
        <w:rPr/>
        <w:t>、其他</w:t>
      </w:r>
      <w:r>
        <w:rPr>
          <w:b w:val="0"/>
          <w:bCs w:val="0"/>
        </w:rPr>
      </w:r>
    </w:p>
    <w:p>
      <w:pPr>
        <w:pStyle w:val="BodyText"/>
        <w:spacing w:line="240" w:lineRule="auto" w:before="46"/>
        <w:ind w:right="0"/>
        <w:jc w:val="left"/>
      </w:pPr>
      <w:r>
        <w:rPr/>
        <w:t>无</w:t>
      </w:r>
    </w:p>
    <w:p>
      <w:pPr>
        <w:pStyle w:val="Heading2"/>
        <w:spacing w:line="240" w:lineRule="auto" w:before="149"/>
        <w:ind w:right="0"/>
        <w:jc w:val="left"/>
        <w:rPr>
          <w:b w:val="0"/>
          <w:bCs w:val="0"/>
        </w:rPr>
      </w:pPr>
      <w:bookmarkStart w:name="九、在其他主体中的权益" w:id="348"/>
      <w:bookmarkEnd w:id="348"/>
      <w:r>
        <w:rPr>
          <w:b w:val="0"/>
          <w:bCs w:val="0"/>
        </w:rPr>
      </w:r>
      <w:r>
        <w:rPr/>
        <w:t>九、在其他主体中的权益</w:t>
      </w:r>
      <w:r>
        <w:rPr>
          <w:b w:val="0"/>
          <w:bCs w:val="0"/>
        </w:rPr>
      </w:r>
    </w:p>
    <w:p>
      <w:pPr>
        <w:pStyle w:val="Heading4"/>
        <w:spacing w:line="240" w:lineRule="auto" w:before="142"/>
        <w:ind w:right="0"/>
        <w:jc w:val="left"/>
        <w:rPr>
          <w:b w:val="0"/>
          <w:bCs w:val="0"/>
        </w:rPr>
      </w:pPr>
      <w:bookmarkStart w:name="1、在子公司中的权益" w:id="349"/>
      <w:bookmarkEnd w:id="349"/>
      <w:r>
        <w:rPr>
          <w:b w:val="0"/>
          <w:bCs w:val="0"/>
        </w:rPr>
      </w:r>
      <w:r>
        <w:rPr>
          <w:rFonts w:ascii="Times New Roman" w:hAnsi="Times New Roman" w:cs="Times New Roman" w:eastAsia="Times New Roman" w:hint="default"/>
        </w:rPr>
        <w:t>1</w:t>
      </w:r>
      <w:r>
        <w:rPr/>
        <w:t>、在子公司中的权益</w:t>
      </w:r>
      <w:r>
        <w:rPr>
          <w:b w:val="0"/>
          <w:bCs w:val="0"/>
        </w:rPr>
      </w:r>
    </w:p>
    <w:p>
      <w:pPr>
        <w:pStyle w:val="Heading4"/>
        <w:spacing w:line="240" w:lineRule="auto" w:before="142"/>
        <w:ind w:right="0"/>
        <w:jc w:val="left"/>
        <w:rPr>
          <w:b w:val="0"/>
          <w:bCs w:val="0"/>
        </w:rPr>
      </w:pPr>
      <w:bookmarkStart w:name="（1）企业集团的构成" w:id="350"/>
      <w:bookmarkEnd w:id="350"/>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3"/>
        <w:rPr>
          <w:rFonts w:ascii="宋体" w:hAnsi="宋体" w:cs="宋体" w:eastAsia="宋体" w:hint="default"/>
          <w:b/>
          <w:bCs/>
          <w:sz w:val="11"/>
          <w:szCs w:val="11"/>
        </w:rPr>
      </w:pPr>
    </w:p>
    <w:tbl>
      <w:tblPr>
        <w:tblW w:w="0" w:type="auto"/>
        <w:jc w:val="left"/>
        <w:tblInd w:w="121" w:type="dxa"/>
        <w:tblLayout w:type="fixed"/>
        <w:tblCellMar>
          <w:top w:w="0" w:type="dxa"/>
          <w:left w:w="0" w:type="dxa"/>
          <w:bottom w:w="0" w:type="dxa"/>
          <w:right w:w="0" w:type="dxa"/>
        </w:tblCellMar>
        <w:tblLook w:val="01E0"/>
      </w:tblPr>
      <w:tblGrid>
        <w:gridCol w:w="4525"/>
        <w:gridCol w:w="611"/>
        <w:gridCol w:w="797"/>
        <w:gridCol w:w="1468"/>
        <w:gridCol w:w="704"/>
        <w:gridCol w:w="704"/>
        <w:gridCol w:w="886"/>
      </w:tblGrid>
      <w:tr>
        <w:trPr>
          <w:trHeight w:val="402" w:hRule="exact"/>
        </w:trPr>
        <w:tc>
          <w:tcPr>
            <w:tcW w:w="45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61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120" w:right="29" w:hanging="90"/>
              <w:jc w:val="left"/>
              <w:rPr>
                <w:rFonts w:ascii="宋体" w:hAnsi="宋体" w:cs="宋体" w:eastAsia="宋体" w:hint="default"/>
                <w:sz w:val="18"/>
                <w:szCs w:val="18"/>
              </w:rPr>
            </w:pPr>
            <w:r>
              <w:rPr>
                <w:rFonts w:ascii="宋体" w:hAnsi="宋体" w:cs="宋体" w:eastAsia="宋体" w:hint="default"/>
                <w:sz w:val="18"/>
                <w:szCs w:val="18"/>
              </w:rPr>
              <w:t>主要经 营地</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4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4525" w:type="dxa"/>
            <w:vMerge/>
            <w:tcBorders>
              <w:left w:val="single" w:sz="4" w:space="0" w:color="000000"/>
              <w:bottom w:val="single" w:sz="4" w:space="0" w:color="000000"/>
              <w:right w:val="single" w:sz="4" w:space="0" w:color="000000"/>
            </w:tcBorders>
            <w:shd w:val="clear" w:color="auto" w:fill="D2D2D2"/>
          </w:tcPr>
          <w:p>
            <w:pPr/>
          </w:p>
        </w:tc>
        <w:tc>
          <w:tcPr>
            <w:tcW w:w="611"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1468" w:type="dxa"/>
            <w:vMerge/>
            <w:tcBorders>
              <w:left w:val="single" w:sz="4" w:space="0" w:color="000000"/>
              <w:bottom w:val="single" w:sz="4" w:space="0" w:color="000000"/>
              <w:right w:val="single" w:sz="4" w:space="0" w:color="000000"/>
            </w:tcBorders>
            <w:shd w:val="clear" w:color="auto" w:fill="D2D2D2"/>
          </w:tcPr>
          <w:p>
            <w:pP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88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北京二六三企业通信有限公司</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100.00%</w:t>
            </w:r>
          </w:p>
        </w:tc>
        <w:tc>
          <w:tcPr>
            <w:tcW w:w="70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上海二六三通信有限公司</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增值通信、</w:t>
            </w:r>
            <w:r>
              <w:rPr>
                <w:rFonts w:ascii="Times New Roman" w:hAnsi="Times New Roman" w:cs="Times New Roman" w:eastAsia="Times New Roman" w:hint="default"/>
                <w:sz w:val="18"/>
                <w:szCs w:val="18"/>
              </w:rPr>
              <w:t>VPN</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100.00%</w:t>
            </w:r>
          </w:p>
        </w:tc>
        <w:tc>
          <w:tcPr>
            <w:tcW w:w="70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3"/>
              <w:ind w:left="22" w:right="133"/>
              <w:jc w:val="left"/>
              <w:rPr>
                <w:rFonts w:ascii="Times New Roman" w:hAnsi="Times New Roman" w:cs="Times New Roman" w:eastAsia="Times New Roman" w:hint="default"/>
                <w:sz w:val="18"/>
                <w:szCs w:val="18"/>
              </w:rPr>
            </w:pPr>
            <w:r>
              <w:rPr>
                <w:rFonts w:ascii="宋体" w:hAnsi="宋体" w:cs="宋体" w:eastAsia="宋体" w:hint="default"/>
                <w:sz w:val="18"/>
                <w:szCs w:val="18"/>
              </w:rPr>
              <w:t>二六三增值通信香港有限公司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英文名：</w:t>
            </w:r>
            <w:r>
              <w:rPr>
                <w:rFonts w:ascii="Times New Roman" w:hAnsi="Times New Roman" w:cs="Times New Roman" w:eastAsia="Times New Roman" w:hint="default"/>
                <w:sz w:val="18"/>
                <w:szCs w:val="18"/>
              </w:rPr>
              <w:t>263 </w:t>
            </w:r>
            <w:r>
              <w:rPr>
                <w:rFonts w:ascii="Times New Roman" w:hAnsi="Times New Roman" w:cs="Times New Roman" w:eastAsia="Times New Roman" w:hint="default"/>
                <w:spacing w:val="-5"/>
                <w:sz w:val="18"/>
                <w:szCs w:val="18"/>
              </w:rPr>
              <w:t>Value</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Added</w:t>
            </w:r>
            <w:r>
              <w:rPr>
                <w:rFonts w:ascii="Times New Roman" w:hAnsi="Times New Roman" w:cs="Times New Roman" w:eastAsia="Times New Roman" w:hint="default"/>
                <w:sz w:val="18"/>
                <w:szCs w:val="18"/>
              </w:rPr>
              <w:t> Communication Hong Kong</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Co.,Limited)</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VPN</w:t>
            </w: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北京二六三网络科技有限公司</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VOIP</w:t>
            </w:r>
            <w:r>
              <w:rPr>
                <w:rFonts w:ascii="宋体" w:hAnsi="宋体" w:cs="宋体" w:eastAsia="宋体" w:hint="default"/>
                <w:sz w:val="18"/>
                <w:szCs w:val="18"/>
              </w:rPr>
              <w:t>、</w:t>
            </w:r>
            <w:r>
              <w:rPr>
                <w:rFonts w:ascii="Times New Roman" w:hAnsi="Times New Roman" w:cs="Times New Roman" w:eastAsia="Times New Roman" w:hint="default"/>
                <w:sz w:val="18"/>
                <w:szCs w:val="18"/>
              </w:rPr>
              <w:t>IPTV</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100.00%</w:t>
            </w:r>
          </w:p>
        </w:tc>
        <w:tc>
          <w:tcPr>
            <w:tcW w:w="70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二六三软件技术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w:t>
            </w: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100.00%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Global Communications,</w:t>
            </w:r>
            <w:r>
              <w:rPr>
                <w:rFonts w:ascii="Times New Roman"/>
                <w:spacing w:val="-3"/>
                <w:sz w:val="18"/>
              </w:rPr>
              <w:t> </w:t>
            </w:r>
            <w:r>
              <w:rPr>
                <w:rFonts w:ascii="Times New Roman"/>
                <w:sz w:val="18"/>
              </w:rPr>
              <w:t>Inc.</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VOIP</w:t>
            </w: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非同一控 制下收购</w:t>
            </w:r>
          </w:p>
        </w:tc>
      </w:tr>
      <w:tr>
        <w:trPr>
          <w:trHeight w:val="71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iTalkBB Canada</w:t>
            </w:r>
            <w:r>
              <w:rPr>
                <w:rFonts w:ascii="Times New Roman"/>
                <w:spacing w:val="-17"/>
                <w:sz w:val="18"/>
              </w:rPr>
              <w:t> </w:t>
            </w:r>
            <w:r>
              <w:rPr>
                <w:rFonts w:ascii="Times New Roman"/>
                <w:sz w:val="18"/>
              </w:rPr>
              <w:t>Inc.</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经营推广</w:t>
            </w: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非同一控 制下收购</w:t>
            </w:r>
          </w:p>
        </w:tc>
      </w:tr>
      <w:tr>
        <w:trPr>
          <w:trHeight w:val="71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iTalkBB Australia Pty</w:t>
            </w:r>
            <w:r>
              <w:rPr>
                <w:rFonts w:ascii="Times New Roman"/>
                <w:spacing w:val="-30"/>
                <w:sz w:val="18"/>
              </w:rPr>
              <w:t> </w:t>
            </w:r>
            <w:r>
              <w:rPr>
                <w:rFonts w:ascii="Times New Roman"/>
                <w:sz w:val="18"/>
              </w:rPr>
              <w:t>Ltd.</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6"/>
              <w:jc w:val="left"/>
              <w:rPr>
                <w:rFonts w:ascii="宋体" w:hAnsi="宋体" w:cs="宋体" w:eastAsia="宋体" w:hint="default"/>
                <w:sz w:val="18"/>
                <w:szCs w:val="18"/>
              </w:rPr>
            </w:pPr>
            <w:r>
              <w:rPr>
                <w:rFonts w:ascii="宋体" w:hAnsi="宋体" w:cs="宋体" w:eastAsia="宋体" w:hint="default"/>
                <w:sz w:val="18"/>
                <w:szCs w:val="18"/>
              </w:rPr>
              <w:t>澳大利 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经营推广</w:t>
            </w: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非同一控 制下收购</w:t>
            </w:r>
          </w:p>
        </w:tc>
      </w:tr>
      <w:tr>
        <w:trPr>
          <w:trHeight w:val="71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Freedom Enterprise,</w:t>
            </w:r>
            <w:r>
              <w:rPr>
                <w:rFonts w:ascii="Times New Roman"/>
                <w:spacing w:val="-5"/>
                <w:sz w:val="18"/>
              </w:rPr>
              <w:t> </w:t>
            </w:r>
            <w:r>
              <w:rPr>
                <w:rFonts w:ascii="Times New Roman"/>
                <w:sz w:val="18"/>
              </w:rPr>
              <w:t>L.L.C</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非同一控 制下收购</w:t>
            </w:r>
          </w:p>
        </w:tc>
      </w:tr>
      <w:tr>
        <w:trPr>
          <w:trHeight w:val="71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Digital Technology Marketing and Information,</w:t>
            </w:r>
            <w:r>
              <w:rPr>
                <w:rFonts w:ascii="Times New Roman"/>
                <w:spacing w:val="-29"/>
                <w:sz w:val="18"/>
              </w:rPr>
              <w:t> </w:t>
            </w:r>
            <w:r>
              <w:rPr>
                <w:rFonts w:ascii="Times New Roman"/>
                <w:sz w:val="18"/>
              </w:rPr>
              <w:t>Inc.</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经营推广</w:t>
            </w: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非同一控 制下收购</w:t>
            </w:r>
          </w:p>
        </w:tc>
      </w:tr>
      <w:tr>
        <w:trPr>
          <w:trHeight w:val="71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iTalkBB Singapore Pte,</w:t>
            </w:r>
            <w:r>
              <w:rPr>
                <w:rFonts w:ascii="Times New Roman"/>
                <w:spacing w:val="-19"/>
                <w:sz w:val="18"/>
              </w:rPr>
              <w:t> </w:t>
            </w:r>
            <w:r>
              <w:rPr>
                <w:rFonts w:ascii="Times New Roman"/>
                <w:sz w:val="18"/>
              </w:rPr>
              <w:t>Ltd.</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VOIP</w:t>
            </w: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非同一控 制下收购</w:t>
            </w:r>
          </w:p>
        </w:tc>
      </w:tr>
      <w:tr>
        <w:trPr>
          <w:trHeight w:val="71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Mobile</w:t>
            </w:r>
            <w:r>
              <w:rPr>
                <w:rFonts w:ascii="Times New Roman"/>
                <w:spacing w:val="1"/>
                <w:sz w:val="18"/>
              </w:rPr>
              <w:t> </w:t>
            </w:r>
            <w:r>
              <w:rPr>
                <w:rFonts w:ascii="Times New Roman"/>
                <w:sz w:val="18"/>
              </w:rPr>
              <w:t>Corporation</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3"/>
              <w:jc w:val="left"/>
              <w:rPr>
                <w:rFonts w:ascii="宋体" w:hAnsi="宋体" w:cs="宋体" w:eastAsia="宋体" w:hint="default"/>
                <w:sz w:val="18"/>
                <w:szCs w:val="18"/>
              </w:rPr>
            </w:pPr>
            <w:r>
              <w:rPr>
                <w:rFonts w:ascii="宋体" w:hAnsi="宋体" w:cs="宋体" w:eastAsia="宋体" w:hint="default"/>
                <w:sz w:val="18"/>
                <w:szCs w:val="18"/>
              </w:rPr>
              <w:t>海外移动虚拟网 络运营业务</w:t>
            </w: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北京首都在线网络技术有限公司</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IPTV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业务</w:t>
            </w: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100.00%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非同一控</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21" w:type="dxa"/>
        <w:tblLayout w:type="fixed"/>
        <w:tblCellMar>
          <w:top w:w="0" w:type="dxa"/>
          <w:left w:w="0" w:type="dxa"/>
          <w:bottom w:w="0" w:type="dxa"/>
          <w:right w:w="0" w:type="dxa"/>
        </w:tblCellMar>
        <w:tblLook w:val="01E0"/>
      </w:tblPr>
      <w:tblGrid>
        <w:gridCol w:w="4525"/>
        <w:gridCol w:w="611"/>
        <w:gridCol w:w="797"/>
        <w:gridCol w:w="1468"/>
        <w:gridCol w:w="704"/>
        <w:gridCol w:w="704"/>
        <w:gridCol w:w="886"/>
      </w:tblGrid>
      <w:tr>
        <w:trPr>
          <w:trHeight w:val="402" w:hRule="exact"/>
        </w:trPr>
        <w:tc>
          <w:tcPr>
            <w:tcW w:w="45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6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20" w:right="29" w:hanging="90"/>
              <w:jc w:val="left"/>
              <w:rPr>
                <w:rFonts w:ascii="宋体" w:hAnsi="宋体" w:cs="宋体" w:eastAsia="宋体" w:hint="default"/>
                <w:sz w:val="18"/>
                <w:szCs w:val="18"/>
              </w:rPr>
            </w:pPr>
            <w:r>
              <w:rPr>
                <w:rFonts w:ascii="宋体" w:hAnsi="宋体" w:cs="宋体" w:eastAsia="宋体" w:hint="default"/>
                <w:sz w:val="18"/>
                <w:szCs w:val="18"/>
              </w:rPr>
              <w:t>主要经 营地</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4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4525" w:type="dxa"/>
            <w:vMerge/>
            <w:tcBorders>
              <w:left w:val="single" w:sz="4" w:space="0" w:color="000000"/>
              <w:bottom w:val="single" w:sz="4" w:space="0" w:color="000000"/>
              <w:right w:val="single" w:sz="4" w:space="0" w:color="000000"/>
            </w:tcBorders>
            <w:shd w:val="clear" w:color="auto" w:fill="D2D2D2"/>
          </w:tcPr>
          <w:p>
            <w:pPr/>
          </w:p>
        </w:tc>
        <w:tc>
          <w:tcPr>
            <w:tcW w:w="611"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1468" w:type="dxa"/>
            <w:vMerge/>
            <w:tcBorders>
              <w:left w:val="single" w:sz="4" w:space="0" w:color="000000"/>
              <w:bottom w:val="single" w:sz="4" w:space="0" w:color="000000"/>
              <w:right w:val="single" w:sz="4" w:space="0" w:color="000000"/>
            </w:tcBorders>
            <w:shd w:val="clear" w:color="auto" w:fill="D2D2D2"/>
          </w:tcPr>
          <w:p>
            <w:pP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886" w:type="dxa"/>
            <w:vMerge/>
            <w:tcBorders>
              <w:left w:val="single" w:sz="4" w:space="0" w:color="000000"/>
              <w:bottom w:val="single" w:sz="4" w:space="0" w:color="000000"/>
              <w:right w:val="single" w:sz="4" w:space="0" w:color="000000"/>
            </w:tcBorders>
            <w:shd w:val="clear" w:color="auto" w:fill="D2D2D2"/>
          </w:tcPr>
          <w:p>
            <w:pPr/>
          </w:p>
        </w:tc>
      </w:tr>
      <w:tr>
        <w:trPr>
          <w:trHeight w:val="362"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制下收购</w:t>
            </w:r>
          </w:p>
        </w:tc>
      </w:tr>
      <w:tr>
        <w:trPr>
          <w:trHeight w:val="71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141"/>
              <w:jc w:val="left"/>
              <w:rPr>
                <w:rFonts w:ascii="Times New Roman" w:hAnsi="Times New Roman" w:cs="Times New Roman" w:eastAsia="Times New Roman" w:hint="default"/>
                <w:sz w:val="18"/>
                <w:szCs w:val="18"/>
              </w:rPr>
            </w:pPr>
            <w:r>
              <w:rPr>
                <w:rFonts w:ascii="宋体" w:hAnsi="宋体" w:cs="宋体" w:eastAsia="宋体" w:hint="default"/>
                <w:sz w:val="18"/>
                <w:szCs w:val="18"/>
              </w:rPr>
              <w:t>爱涛网络电视香港有限公司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英文名：</w:t>
            </w:r>
            <w:r>
              <w:rPr>
                <w:rFonts w:ascii="Times New Roman" w:hAnsi="Times New Roman" w:cs="Times New Roman" w:eastAsia="Times New Roman" w:hint="default"/>
                <w:sz w:val="18"/>
                <w:szCs w:val="18"/>
              </w:rPr>
              <w:t>iTalkTV</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Hongkong</w:t>
            </w:r>
            <w:r>
              <w:rPr>
                <w:rFonts w:ascii="Times New Roman" w:hAnsi="Times New Roman" w:cs="Times New Roman" w:eastAsia="Times New Roman" w:hint="default"/>
                <w:sz w:val="18"/>
                <w:szCs w:val="18"/>
              </w:rPr>
              <w:t> Limited)</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IPTV</w:t>
            </w: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非同一控 制下收购</w:t>
            </w:r>
          </w:p>
        </w:tc>
      </w:tr>
      <w:tr>
        <w:trPr>
          <w:trHeight w:val="71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405"/>
              <w:jc w:val="left"/>
              <w:rPr>
                <w:rFonts w:ascii="Times New Roman" w:hAnsi="Times New Roman" w:cs="Times New Roman" w:eastAsia="Times New Roman" w:hint="default"/>
                <w:sz w:val="18"/>
                <w:szCs w:val="18"/>
              </w:rPr>
            </w:pPr>
            <w:r>
              <w:rPr>
                <w:rFonts w:ascii="宋体" w:hAnsi="宋体" w:cs="宋体" w:eastAsia="宋体" w:hint="default"/>
                <w:sz w:val="18"/>
                <w:szCs w:val="18"/>
              </w:rPr>
              <w:t>二六三香港控股有限公司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英文名：</w:t>
            </w:r>
            <w:r>
              <w:rPr>
                <w:rFonts w:ascii="Times New Roman" w:hAnsi="Times New Roman" w:cs="Times New Roman" w:eastAsia="Times New Roman" w:hint="default"/>
                <w:sz w:val="18"/>
                <w:szCs w:val="18"/>
              </w:rPr>
              <w:t>NET263 Holdings Limited</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100.00%</w:t>
            </w:r>
          </w:p>
        </w:tc>
        <w:tc>
          <w:tcPr>
            <w:tcW w:w="70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United Wise Services</w:t>
            </w:r>
            <w:r>
              <w:rPr>
                <w:rFonts w:ascii="Times New Roman"/>
                <w:spacing w:val="-17"/>
                <w:sz w:val="18"/>
              </w:rPr>
              <w:t> </w:t>
            </w:r>
            <w:r>
              <w:rPr>
                <w:rFonts w:ascii="Times New Roman"/>
                <w:sz w:val="18"/>
              </w:rPr>
              <w:t>Limited</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英属维尔 京群岛</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广州二六三移动通信有限公司</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移动通信业务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100.00%</w:t>
            </w:r>
          </w:p>
        </w:tc>
        <w:tc>
          <w:tcPr>
            <w:tcW w:w="70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二六三移动通信</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移动通信业务</w:t>
            </w: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迪讯</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英文名：</w:t>
            </w:r>
            <w:r>
              <w:rPr>
                <w:rFonts w:ascii="Times New Roman" w:hAnsi="Times New Roman" w:cs="Times New Roman" w:eastAsia="Times New Roman" w:hint="default"/>
                <w:sz w:val="18"/>
                <w:szCs w:val="18"/>
              </w:rPr>
              <w:t>Delcom (HK) Limited)(</w:t>
            </w:r>
            <w:r>
              <w:rPr>
                <w:rFonts w:ascii="宋体" w:hAnsi="宋体" w:cs="宋体" w:eastAsia="宋体" w:hint="default"/>
                <w:sz w:val="18"/>
                <w:szCs w:val="18"/>
              </w:rPr>
              <w:t>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移动通信业务</w:t>
            </w: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非同一控 制下收购</w:t>
            </w:r>
          </w:p>
        </w:tc>
      </w:tr>
      <w:tr>
        <w:trPr>
          <w:trHeight w:val="71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前海迪迅</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移动通信业务</w:t>
            </w: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非同一控 制下收购</w:t>
            </w:r>
          </w:p>
        </w:tc>
      </w:tr>
      <w:tr>
        <w:trPr>
          <w:trHeight w:val="71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展动科技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直播业务</w:t>
            </w: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非同一控 制下收购</w:t>
            </w:r>
          </w:p>
        </w:tc>
      </w:tr>
      <w:tr>
        <w:trPr>
          <w:trHeight w:val="71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北京展视互动科技有限公司</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直播业务</w:t>
            </w: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非同一控 制下收购</w:t>
            </w:r>
          </w:p>
        </w:tc>
      </w:tr>
      <w:tr>
        <w:trPr>
          <w:trHeight w:val="71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iTalkBB Media</w:t>
            </w:r>
            <w:r>
              <w:rPr>
                <w:rFonts w:ascii="Times New Roman"/>
                <w:spacing w:val="-16"/>
                <w:sz w:val="18"/>
              </w:rPr>
              <w:t> </w:t>
            </w:r>
            <w:r>
              <w:rPr>
                <w:rFonts w:ascii="Times New Roman"/>
                <w:sz w:val="18"/>
              </w:rPr>
              <w:t>Inc.</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广告业务</w:t>
            </w: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非同一控 制下收购</w:t>
            </w:r>
          </w:p>
        </w:tc>
      </w:tr>
      <w:tr>
        <w:trPr>
          <w:trHeight w:val="71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Media</w:t>
            </w:r>
            <w:r>
              <w:rPr>
                <w:rFonts w:ascii="Times New Roman"/>
                <w:spacing w:val="2"/>
                <w:sz w:val="18"/>
              </w:rPr>
              <w:t> </w:t>
            </w:r>
            <w:r>
              <w:rPr>
                <w:rFonts w:ascii="Times New Roman"/>
                <w:sz w:val="18"/>
              </w:rPr>
              <w:t>Corporation</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广告业务</w:t>
            </w: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非同一控 制下收购</w:t>
            </w:r>
          </w:p>
        </w:tc>
      </w:tr>
      <w:tr>
        <w:trPr>
          <w:trHeight w:val="71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上海奈盛通信科技有限公司</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业务</w:t>
            </w: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非同一控 制下收购</w:t>
            </w:r>
          </w:p>
        </w:tc>
      </w:tr>
      <w:tr>
        <w:trPr>
          <w:trHeight w:val="71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深圳市日升科技有限公司</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增值通信、</w:t>
            </w:r>
            <w:r>
              <w:rPr>
                <w:rFonts w:ascii="Times New Roman" w:hAnsi="Times New Roman" w:cs="Times New Roman" w:eastAsia="Times New Roman" w:hint="default"/>
                <w:sz w:val="18"/>
                <w:szCs w:val="18"/>
              </w:rPr>
              <w:t>VPN</w:t>
            </w: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非同一控 制下收购</w:t>
            </w:r>
          </w:p>
        </w:tc>
      </w:tr>
      <w:tr>
        <w:trPr>
          <w:trHeight w:val="71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I-Access Network</w:t>
            </w:r>
            <w:r>
              <w:rPr>
                <w:rFonts w:ascii="Times New Roman"/>
                <w:spacing w:val="-5"/>
                <w:sz w:val="18"/>
              </w:rPr>
              <w:t> </w:t>
            </w:r>
            <w:r>
              <w:rPr>
                <w:rFonts w:ascii="Times New Roman"/>
                <w:sz w:val="18"/>
              </w:rPr>
              <w:t>Limited</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增值通信、</w:t>
            </w:r>
            <w:r>
              <w:rPr>
                <w:rFonts w:ascii="Times New Roman" w:hAnsi="Times New Roman" w:cs="Times New Roman" w:eastAsia="Times New Roman" w:hint="default"/>
                <w:sz w:val="18"/>
                <w:szCs w:val="18"/>
              </w:rPr>
              <w:t>VPN</w:t>
            </w: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非同一控 制下收购</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 </w:t>
            </w:r>
            <w:r>
              <w:rPr>
                <w:rFonts w:ascii="Times New Roman"/>
                <w:spacing w:val="-6"/>
                <w:sz w:val="18"/>
              </w:rPr>
              <w:t>VIP,</w:t>
            </w:r>
            <w:r>
              <w:rPr>
                <w:rFonts w:ascii="Times New Roman"/>
                <w:spacing w:val="-17"/>
                <w:sz w:val="18"/>
              </w:rPr>
              <w:t> </w:t>
            </w:r>
            <w:r>
              <w:rPr>
                <w:rFonts w:ascii="Times New Roman"/>
                <w:sz w:val="18"/>
              </w:rPr>
              <w:t>Inc.</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240" w:lineRule="auto" w:before="6"/>
        <w:rPr>
          <w:rFonts w:ascii="宋体" w:hAnsi="宋体" w:cs="宋体" w:eastAsia="宋体" w:hint="default"/>
          <w:b/>
          <w:bCs/>
          <w:sz w:val="5"/>
          <w:szCs w:val="5"/>
        </w:rPr>
      </w:pPr>
    </w:p>
    <w:p>
      <w:pPr>
        <w:pStyle w:val="Heading4"/>
        <w:spacing w:line="240" w:lineRule="auto" w:before="35"/>
        <w:ind w:right="0"/>
        <w:jc w:val="left"/>
        <w:rPr>
          <w:b w:val="0"/>
          <w:bCs w:val="0"/>
        </w:rPr>
      </w:pPr>
      <w:bookmarkStart w:name="（2）重要的非全资子公司" w:id="351"/>
      <w:bookmarkEnd w:id="351"/>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上海奈盛</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1" w:right="0"/>
              <w:jc w:val="left"/>
              <w:rPr>
                <w:rFonts w:ascii="Times New Roman" w:hAnsi="Times New Roman" w:cs="Times New Roman" w:eastAsia="Times New Roman" w:hint="default"/>
                <w:sz w:val="18"/>
                <w:szCs w:val="18"/>
              </w:rPr>
            </w:pPr>
            <w:r>
              <w:rPr>
                <w:rFonts w:ascii="Times New Roman"/>
                <w:sz w:val="18"/>
              </w:rPr>
              <w:t>-11,691,867.30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78,098,414.58</w:t>
            </w:r>
          </w:p>
        </w:tc>
      </w:tr>
    </w:tbl>
    <w:p>
      <w:pPr>
        <w:pStyle w:val="BodyText"/>
        <w:spacing w:line="360" w:lineRule="auto" w:before="51"/>
        <w:ind w:right="6432"/>
        <w:jc w:val="left"/>
      </w:pPr>
      <w:r>
        <w:rPr/>
        <w:t>子公司少数股东的持股比例不同于表决权比例的说明： 其他说明：</w:t>
      </w:r>
    </w:p>
    <w:p>
      <w:pPr>
        <w:spacing w:after="0" w:line="360" w:lineRule="auto"/>
        <w:jc w:val="left"/>
        <w:sectPr>
          <w:pgSz w:w="11910" w:h="16840"/>
          <w:pgMar w:header="0" w:footer="979" w:top="1100" w:bottom="1160" w:left="980" w:right="0"/>
        </w:sectPr>
      </w:pPr>
    </w:p>
    <w:p>
      <w:pPr>
        <w:spacing w:line="240" w:lineRule="auto" w:before="13"/>
        <w:rPr>
          <w:rFonts w:ascii="宋体" w:hAnsi="宋体" w:cs="宋体" w:eastAsia="宋体" w:hint="default"/>
          <w:sz w:val="23"/>
          <w:szCs w:val="23"/>
        </w:rPr>
      </w:pPr>
    </w:p>
    <w:p>
      <w:pPr>
        <w:pStyle w:val="Heading4"/>
        <w:spacing w:line="240" w:lineRule="auto"/>
        <w:ind w:left="140" w:right="0"/>
        <w:jc w:val="left"/>
        <w:rPr>
          <w:b w:val="0"/>
          <w:bCs w:val="0"/>
        </w:rPr>
      </w:pPr>
      <w:r>
        <w:rPr/>
        <w:pict>
          <v:group style="position:absolute;margin-left:70.5pt;margin-top:-.39635pt;width:701pt;height:.1pt;mso-position-horizontal-relative:page;mso-position-vertical-relative:paragraph;z-index:1744" coordorigin="1410,-8" coordsize="14020,2">
            <v:shape style="position:absolute;left:1410;top:-8;width:14020;height:2" coordorigin="1410,-8" coordsize="14020,0" path="m1410,-8l15430,-8e" filled="false" stroked="true" strokeweight=".72pt" strokecolor="#000000">
              <v:path arrowok="t"/>
            </v:shape>
            <w10:wrap type="none"/>
          </v:group>
        </w:pict>
      </w:r>
      <w:bookmarkStart w:name="（3）重要非全资子公司的主要财务信息" w:id="352"/>
      <w:bookmarkEnd w:id="352"/>
      <w:r>
        <w:rPr>
          <w:b w:val="0"/>
          <w:bCs w:val="0"/>
        </w:rPr>
      </w:r>
      <w:r>
        <w:rPr>
          <w:w w:val="95"/>
        </w:rPr>
        <w:t>（</w:t>
      </w:r>
      <w:r>
        <w:rPr>
          <w:rFonts w:ascii="Times New Roman" w:hAnsi="Times New Roman" w:cs="Times New Roman" w:eastAsia="Times New Roman" w:hint="default"/>
          <w:w w:val="95"/>
        </w:rPr>
        <w:t>3</w:t>
      </w:r>
      <w:r>
        <w:rPr>
          <w:w w:val="95"/>
        </w:rPr>
        <w:t>）重要非全资子公司的主要财务信息</w:t>
      </w:r>
      <w:r>
        <w:rPr>
          <w:b w:val="0"/>
          <w:bCs w:val="0"/>
        </w:rPr>
      </w:r>
    </w:p>
    <w:p>
      <w:pPr>
        <w:pStyle w:val="BodyText"/>
        <w:spacing w:line="240" w:lineRule="auto" w:before="15"/>
        <w:ind w:left="140" w:right="0"/>
        <w:jc w:val="left"/>
      </w:pPr>
      <w:r>
        <w:rPr/>
        <w:br w:type="column"/>
      </w:r>
      <w:r>
        <w:rPr/>
        <w:t>二六三网络通信股份有限公司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after="0" w:line="240" w:lineRule="auto"/>
        <w:jc w:val="left"/>
        <w:sectPr>
          <w:headerReference w:type="default" r:id="rId37"/>
          <w:footerReference w:type="default" r:id="rId38"/>
          <w:pgSz w:w="16840" w:h="11910" w:orient="landscape"/>
          <w:pgMar w:header="0" w:footer="0" w:top="800" w:bottom="0" w:left="1300" w:right="1300"/>
          <w:cols w:num="2" w:equalWidth="0">
            <w:col w:w="3827" w:space="6082"/>
            <w:col w:w="4331"/>
          </w:cols>
        </w:sectPr>
      </w:pPr>
    </w:p>
    <w:p>
      <w:pPr>
        <w:spacing w:line="240" w:lineRule="auto" w:before="6"/>
        <w:rPr>
          <w:rFonts w:ascii="宋体" w:hAnsi="宋体" w:cs="宋体" w:eastAsia="宋体" w:hint="default"/>
          <w:sz w:val="9"/>
          <w:szCs w:val="9"/>
        </w:rPr>
      </w:pPr>
    </w:p>
    <w:p>
      <w:pPr>
        <w:pStyle w:val="BodyText"/>
        <w:spacing w:line="240" w:lineRule="auto" w:before="44"/>
        <w:ind w:left="0" w:right="136"/>
        <w:jc w:val="right"/>
      </w:pPr>
      <w:r>
        <w:rPr/>
        <w:t>单位： 元</w:t>
      </w:r>
    </w:p>
    <w:p>
      <w:pPr>
        <w:spacing w:line="240" w:lineRule="auto" w:before="0"/>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956"/>
        <w:gridCol w:w="1091"/>
        <w:gridCol w:w="1175"/>
        <w:gridCol w:w="1181"/>
        <w:gridCol w:w="1091"/>
        <w:gridCol w:w="956"/>
        <w:gridCol w:w="1091"/>
        <w:gridCol w:w="1091"/>
        <w:gridCol w:w="1182"/>
        <w:gridCol w:w="1181"/>
        <w:gridCol w:w="1001"/>
        <w:gridCol w:w="957"/>
        <w:gridCol w:w="1001"/>
      </w:tblGrid>
      <w:tr>
        <w:trPr>
          <w:trHeight w:val="401" w:hRule="exact"/>
        </w:trPr>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58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4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956"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r>
      <w:tr>
        <w:trPr>
          <w:trHeight w:val="40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上海奈盛</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57,026,742.51</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114,494,513.68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171,521,256.19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12,136,736.63</w:t>
            </w:r>
          </w:p>
        </w:tc>
        <w:tc>
          <w:tcPr>
            <w:tcW w:w="9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12,136,736.63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58,918,126.74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130,425,346.79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189,343,473.53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6,098,000.32</w:t>
            </w:r>
          </w:p>
        </w:tc>
        <w:tc>
          <w:tcPr>
            <w:tcW w:w="95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6,098,000.32</w:t>
            </w:r>
          </w:p>
        </w:tc>
      </w:tr>
    </w:tbl>
    <w:p>
      <w:pPr>
        <w:pStyle w:val="BodyText"/>
        <w:spacing w:line="240" w:lineRule="auto" w:before="51"/>
        <w:ind w:left="0" w:right="136"/>
        <w:jc w:val="right"/>
      </w:pPr>
      <w:r>
        <w:rPr/>
        <w:t>单位： 元</w:t>
      </w: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259"/>
        <w:gridCol w:w="1437"/>
        <w:gridCol w:w="1516"/>
        <w:gridCol w:w="1516"/>
        <w:gridCol w:w="1971"/>
        <w:gridCol w:w="1316"/>
        <w:gridCol w:w="1517"/>
        <w:gridCol w:w="1516"/>
        <w:gridCol w:w="1968"/>
      </w:tblGrid>
      <w:tr>
        <w:trPr>
          <w:trHeight w:val="402" w:hRule="exact"/>
        </w:trPr>
        <w:tc>
          <w:tcPr>
            <w:tcW w:w="12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43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631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259" w:type="dxa"/>
            <w:vMerge/>
            <w:tcBorders>
              <w:left w:val="single" w:sz="4" w:space="0" w:color="000000"/>
              <w:bottom w:val="single" w:sz="4" w:space="0" w:color="000000"/>
              <w:right w:val="single" w:sz="4" w:space="0" w:color="000000"/>
            </w:tcBorders>
            <w:shd w:val="clear" w:color="auto" w:fill="D2D2D2"/>
          </w:tcPr>
          <w:p>
            <w:pPr/>
          </w:p>
        </w:tc>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9"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8"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03" w:hRule="exact"/>
        </w:trPr>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上海奈盛</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8" w:right="0"/>
              <w:jc w:val="left"/>
              <w:rPr>
                <w:rFonts w:ascii="Times New Roman" w:hAnsi="Times New Roman" w:cs="Times New Roman" w:eastAsia="Times New Roman" w:hint="default"/>
                <w:sz w:val="18"/>
                <w:szCs w:val="18"/>
              </w:rPr>
            </w:pPr>
            <w:r>
              <w:rPr>
                <w:rFonts w:ascii="Times New Roman"/>
                <w:sz w:val="18"/>
              </w:rPr>
              <w:t>13,892,007.18</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8" w:right="0"/>
              <w:jc w:val="left"/>
              <w:rPr>
                <w:rFonts w:ascii="Times New Roman" w:hAnsi="Times New Roman" w:cs="Times New Roman" w:eastAsia="Times New Roman" w:hint="default"/>
                <w:sz w:val="18"/>
                <w:szCs w:val="18"/>
              </w:rPr>
            </w:pPr>
            <w:r>
              <w:rPr>
                <w:rFonts w:ascii="Times New Roman"/>
                <w:sz w:val="18"/>
              </w:rPr>
              <w:t>-23,860,953.65</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8" w:right="0"/>
              <w:jc w:val="left"/>
              <w:rPr>
                <w:rFonts w:ascii="Times New Roman" w:hAnsi="Times New Roman" w:cs="Times New Roman" w:eastAsia="Times New Roman" w:hint="default"/>
                <w:sz w:val="18"/>
                <w:szCs w:val="18"/>
              </w:rPr>
            </w:pPr>
            <w:r>
              <w:rPr>
                <w:rFonts w:ascii="Times New Roman"/>
                <w:sz w:val="18"/>
              </w:rPr>
              <w:t>-23,860,953.65</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8" w:right="0"/>
              <w:jc w:val="left"/>
              <w:rPr>
                <w:rFonts w:ascii="Times New Roman" w:hAnsi="Times New Roman" w:cs="Times New Roman" w:eastAsia="Times New Roman" w:hint="default"/>
                <w:sz w:val="18"/>
                <w:szCs w:val="18"/>
              </w:rPr>
            </w:pPr>
            <w:r>
              <w:rPr>
                <w:rFonts w:ascii="Times New Roman"/>
                <w:sz w:val="18"/>
              </w:rPr>
              <w:t>7,565,711.31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9" w:right="0"/>
              <w:jc w:val="left"/>
              <w:rPr>
                <w:rFonts w:ascii="Times New Roman" w:hAnsi="Times New Roman" w:cs="Times New Roman" w:eastAsia="Times New Roman" w:hint="default"/>
                <w:sz w:val="18"/>
                <w:szCs w:val="18"/>
              </w:rPr>
            </w:pPr>
            <w:r>
              <w:rPr>
                <w:rFonts w:ascii="Times New Roman"/>
                <w:sz w:val="18"/>
              </w:rPr>
              <w:t>2,870,784.02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0" w:right="0"/>
              <w:jc w:val="left"/>
              <w:rPr>
                <w:rFonts w:ascii="Times New Roman" w:hAnsi="Times New Roman" w:cs="Times New Roman" w:eastAsia="Times New Roman" w:hint="default"/>
                <w:sz w:val="18"/>
                <w:szCs w:val="18"/>
              </w:rPr>
            </w:pPr>
            <w:r>
              <w:rPr>
                <w:rFonts w:ascii="Times New Roman"/>
                <w:sz w:val="18"/>
              </w:rPr>
              <w:t>-19,228,028.29</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8" w:right="0"/>
              <w:jc w:val="left"/>
              <w:rPr>
                <w:rFonts w:ascii="Times New Roman" w:hAnsi="Times New Roman" w:cs="Times New Roman" w:eastAsia="Times New Roman" w:hint="default"/>
                <w:sz w:val="18"/>
                <w:szCs w:val="18"/>
              </w:rPr>
            </w:pPr>
            <w:r>
              <w:rPr>
                <w:rFonts w:ascii="Times New Roman"/>
                <w:sz w:val="18"/>
              </w:rPr>
              <w:t>-19,228,028.29</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0" w:right="0"/>
              <w:jc w:val="left"/>
              <w:rPr>
                <w:rFonts w:ascii="Times New Roman" w:hAnsi="Times New Roman" w:cs="Times New Roman" w:eastAsia="Times New Roman" w:hint="default"/>
                <w:sz w:val="18"/>
                <w:szCs w:val="18"/>
              </w:rPr>
            </w:pPr>
            <w:r>
              <w:rPr>
                <w:rFonts w:ascii="Times New Roman"/>
                <w:sz w:val="18"/>
              </w:rPr>
              <w:t>-8,943,276.98</w:t>
            </w:r>
          </w:p>
        </w:tc>
      </w:tr>
    </w:tbl>
    <w:p>
      <w:pPr>
        <w:pStyle w:val="BodyText"/>
        <w:spacing w:line="240" w:lineRule="auto" w:before="51"/>
        <w:ind w:left="140" w:right="3908"/>
        <w:jc w:val="left"/>
      </w:pPr>
      <w:r>
        <w:rPr/>
        <w:t>其他说明：</w:t>
      </w:r>
    </w:p>
    <w:p>
      <w:pPr>
        <w:spacing w:line="240" w:lineRule="auto" w:before="13"/>
        <w:rPr>
          <w:rFonts w:ascii="宋体" w:hAnsi="宋体" w:cs="宋体" w:eastAsia="宋体" w:hint="default"/>
          <w:sz w:val="12"/>
          <w:szCs w:val="12"/>
        </w:rPr>
      </w:pPr>
    </w:p>
    <w:p>
      <w:pPr>
        <w:pStyle w:val="Heading4"/>
        <w:spacing w:line="240" w:lineRule="auto"/>
        <w:ind w:left="140" w:right="3908"/>
        <w:jc w:val="left"/>
        <w:rPr>
          <w:b w:val="0"/>
          <w:bCs w:val="0"/>
        </w:rPr>
      </w:pPr>
      <w:bookmarkStart w:name="（4）使用企业集团资产和清偿企业集团债务的重大限制" w:id="353"/>
      <w:bookmarkEnd w:id="353"/>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pStyle w:val="BodyText"/>
        <w:spacing w:line="240" w:lineRule="auto" w:before="168"/>
        <w:ind w:left="140" w:right="3908"/>
        <w:jc w:val="left"/>
      </w:pPr>
      <w:r>
        <w:rPr/>
        <w:t>无</w:t>
      </w:r>
    </w:p>
    <w:p>
      <w:pPr>
        <w:spacing w:line="240" w:lineRule="auto" w:before="2"/>
        <w:rPr>
          <w:rFonts w:ascii="宋体" w:hAnsi="宋体" w:cs="宋体" w:eastAsia="宋体" w:hint="default"/>
          <w:sz w:val="13"/>
          <w:szCs w:val="13"/>
        </w:rPr>
      </w:pPr>
    </w:p>
    <w:p>
      <w:pPr>
        <w:pStyle w:val="Heading4"/>
        <w:spacing w:line="240" w:lineRule="auto"/>
        <w:ind w:left="140" w:right="3908"/>
        <w:jc w:val="left"/>
        <w:rPr>
          <w:b w:val="0"/>
          <w:bCs w:val="0"/>
        </w:rPr>
      </w:pPr>
      <w:bookmarkStart w:name="（5）向纳入合并财务报表范围的结构化主体提供的财务支持或其他支持" w:id="354"/>
      <w:bookmarkEnd w:id="354"/>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pStyle w:val="Heading4"/>
        <w:spacing w:line="396" w:lineRule="auto" w:before="166"/>
        <w:ind w:left="140" w:right="8301"/>
        <w:jc w:val="left"/>
        <w:rPr>
          <w:rFonts w:ascii="宋体" w:hAnsi="宋体" w:cs="宋体" w:eastAsia="宋体" w:hint="default"/>
          <w:b w:val="0"/>
          <w:bCs w:val="0"/>
          <w:sz w:val="18"/>
          <w:szCs w:val="18"/>
        </w:rPr>
      </w:pPr>
      <w:r>
        <w:rPr>
          <w:rFonts w:ascii="宋体" w:hAnsi="宋体" w:cs="宋体" w:eastAsia="宋体" w:hint="default"/>
          <w:b w:val="0"/>
          <w:bCs w:val="0"/>
          <w:sz w:val="18"/>
          <w:szCs w:val="18"/>
        </w:rPr>
        <w:t>无 </w:t>
      </w:r>
      <w:bookmarkStart w:name="2、在子公司的所有者权益份额发生变化且仍控制子公司的交易" w:id="355"/>
      <w:bookmarkEnd w:id="355"/>
      <w:r>
        <w:rPr>
          <w:rFonts w:ascii="宋体" w:hAnsi="宋体" w:cs="宋体" w:eastAsia="宋体" w:hint="default"/>
          <w:b w:val="0"/>
          <w:bCs w:val="0"/>
          <w:sz w:val="18"/>
          <w:szCs w:val="18"/>
        </w:rPr>
      </w:r>
      <w:r>
        <w:rPr>
          <w:rFonts w:ascii="Times New Roman" w:hAnsi="Times New Roman" w:cs="Times New Roman" w:eastAsia="Times New Roman" w:hint="default"/>
          <w:w w:val="95"/>
        </w:rPr>
        <w:t>2</w:t>
      </w:r>
      <w:r>
        <w:rPr>
          <w:w w:val="95"/>
        </w:rPr>
        <w:t>、在子公司的所有者权益份额发生变化且仍控制子公司的交易 </w:t>
      </w:r>
      <w:r>
        <w:rPr>
          <w:spacing w:val="82"/>
          <w:w w:val="95"/>
        </w:rPr>
        <w:t> </w:t>
      </w:r>
      <w:r>
        <w:rPr>
          <w:spacing w:val="82"/>
          <w:w w:val="95"/>
        </w:rPr>
      </w:r>
      <w:r>
        <w:rPr>
          <w:rFonts w:ascii="宋体" w:hAnsi="宋体" w:cs="宋体" w:eastAsia="宋体" w:hint="default"/>
          <w:b w:val="0"/>
          <w:bCs w:val="0"/>
          <w:sz w:val="18"/>
          <w:szCs w:val="18"/>
        </w:rPr>
        <w:t>无</w:t>
      </w:r>
    </w:p>
    <w:p>
      <w:pPr>
        <w:spacing w:line="240" w:lineRule="auto" w:before="12"/>
        <w:rPr>
          <w:rFonts w:ascii="宋体" w:hAnsi="宋体" w:cs="宋体" w:eastAsia="宋体" w:hint="default"/>
          <w:sz w:val="17"/>
          <w:szCs w:val="17"/>
        </w:rPr>
      </w:pPr>
    </w:p>
    <w:p>
      <w:pPr>
        <w:pStyle w:val="Heading4"/>
        <w:spacing w:line="240" w:lineRule="auto"/>
        <w:ind w:left="140" w:right="3908"/>
        <w:jc w:val="left"/>
        <w:rPr>
          <w:b w:val="0"/>
          <w:bCs w:val="0"/>
        </w:rPr>
      </w:pPr>
      <w:bookmarkStart w:name="3、在合营安排或联营企业中的权益" w:id="356"/>
      <w:bookmarkEnd w:id="356"/>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40" w:right="3908"/>
        <w:jc w:val="left"/>
        <w:rPr>
          <w:b w:val="0"/>
          <w:bCs w:val="0"/>
        </w:rPr>
      </w:pPr>
      <w:bookmarkStart w:name="（1）重要的合营企业或联营企业" w:id="357"/>
      <w:bookmarkEnd w:id="357"/>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0" w:right="3908"/>
        <w:jc w:val="left"/>
      </w:pPr>
      <w:r>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before="76"/>
        <w:ind w:left="6445" w:right="7072" w:firstLine="0"/>
        <w:jc w:val="center"/>
        <w:rPr>
          <w:rFonts w:ascii="Times New Roman" w:hAnsi="Times New Roman" w:cs="Times New Roman" w:eastAsia="Times New Roman" w:hint="default"/>
          <w:sz w:val="18"/>
          <w:szCs w:val="18"/>
        </w:rPr>
      </w:pPr>
      <w:r>
        <w:rPr>
          <w:rFonts w:ascii="Times New Roman"/>
          <w:b/>
          <w:sz w:val="18"/>
        </w:rPr>
        <w:t>152 </w:t>
      </w:r>
      <w:r>
        <w:rPr>
          <w:rFonts w:ascii="Times New Roman"/>
          <w:sz w:val="18"/>
        </w:rPr>
        <w:t>/</w:t>
      </w:r>
      <w:r>
        <w:rPr>
          <w:rFonts w:ascii="Times New Roman"/>
          <w:spacing w:val="1"/>
          <w:sz w:val="18"/>
        </w:rPr>
        <w:t> </w:t>
      </w:r>
      <w:r>
        <w:rPr>
          <w:rFonts w:ascii="Times New Roman"/>
          <w:b/>
          <w:sz w:val="18"/>
        </w:rPr>
        <w:t>178</w:t>
      </w:r>
      <w:r>
        <w:rPr>
          <w:rFonts w:ascii="Times New Roman"/>
          <w:sz w:val="18"/>
        </w:rPr>
      </w:r>
    </w:p>
    <w:p>
      <w:pPr>
        <w:spacing w:line="240" w:lineRule="auto" w:before="0"/>
        <w:rPr>
          <w:rFonts w:ascii="Times New Roman" w:hAnsi="Times New Roman" w:cs="Times New Roman" w:eastAsia="Times New Roman" w:hint="default"/>
          <w:b/>
          <w:bCs/>
          <w:sz w:val="20"/>
          <w:szCs w:val="20"/>
        </w:rPr>
      </w:pPr>
    </w:p>
    <w:p>
      <w:pPr>
        <w:spacing w:line="240" w:lineRule="auto" w:before="3"/>
        <w:rPr>
          <w:rFonts w:ascii="Times New Roman" w:hAnsi="Times New Roman" w:cs="Times New Roman" w:eastAsia="Times New Roman" w:hint="default"/>
          <w:b/>
          <w:bCs/>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3" name="image1.jpeg" descr=""/>
            <wp:cNvGraphicFramePr>
              <a:graphicFrameLocks noChangeAspect="1"/>
            </wp:cNvGraphicFramePr>
            <a:graphic>
              <a:graphicData uri="http://schemas.openxmlformats.org/drawingml/2006/picture">
                <pic:pic>
                  <pic:nvPicPr>
                    <pic:cNvPr id="14"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300"/>
        </w:sectPr>
      </w:pPr>
    </w:p>
    <w:p>
      <w:pPr>
        <w:spacing w:line="240" w:lineRule="auto" w:before="7"/>
        <w:rPr>
          <w:rFonts w:ascii="Times New Roman" w:hAnsi="Times New Roman" w:cs="Times New Roman" w:eastAsia="Times New Roman" w:hint="default"/>
          <w:b/>
          <w:bCs/>
          <w:sz w:val="23"/>
          <w:szCs w:val="23"/>
        </w:rPr>
      </w:pPr>
    </w:p>
    <w:p>
      <w:pPr>
        <w:pStyle w:val="Heading4"/>
        <w:spacing w:line="240" w:lineRule="auto" w:before="35"/>
        <w:ind w:right="0"/>
        <w:jc w:val="left"/>
        <w:rPr>
          <w:b w:val="0"/>
          <w:bCs w:val="0"/>
        </w:rPr>
      </w:pPr>
      <w:bookmarkStart w:name="（2）重要合营企业的主要财务信息" w:id="358"/>
      <w:bookmarkEnd w:id="358"/>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重要联营企业的主要财务信息" w:id="359"/>
      <w:bookmarkEnd w:id="359"/>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不重要的合营企业和联营企业的汇总财务信息" w:id="360"/>
      <w:bookmarkEnd w:id="360"/>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22,597,655.24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3,680,726.88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-1,083,071.64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385,599.13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27,550.42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-1,083,071.64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413,149.55</w:t>
            </w:r>
          </w:p>
        </w:tc>
      </w:tr>
    </w:tbl>
    <w:p>
      <w:pPr>
        <w:pStyle w:val="BodyText"/>
        <w:spacing w:line="240" w:lineRule="auto" w:before="51"/>
        <w:ind w:right="0"/>
        <w:jc w:val="left"/>
      </w:pPr>
      <w:r>
        <w:rPr/>
        <w:t>其他说明</w:t>
      </w:r>
    </w:p>
    <w:p>
      <w:pPr>
        <w:pStyle w:val="BodyText"/>
        <w:spacing w:line="300" w:lineRule="auto" w:before="116"/>
        <w:ind w:right="0" w:firstLine="290"/>
        <w:jc w:val="left"/>
      </w:pPr>
      <w:r>
        <w:rPr>
          <w:spacing w:val="-1"/>
        </w:rPr>
        <w:t>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日及</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日，本集团的联营企业均为非上市公司，本集团于联营公司的权益无论个别或合计均</w:t>
      </w:r>
      <w:r>
        <w:rPr/>
        <w:t> 不会对本集团本年度的财务状况或经营业绩构成重大影响。</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bookmarkStart w:name="（5）合营企业或联营企业向本公司转移资金的能力存在重大限制的说明" w:id="361"/>
      <w:bookmarkEnd w:id="361"/>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合营企业或联营企业发生的超额亏损" w:id="362"/>
      <w:bookmarkEnd w:id="362"/>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7）与合营企业投资相关的未确认承诺" w:id="363"/>
      <w:bookmarkEnd w:id="363"/>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8）与合营企业或联营企业投资相关的或有负债" w:id="364"/>
      <w:bookmarkEnd w:id="364"/>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footerReference w:type="default" r:id="rId39"/>
          <w:pgSz w:w="11910" w:h="16840"/>
          <w:pgMar w:footer="979" w:header="0" w:top="1100" w:bottom="1160" w:left="980" w:right="0"/>
          <w:pgNumType w:start="153"/>
        </w:sectPr>
      </w:pPr>
    </w:p>
    <w:p>
      <w:pPr>
        <w:spacing w:line="240" w:lineRule="auto" w:before="10"/>
        <w:rPr>
          <w:rFonts w:ascii="宋体" w:hAnsi="宋体" w:cs="宋体" w:eastAsia="宋体" w:hint="default"/>
          <w:sz w:val="20"/>
          <w:szCs w:val="20"/>
        </w:rPr>
      </w:pPr>
    </w:p>
    <w:p>
      <w:pPr>
        <w:pStyle w:val="Heading4"/>
        <w:spacing w:line="240" w:lineRule="auto" w:before="35"/>
        <w:ind w:left="254" w:right="1042"/>
        <w:jc w:val="left"/>
        <w:rPr>
          <w:b w:val="0"/>
          <w:bCs w:val="0"/>
        </w:rPr>
      </w:pPr>
      <w:bookmarkStart w:name="4、重要的共同经营" w:id="365"/>
      <w:bookmarkEnd w:id="365"/>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54" w:right="1042"/>
        <w:jc w:val="left"/>
      </w:pPr>
      <w:r>
        <w:rPr/>
        <w:t>无</w:t>
      </w:r>
    </w:p>
    <w:p>
      <w:pPr>
        <w:spacing w:line="240" w:lineRule="auto" w:before="10"/>
        <w:rPr>
          <w:rFonts w:ascii="宋体" w:hAnsi="宋体" w:cs="宋体" w:eastAsia="宋体" w:hint="default"/>
          <w:sz w:val="26"/>
          <w:szCs w:val="26"/>
        </w:rPr>
      </w:pPr>
    </w:p>
    <w:p>
      <w:pPr>
        <w:pStyle w:val="Heading4"/>
        <w:spacing w:line="240" w:lineRule="auto"/>
        <w:ind w:left="254" w:right="1042"/>
        <w:jc w:val="left"/>
        <w:rPr>
          <w:b w:val="0"/>
          <w:bCs w:val="0"/>
        </w:rPr>
      </w:pPr>
      <w:bookmarkStart w:name="5、在未纳入合并财务报表范围的结构化主体中的权益" w:id="366"/>
      <w:bookmarkEnd w:id="366"/>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54" w:right="1042"/>
        <w:jc w:val="left"/>
      </w:pPr>
      <w:r>
        <w:rPr/>
        <w:t>无</w:t>
      </w:r>
    </w:p>
    <w:p>
      <w:pPr>
        <w:spacing w:line="240" w:lineRule="auto" w:before="12"/>
        <w:rPr>
          <w:rFonts w:ascii="宋体" w:hAnsi="宋体" w:cs="宋体" w:eastAsia="宋体" w:hint="default"/>
          <w:sz w:val="26"/>
          <w:szCs w:val="26"/>
        </w:rPr>
      </w:pPr>
    </w:p>
    <w:p>
      <w:pPr>
        <w:pStyle w:val="Heading4"/>
        <w:spacing w:line="240" w:lineRule="auto"/>
        <w:ind w:left="254" w:right="1042"/>
        <w:jc w:val="left"/>
        <w:rPr>
          <w:b w:val="0"/>
          <w:bCs w:val="0"/>
        </w:rPr>
      </w:pPr>
      <w:bookmarkStart w:name="6、其他" w:id="367"/>
      <w:bookmarkEnd w:id="367"/>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54" w:right="1042"/>
        <w:jc w:val="left"/>
      </w:pPr>
      <w:r>
        <w:rPr/>
        <w:t>无</w:t>
      </w:r>
    </w:p>
    <w:p>
      <w:pPr>
        <w:spacing w:line="240" w:lineRule="auto" w:before="2"/>
        <w:rPr>
          <w:rFonts w:ascii="宋体" w:hAnsi="宋体" w:cs="宋体" w:eastAsia="宋体" w:hint="default"/>
          <w:sz w:val="25"/>
          <w:szCs w:val="25"/>
        </w:rPr>
      </w:pPr>
    </w:p>
    <w:p>
      <w:pPr>
        <w:pStyle w:val="Heading2"/>
        <w:spacing w:line="240" w:lineRule="auto"/>
        <w:ind w:left="254" w:right="1042"/>
        <w:jc w:val="left"/>
        <w:rPr>
          <w:b w:val="0"/>
          <w:bCs w:val="0"/>
        </w:rPr>
      </w:pPr>
      <w:bookmarkStart w:name="十、与金融工具相关的风险" w:id="368"/>
      <w:bookmarkEnd w:id="368"/>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left="254" w:right="1131" w:firstLine="290"/>
        <w:jc w:val="both"/>
      </w:pPr>
      <w:r>
        <w:rPr>
          <w:spacing w:val="-1"/>
        </w:rPr>
        <w:t>本集团的主要金融工具包括货币资金、应收票据及应收账款、其他应收款、其他流动资产中的理财产品、可供出售金融</w:t>
      </w:r>
      <w:r>
        <w:rPr/>
        <w:t> </w:t>
      </w:r>
      <w:r>
        <w:rPr>
          <w:spacing w:val="-1"/>
        </w:rPr>
        <w:t>资产、短期借款、应付票据及应付账款、其他应付款等，各项金融工具的详细情况说明见附注</w:t>
      </w:r>
      <w:r>
        <w:rPr>
          <w:rFonts w:ascii="Times New Roman" w:hAnsi="Times New Roman" w:cs="Times New Roman" w:eastAsia="Times New Roman" w:hint="default"/>
          <w:spacing w:val="-1"/>
        </w:rPr>
        <w:t>(</w:t>
      </w:r>
      <w:r>
        <w:rPr>
          <w:spacing w:val="-1"/>
        </w:rPr>
        <w:t>七</w:t>
      </w:r>
      <w:r>
        <w:rPr>
          <w:rFonts w:ascii="Times New Roman" w:hAnsi="Times New Roman" w:cs="Times New Roman" w:eastAsia="Times New Roman" w:hint="default"/>
          <w:spacing w:val="-1"/>
        </w:rPr>
        <w:t>)</w:t>
      </w:r>
      <w:r>
        <w:rPr>
          <w:spacing w:val="-1"/>
        </w:rPr>
        <w:t>。与这些金融工具有关的</w:t>
      </w:r>
      <w:r>
        <w:rPr>
          <w:spacing w:val="-58"/>
        </w:rPr>
        <w:t> </w:t>
      </w:r>
      <w:r>
        <w:rPr>
          <w:spacing w:val="-58"/>
        </w:rPr>
      </w:r>
      <w:r>
        <w:rPr>
          <w:spacing w:val="-2"/>
        </w:rPr>
        <w:t>风险，以及本集团为降低这些风险所采取的风险管理政策如下所述。本集团管理层对这些风险敞口进行管理和监控以确保将</w:t>
      </w:r>
      <w:r>
        <w:rPr>
          <w:spacing w:val="-64"/>
        </w:rPr>
        <w:t> </w:t>
      </w:r>
      <w:r>
        <w:rPr>
          <w:spacing w:val="-64"/>
        </w:rPr>
      </w:r>
      <w:r>
        <w:rPr/>
        <w:t>上述风险控制在限定的范围之内。</w:t>
      </w:r>
    </w:p>
    <w:p>
      <w:pPr>
        <w:pStyle w:val="Heading2"/>
        <w:spacing w:line="305" w:lineRule="exact"/>
        <w:ind w:left="254" w:right="1042"/>
        <w:jc w:val="left"/>
        <w:rPr>
          <w:b w:val="0"/>
          <w:bCs w:val="0"/>
        </w:rPr>
      </w:pPr>
      <w:r>
        <w:rPr>
          <w:rFonts w:ascii="Times New Roman" w:hAnsi="Times New Roman" w:cs="Times New Roman" w:eastAsia="Times New Roman" w:hint="default"/>
        </w:rPr>
        <w:t>1.</w:t>
      </w:r>
      <w:r>
        <w:rPr/>
        <w:t>风险管理目标和政策</w:t>
      </w:r>
      <w:r>
        <w:rPr>
          <w:b w:val="0"/>
          <w:bCs w:val="0"/>
        </w:rPr>
      </w:r>
    </w:p>
    <w:p>
      <w:pPr>
        <w:pStyle w:val="BodyText"/>
        <w:spacing w:line="316" w:lineRule="auto" w:before="29"/>
        <w:ind w:left="254" w:right="1131" w:firstLine="307"/>
        <w:jc w:val="both"/>
      </w:pPr>
      <w:r>
        <w:rPr>
          <w:spacing w:val="2"/>
        </w:rPr>
        <w:t>本集团从事风险管理的目标是在风险和收益之间取得适当的平衡，将风险对本集团经营业绩的负面影响降低到最低水</w:t>
      </w:r>
      <w:r>
        <w:rPr/>
        <w:t> </w:t>
      </w:r>
      <w:r>
        <w:rPr>
          <w:spacing w:val="-2"/>
        </w:rPr>
        <w:t>平，使股东的利益最大化。基于该风险管理目标，本集团风险管理的基本策略是确定和分析本集团所面临的各种风险，建立</w:t>
      </w:r>
      <w:r>
        <w:rPr>
          <w:spacing w:val="-66"/>
        </w:rPr>
        <w:t> </w:t>
      </w:r>
      <w:r>
        <w:rPr>
          <w:spacing w:val="-66"/>
        </w:rPr>
      </w:r>
      <w:r>
        <w:rPr/>
        <w:t>适当的风险承受底线和进行风险管理，并及时可靠地对各种风险进行监督，将风险控制在限定的范围之内。</w:t>
      </w:r>
    </w:p>
    <w:p>
      <w:pPr>
        <w:pStyle w:val="BodyText"/>
        <w:spacing w:line="240" w:lineRule="auto" w:before="19"/>
        <w:ind w:left="440" w:right="9290"/>
        <w:jc w:val="center"/>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1.1</w:t>
      </w:r>
      <w:r>
        <w:rPr>
          <w:u w:val="single" w:color="000000"/>
        </w:rPr>
        <w:t>市场风险</w:t>
      </w:r>
      <w:r>
        <w:rPr/>
      </w:r>
    </w:p>
    <w:p>
      <w:pPr>
        <w:spacing w:before="51"/>
        <w:ind w:left="576" w:right="9290" w:firstLine="0"/>
        <w:jc w:val="center"/>
        <w:rPr>
          <w:rFonts w:ascii="宋体" w:hAnsi="宋体" w:cs="宋体" w:eastAsia="宋体" w:hint="default"/>
          <w:sz w:val="19"/>
          <w:szCs w:val="19"/>
        </w:rPr>
      </w:pPr>
      <w:r>
        <w:rPr>
          <w:rFonts w:ascii="Times New Roman" w:hAnsi="Times New Roman" w:cs="Times New Roman" w:eastAsia="Times New Roman" w:hint="default"/>
          <w:i/>
          <w:sz w:val="18"/>
          <w:szCs w:val="18"/>
        </w:rPr>
      </w:r>
      <w:r>
        <w:rPr>
          <w:rFonts w:ascii="Times New Roman" w:hAnsi="Times New Roman" w:cs="Times New Roman" w:eastAsia="Times New Roman" w:hint="default"/>
          <w:i/>
          <w:sz w:val="18"/>
          <w:szCs w:val="18"/>
          <w:u w:val="single" w:color="000000"/>
        </w:rPr>
        <w:t>1.1.1</w:t>
      </w:r>
      <w:r>
        <w:rPr>
          <w:rFonts w:ascii="宋体" w:hAnsi="宋体" w:cs="宋体" w:eastAsia="宋体" w:hint="default"/>
          <w:i/>
          <w:sz w:val="19"/>
          <w:szCs w:val="19"/>
          <w:u w:val="single" w:color="000000"/>
        </w:rPr>
        <w:t>外汇风险</w:t>
      </w:r>
      <w:r>
        <w:rPr>
          <w:rFonts w:ascii="宋体" w:hAnsi="宋体" w:cs="宋体" w:eastAsia="宋体" w:hint="default"/>
          <w:i/>
          <w:sz w:val="19"/>
          <w:szCs w:val="19"/>
        </w:rPr>
      </w:r>
      <w:r>
        <w:rPr>
          <w:rFonts w:ascii="宋体" w:hAnsi="宋体" w:cs="宋体" w:eastAsia="宋体" w:hint="default"/>
          <w:sz w:val="19"/>
          <w:szCs w:val="19"/>
        </w:rPr>
      </w:r>
    </w:p>
    <w:p>
      <w:pPr>
        <w:pStyle w:val="BodyText"/>
        <w:spacing w:line="309" w:lineRule="auto" w:before="63"/>
        <w:ind w:left="254" w:right="1131" w:firstLine="307"/>
        <w:jc w:val="both"/>
      </w:pPr>
      <w:r>
        <w:rPr>
          <w:spacing w:val="-1"/>
        </w:rPr>
        <w:t>外汇风险是由以非记账本位币计量的货币性项目产生的。本集团承受外汇风险主要与美元有关。于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日，除</w:t>
      </w:r>
      <w:r>
        <w:rPr/>
        <w:t> </w:t>
      </w:r>
      <w:r>
        <w:rPr>
          <w:spacing w:val="-2"/>
        </w:rPr>
        <w:t>下表所述资产及负债为美元余额外，集团其他主要资产及负债均为记账本位币余额。该等外币余额的资产和负债产生的外汇</w:t>
      </w:r>
      <w:r>
        <w:rPr>
          <w:spacing w:val="-64"/>
        </w:rPr>
        <w:t> </w:t>
      </w:r>
      <w:r>
        <w:rPr>
          <w:spacing w:val="-64"/>
        </w:rPr>
      </w:r>
      <w:r>
        <w:rPr/>
        <w:t>风险可能对本集团的经营业绩产生影响。</w:t>
      </w:r>
    </w:p>
    <w:tbl>
      <w:tblPr>
        <w:tblW w:w="0" w:type="auto"/>
        <w:jc w:val="left"/>
        <w:tblInd w:w="239" w:type="dxa"/>
        <w:tblLayout w:type="fixed"/>
        <w:tblCellMar>
          <w:top w:w="0" w:type="dxa"/>
          <w:left w:w="0" w:type="dxa"/>
          <w:bottom w:w="0" w:type="dxa"/>
          <w:right w:w="0" w:type="dxa"/>
        </w:tblCellMar>
        <w:tblLook w:val="01E0"/>
      </w:tblPr>
      <w:tblGrid>
        <w:gridCol w:w="4123"/>
        <w:gridCol w:w="2767"/>
        <w:gridCol w:w="2769"/>
      </w:tblGrid>
      <w:tr>
        <w:trPr>
          <w:trHeight w:val="342" w:hRule="exact"/>
        </w:trPr>
        <w:tc>
          <w:tcPr>
            <w:tcW w:w="412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c>
          <w:tcPr>
            <w:tcW w:w="2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r>
        <w:trPr>
          <w:trHeight w:val="342" w:hRule="exact"/>
        </w:trPr>
        <w:tc>
          <w:tcPr>
            <w:tcW w:w="4123" w:type="dxa"/>
            <w:vMerge/>
            <w:tcBorders>
              <w:left w:val="single" w:sz="4" w:space="0" w:color="000000"/>
              <w:bottom w:val="single" w:sz="4" w:space="0" w:color="000000"/>
              <w:right w:val="single" w:sz="4" w:space="0" w:color="000000"/>
            </w:tcBorders>
            <w:shd w:val="clear" w:color="auto" w:fill="D9D9D9"/>
          </w:tcPr>
          <w:p>
            <w:pPr/>
          </w:p>
        </w:tc>
        <w:tc>
          <w:tcPr>
            <w:tcW w:w="27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人民币元</w:t>
            </w:r>
          </w:p>
        </w:tc>
        <w:tc>
          <w:tcPr>
            <w:tcW w:w="2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人民币元</w:t>
            </w:r>
          </w:p>
        </w:tc>
      </w:tr>
      <w:tr>
        <w:trPr>
          <w:trHeight w:val="342"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68,025,821.18</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106,004,854.10</w:t>
            </w:r>
          </w:p>
        </w:tc>
      </w:tr>
      <w:tr>
        <w:trPr>
          <w:trHeight w:val="342"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4,591,250.40</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844,487.72</w:t>
            </w:r>
          </w:p>
        </w:tc>
      </w:tr>
      <w:tr>
        <w:trPr>
          <w:trHeight w:val="343"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2,490,143.90</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43,237.06</w:t>
            </w:r>
          </w:p>
        </w:tc>
      </w:tr>
    </w:tbl>
    <w:p>
      <w:pPr>
        <w:pStyle w:val="Heading6"/>
        <w:spacing w:line="240" w:lineRule="auto" w:before="12"/>
        <w:ind w:left="613" w:right="1042"/>
        <w:jc w:val="left"/>
        <w:rPr>
          <w:i w:val="0"/>
        </w:rPr>
      </w:pPr>
      <w:r>
        <w:rPr>
          <w:w w:val="94"/>
        </w:rPr>
      </w:r>
      <w:r>
        <w:rPr>
          <w:u w:val="single" w:color="000000"/>
        </w:rPr>
        <w:t>外汇风险敏感性分析</w:t>
      </w:r>
      <w:r>
        <w:rPr/>
      </w:r>
      <w:r>
        <w:rPr>
          <w:i w:val="0"/>
        </w:rPr>
      </w:r>
    </w:p>
    <w:p>
      <w:pPr>
        <w:pStyle w:val="BodyText"/>
        <w:spacing w:line="316" w:lineRule="auto" w:before="75"/>
        <w:ind w:left="651" w:right="1042"/>
        <w:jc w:val="left"/>
      </w:pPr>
      <w:r>
        <w:rPr/>
        <w:t>外汇风险敏感性分析假设：所有境外经营净投资套期及现金流量套期均高度有效。 </w:t>
      </w:r>
      <w:r>
        <w:rPr>
          <w:spacing w:val="-1"/>
        </w:rPr>
        <w:t>在上述假设的基础上，在其他变量不变的情况下，汇率可能发生的合理变动对当期损益和所有者权益的税前影响如下：</w:t>
      </w:r>
    </w:p>
    <w:tbl>
      <w:tblPr>
        <w:tblW w:w="0" w:type="auto"/>
        <w:jc w:val="left"/>
        <w:tblInd w:w="107" w:type="dxa"/>
        <w:tblLayout w:type="fixed"/>
        <w:tblCellMar>
          <w:top w:w="0" w:type="dxa"/>
          <w:left w:w="0" w:type="dxa"/>
          <w:bottom w:w="0" w:type="dxa"/>
          <w:right w:w="0" w:type="dxa"/>
        </w:tblCellMar>
        <w:tblLook w:val="01E0"/>
      </w:tblPr>
      <w:tblGrid>
        <w:gridCol w:w="710"/>
        <w:gridCol w:w="1762"/>
        <w:gridCol w:w="1709"/>
        <w:gridCol w:w="1950"/>
        <w:gridCol w:w="1709"/>
        <w:gridCol w:w="1950"/>
      </w:tblGrid>
      <w:tr>
        <w:trPr>
          <w:trHeight w:val="342" w:hRule="exact"/>
        </w:trPr>
        <w:tc>
          <w:tcPr>
            <w:tcW w:w="71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48" w:right="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项目</w:t>
            </w:r>
            <w:r>
              <w:rPr>
                <w:rFonts w:ascii="宋体" w:hAnsi="宋体" w:cs="宋体" w:eastAsia="宋体" w:hint="default"/>
                <w:sz w:val="20"/>
                <w:szCs w:val="20"/>
              </w:rPr>
            </w:r>
          </w:p>
        </w:tc>
        <w:tc>
          <w:tcPr>
            <w:tcW w:w="176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75" w:right="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汇率变动</w:t>
            </w:r>
            <w:r>
              <w:rPr>
                <w:rFonts w:ascii="宋体" w:hAnsi="宋体" w:cs="宋体" w:eastAsia="宋体" w:hint="default"/>
                <w:sz w:val="20"/>
                <w:szCs w:val="20"/>
              </w:rPr>
            </w:r>
          </w:p>
        </w:tc>
        <w:tc>
          <w:tcPr>
            <w:tcW w:w="365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本年度</w:t>
            </w:r>
            <w:r>
              <w:rPr>
                <w:rFonts w:ascii="宋体" w:hAnsi="宋体" w:cs="宋体" w:eastAsia="宋体" w:hint="default"/>
                <w:sz w:val="20"/>
                <w:szCs w:val="20"/>
              </w:rPr>
            </w:r>
          </w:p>
        </w:tc>
        <w:tc>
          <w:tcPr>
            <w:tcW w:w="365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上年度</w:t>
            </w:r>
            <w:r>
              <w:rPr>
                <w:rFonts w:ascii="宋体" w:hAnsi="宋体" w:cs="宋体" w:eastAsia="宋体" w:hint="default"/>
                <w:sz w:val="20"/>
                <w:szCs w:val="20"/>
              </w:rPr>
            </w:r>
          </w:p>
        </w:tc>
      </w:tr>
      <w:tr>
        <w:trPr>
          <w:trHeight w:val="342" w:hRule="exact"/>
        </w:trPr>
        <w:tc>
          <w:tcPr>
            <w:tcW w:w="710" w:type="dxa"/>
            <w:vMerge/>
            <w:tcBorders>
              <w:left w:val="single" w:sz="4" w:space="0" w:color="000000"/>
              <w:right w:val="single" w:sz="4" w:space="0" w:color="000000"/>
            </w:tcBorders>
            <w:shd w:val="clear" w:color="auto" w:fill="D9D9D9"/>
          </w:tcPr>
          <w:p>
            <w:pPr/>
          </w:p>
        </w:tc>
        <w:tc>
          <w:tcPr>
            <w:tcW w:w="1762" w:type="dxa"/>
            <w:vMerge/>
            <w:tcBorders>
              <w:left w:val="single" w:sz="4" w:space="0" w:color="000000"/>
              <w:right w:val="single" w:sz="4" w:space="0" w:color="000000"/>
            </w:tcBorders>
            <w:shd w:val="clear" w:color="auto" w:fill="D9D9D9"/>
          </w:tcPr>
          <w:p>
            <w:pPr/>
          </w:p>
        </w:tc>
        <w:tc>
          <w:tcPr>
            <w:tcW w:w="17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248" w:right="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对净利润的影响</w:t>
            </w:r>
            <w:r>
              <w:rPr>
                <w:rFonts w:ascii="宋体" w:hAnsi="宋体" w:cs="宋体" w:eastAsia="宋体" w:hint="default"/>
                <w:sz w:val="20"/>
                <w:szCs w:val="20"/>
              </w:rPr>
            </w:r>
          </w:p>
        </w:tc>
        <w:tc>
          <w:tcPr>
            <w:tcW w:w="19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269" w:right="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对股东权益的影响</w:t>
            </w:r>
            <w:r>
              <w:rPr>
                <w:rFonts w:ascii="宋体" w:hAnsi="宋体" w:cs="宋体" w:eastAsia="宋体" w:hint="default"/>
                <w:sz w:val="20"/>
                <w:szCs w:val="20"/>
              </w:rPr>
            </w:r>
          </w:p>
        </w:tc>
        <w:tc>
          <w:tcPr>
            <w:tcW w:w="17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248" w:right="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对净利润的影响</w:t>
            </w:r>
            <w:r>
              <w:rPr>
                <w:rFonts w:ascii="宋体" w:hAnsi="宋体" w:cs="宋体" w:eastAsia="宋体" w:hint="default"/>
                <w:sz w:val="20"/>
                <w:szCs w:val="20"/>
              </w:rPr>
            </w:r>
          </w:p>
        </w:tc>
        <w:tc>
          <w:tcPr>
            <w:tcW w:w="19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271" w:right="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对股东权益的影响</w:t>
            </w:r>
            <w:r>
              <w:rPr>
                <w:rFonts w:ascii="宋体" w:hAnsi="宋体" w:cs="宋体" w:eastAsia="宋体" w:hint="default"/>
                <w:sz w:val="20"/>
                <w:szCs w:val="20"/>
              </w:rPr>
            </w:r>
          </w:p>
        </w:tc>
      </w:tr>
      <w:tr>
        <w:trPr>
          <w:trHeight w:val="341" w:hRule="exact"/>
        </w:trPr>
        <w:tc>
          <w:tcPr>
            <w:tcW w:w="710" w:type="dxa"/>
            <w:vMerge/>
            <w:tcBorders>
              <w:left w:val="single" w:sz="4" w:space="0" w:color="000000"/>
              <w:bottom w:val="single" w:sz="4" w:space="0" w:color="000000"/>
              <w:right w:val="single" w:sz="4" w:space="0" w:color="000000"/>
            </w:tcBorders>
            <w:shd w:val="clear" w:color="auto" w:fill="D9D9D9"/>
          </w:tcPr>
          <w:p>
            <w:pPr/>
          </w:p>
        </w:tc>
        <w:tc>
          <w:tcPr>
            <w:tcW w:w="1762" w:type="dxa"/>
            <w:vMerge/>
            <w:tcBorders>
              <w:left w:val="single" w:sz="4" w:space="0" w:color="000000"/>
              <w:bottom w:val="single" w:sz="4" w:space="0" w:color="000000"/>
              <w:right w:val="single" w:sz="4" w:space="0" w:color="000000"/>
            </w:tcBorders>
            <w:shd w:val="clear" w:color="auto" w:fill="D9D9D9"/>
          </w:tcPr>
          <w:p>
            <w:pPr/>
          </w:p>
        </w:tc>
        <w:tc>
          <w:tcPr>
            <w:tcW w:w="17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548" w:right="0"/>
              <w:jc w:val="left"/>
              <w:rPr>
                <w:rFonts w:ascii="宋体" w:hAnsi="宋体" w:cs="宋体" w:eastAsia="宋体" w:hint="default"/>
                <w:sz w:val="20"/>
                <w:szCs w:val="20"/>
              </w:rPr>
            </w:pPr>
            <w:r>
              <w:rPr>
                <w:rFonts w:ascii="宋体" w:hAnsi="宋体" w:cs="宋体" w:eastAsia="宋体" w:hint="default"/>
                <w:sz w:val="20"/>
                <w:szCs w:val="20"/>
              </w:rPr>
              <w:t>人民币元</w:t>
            </w:r>
          </w:p>
        </w:tc>
        <w:tc>
          <w:tcPr>
            <w:tcW w:w="19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669" w:right="0"/>
              <w:jc w:val="left"/>
              <w:rPr>
                <w:rFonts w:ascii="宋体" w:hAnsi="宋体" w:cs="宋体" w:eastAsia="宋体" w:hint="default"/>
                <w:sz w:val="20"/>
                <w:szCs w:val="20"/>
              </w:rPr>
            </w:pPr>
            <w:r>
              <w:rPr>
                <w:rFonts w:ascii="宋体" w:hAnsi="宋体" w:cs="宋体" w:eastAsia="宋体" w:hint="default"/>
                <w:sz w:val="20"/>
                <w:szCs w:val="20"/>
              </w:rPr>
              <w:t>人民币元</w:t>
            </w:r>
          </w:p>
        </w:tc>
        <w:tc>
          <w:tcPr>
            <w:tcW w:w="17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548" w:right="0"/>
              <w:jc w:val="left"/>
              <w:rPr>
                <w:rFonts w:ascii="宋体" w:hAnsi="宋体" w:cs="宋体" w:eastAsia="宋体" w:hint="default"/>
                <w:sz w:val="20"/>
                <w:szCs w:val="20"/>
              </w:rPr>
            </w:pPr>
            <w:r>
              <w:rPr>
                <w:rFonts w:ascii="宋体" w:hAnsi="宋体" w:cs="宋体" w:eastAsia="宋体" w:hint="default"/>
                <w:sz w:val="20"/>
                <w:szCs w:val="20"/>
              </w:rPr>
              <w:t>人民币元</w:t>
            </w:r>
          </w:p>
        </w:tc>
        <w:tc>
          <w:tcPr>
            <w:tcW w:w="19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670" w:right="0"/>
              <w:jc w:val="left"/>
              <w:rPr>
                <w:rFonts w:ascii="宋体" w:hAnsi="宋体" w:cs="宋体" w:eastAsia="宋体" w:hint="default"/>
                <w:sz w:val="20"/>
                <w:szCs w:val="20"/>
              </w:rPr>
            </w:pPr>
            <w:r>
              <w:rPr>
                <w:rFonts w:ascii="宋体" w:hAnsi="宋体" w:cs="宋体" w:eastAsia="宋体" w:hint="default"/>
                <w:sz w:val="20"/>
                <w:szCs w:val="20"/>
              </w:rPr>
              <w:t>人民币元</w:t>
            </w:r>
          </w:p>
        </w:tc>
      </w:tr>
      <w:tr>
        <w:trPr>
          <w:trHeight w:val="34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3"/>
              <w:jc w:val="right"/>
              <w:rPr>
                <w:rFonts w:ascii="宋体" w:hAnsi="宋体" w:cs="宋体" w:eastAsia="宋体" w:hint="default"/>
                <w:sz w:val="20"/>
                <w:szCs w:val="20"/>
              </w:rPr>
            </w:pPr>
            <w:r>
              <w:rPr>
                <w:rFonts w:ascii="宋体" w:hAnsi="宋体" w:cs="宋体" w:eastAsia="宋体" w:hint="default"/>
                <w:sz w:val="20"/>
                <w:szCs w:val="20"/>
              </w:rPr>
              <w:t>美元</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3"/>
              <w:jc w:val="right"/>
              <w:rPr>
                <w:rFonts w:ascii="宋体" w:hAnsi="宋体" w:cs="宋体" w:eastAsia="宋体" w:hint="default"/>
                <w:sz w:val="20"/>
                <w:szCs w:val="20"/>
              </w:rPr>
            </w:pPr>
            <w:r>
              <w:rPr>
                <w:rFonts w:ascii="宋体" w:hAnsi="宋体" w:cs="宋体" w:eastAsia="宋体" w:hint="default"/>
                <w:spacing w:val="-1"/>
                <w:sz w:val="20"/>
                <w:szCs w:val="20"/>
              </w:rPr>
              <w:t>对人民币升值</w:t>
            </w:r>
            <w:r>
              <w:rPr>
                <w:rFonts w:ascii="Times New Roman" w:hAnsi="Times New Roman" w:cs="Times New Roman" w:eastAsia="Times New Roman" w:hint="default"/>
                <w:spacing w:val="-1"/>
                <w:sz w:val="20"/>
                <w:szCs w:val="20"/>
              </w:rPr>
              <w:t>5</w:t>
            </w:r>
            <w:r>
              <w:rPr>
                <w:rFonts w:ascii="宋体" w:hAnsi="宋体" w:cs="宋体" w:eastAsia="宋体" w:hint="default"/>
                <w:spacing w:val="-1"/>
                <w:sz w:val="20"/>
                <w:szCs w:val="20"/>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5" w:right="0"/>
              <w:jc w:val="left"/>
              <w:rPr>
                <w:rFonts w:ascii="Times New Roman" w:hAnsi="Times New Roman" w:cs="Times New Roman" w:eastAsia="Times New Roman" w:hint="default"/>
                <w:sz w:val="20"/>
                <w:szCs w:val="20"/>
              </w:rPr>
            </w:pPr>
            <w:r>
              <w:rPr>
                <w:rFonts w:ascii="Times New Roman"/>
                <w:sz w:val="20"/>
              </w:rPr>
              <w:t>2,629,759.79</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5" w:right="0"/>
              <w:jc w:val="left"/>
              <w:rPr>
                <w:rFonts w:ascii="Times New Roman" w:hAnsi="Times New Roman" w:cs="Times New Roman" w:eastAsia="Times New Roman" w:hint="default"/>
                <w:sz w:val="20"/>
                <w:szCs w:val="20"/>
              </w:rPr>
            </w:pPr>
            <w:r>
              <w:rPr>
                <w:rFonts w:ascii="Times New Roman"/>
                <w:sz w:val="20"/>
              </w:rPr>
              <w:t>2,629,759.79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5" w:right="0"/>
              <w:jc w:val="left"/>
              <w:rPr>
                <w:rFonts w:ascii="Times New Roman" w:hAnsi="Times New Roman" w:cs="Times New Roman" w:eastAsia="Times New Roman" w:hint="default"/>
                <w:sz w:val="20"/>
                <w:szCs w:val="20"/>
              </w:rPr>
            </w:pPr>
            <w:r>
              <w:rPr>
                <w:rFonts w:ascii="Times New Roman"/>
                <w:sz w:val="20"/>
              </w:rPr>
              <w:t>3,942,649.34</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6" w:right="0"/>
              <w:jc w:val="left"/>
              <w:rPr>
                <w:rFonts w:ascii="Times New Roman" w:hAnsi="Times New Roman" w:cs="Times New Roman" w:eastAsia="Times New Roman" w:hint="default"/>
                <w:sz w:val="20"/>
                <w:szCs w:val="20"/>
              </w:rPr>
            </w:pPr>
            <w:r>
              <w:rPr>
                <w:rFonts w:ascii="Times New Roman"/>
                <w:sz w:val="20"/>
              </w:rPr>
              <w:t>3,942,649.34</w:t>
            </w:r>
          </w:p>
        </w:tc>
      </w:tr>
      <w:tr>
        <w:trPr>
          <w:trHeight w:val="34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3"/>
              <w:jc w:val="right"/>
              <w:rPr>
                <w:rFonts w:ascii="宋体" w:hAnsi="宋体" w:cs="宋体" w:eastAsia="宋体" w:hint="default"/>
                <w:sz w:val="20"/>
                <w:szCs w:val="20"/>
              </w:rPr>
            </w:pPr>
            <w:r>
              <w:rPr>
                <w:rFonts w:ascii="宋体" w:hAnsi="宋体" w:cs="宋体" w:eastAsia="宋体" w:hint="default"/>
                <w:sz w:val="20"/>
                <w:szCs w:val="20"/>
              </w:rPr>
              <w:t>美元</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3"/>
              <w:jc w:val="right"/>
              <w:rPr>
                <w:rFonts w:ascii="宋体" w:hAnsi="宋体" w:cs="宋体" w:eastAsia="宋体" w:hint="default"/>
                <w:sz w:val="20"/>
                <w:szCs w:val="20"/>
              </w:rPr>
            </w:pPr>
            <w:r>
              <w:rPr>
                <w:rFonts w:ascii="宋体" w:hAnsi="宋体" w:cs="宋体" w:eastAsia="宋体" w:hint="default"/>
                <w:spacing w:val="-1"/>
                <w:sz w:val="20"/>
                <w:szCs w:val="20"/>
              </w:rPr>
              <w:t>对人民币贬值</w:t>
            </w:r>
            <w:r>
              <w:rPr>
                <w:rFonts w:ascii="Times New Roman" w:hAnsi="Times New Roman" w:cs="Times New Roman" w:eastAsia="Times New Roman" w:hint="default"/>
                <w:spacing w:val="-1"/>
                <w:sz w:val="20"/>
                <w:szCs w:val="20"/>
              </w:rPr>
              <w:t>5</w:t>
            </w:r>
            <w:r>
              <w:rPr>
                <w:rFonts w:ascii="宋体" w:hAnsi="宋体" w:cs="宋体" w:eastAsia="宋体" w:hint="default"/>
                <w:spacing w:val="-1"/>
                <w:sz w:val="20"/>
                <w:szCs w:val="20"/>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5" w:right="0"/>
              <w:jc w:val="left"/>
              <w:rPr>
                <w:rFonts w:ascii="Times New Roman" w:hAnsi="Times New Roman" w:cs="Times New Roman" w:eastAsia="Times New Roman" w:hint="default"/>
                <w:sz w:val="20"/>
                <w:szCs w:val="20"/>
              </w:rPr>
            </w:pPr>
            <w:r>
              <w:rPr>
                <w:rFonts w:ascii="Times New Roman"/>
                <w:sz w:val="20"/>
              </w:rPr>
              <w:t>-2,629,759.79</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5" w:right="0"/>
              <w:jc w:val="left"/>
              <w:rPr>
                <w:rFonts w:ascii="Times New Roman" w:hAnsi="Times New Roman" w:cs="Times New Roman" w:eastAsia="Times New Roman" w:hint="default"/>
                <w:sz w:val="20"/>
                <w:szCs w:val="20"/>
              </w:rPr>
            </w:pPr>
            <w:r>
              <w:rPr>
                <w:rFonts w:ascii="Times New Roman"/>
                <w:sz w:val="20"/>
              </w:rPr>
              <w:t>-2,629,759.79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5" w:right="0"/>
              <w:jc w:val="left"/>
              <w:rPr>
                <w:rFonts w:ascii="Times New Roman" w:hAnsi="Times New Roman" w:cs="Times New Roman" w:eastAsia="Times New Roman" w:hint="default"/>
                <w:sz w:val="20"/>
                <w:szCs w:val="20"/>
              </w:rPr>
            </w:pPr>
            <w:r>
              <w:rPr>
                <w:rFonts w:ascii="Times New Roman"/>
                <w:sz w:val="20"/>
              </w:rPr>
              <w:t>-3,942,649.34</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6" w:right="0"/>
              <w:jc w:val="left"/>
              <w:rPr>
                <w:rFonts w:ascii="Times New Roman" w:hAnsi="Times New Roman" w:cs="Times New Roman" w:eastAsia="Times New Roman" w:hint="default"/>
                <w:sz w:val="20"/>
                <w:szCs w:val="20"/>
              </w:rPr>
            </w:pPr>
            <w:r>
              <w:rPr>
                <w:rFonts w:ascii="Times New Roman"/>
                <w:sz w:val="20"/>
              </w:rPr>
              <w:t>-3,942,649.34</w:t>
            </w:r>
          </w:p>
        </w:tc>
      </w:tr>
    </w:tbl>
    <w:p>
      <w:pPr>
        <w:spacing w:line="302" w:lineRule="auto" w:before="7"/>
        <w:ind w:left="507" w:right="5819" w:firstLine="37"/>
        <w:jc w:val="left"/>
        <w:rPr>
          <w:rFonts w:ascii="宋体" w:hAnsi="宋体" w:cs="宋体" w:eastAsia="宋体" w:hint="default"/>
          <w:sz w:val="19"/>
          <w:szCs w:val="19"/>
        </w:rPr>
      </w:pPr>
      <w:r>
        <w:rPr>
          <w:rFonts w:ascii="Times New Roman" w:hAnsi="Times New Roman" w:cs="Times New Roman" w:eastAsia="Times New Roman" w:hint="default"/>
          <w:i/>
          <w:sz w:val="18"/>
          <w:szCs w:val="18"/>
        </w:rPr>
      </w:r>
      <w:r>
        <w:rPr>
          <w:rFonts w:ascii="Times New Roman" w:hAnsi="Times New Roman" w:cs="Times New Roman" w:eastAsia="Times New Roman" w:hint="default"/>
          <w:i/>
          <w:sz w:val="18"/>
          <w:szCs w:val="18"/>
          <w:u w:val="single" w:color="000000"/>
        </w:rPr>
        <w:t>1.1.2</w:t>
      </w:r>
      <w:r>
        <w:rPr>
          <w:rFonts w:ascii="宋体" w:hAnsi="宋体" w:cs="宋体" w:eastAsia="宋体" w:hint="default"/>
          <w:i/>
          <w:sz w:val="19"/>
          <w:szCs w:val="19"/>
          <w:u w:val="single" w:color="000000"/>
        </w:rPr>
        <w:t>利率风险</w:t>
      </w:r>
      <w:r>
        <w:rPr>
          <w:rFonts w:ascii="Times New Roman" w:hAnsi="Times New Roman" w:cs="Times New Roman" w:eastAsia="Times New Roman" w:hint="default"/>
          <w:i/>
          <w:sz w:val="18"/>
          <w:szCs w:val="18"/>
          <w:u w:val="single" w:color="000000"/>
        </w:rPr>
        <w:t>-</w:t>
      </w:r>
      <w:r>
        <w:rPr>
          <w:rFonts w:ascii="宋体" w:hAnsi="宋体" w:cs="宋体" w:eastAsia="宋体" w:hint="default"/>
          <w:i/>
          <w:sz w:val="19"/>
          <w:szCs w:val="19"/>
          <w:u w:val="single" w:color="000000"/>
        </w:rPr>
        <w:t>现金流量变动风险</w:t>
      </w:r>
      <w:r>
        <w:rPr>
          <w:rFonts w:ascii="宋体" w:hAnsi="宋体" w:cs="宋体" w:eastAsia="宋体" w:hint="default"/>
          <w:i/>
          <w:w w:val="94"/>
          <w:sz w:val="19"/>
          <w:szCs w:val="19"/>
        </w:rPr>
      </w:r>
      <w:r>
        <w:rPr>
          <w:rFonts w:ascii="宋体" w:hAnsi="宋体" w:cs="宋体" w:eastAsia="宋体" w:hint="default"/>
          <w:i/>
          <w:w w:val="94"/>
          <w:sz w:val="19"/>
          <w:szCs w:val="19"/>
        </w:rPr>
        <w:t> </w:t>
      </w:r>
      <w:r>
        <w:rPr>
          <w:rFonts w:ascii="宋体" w:hAnsi="宋体" w:cs="宋体" w:eastAsia="宋体" w:hint="default"/>
          <w:sz w:val="18"/>
          <w:szCs w:val="18"/>
        </w:rPr>
        <w:t>因本公司无浮动利率银行借款，因此不受利率变动的影响。 </w:t>
      </w:r>
      <w:r>
        <w:rPr>
          <w:rFonts w:ascii="Times New Roman" w:hAnsi="Times New Roman" w:cs="Times New Roman" w:eastAsia="Times New Roman" w:hint="default"/>
          <w:i/>
          <w:sz w:val="18"/>
          <w:szCs w:val="18"/>
        </w:rPr>
      </w:r>
      <w:r>
        <w:rPr>
          <w:rFonts w:ascii="Times New Roman" w:hAnsi="Times New Roman" w:cs="Times New Roman" w:eastAsia="Times New Roman" w:hint="default"/>
          <w:i/>
          <w:w w:val="95"/>
          <w:sz w:val="18"/>
          <w:szCs w:val="18"/>
          <w:u w:val="single" w:color="000000"/>
        </w:rPr>
        <w:t>1.1.3. </w:t>
      </w:r>
      <w:r>
        <w:rPr>
          <w:rFonts w:ascii="Times New Roman" w:hAnsi="Times New Roman" w:cs="Times New Roman" w:eastAsia="Times New Roman" w:hint="default"/>
          <w:i/>
          <w:spacing w:val="1"/>
          <w:w w:val="95"/>
          <w:sz w:val="18"/>
          <w:szCs w:val="18"/>
          <w:u w:val="single" w:color="000000"/>
        </w:rPr>
        <w:t> </w:t>
      </w:r>
      <w:r>
        <w:rPr>
          <w:rFonts w:ascii="宋体" w:hAnsi="宋体" w:cs="宋体" w:eastAsia="宋体" w:hint="default"/>
          <w:i/>
          <w:w w:val="95"/>
          <w:sz w:val="19"/>
          <w:szCs w:val="19"/>
          <w:u w:val="single" w:color="000000"/>
        </w:rPr>
        <w:t>其他价格风险</w:t>
      </w:r>
      <w:r>
        <w:rPr>
          <w:rFonts w:ascii="宋体" w:hAnsi="宋体" w:cs="宋体" w:eastAsia="宋体" w:hint="default"/>
          <w:i/>
          <w:w w:val="95"/>
          <w:sz w:val="19"/>
          <w:szCs w:val="19"/>
        </w:rPr>
      </w:r>
      <w:r>
        <w:rPr>
          <w:rFonts w:ascii="宋体" w:hAnsi="宋体" w:cs="宋体" w:eastAsia="宋体" w:hint="default"/>
          <w:sz w:val="19"/>
          <w:szCs w:val="19"/>
        </w:rPr>
      </w:r>
    </w:p>
    <w:p>
      <w:pPr>
        <w:pStyle w:val="BodyText"/>
        <w:spacing w:line="240" w:lineRule="auto" w:before="10"/>
        <w:ind w:left="507" w:right="1042"/>
        <w:jc w:val="left"/>
      </w:pPr>
      <w:r>
        <w:rPr/>
        <w:t>本集团持有的分类为可供出售金融资产的部分投资在资产负债表日以公允价值计量。因此，本集团承担着证券市场变动</w:t>
      </w:r>
    </w:p>
    <w:p>
      <w:pPr>
        <w:spacing w:after="0" w:line="240" w:lineRule="auto"/>
        <w:jc w:val="left"/>
        <w:sectPr>
          <w:pgSz w:w="11910" w:h="16840"/>
          <w:pgMar w:header="0" w:footer="979" w:top="1100" w:bottom="1160" w:left="880" w:right="0"/>
        </w:sectPr>
      </w:pPr>
    </w:p>
    <w:p>
      <w:pPr>
        <w:spacing w:line="240" w:lineRule="auto" w:before="12"/>
        <w:rPr>
          <w:rFonts w:ascii="宋体" w:hAnsi="宋体" w:cs="宋体" w:eastAsia="宋体" w:hint="default"/>
          <w:sz w:val="21"/>
          <w:szCs w:val="21"/>
        </w:rPr>
      </w:pPr>
    </w:p>
    <w:p>
      <w:pPr>
        <w:pStyle w:val="BodyText"/>
        <w:spacing w:line="316" w:lineRule="auto" w:before="44"/>
        <w:ind w:left="694" w:right="0" w:hanging="541"/>
        <w:jc w:val="left"/>
      </w:pPr>
      <w:r>
        <w:rPr/>
        <w:t>的风险。本集团采取持有多种权益证券组合的方式降低权益证券投资的价格风险。 </w:t>
      </w:r>
      <w:r>
        <w:rPr>
          <w:spacing w:val="-2"/>
        </w:rPr>
        <w:t>在其他变量不变的情况下，本集团于资产负债表日可供出售金融资产中的上市权益工具投资对权益证券投资价格的敏</w:t>
      </w:r>
    </w:p>
    <w:p>
      <w:pPr>
        <w:pStyle w:val="BodyText"/>
        <w:spacing w:line="240" w:lineRule="auto" w:before="19"/>
        <w:ind w:right="0"/>
        <w:jc w:val="left"/>
      </w:pPr>
      <w:r>
        <w:rPr/>
        <w:t>感度：</w:t>
      </w:r>
    </w:p>
    <w:p>
      <w:pPr>
        <w:spacing w:line="240" w:lineRule="auto" w:before="6"/>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6445"/>
        <w:gridCol w:w="1607"/>
        <w:gridCol w:w="1607"/>
      </w:tblGrid>
      <w:tr>
        <w:trPr>
          <w:trHeight w:val="337" w:hRule="exact"/>
        </w:trPr>
        <w:tc>
          <w:tcPr>
            <w:tcW w:w="644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6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本年度</w:t>
            </w:r>
          </w:p>
        </w:tc>
        <w:tc>
          <w:tcPr>
            <w:tcW w:w="16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left="79" w:right="0"/>
              <w:jc w:val="center"/>
              <w:rPr>
                <w:rFonts w:ascii="宋体" w:hAnsi="宋体" w:cs="宋体" w:eastAsia="宋体" w:hint="default"/>
                <w:sz w:val="20"/>
                <w:szCs w:val="20"/>
              </w:rPr>
            </w:pPr>
            <w:r>
              <w:rPr>
                <w:rFonts w:ascii="宋体" w:hAnsi="宋体" w:cs="宋体" w:eastAsia="宋体" w:hint="default"/>
                <w:sz w:val="20"/>
                <w:szCs w:val="20"/>
              </w:rPr>
              <w:t>上年度</w:t>
            </w:r>
          </w:p>
        </w:tc>
      </w:tr>
      <w:tr>
        <w:trPr>
          <w:trHeight w:val="342" w:hRule="exact"/>
        </w:trPr>
        <w:tc>
          <w:tcPr>
            <w:tcW w:w="6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权益证券投资价格可能的合理变动</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5%</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5%</w:t>
            </w:r>
          </w:p>
        </w:tc>
      </w:tr>
    </w:tbl>
    <w:p>
      <w:pPr>
        <w:spacing w:line="240" w:lineRule="auto" w:before="11"/>
        <w:rPr>
          <w:rFonts w:ascii="宋体" w:hAnsi="宋体" w:cs="宋体" w:eastAsia="宋体" w:hint="default"/>
          <w:sz w:val="23"/>
          <w:szCs w:val="23"/>
        </w:rPr>
      </w:pPr>
    </w:p>
    <w:tbl>
      <w:tblPr>
        <w:tblW w:w="0" w:type="auto"/>
        <w:jc w:val="left"/>
        <w:tblInd w:w="139" w:type="dxa"/>
        <w:tblLayout w:type="fixed"/>
        <w:tblCellMar>
          <w:top w:w="0" w:type="dxa"/>
          <w:left w:w="0" w:type="dxa"/>
          <w:bottom w:w="0" w:type="dxa"/>
          <w:right w:w="0" w:type="dxa"/>
        </w:tblCellMar>
        <w:tblLook w:val="01E0"/>
      </w:tblPr>
      <w:tblGrid>
        <w:gridCol w:w="6442"/>
        <w:gridCol w:w="1562"/>
        <w:gridCol w:w="1655"/>
      </w:tblGrid>
      <w:tr>
        <w:trPr>
          <w:trHeight w:val="342" w:hRule="exact"/>
        </w:trPr>
        <w:tc>
          <w:tcPr>
            <w:tcW w:w="644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5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475" w:right="0"/>
              <w:jc w:val="left"/>
              <w:rPr>
                <w:rFonts w:ascii="宋体" w:hAnsi="宋体" w:cs="宋体" w:eastAsia="宋体" w:hint="default"/>
                <w:sz w:val="20"/>
                <w:szCs w:val="20"/>
              </w:rPr>
            </w:pPr>
            <w:r>
              <w:rPr>
                <w:rFonts w:ascii="宋体" w:hAnsi="宋体" w:cs="宋体" w:eastAsia="宋体" w:hint="default"/>
                <w:sz w:val="20"/>
                <w:szCs w:val="20"/>
              </w:rPr>
              <w:t>本年度</w:t>
            </w:r>
          </w:p>
        </w:tc>
        <w:tc>
          <w:tcPr>
            <w:tcW w:w="16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521" w:right="0"/>
              <w:jc w:val="left"/>
              <w:rPr>
                <w:rFonts w:ascii="宋体" w:hAnsi="宋体" w:cs="宋体" w:eastAsia="宋体" w:hint="default"/>
                <w:sz w:val="20"/>
                <w:szCs w:val="20"/>
              </w:rPr>
            </w:pPr>
            <w:r>
              <w:rPr>
                <w:rFonts w:ascii="宋体" w:hAnsi="宋体" w:cs="宋体" w:eastAsia="宋体" w:hint="default"/>
                <w:sz w:val="20"/>
                <w:szCs w:val="20"/>
              </w:rPr>
              <w:t>上年度</w:t>
            </w:r>
          </w:p>
        </w:tc>
      </w:tr>
      <w:tr>
        <w:trPr>
          <w:trHeight w:val="342" w:hRule="exact"/>
        </w:trPr>
        <w:tc>
          <w:tcPr>
            <w:tcW w:w="6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其他综合收益上升</w:t>
            </w:r>
            <w:r>
              <w:rPr>
                <w:rFonts w:ascii="Times New Roman" w:hAnsi="Times New Roman" w:cs="Times New Roman" w:eastAsia="Times New Roman" w:hint="default"/>
                <w:sz w:val="20"/>
                <w:szCs w:val="20"/>
              </w:rPr>
              <w:t>(</w:t>
            </w:r>
            <w:r>
              <w:rPr>
                <w:rFonts w:ascii="宋体" w:hAnsi="宋体" w:cs="宋体" w:eastAsia="宋体" w:hint="default"/>
                <w:sz w:val="20"/>
                <w:szCs w:val="20"/>
              </w:rPr>
              <w:t>下降</w:t>
            </w:r>
            <w:r>
              <w:rPr>
                <w:rFonts w:ascii="Times New Roman" w:hAnsi="Times New Roman" w:cs="Times New Roman" w:eastAsia="Times New Roman" w:hint="default"/>
                <w:sz w:val="20"/>
                <w:szCs w:val="20"/>
              </w:rPr>
              <w:t>)</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6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因权益证券投资价格上升</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2,334,375.00</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3,036,842.98</w:t>
            </w:r>
          </w:p>
        </w:tc>
      </w:tr>
      <w:tr>
        <w:trPr>
          <w:trHeight w:val="343" w:hRule="exact"/>
        </w:trPr>
        <w:tc>
          <w:tcPr>
            <w:tcW w:w="6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因权益证券投资价格下降</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(2,334,375.00)</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(3,036,842.98)</w:t>
            </w:r>
          </w:p>
        </w:tc>
      </w:tr>
    </w:tbl>
    <w:p>
      <w:pPr>
        <w:pStyle w:val="BodyText"/>
        <w:spacing w:line="240" w:lineRule="auto" w:before="10"/>
        <w:ind w:left="694"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1.2</w:t>
      </w:r>
      <w:r>
        <w:rPr>
          <w:u w:val="single" w:color="000000"/>
        </w:rPr>
        <w:t>信用风险</w:t>
      </w:r>
      <w:r>
        <w:rPr/>
      </w:r>
    </w:p>
    <w:p>
      <w:pPr>
        <w:pStyle w:val="BodyText"/>
        <w:spacing w:line="309" w:lineRule="auto" w:before="63"/>
        <w:ind w:right="1131" w:firstLine="506"/>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日，可能引起本集团财务损失的最大信用风险敞口主要来自于合同另一方未能履行义务而导致本集团金</w:t>
      </w:r>
      <w:r>
        <w:rPr/>
        <w:t> </w:t>
      </w:r>
      <w:r>
        <w:rPr>
          <w:spacing w:val="-2"/>
        </w:rPr>
        <w:t>融资产产生的损失，具体包括合并资产负债表中已确认的金融资产的账面金额；对于以公允价值计量的金融工具而言，账面</w:t>
      </w:r>
      <w:r>
        <w:rPr>
          <w:spacing w:val="-66"/>
        </w:rPr>
        <w:t> </w:t>
      </w:r>
      <w:r>
        <w:rPr>
          <w:spacing w:val="-66"/>
        </w:rPr>
      </w:r>
      <w:r>
        <w:rPr/>
        <w:t>价值反映了其风险敞口，但并非最大风险敞口，其最大风险敞口将随着未来公允价值的变化而改变。</w:t>
      </w:r>
    </w:p>
    <w:p>
      <w:pPr>
        <w:pStyle w:val="BodyText"/>
        <w:spacing w:line="314" w:lineRule="auto" w:before="24"/>
        <w:ind w:right="1131" w:firstLine="380"/>
        <w:jc w:val="both"/>
      </w:pPr>
      <w:r>
        <w:rPr/>
        <w:t>对于应收票据及应收账款、其他应收款，本集团设定相关政策以控制信用风险敞口。本集团基于对客户的财务状况、</w:t>
      </w:r>
      <w:r>
        <w:rPr>
          <w:spacing w:val="1"/>
        </w:rPr>
        <w:t> </w:t>
      </w:r>
      <w:r>
        <w:rPr>
          <w:spacing w:val="-2"/>
        </w:rPr>
        <w:t>从第三方获取担保的可能性、信用记录及其它因素诸如目前市场状况等评估客户的信用资质并设置相应信用期。本集团会定</w:t>
      </w:r>
      <w:r>
        <w:rPr>
          <w:spacing w:val="-64"/>
        </w:rPr>
        <w:t> </w:t>
      </w:r>
      <w:r>
        <w:rPr>
          <w:spacing w:val="-64"/>
        </w:rPr>
      </w:r>
      <w:r>
        <w:rPr>
          <w:spacing w:val="-2"/>
        </w:rPr>
        <w:t>期对客户信用记录进行监控，对于信用记录不良的客户，本集团会采用书面催款、缩短信用期或取消信用期等方式，以确保</w:t>
      </w:r>
      <w:r>
        <w:rPr>
          <w:spacing w:val="-66"/>
        </w:rPr>
        <w:t> </w:t>
      </w:r>
      <w:r>
        <w:rPr>
          <w:spacing w:val="-66"/>
        </w:rPr>
      </w:r>
      <w:r>
        <w:rPr>
          <w:spacing w:val="4"/>
        </w:rPr>
        <w:t>本集团的整体信用风险在可控的范围内。截止</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日，本集团的前五大客户的应收账款占本集团应收账款总额</w:t>
      </w:r>
      <w:r>
        <w:rPr>
          <w:spacing w:val="-73"/>
        </w:rPr>
        <w:t> </w:t>
      </w:r>
      <w:r>
        <w:rPr>
          <w:spacing w:val="-73"/>
        </w:rPr>
      </w:r>
      <w:r>
        <w:rPr>
          <w:rFonts w:ascii="Times New Roman" w:hAnsi="Times New Roman" w:cs="Times New Roman" w:eastAsia="Times New Roman" w:hint="default"/>
        </w:rPr>
        <w:t>37.35%(2017</w:t>
      </w:r>
      <w:r>
        <w:rPr/>
        <w:t>年：</w:t>
      </w:r>
      <w:r>
        <w:rPr>
          <w:rFonts w:ascii="Times New Roman" w:hAnsi="Times New Roman" w:cs="Times New Roman" w:eastAsia="Times New Roman" w:hint="default"/>
        </w:rPr>
        <w:t>21.52%)</w:t>
      </w:r>
      <w:r>
        <w:rPr/>
        <w:t>。</w:t>
      </w:r>
    </w:p>
    <w:p>
      <w:pPr>
        <w:pStyle w:val="BodyText"/>
        <w:spacing w:line="240" w:lineRule="auto" w:before="1"/>
        <w:ind w:left="534" w:right="0"/>
        <w:jc w:val="left"/>
      </w:pPr>
      <w:r>
        <w:rPr/>
        <w:t>本集团货币资金仅存放于信用等级较高的银行，故货币资金信用风险较低。</w:t>
      </w:r>
    </w:p>
    <w:p>
      <w:pPr>
        <w:pStyle w:val="BodyText"/>
        <w:spacing w:line="300" w:lineRule="auto" w:before="76"/>
        <w:ind w:left="534" w:right="1192" w:hanging="21"/>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1.3</w:t>
      </w:r>
      <w:r>
        <w:rPr>
          <w:u w:val="single" w:color="000000"/>
        </w:rPr>
        <w:t>流动风险</w:t>
      </w:r>
      <w:r>
        <w:rPr/>
      </w:r>
      <w:r>
        <w:rPr/>
        <w:t> 管理流动风险时，本集团保持管理层认为充分的现金及现金等价物并对其进行监控，以满足本集团经营需要，并降低</w:t>
      </w:r>
    </w:p>
    <w:p>
      <w:pPr>
        <w:pStyle w:val="BodyText"/>
        <w:spacing w:line="316" w:lineRule="auto" w:before="31"/>
        <w:ind w:left="574" w:right="4932" w:hanging="420"/>
        <w:jc w:val="left"/>
      </w:pPr>
      <w:r>
        <w:rPr/>
        <w:t>现金流量波动的影响。 本集团持有的金融负债按未折现剩余合同义务的到期期限分析如下：</w:t>
      </w:r>
    </w:p>
    <w:p>
      <w:pPr>
        <w:pStyle w:val="BodyText"/>
        <w:spacing w:line="240" w:lineRule="auto" w:before="19"/>
        <w:ind w:left="0" w:right="1555"/>
        <w:jc w:val="right"/>
      </w:pPr>
      <w:r>
        <w:rPr/>
        <w:t>人民币元</w:t>
      </w:r>
    </w:p>
    <w:p>
      <w:pPr>
        <w:spacing w:line="240" w:lineRule="auto" w:before="0"/>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2169"/>
        <w:gridCol w:w="1895"/>
        <w:gridCol w:w="1868"/>
        <w:gridCol w:w="2025"/>
        <w:gridCol w:w="1702"/>
      </w:tblGrid>
      <w:tr>
        <w:trPr>
          <w:trHeight w:val="342" w:hRule="exact"/>
        </w:trPr>
        <w:tc>
          <w:tcPr>
            <w:tcW w:w="216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75"/>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7490"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期末余额</w:t>
            </w:r>
          </w:p>
        </w:tc>
      </w:tr>
      <w:tr>
        <w:trPr>
          <w:trHeight w:val="341" w:hRule="exact"/>
        </w:trPr>
        <w:tc>
          <w:tcPr>
            <w:tcW w:w="2169" w:type="dxa"/>
            <w:vMerge/>
            <w:tcBorders>
              <w:left w:val="single" w:sz="4" w:space="0" w:color="000000"/>
              <w:bottom w:val="single" w:sz="4" w:space="0" w:color="000000"/>
              <w:right w:val="single" w:sz="4" w:space="0" w:color="000000"/>
            </w:tcBorders>
            <w:shd w:val="clear" w:color="auto" w:fill="D9D9D9"/>
          </w:tcPr>
          <w:p>
            <w:pPr/>
          </w:p>
        </w:tc>
        <w:tc>
          <w:tcPr>
            <w:tcW w:w="18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59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8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至</w:t>
            </w:r>
            <w:r>
              <w:rPr>
                <w:rFonts w:ascii="Times New Roman" w:hAnsi="Times New Roman" w:cs="Times New Roman" w:eastAsia="Times New Roman" w:hint="default"/>
                <w:sz w:val="20"/>
                <w:szCs w:val="20"/>
              </w:rPr>
              <w:t>2</w:t>
            </w:r>
            <w:r>
              <w:rPr>
                <w:rFonts w:ascii="宋体" w:hAnsi="宋体" w:cs="宋体" w:eastAsia="宋体" w:hint="default"/>
                <w:sz w:val="20"/>
                <w:szCs w:val="20"/>
              </w:rPr>
              <w:t>年</w:t>
            </w:r>
          </w:p>
        </w:tc>
        <w:tc>
          <w:tcPr>
            <w:tcW w:w="20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至</w:t>
            </w:r>
            <w:r>
              <w:rPr>
                <w:rFonts w:ascii="Times New Roman" w:hAnsi="Times New Roman" w:cs="Times New Roman" w:eastAsia="Times New Roman" w:hint="default"/>
                <w:sz w:val="20"/>
                <w:szCs w:val="20"/>
              </w:rPr>
              <w:t>3</w:t>
            </w:r>
            <w:r>
              <w:rPr>
                <w:rFonts w:ascii="宋体" w:hAnsi="宋体" w:cs="宋体" w:eastAsia="宋体" w:hint="default"/>
                <w:sz w:val="20"/>
                <w:szCs w:val="20"/>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49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年以上</w:t>
            </w:r>
          </w:p>
        </w:tc>
      </w:tr>
      <w:tr>
        <w:trPr>
          <w:trHeight w:val="343" w:hRule="exact"/>
        </w:trPr>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应付票据及应付账款</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20"/>
                <w:szCs w:val="20"/>
              </w:rPr>
            </w:pPr>
            <w:r>
              <w:rPr>
                <w:rFonts w:ascii="Times New Roman"/>
                <w:spacing w:val="-1"/>
                <w:sz w:val="20"/>
              </w:rPr>
              <w:t>80,058,709.02</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20"/>
                <w:szCs w:val="20"/>
              </w:rPr>
            </w:pPr>
            <w:r>
              <w:rPr>
                <w:rFonts w:ascii="Times New Roman"/>
                <w:w w:val="100"/>
                <w:sz w:val="20"/>
              </w:rPr>
              <w:t>-</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20"/>
                <w:szCs w:val="20"/>
              </w:rPr>
            </w:pPr>
            <w:r>
              <w:rPr>
                <w:rFonts w:ascii="Times New Roman"/>
                <w:w w:val="100"/>
                <w:sz w:val="20"/>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20"/>
                <w:szCs w:val="20"/>
              </w:rPr>
            </w:pPr>
            <w:r>
              <w:rPr>
                <w:rFonts w:ascii="Times New Roman"/>
                <w:w w:val="100"/>
                <w:sz w:val="20"/>
              </w:rPr>
              <w:t>-</w:t>
            </w:r>
          </w:p>
        </w:tc>
      </w:tr>
      <w:tr>
        <w:trPr>
          <w:trHeight w:val="342" w:hRule="exact"/>
        </w:trPr>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181,835,463.95</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w w:val="100"/>
                <w:sz w:val="20"/>
              </w:rPr>
              <w:t>-</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100"/>
                <w:sz w:val="20"/>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w w:val="100"/>
                <w:sz w:val="20"/>
              </w:rPr>
              <w:t>-</w:t>
            </w:r>
          </w:p>
        </w:tc>
      </w:tr>
      <w:tr>
        <w:trPr>
          <w:trHeight w:val="342" w:hRule="exact"/>
        </w:trPr>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261,894,172.97</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w w:val="100"/>
                <w:sz w:val="20"/>
              </w:rPr>
              <w:t>-</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100"/>
                <w:sz w:val="20"/>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w w:val="100"/>
                <w:sz w:val="20"/>
              </w:rPr>
              <w:t>-</w:t>
            </w:r>
          </w:p>
        </w:tc>
      </w:tr>
    </w:tbl>
    <w:p>
      <w:pPr>
        <w:spacing w:line="240" w:lineRule="auto" w:before="11"/>
        <w:rPr>
          <w:rFonts w:ascii="宋体" w:hAnsi="宋体" w:cs="宋体" w:eastAsia="宋体" w:hint="default"/>
          <w:sz w:val="23"/>
          <w:szCs w:val="23"/>
        </w:rPr>
      </w:pPr>
    </w:p>
    <w:tbl>
      <w:tblPr>
        <w:tblW w:w="0" w:type="auto"/>
        <w:jc w:val="left"/>
        <w:tblInd w:w="137" w:type="dxa"/>
        <w:tblLayout w:type="fixed"/>
        <w:tblCellMar>
          <w:top w:w="0" w:type="dxa"/>
          <w:left w:w="0" w:type="dxa"/>
          <w:bottom w:w="0" w:type="dxa"/>
          <w:right w:w="0" w:type="dxa"/>
        </w:tblCellMar>
        <w:tblLook w:val="01E0"/>
      </w:tblPr>
      <w:tblGrid>
        <w:gridCol w:w="2169"/>
        <w:gridCol w:w="1895"/>
        <w:gridCol w:w="1868"/>
        <w:gridCol w:w="2025"/>
        <w:gridCol w:w="1702"/>
      </w:tblGrid>
      <w:tr>
        <w:trPr>
          <w:trHeight w:val="347" w:hRule="exact"/>
        </w:trPr>
        <w:tc>
          <w:tcPr>
            <w:tcW w:w="2169"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8"/>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7490" w:type="dxa"/>
            <w:gridSpan w:val="4"/>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347" w:hRule="exact"/>
        </w:trPr>
        <w:tc>
          <w:tcPr>
            <w:tcW w:w="2169" w:type="dxa"/>
            <w:vMerge/>
            <w:tcBorders>
              <w:left w:val="single" w:sz="6" w:space="0" w:color="000000"/>
              <w:bottom w:val="single" w:sz="6" w:space="0" w:color="000000"/>
              <w:right w:val="single" w:sz="6" w:space="0" w:color="000000"/>
            </w:tcBorders>
            <w:shd w:val="clear" w:color="auto" w:fill="D9D9D9"/>
          </w:tcPr>
          <w:p>
            <w:pPr/>
          </w:p>
        </w:tc>
        <w:tc>
          <w:tcPr>
            <w:tcW w:w="18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59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8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至</w:t>
            </w:r>
            <w:r>
              <w:rPr>
                <w:rFonts w:ascii="Times New Roman" w:hAnsi="Times New Roman" w:cs="Times New Roman" w:eastAsia="Times New Roman" w:hint="default"/>
                <w:sz w:val="20"/>
                <w:szCs w:val="20"/>
              </w:rPr>
              <w:t>2</w:t>
            </w:r>
            <w:r>
              <w:rPr>
                <w:rFonts w:ascii="宋体" w:hAnsi="宋体" w:cs="宋体" w:eastAsia="宋体" w:hint="default"/>
                <w:sz w:val="20"/>
                <w:szCs w:val="20"/>
              </w:rPr>
              <w:t>年</w:t>
            </w:r>
          </w:p>
        </w:tc>
        <w:tc>
          <w:tcPr>
            <w:tcW w:w="20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至</w:t>
            </w:r>
            <w:r>
              <w:rPr>
                <w:rFonts w:ascii="Times New Roman" w:hAnsi="Times New Roman" w:cs="Times New Roman" w:eastAsia="Times New Roman" w:hint="default"/>
                <w:sz w:val="20"/>
                <w:szCs w:val="20"/>
              </w:rPr>
              <w:t>3</w:t>
            </w:r>
            <w:r>
              <w:rPr>
                <w:rFonts w:ascii="宋体" w:hAnsi="宋体" w:cs="宋体" w:eastAsia="宋体" w:hint="default"/>
                <w:sz w:val="20"/>
                <w:szCs w:val="20"/>
              </w:rPr>
              <w:t>年</w:t>
            </w: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49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年以上</w:t>
            </w:r>
          </w:p>
        </w:tc>
      </w:tr>
      <w:tr>
        <w:trPr>
          <w:trHeight w:val="347" w:hRule="exact"/>
        </w:trPr>
        <w:tc>
          <w:tcPr>
            <w:tcW w:w="2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应付票据及应付账款</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53,782,732.64</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100"/>
                <w:sz w:val="20"/>
              </w:rPr>
              <w:t>-</w:t>
            </w:r>
          </w:p>
        </w:tc>
        <w:tc>
          <w:tcPr>
            <w:tcW w:w="2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100"/>
                <w:sz w:val="20"/>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100"/>
                <w:sz w:val="20"/>
              </w:rPr>
              <w:t>-</w:t>
            </w:r>
          </w:p>
        </w:tc>
      </w:tr>
      <w:tr>
        <w:trPr>
          <w:trHeight w:val="348" w:hRule="exact"/>
        </w:trPr>
        <w:tc>
          <w:tcPr>
            <w:tcW w:w="2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102,532,554.99</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100"/>
                <w:sz w:val="20"/>
              </w:rPr>
              <w:t>-</w:t>
            </w:r>
          </w:p>
        </w:tc>
        <w:tc>
          <w:tcPr>
            <w:tcW w:w="2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100"/>
                <w:sz w:val="20"/>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100"/>
                <w:sz w:val="20"/>
              </w:rPr>
              <w:t>-</w:t>
            </w:r>
          </w:p>
        </w:tc>
      </w:tr>
      <w:tr>
        <w:trPr>
          <w:trHeight w:val="347" w:hRule="exact"/>
        </w:trPr>
        <w:tc>
          <w:tcPr>
            <w:tcW w:w="2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18,375.13</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w w:val="100"/>
                <w:sz w:val="20"/>
              </w:rPr>
              <w:t>-</w:t>
            </w:r>
          </w:p>
        </w:tc>
        <w:tc>
          <w:tcPr>
            <w:tcW w:w="2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w w:val="100"/>
                <w:sz w:val="20"/>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w w:val="100"/>
                <w:sz w:val="20"/>
              </w:rPr>
              <w:t>-</w:t>
            </w:r>
          </w:p>
        </w:tc>
      </w:tr>
      <w:tr>
        <w:trPr>
          <w:trHeight w:val="347" w:hRule="exact"/>
        </w:trPr>
        <w:tc>
          <w:tcPr>
            <w:tcW w:w="2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20,123,306.30</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100"/>
                <w:sz w:val="20"/>
              </w:rPr>
              <w:t>-</w:t>
            </w:r>
          </w:p>
        </w:tc>
        <w:tc>
          <w:tcPr>
            <w:tcW w:w="2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100"/>
                <w:sz w:val="20"/>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100"/>
                <w:sz w:val="20"/>
              </w:rPr>
              <w:t>-</w:t>
            </w:r>
          </w:p>
        </w:tc>
      </w:tr>
      <w:tr>
        <w:trPr>
          <w:trHeight w:val="348" w:hRule="exact"/>
        </w:trPr>
        <w:tc>
          <w:tcPr>
            <w:tcW w:w="2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176,456,969.06</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100"/>
                <w:sz w:val="20"/>
              </w:rPr>
              <w:t>-</w:t>
            </w:r>
          </w:p>
        </w:tc>
        <w:tc>
          <w:tcPr>
            <w:tcW w:w="2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100"/>
                <w:sz w:val="20"/>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100"/>
                <w:sz w:val="20"/>
              </w:rPr>
              <w:t>-</w:t>
            </w:r>
          </w:p>
        </w:tc>
      </w:tr>
    </w:tbl>
    <w:p>
      <w:pPr>
        <w:spacing w:after="0" w:line="240" w:lineRule="auto"/>
        <w:jc w:val="right"/>
        <w:rPr>
          <w:rFonts w:ascii="Times New Roman" w:hAnsi="Times New Roman" w:cs="Times New Roman" w:eastAsia="Times New Roman" w:hint="default"/>
          <w:sz w:val="20"/>
          <w:szCs w:val="20"/>
        </w:rPr>
        <w:sectPr>
          <w:pgSz w:w="11910" w:h="16840"/>
          <w:pgMar w:header="0"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十一、公允价值的披露" w:id="369"/>
      <w:bookmarkEnd w:id="369"/>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以公允价值计量的资产和负债的期末公允价值" w:id="370"/>
      <w:bookmarkEnd w:id="370"/>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009"/>
        <w:gridCol w:w="1862"/>
        <w:gridCol w:w="1937"/>
        <w:gridCol w:w="1937"/>
        <w:gridCol w:w="1939"/>
      </w:tblGrid>
      <w:tr>
        <w:trPr>
          <w:trHeight w:val="206" w:hRule="exact"/>
        </w:trPr>
        <w:tc>
          <w:tcPr>
            <w:tcW w:w="20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675"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96" w:hRule="exact"/>
        </w:trPr>
        <w:tc>
          <w:tcPr>
            <w:tcW w:w="20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7675" w:type="dxa"/>
            <w:gridSpan w:val="4"/>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009" w:type="dxa"/>
            <w:vMerge/>
            <w:tcBorders>
              <w:left w:val="single" w:sz="4" w:space="0" w:color="000000"/>
              <w:bottom w:val="nil" w:sz="6" w:space="0" w:color="auto"/>
              <w:right w:val="single" w:sz="4" w:space="0" w:color="000000"/>
            </w:tcBorders>
            <w:shd w:val="clear" w:color="auto" w:fill="D2D2D2"/>
          </w:tcPr>
          <w:p>
            <w:pPr/>
          </w:p>
        </w:tc>
        <w:tc>
          <w:tcPr>
            <w:tcW w:w="18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3"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3"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6" w:hRule="exact"/>
        </w:trPr>
        <w:tc>
          <w:tcPr>
            <w:tcW w:w="20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862"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c>
          <w:tcPr>
            <w:tcW w:w="193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03" w:right="0"/>
              <w:jc w:val="left"/>
              <w:rPr>
                <w:rFonts w:ascii="Times New Roman" w:hAnsi="Times New Roman" w:cs="Times New Roman" w:eastAsia="Times New Roman" w:hint="default"/>
                <w:sz w:val="18"/>
                <w:szCs w:val="18"/>
              </w:rPr>
            </w:pPr>
            <w:r>
              <w:rPr>
                <w:rFonts w:ascii="Times New Roman"/>
                <w:sz w:val="18"/>
              </w:rPr>
              <w:t>--</w:t>
            </w:r>
          </w:p>
        </w:tc>
        <w:tc>
          <w:tcPr>
            <w:tcW w:w="1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0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（二）可供出售金融资产</w:t>
            </w:r>
          </w:p>
        </w:tc>
        <w:tc>
          <w:tcPr>
            <w:tcW w:w="1862" w:type="dxa"/>
            <w:tcBorders>
              <w:top w:val="single" w:sz="4" w:space="0" w:color="000000"/>
              <w:left w:val="single" w:sz="13" w:space="0" w:color="D2D2D2"/>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0" w:right="0"/>
              <w:jc w:val="left"/>
              <w:rPr>
                <w:rFonts w:ascii="Times New Roman" w:hAnsi="Times New Roman" w:cs="Times New Roman" w:eastAsia="Times New Roman" w:hint="default"/>
                <w:sz w:val="18"/>
                <w:szCs w:val="18"/>
              </w:rPr>
            </w:pPr>
            <w:r>
              <w:rPr>
                <w:rFonts w:ascii="Times New Roman"/>
                <w:sz w:val="18"/>
              </w:rPr>
              <w:t>62,250,000.00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1" w:right="0"/>
              <w:jc w:val="left"/>
              <w:rPr>
                <w:rFonts w:ascii="Times New Roman" w:hAnsi="Times New Roman" w:cs="Times New Roman" w:eastAsia="Times New Roman" w:hint="default"/>
                <w:sz w:val="18"/>
                <w:szCs w:val="18"/>
              </w:rPr>
            </w:pPr>
            <w:r>
              <w:rPr>
                <w:rFonts w:ascii="Times New Roman"/>
                <w:sz w:val="18"/>
              </w:rPr>
              <w:t>62,250,000.00</w:t>
            </w:r>
          </w:p>
        </w:tc>
      </w:tr>
      <w:tr>
        <w:trPr>
          <w:trHeight w:val="162" w:hRule="exact"/>
        </w:trPr>
        <w:tc>
          <w:tcPr>
            <w:tcW w:w="20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62" w:type="dxa"/>
            <w:vMerge w:val="restart"/>
            <w:tcBorders>
              <w:top w:val="single" w:sz="4" w:space="0" w:color="000000"/>
              <w:left w:val="single" w:sz="9" w:space="0" w:color="D2D2D2"/>
              <w:right w:val="single" w:sz="4" w:space="0" w:color="000000"/>
            </w:tcBorders>
          </w:tcPr>
          <w:p>
            <w:pPr/>
          </w:p>
        </w:tc>
        <w:tc>
          <w:tcPr>
            <w:tcW w:w="1937" w:type="dxa"/>
            <w:vMerge w:val="restart"/>
            <w:tcBorders>
              <w:top w:val="single" w:sz="4" w:space="0" w:color="000000"/>
              <w:left w:val="single" w:sz="4" w:space="0" w:color="000000"/>
              <w:right w:val="single" w:sz="4" w:space="0" w:color="000000"/>
            </w:tcBorders>
          </w:tcPr>
          <w:p>
            <w:pPr/>
          </w:p>
        </w:tc>
        <w:tc>
          <w:tcPr>
            <w:tcW w:w="19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70" w:right="0"/>
              <w:jc w:val="left"/>
              <w:rPr>
                <w:rFonts w:ascii="Times New Roman" w:hAnsi="Times New Roman" w:cs="Times New Roman" w:eastAsia="Times New Roman" w:hint="default"/>
                <w:sz w:val="18"/>
                <w:szCs w:val="18"/>
              </w:rPr>
            </w:pPr>
            <w:r>
              <w:rPr>
                <w:rFonts w:ascii="Times New Roman"/>
                <w:sz w:val="18"/>
              </w:rPr>
              <w:t>62,250,000.00</w:t>
            </w:r>
          </w:p>
        </w:tc>
        <w:tc>
          <w:tcPr>
            <w:tcW w:w="19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71" w:right="0"/>
              <w:jc w:val="left"/>
              <w:rPr>
                <w:rFonts w:ascii="Times New Roman" w:hAnsi="Times New Roman" w:cs="Times New Roman" w:eastAsia="Times New Roman" w:hint="default"/>
                <w:sz w:val="18"/>
                <w:szCs w:val="18"/>
              </w:rPr>
            </w:pPr>
            <w:r>
              <w:rPr>
                <w:rFonts w:ascii="Times New Roman"/>
                <w:sz w:val="18"/>
              </w:rPr>
              <w:t>62,250,000.00</w:t>
            </w:r>
          </w:p>
        </w:tc>
      </w:tr>
      <w:tr>
        <w:trPr>
          <w:trHeight w:val="391" w:hRule="exact"/>
        </w:trPr>
        <w:tc>
          <w:tcPr>
            <w:tcW w:w="20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62" w:type="dxa"/>
            <w:vMerge/>
            <w:tcBorders>
              <w:left w:val="single" w:sz="9" w:space="0" w:color="D2D2D2"/>
              <w:right w:val="single" w:sz="4" w:space="0" w:color="000000"/>
            </w:tcBorders>
          </w:tcPr>
          <w:p>
            <w:pPr/>
          </w:p>
        </w:tc>
        <w:tc>
          <w:tcPr>
            <w:tcW w:w="1937" w:type="dxa"/>
            <w:vMerge/>
            <w:tcBorders>
              <w:left w:val="single" w:sz="4" w:space="0" w:color="000000"/>
              <w:right w:val="single" w:sz="4" w:space="0" w:color="000000"/>
            </w:tcBorders>
          </w:tcPr>
          <w:p>
            <w:pPr/>
          </w:p>
        </w:tc>
        <w:tc>
          <w:tcPr>
            <w:tcW w:w="1937" w:type="dxa"/>
            <w:vMerge/>
            <w:tcBorders>
              <w:left w:val="single" w:sz="4" w:space="0" w:color="000000"/>
              <w:right w:val="single" w:sz="4" w:space="0" w:color="000000"/>
            </w:tcBorders>
          </w:tcPr>
          <w:p>
            <w:pPr/>
          </w:p>
        </w:tc>
        <w:tc>
          <w:tcPr>
            <w:tcW w:w="1939" w:type="dxa"/>
            <w:vMerge/>
            <w:tcBorders>
              <w:left w:val="single" w:sz="4" w:space="0" w:color="000000"/>
              <w:right w:val="single" w:sz="4" w:space="0" w:color="000000"/>
            </w:tcBorders>
          </w:tcPr>
          <w:p>
            <w:pPr/>
          </w:p>
        </w:tc>
      </w:tr>
      <w:tr>
        <w:trPr>
          <w:trHeight w:val="161" w:hRule="exact"/>
        </w:trPr>
        <w:tc>
          <w:tcPr>
            <w:tcW w:w="20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862" w:type="dxa"/>
            <w:vMerge/>
            <w:tcBorders>
              <w:left w:val="single" w:sz="9" w:space="0" w:color="D2D2D2"/>
              <w:bottom w:val="single" w:sz="4" w:space="0" w:color="000000"/>
              <w:right w:val="single" w:sz="4" w:space="0" w:color="000000"/>
            </w:tcBorders>
          </w:tcPr>
          <w:p>
            <w:pPr/>
          </w:p>
        </w:tc>
        <w:tc>
          <w:tcPr>
            <w:tcW w:w="1937" w:type="dxa"/>
            <w:vMerge/>
            <w:tcBorders>
              <w:left w:val="single" w:sz="4" w:space="0" w:color="000000"/>
              <w:bottom w:val="single" w:sz="4" w:space="0" w:color="000000"/>
              <w:right w:val="single" w:sz="4" w:space="0" w:color="000000"/>
            </w:tcBorders>
          </w:tcPr>
          <w:p>
            <w:pPr/>
          </w:p>
        </w:tc>
        <w:tc>
          <w:tcPr>
            <w:tcW w:w="1937" w:type="dxa"/>
            <w:vMerge/>
            <w:tcBorders>
              <w:left w:val="single" w:sz="4" w:space="0" w:color="000000"/>
              <w:bottom w:val="single" w:sz="4" w:space="0" w:color="000000"/>
              <w:right w:val="single" w:sz="4" w:space="0" w:color="000000"/>
            </w:tcBorders>
          </w:tcPr>
          <w:p>
            <w:pPr/>
          </w:p>
        </w:tc>
        <w:tc>
          <w:tcPr>
            <w:tcW w:w="1939" w:type="dxa"/>
            <w:vMerge/>
            <w:tcBorders>
              <w:left w:val="single" w:sz="4" w:space="0" w:color="000000"/>
              <w:bottom w:val="single" w:sz="4" w:space="0" w:color="000000"/>
              <w:right w:val="single" w:sz="4" w:space="0" w:color="000000"/>
            </w:tcBorders>
          </w:tcPr>
          <w:p>
            <w:pPr/>
          </w:p>
        </w:tc>
      </w:tr>
      <w:tr>
        <w:trPr>
          <w:trHeight w:val="161" w:hRule="exact"/>
        </w:trPr>
        <w:tc>
          <w:tcPr>
            <w:tcW w:w="20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21"/>
              <w:jc w:val="left"/>
              <w:rPr>
                <w:rFonts w:ascii="宋体" w:hAnsi="宋体" w:cs="宋体" w:eastAsia="宋体" w:hint="default"/>
                <w:sz w:val="18"/>
                <w:szCs w:val="18"/>
              </w:rPr>
            </w:pPr>
            <w:r>
              <w:rPr>
                <w:rFonts w:ascii="宋体" w:hAnsi="宋体" w:cs="宋体" w:eastAsia="宋体" w:hint="default"/>
                <w:spacing w:val="-2"/>
                <w:sz w:val="18"/>
                <w:szCs w:val="18"/>
              </w:rPr>
              <w:t>二、非持续的公允价值计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量</w:t>
            </w:r>
          </w:p>
        </w:tc>
        <w:tc>
          <w:tcPr>
            <w:tcW w:w="18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3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009" w:type="dxa"/>
            <w:vMerge/>
            <w:tcBorders>
              <w:left w:val="single" w:sz="4" w:space="0" w:color="000000"/>
              <w:right w:val="single" w:sz="4" w:space="0" w:color="000000"/>
            </w:tcBorders>
            <w:shd w:val="clear" w:color="auto" w:fill="D2D2D2"/>
          </w:tcPr>
          <w:p>
            <w:pPr/>
          </w:p>
        </w:tc>
        <w:tc>
          <w:tcPr>
            <w:tcW w:w="18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903" w:right="0"/>
              <w:jc w:val="left"/>
              <w:rPr>
                <w:rFonts w:ascii="Times New Roman" w:hAnsi="Times New Roman" w:cs="Times New Roman" w:eastAsia="Times New Roman" w:hint="default"/>
                <w:sz w:val="18"/>
                <w:szCs w:val="18"/>
              </w:rPr>
            </w:pPr>
            <w:r>
              <w:rPr>
                <w:rFonts w:ascii="Times New Roman"/>
                <w:sz w:val="18"/>
              </w:rPr>
              <w:t>--</w:t>
            </w:r>
          </w:p>
        </w:tc>
        <w:tc>
          <w:tcPr>
            <w:tcW w:w="19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903"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2009"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39"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持续和非持续第一层次公允价值计量项目市价的确定依据" w:id="371"/>
      <w:bookmarkEnd w:id="371"/>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持续和非持续第二层次公允价值计量项目，采用的估值技术和重要参数的定性及定量信" w:id="372"/>
      <w:bookmarkEnd w:id="372"/>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持续和非持续第三层次公允价值计量项目，采用的估值技术和重要参数的定性及定量信" w:id="373"/>
      <w:bookmarkEnd w:id="373"/>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411"/>
        <w:jc w:val="right"/>
      </w:pPr>
      <w:r>
        <w:rPr/>
        <w:t>单位：元</w:t>
      </w: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2355"/>
        <w:gridCol w:w="2560"/>
        <w:gridCol w:w="2372"/>
        <w:gridCol w:w="2372"/>
      </w:tblGrid>
      <w:tr>
        <w:trPr>
          <w:trHeight w:val="347" w:hRule="exact"/>
        </w:trPr>
        <w:tc>
          <w:tcPr>
            <w:tcW w:w="2355"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金融资产</w:t>
            </w:r>
          </w:p>
        </w:tc>
        <w:tc>
          <w:tcPr>
            <w:tcW w:w="2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公允价值</w:t>
            </w:r>
          </w:p>
        </w:tc>
        <w:tc>
          <w:tcPr>
            <w:tcW w:w="237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估值技术</w:t>
            </w:r>
          </w:p>
        </w:tc>
        <w:tc>
          <w:tcPr>
            <w:tcW w:w="237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29" w:right="0"/>
              <w:jc w:val="left"/>
              <w:rPr>
                <w:rFonts w:ascii="宋体" w:hAnsi="宋体" w:cs="宋体" w:eastAsia="宋体" w:hint="default"/>
                <w:sz w:val="18"/>
                <w:szCs w:val="18"/>
              </w:rPr>
            </w:pPr>
            <w:r>
              <w:rPr>
                <w:rFonts w:ascii="宋体" w:hAnsi="宋体" w:cs="宋体" w:eastAsia="宋体" w:hint="default"/>
                <w:sz w:val="18"/>
                <w:szCs w:val="18"/>
              </w:rPr>
              <w:t>主要输入值</w:t>
            </w:r>
          </w:p>
        </w:tc>
      </w:tr>
      <w:tr>
        <w:trPr>
          <w:trHeight w:val="347" w:hRule="exact"/>
        </w:trPr>
        <w:tc>
          <w:tcPr>
            <w:tcW w:w="2355" w:type="dxa"/>
            <w:vMerge/>
            <w:tcBorders>
              <w:left w:val="single" w:sz="6" w:space="0" w:color="000000"/>
              <w:bottom w:val="single" w:sz="6" w:space="0" w:color="000000"/>
              <w:right w:val="single" w:sz="6" w:space="0" w:color="000000"/>
            </w:tcBorders>
            <w:shd w:val="clear" w:color="auto" w:fill="D9D9D9"/>
          </w:tcPr>
          <w:p>
            <w:pPr/>
          </w:p>
        </w:tc>
        <w:tc>
          <w:tcPr>
            <w:tcW w:w="2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6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372" w:type="dxa"/>
            <w:vMerge/>
            <w:tcBorders>
              <w:left w:val="single" w:sz="6" w:space="0" w:color="000000"/>
              <w:bottom w:val="single" w:sz="6" w:space="0" w:color="000000"/>
              <w:right w:val="single" w:sz="6" w:space="0" w:color="000000"/>
            </w:tcBorders>
            <w:shd w:val="clear" w:color="auto" w:fill="D9D9D9"/>
          </w:tcPr>
          <w:p>
            <w:pPr/>
          </w:p>
        </w:tc>
        <w:tc>
          <w:tcPr>
            <w:tcW w:w="2372" w:type="dxa"/>
            <w:vMerge/>
            <w:tcBorders>
              <w:left w:val="single" w:sz="6" w:space="0" w:color="000000"/>
              <w:bottom w:val="single" w:sz="6" w:space="0" w:color="000000"/>
              <w:right w:val="single" w:sz="6" w:space="0" w:color="000000"/>
            </w:tcBorders>
            <w:shd w:val="clear" w:color="auto" w:fill="D9D9D9"/>
          </w:tcPr>
          <w:p>
            <w:pPr/>
          </w:p>
        </w:tc>
      </w:tr>
      <w:tr>
        <w:trPr>
          <w:trHeight w:val="660" w:hRule="exact"/>
        </w:trPr>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8"/>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可供出售金融资产</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权益性投 </w:t>
            </w:r>
            <w:r>
              <w:rPr>
                <w:rFonts w:ascii="宋体" w:hAnsi="宋体" w:cs="宋体" w:eastAsia="宋体" w:hint="default"/>
                <w:sz w:val="18"/>
                <w:szCs w:val="18"/>
              </w:rPr>
              <w:t>资</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32,850,000.00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市场乘数法</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可比公司市盈率；</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流动性折扣</w:t>
            </w:r>
          </w:p>
        </w:tc>
      </w:tr>
      <w:tr>
        <w:trPr>
          <w:trHeight w:val="659" w:hRule="exact"/>
        </w:trPr>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8"/>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可供出售金融资产</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权益性投 </w:t>
            </w:r>
            <w:r>
              <w:rPr>
                <w:rFonts w:ascii="宋体" w:hAnsi="宋体" w:cs="宋体" w:eastAsia="宋体" w:hint="default"/>
                <w:sz w:val="18"/>
                <w:szCs w:val="18"/>
              </w:rPr>
              <w:t>资</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29,400,000.00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最近一次股权交易价格</w:t>
            </w:r>
          </w:p>
        </w:tc>
        <w:tc>
          <w:tcPr>
            <w:tcW w:w="237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07" w:lineRule="auto" w:before="10"/>
        <w:ind w:right="0" w:firstLine="360"/>
        <w:jc w:val="left"/>
      </w:pPr>
      <w:r>
        <w:rPr/>
        <w:t>注</w:t>
      </w:r>
      <w:r>
        <w:rPr>
          <w:rFonts w:ascii="Times New Roman" w:hAnsi="Times New Roman" w:cs="Times New Roman" w:eastAsia="Times New Roman" w:hint="default"/>
        </w:rPr>
        <w:t>1</w:t>
      </w:r>
      <w:r>
        <w:rPr/>
        <w:t>：本公司聘请中联资产评估集团有限公司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中联资产</w:t>
      </w:r>
      <w:r>
        <w:rPr>
          <w:rFonts w:ascii="Times New Roman" w:hAnsi="Times New Roman" w:cs="Times New Roman" w:eastAsia="Times New Roman" w:hint="default"/>
        </w:rPr>
        <w:t>”)</w:t>
      </w:r>
      <w:r>
        <w:rPr/>
        <w:t>对被投资单位的公允价值进行了评估。于</w:t>
      </w:r>
      <w:r>
        <w:rPr>
          <w:rFonts w:ascii="Times New Roman" w:hAnsi="Times New Roman" w:cs="Times New Roman" w:eastAsia="Times New Roman" w:hint="default"/>
        </w:rPr>
        <w:t>2017</w:t>
      </w:r>
      <w:r>
        <w:rPr/>
        <w:t>年度 </w:t>
      </w:r>
      <w:r>
        <w:rPr>
          <w:spacing w:val="-2"/>
        </w:rPr>
        <w:t>及之前，被投资单位系新三板挂牌公司且存在活跃市场，以交易价格作为第一层次公允价值确认依据。于</w:t>
      </w:r>
      <w:r>
        <w:rPr>
          <w:rFonts w:ascii="Times New Roman" w:hAnsi="Times New Roman" w:cs="Times New Roman" w:eastAsia="Times New Roman" w:hint="default"/>
          <w:spacing w:val="-2"/>
        </w:rPr>
        <w:t>2018</w:t>
      </w:r>
      <w:r>
        <w:rPr>
          <w:spacing w:val="-2"/>
        </w:rPr>
        <w:t>年度，被投资</w:t>
      </w:r>
      <w:r>
        <w:rPr>
          <w:spacing w:val="-62"/>
        </w:rPr>
        <w:t> </w:t>
      </w:r>
      <w:r>
        <w:rPr>
          <w:spacing w:val="-62"/>
        </w:rPr>
      </w:r>
      <w:r>
        <w:rPr>
          <w:spacing w:val="-2"/>
        </w:rPr>
        <w:t>单位停牌且无交易发生，中联资产选取市场乘数法对其股权价值进行评估，评估价值系参考了相同或类似行业市盈率并考虑</w:t>
      </w:r>
      <w:r>
        <w:rPr>
          <w:spacing w:val="-64"/>
        </w:rPr>
        <w:t> </w:t>
      </w:r>
      <w:r>
        <w:rPr>
          <w:spacing w:val="-64"/>
        </w:rPr>
      </w:r>
      <w:r>
        <w:rPr/>
        <w:t>了流动性折扣的调整。</w:t>
      </w:r>
    </w:p>
    <w:p>
      <w:pPr>
        <w:pStyle w:val="BodyText"/>
        <w:spacing w:line="309" w:lineRule="auto" w:before="26"/>
        <w:ind w:right="0" w:firstLine="360"/>
        <w:jc w:val="left"/>
      </w:pPr>
      <w:r>
        <w:rPr>
          <w:spacing w:val="-2"/>
        </w:rPr>
        <w:t>注</w:t>
      </w:r>
      <w:r>
        <w:rPr>
          <w:rFonts w:ascii="Times New Roman" w:hAnsi="Times New Roman" w:cs="Times New Roman" w:eastAsia="Times New Roman" w:hint="default"/>
          <w:spacing w:val="-2"/>
        </w:rPr>
        <w:t>2</w:t>
      </w:r>
      <w:r>
        <w:rPr>
          <w:spacing w:val="-2"/>
        </w:rPr>
        <w:t>：本公司聘请中联资产对被投资单位的公允价值进行了评估。被投资单位于资产负债表日之前发生了股权交易行为，</w:t>
      </w:r>
      <w:r>
        <w:rPr/>
        <w:t> </w:t>
      </w:r>
      <w:r>
        <w:rPr>
          <w:spacing w:val="-2"/>
        </w:rPr>
        <w:t>考虑到交易价格的公允性以及交易日至资产负债表日，被投资单位经营情况并未发生重大变化，因此以该次交易价格作为其</w:t>
      </w:r>
      <w:r>
        <w:rPr>
          <w:spacing w:val="-64"/>
        </w:rPr>
        <w:t> </w:t>
      </w:r>
      <w:r>
        <w:rPr>
          <w:spacing w:val="-64"/>
        </w:rPr>
      </w:r>
      <w:r>
        <w:rPr/>
        <w:t>公允价值确认依据。</w:t>
      </w:r>
    </w:p>
    <w:p>
      <w:pPr>
        <w:spacing w:after="0" w:line="309" w:lineRule="auto"/>
        <w:jc w:val="left"/>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5、持续的第三层次公允价值计量项目，期初与期末账面价值间的调节信息及不可观察参数" w:id="374"/>
      <w:bookmarkEnd w:id="374"/>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1522"/>
        <w:gridCol w:w="1465"/>
        <w:gridCol w:w="1276"/>
        <w:gridCol w:w="1417"/>
        <w:gridCol w:w="1044"/>
        <w:gridCol w:w="1058"/>
        <w:gridCol w:w="344"/>
        <w:gridCol w:w="343"/>
        <w:gridCol w:w="1189"/>
      </w:tblGrid>
      <w:tr>
        <w:trPr>
          <w:trHeight w:val="658" w:hRule="exact"/>
        </w:trPr>
        <w:tc>
          <w:tcPr>
            <w:tcW w:w="152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465"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276" w:type="dxa"/>
            <w:tcBorders>
              <w:top w:val="single" w:sz="6" w:space="0" w:color="000000"/>
              <w:left w:val="single" w:sz="6" w:space="0" w:color="000000"/>
              <w:bottom w:val="nil" w:sz="6" w:space="0" w:color="auto"/>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转入第</w:t>
            </w:r>
          </w:p>
        </w:tc>
        <w:tc>
          <w:tcPr>
            <w:tcW w:w="2461"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当期利得或损失总额</w:t>
            </w:r>
          </w:p>
        </w:tc>
        <w:tc>
          <w:tcPr>
            <w:tcW w:w="1745"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775" w:right="2" w:hanging="774"/>
              <w:jc w:val="left"/>
              <w:rPr>
                <w:rFonts w:ascii="宋体" w:hAnsi="宋体" w:cs="宋体" w:eastAsia="宋体" w:hint="default"/>
                <w:sz w:val="18"/>
                <w:szCs w:val="18"/>
              </w:rPr>
            </w:pPr>
            <w:r>
              <w:rPr>
                <w:rFonts w:ascii="宋体" w:hAnsi="宋体" w:cs="宋体" w:eastAsia="宋体" w:hint="default"/>
                <w:spacing w:val="-8"/>
                <w:sz w:val="18"/>
                <w:szCs w:val="18"/>
              </w:rPr>
              <w:t>购买、发行、出售和结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算</w:t>
            </w:r>
          </w:p>
        </w:tc>
        <w:tc>
          <w:tcPr>
            <w:tcW w:w="1189"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日</w:t>
            </w:r>
          </w:p>
        </w:tc>
      </w:tr>
      <w:tr>
        <w:trPr>
          <w:trHeight w:val="659" w:hRule="exact"/>
        </w:trPr>
        <w:tc>
          <w:tcPr>
            <w:tcW w:w="1522" w:type="dxa"/>
            <w:vMerge/>
            <w:tcBorders>
              <w:left w:val="single" w:sz="6" w:space="0" w:color="000000"/>
              <w:bottom w:val="single" w:sz="6" w:space="0" w:color="000000"/>
              <w:right w:val="single" w:sz="6" w:space="0" w:color="000000"/>
            </w:tcBorders>
            <w:shd w:val="clear" w:color="auto" w:fill="D9D9D9"/>
          </w:tcPr>
          <w:p>
            <w:pPr/>
          </w:p>
        </w:tc>
        <w:tc>
          <w:tcPr>
            <w:tcW w:w="1465" w:type="dxa"/>
            <w:vMerge/>
            <w:tcBorders>
              <w:left w:val="single" w:sz="6" w:space="0" w:color="000000"/>
              <w:bottom w:val="single" w:sz="6" w:space="0" w:color="000000"/>
              <w:right w:val="single" w:sz="6" w:space="0" w:color="000000"/>
            </w:tcBorders>
            <w:shd w:val="clear" w:color="auto" w:fill="D9D9D9"/>
          </w:tcPr>
          <w:p>
            <w:pPr/>
          </w:p>
        </w:tc>
        <w:tc>
          <w:tcPr>
            <w:tcW w:w="1276"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三层次</w:t>
            </w:r>
          </w:p>
        </w:tc>
        <w:tc>
          <w:tcPr>
            <w:tcW w:w="1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1"/>
              <w:ind w:left="610" w:right="71" w:hanging="540"/>
              <w:jc w:val="left"/>
              <w:rPr>
                <w:rFonts w:ascii="宋体" w:hAnsi="宋体" w:cs="宋体" w:eastAsia="宋体" w:hint="default"/>
                <w:sz w:val="18"/>
                <w:szCs w:val="18"/>
              </w:rPr>
            </w:pPr>
            <w:r>
              <w:rPr>
                <w:rFonts w:ascii="宋体" w:hAnsi="宋体" w:cs="宋体" w:eastAsia="宋体" w:hint="default"/>
                <w:sz w:val="18"/>
                <w:szCs w:val="18"/>
              </w:rPr>
              <w:t>计入其他综合收 益</w:t>
            </w:r>
          </w:p>
        </w:tc>
        <w:tc>
          <w:tcPr>
            <w:tcW w:w="10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1"/>
              <w:ind w:left="423" w:right="65" w:hanging="360"/>
              <w:jc w:val="left"/>
              <w:rPr>
                <w:rFonts w:ascii="宋体" w:hAnsi="宋体" w:cs="宋体" w:eastAsia="宋体" w:hint="default"/>
                <w:sz w:val="18"/>
                <w:szCs w:val="18"/>
              </w:rPr>
            </w:pPr>
            <w:r>
              <w:rPr>
                <w:rFonts w:ascii="宋体" w:hAnsi="宋体" w:cs="宋体" w:eastAsia="宋体" w:hint="default"/>
                <w:sz w:val="18"/>
                <w:szCs w:val="18"/>
              </w:rPr>
              <w:t>当期转入损 益</w:t>
            </w:r>
          </w:p>
        </w:tc>
        <w:tc>
          <w:tcPr>
            <w:tcW w:w="10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3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1"/>
              <w:ind w:left="74" w:right="73"/>
              <w:jc w:val="left"/>
              <w:rPr>
                <w:rFonts w:ascii="宋体" w:hAnsi="宋体" w:cs="宋体" w:eastAsia="宋体" w:hint="default"/>
                <w:sz w:val="18"/>
                <w:szCs w:val="18"/>
              </w:rPr>
            </w:pPr>
            <w:r>
              <w:rPr>
                <w:rFonts w:ascii="宋体" w:hAnsi="宋体" w:cs="宋体" w:eastAsia="宋体" w:hint="default"/>
                <w:sz w:val="18"/>
                <w:szCs w:val="18"/>
              </w:rPr>
              <w:t>出 售</w:t>
            </w:r>
          </w:p>
        </w:tc>
        <w:tc>
          <w:tcPr>
            <w:tcW w:w="3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1"/>
              <w:ind w:left="74" w:right="72"/>
              <w:jc w:val="left"/>
              <w:rPr>
                <w:rFonts w:ascii="宋体" w:hAnsi="宋体" w:cs="宋体" w:eastAsia="宋体" w:hint="default"/>
                <w:sz w:val="18"/>
                <w:szCs w:val="18"/>
              </w:rPr>
            </w:pPr>
            <w:r>
              <w:rPr>
                <w:rFonts w:ascii="宋体" w:hAnsi="宋体" w:cs="宋体" w:eastAsia="宋体" w:hint="default"/>
                <w:sz w:val="18"/>
                <w:szCs w:val="18"/>
              </w:rPr>
              <w:t>结 算</w:t>
            </w:r>
          </w:p>
        </w:tc>
        <w:tc>
          <w:tcPr>
            <w:tcW w:w="1189" w:type="dxa"/>
            <w:vMerge/>
            <w:tcBorders>
              <w:left w:val="single" w:sz="6" w:space="0" w:color="000000"/>
              <w:bottom w:val="single" w:sz="6" w:space="0" w:color="000000"/>
              <w:right w:val="single" w:sz="6" w:space="0" w:color="000000"/>
            </w:tcBorders>
            <w:shd w:val="clear" w:color="auto" w:fill="D9D9D9"/>
          </w:tcPr>
          <w:p>
            <w:pPr/>
          </w:p>
        </w:tc>
      </w:tr>
      <w:tr>
        <w:trPr>
          <w:trHeight w:val="660" w:hRule="exact"/>
        </w:trPr>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03" w:right="1" w:hanging="30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Times New Roman" w:hAnsi="Times New Roman" w:cs="Times New Roman" w:eastAsia="Times New Roman" w:hint="default"/>
                <w:sz w:val="18"/>
                <w:szCs w:val="18"/>
              </w:rPr>
              <w:t>- </w:t>
            </w:r>
            <w:r>
              <w:rPr>
                <w:rFonts w:ascii="宋体" w:hAnsi="宋体" w:cs="宋体" w:eastAsia="宋体" w:hint="default"/>
                <w:sz w:val="18"/>
                <w:szCs w:val="18"/>
              </w:rPr>
              <w:t>权益性投资</w:t>
            </w:r>
          </w:p>
        </w:tc>
        <w:tc>
          <w:tcPr>
            <w:tcW w:w="146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60,742,479.42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-27,892,479.42</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32,850,000.00</w:t>
            </w:r>
          </w:p>
        </w:tc>
      </w:tr>
      <w:tr>
        <w:trPr>
          <w:trHeight w:val="659" w:hRule="exact"/>
        </w:trPr>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03" w:right="1" w:hanging="30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Times New Roman" w:hAnsi="Times New Roman" w:cs="Times New Roman" w:eastAsia="Times New Roman" w:hint="default"/>
                <w:sz w:val="18"/>
                <w:szCs w:val="18"/>
              </w:rPr>
              <w:t>- </w:t>
            </w:r>
            <w:r>
              <w:rPr>
                <w:rFonts w:ascii="宋体" w:hAnsi="宋体" w:cs="宋体" w:eastAsia="宋体" w:hint="default"/>
                <w:sz w:val="18"/>
                <w:szCs w:val="18"/>
              </w:rPr>
              <w:t>权益性投资</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06"/>
              <w:jc w:val="right"/>
              <w:rPr>
                <w:rFonts w:ascii="Times New Roman" w:hAnsi="Times New Roman" w:cs="Times New Roman" w:eastAsia="Times New Roman" w:hint="default"/>
                <w:sz w:val="18"/>
                <w:szCs w:val="18"/>
              </w:rPr>
            </w:pPr>
            <w:r>
              <w:rPr>
                <w:rFonts w:ascii="Times New Roman"/>
                <w:spacing w:val="-1"/>
                <w:sz w:val="18"/>
              </w:rPr>
              <w:t>20,240,000.00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4,960,000.00</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4,200,000.00</w:t>
            </w:r>
          </w:p>
        </w:tc>
        <w:tc>
          <w:tcPr>
            <w:tcW w:w="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29,400,000.00</w:t>
            </w:r>
          </w:p>
        </w:tc>
      </w:tr>
      <w:tr>
        <w:trPr>
          <w:trHeight w:val="347" w:hRule="exact"/>
        </w:trPr>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6"/>
              <w:jc w:val="right"/>
              <w:rPr>
                <w:rFonts w:ascii="Times New Roman" w:hAnsi="Times New Roman" w:cs="Times New Roman" w:eastAsia="Times New Roman" w:hint="default"/>
                <w:sz w:val="18"/>
                <w:szCs w:val="18"/>
              </w:rPr>
            </w:pPr>
            <w:r>
              <w:rPr>
                <w:rFonts w:ascii="Times New Roman"/>
                <w:spacing w:val="-1"/>
                <w:sz w:val="18"/>
              </w:rPr>
              <w:t>20,240,000.00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60,742,479.42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-22,932,479.42</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4,200,000.00</w:t>
            </w:r>
          </w:p>
        </w:tc>
        <w:tc>
          <w:tcPr>
            <w:tcW w:w="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3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62,250,000.00</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6、持续的公允价值计量项目，本期内发生各层级之间转换的，转换的原因及确定转换时点" w:id="375"/>
      <w:bookmarkEnd w:id="375"/>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360"/>
        <w:jc w:val="left"/>
      </w:pPr>
      <w:r>
        <w:rPr>
          <w:spacing w:val="-2"/>
        </w:rPr>
        <w:t>于</w:t>
      </w:r>
      <w:r>
        <w:rPr>
          <w:rFonts w:ascii="Times New Roman" w:hAnsi="Times New Roman" w:cs="Times New Roman" w:eastAsia="Times New Roman" w:hint="default"/>
          <w:spacing w:val="-2"/>
        </w:rPr>
        <w:t>2017</w:t>
      </w:r>
      <w:r>
        <w:rPr>
          <w:spacing w:val="-2"/>
        </w:rPr>
        <w:t>年度及之前，本公司对存在活跃市场的新三板挂牌公司的股权投资于第一层次公允价值计量。于</w:t>
      </w:r>
      <w:r>
        <w:rPr>
          <w:rFonts w:ascii="Times New Roman" w:hAnsi="Times New Roman" w:cs="Times New Roman" w:eastAsia="Times New Roman" w:hint="default"/>
          <w:spacing w:val="-2"/>
        </w:rPr>
        <w:t>2018</w:t>
      </w:r>
      <w:r>
        <w:rPr>
          <w:spacing w:val="-2"/>
        </w:rPr>
        <w:t>年度，被投</w:t>
      </w:r>
      <w:r>
        <w:rPr/>
        <w:t> 资单位停牌且无交易发生，本公司将其转入第三层次公允价值计量，并聘请中联资产对其公允价值进行了评估。</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bookmarkStart w:name="7、本期内发生的估值技术变更及变更原因" w:id="376"/>
      <w:bookmarkEnd w:id="376"/>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8、不以公允价值计量的金融资产和金融负债的公允价值情况" w:id="377"/>
      <w:bookmarkEnd w:id="377"/>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55" w:right="0"/>
        <w:jc w:val="left"/>
      </w:pPr>
      <w:r>
        <w:rPr/>
        <w:t>本集团管理层认为，财务报表中的按摊余成本计量的金融资产及金融负债的账面价值接近该等资产及负债的公允价值。</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9、其他" w:id="378"/>
      <w:bookmarkEnd w:id="378"/>
      <w:r>
        <w:rPr>
          <w:b w:val="0"/>
          <w:bCs w:val="0"/>
        </w:rPr>
      </w: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spacing w:line="506" w:lineRule="auto" w:before="0"/>
        <w:ind w:left="154" w:right="6792" w:firstLine="0"/>
        <w:jc w:val="left"/>
        <w:rPr>
          <w:rFonts w:ascii="宋体" w:hAnsi="宋体" w:cs="宋体" w:eastAsia="宋体" w:hint="default"/>
          <w:sz w:val="18"/>
          <w:szCs w:val="18"/>
        </w:rPr>
      </w:pPr>
      <w:r>
        <w:rPr/>
        <w:pict>
          <v:shape style="position:absolute;margin-left:55.98pt;margin-top:80.735634pt;width:483.7pt;height:51.8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89"/>
                    <w:gridCol w:w="1942"/>
                    <w:gridCol w:w="2022"/>
                    <w:gridCol w:w="2150"/>
                    <w:gridCol w:w="2156"/>
                  </w:tblGrid>
                  <w:tr>
                    <w:trPr>
                      <w:trHeight w:val="342" w:hRule="exact"/>
                    </w:trPr>
                    <w:tc>
                      <w:tcPr>
                        <w:tcW w:w="138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75"/>
                          <w:ind w:left="289" w:right="0"/>
                          <w:jc w:val="left"/>
                          <w:rPr>
                            <w:rFonts w:ascii="宋体" w:hAnsi="宋体" w:cs="宋体" w:eastAsia="宋体" w:hint="default"/>
                            <w:sz w:val="20"/>
                            <w:szCs w:val="20"/>
                          </w:rPr>
                        </w:pPr>
                        <w:r>
                          <w:rPr>
                            <w:rFonts w:ascii="宋体" w:hAnsi="宋体" w:cs="宋体" w:eastAsia="宋体" w:hint="default"/>
                            <w:sz w:val="20"/>
                            <w:szCs w:val="20"/>
                          </w:rPr>
                          <w:t>股东名称</w:t>
                        </w:r>
                      </w:p>
                    </w:tc>
                    <w:tc>
                      <w:tcPr>
                        <w:tcW w:w="396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年末账面</w:t>
                        </w:r>
                      </w:p>
                    </w:tc>
                    <w:tc>
                      <w:tcPr>
                        <w:tcW w:w="430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年初账面</w:t>
                        </w:r>
                      </w:p>
                    </w:tc>
                  </w:tr>
                  <w:tr>
                    <w:trPr>
                      <w:trHeight w:val="342" w:hRule="exact"/>
                    </w:trPr>
                    <w:tc>
                      <w:tcPr>
                        <w:tcW w:w="1389" w:type="dxa"/>
                        <w:vMerge/>
                        <w:tcBorders>
                          <w:left w:val="single" w:sz="4" w:space="0" w:color="000000"/>
                          <w:bottom w:val="single" w:sz="4" w:space="0" w:color="000000"/>
                          <w:right w:val="single" w:sz="4" w:space="0" w:color="000000"/>
                        </w:tcBorders>
                        <w:shd w:val="clear" w:color="auto" w:fill="D9D9D9"/>
                      </w:tcPr>
                      <w:p>
                        <w:pPr/>
                      </w:p>
                    </w:tc>
                    <w:tc>
                      <w:tcPr>
                        <w:tcW w:w="1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0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605" w:right="0"/>
                          <w:jc w:val="left"/>
                          <w:rPr>
                            <w:rFonts w:ascii="宋体" w:hAnsi="宋体" w:cs="宋体" w:eastAsia="宋体" w:hint="default"/>
                            <w:sz w:val="20"/>
                            <w:szCs w:val="20"/>
                          </w:rPr>
                        </w:pPr>
                        <w:r>
                          <w:rPr>
                            <w:rFonts w:ascii="宋体" w:hAnsi="宋体" w:cs="宋体" w:eastAsia="宋体" w:hint="default"/>
                            <w:sz w:val="20"/>
                            <w:szCs w:val="20"/>
                          </w:rPr>
                          <w:t>持股比例</w:t>
                        </w:r>
                      </w:p>
                    </w:tc>
                    <w:tc>
                      <w:tcPr>
                        <w:tcW w:w="21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869"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21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673" w:right="0"/>
                          <w:jc w:val="left"/>
                          <w:rPr>
                            <w:rFonts w:ascii="宋体" w:hAnsi="宋体" w:cs="宋体" w:eastAsia="宋体" w:hint="default"/>
                            <w:sz w:val="20"/>
                            <w:szCs w:val="20"/>
                          </w:rPr>
                        </w:pPr>
                        <w:r>
                          <w:rPr>
                            <w:rFonts w:ascii="宋体" w:hAnsi="宋体" w:cs="宋体" w:eastAsia="宋体" w:hint="default"/>
                            <w:sz w:val="20"/>
                            <w:szCs w:val="20"/>
                          </w:rPr>
                          <w:t>持股比例</w:t>
                        </w:r>
                      </w:p>
                    </w:tc>
                  </w:tr>
                  <w:tr>
                    <w:trPr>
                      <w:trHeight w:val="343"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88" w:right="0"/>
                          <w:jc w:val="left"/>
                          <w:rPr>
                            <w:rFonts w:ascii="宋体" w:hAnsi="宋体" w:cs="宋体" w:eastAsia="宋体" w:hint="default"/>
                            <w:sz w:val="20"/>
                            <w:szCs w:val="20"/>
                          </w:rPr>
                        </w:pPr>
                        <w:r>
                          <w:rPr>
                            <w:rFonts w:ascii="宋体" w:hAnsi="宋体" w:cs="宋体" w:eastAsia="宋体" w:hint="default"/>
                            <w:sz w:val="20"/>
                            <w:szCs w:val="20"/>
                          </w:rPr>
                          <w:t>李小龙</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76" w:right="0"/>
                          <w:jc w:val="left"/>
                          <w:rPr>
                            <w:rFonts w:ascii="Times New Roman" w:hAnsi="Times New Roman" w:cs="Times New Roman" w:eastAsia="Times New Roman" w:hint="default"/>
                            <w:sz w:val="20"/>
                            <w:szCs w:val="20"/>
                          </w:rPr>
                        </w:pPr>
                        <w:r>
                          <w:rPr>
                            <w:rFonts w:ascii="Times New Roman"/>
                            <w:sz w:val="20"/>
                          </w:rPr>
                          <w:t>136,894,273.00</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17.22%</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5" w:right="0"/>
                          <w:jc w:val="left"/>
                          <w:rPr>
                            <w:rFonts w:ascii="Times New Roman" w:hAnsi="Times New Roman" w:cs="Times New Roman" w:eastAsia="Times New Roman" w:hint="default"/>
                            <w:sz w:val="20"/>
                            <w:szCs w:val="20"/>
                          </w:rPr>
                        </w:pPr>
                        <w:r>
                          <w:rPr>
                            <w:rFonts w:ascii="Times New Roman"/>
                            <w:sz w:val="20"/>
                          </w:rPr>
                          <w:t>139,894,273.00</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17.77%</w:t>
                        </w:r>
                      </w:p>
                    </w:tc>
                  </w:tr>
                </w:tbl>
                <w:p>
                  <w:pPr/>
                </w:p>
              </w:txbxContent>
            </v:textbox>
            <w10:wrap type="none"/>
          </v:shape>
        </w:pict>
      </w:r>
      <w:bookmarkStart w:name="十二、关联方及关联交易" w:id="379"/>
      <w:bookmarkEnd w:id="379"/>
      <w:r>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bookmarkStart w:name="1、本企业的母公司情况" w:id="380"/>
      <w:bookmarkEnd w:id="380"/>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99"/>
          <w:sz w:val="21"/>
          <w:szCs w:val="21"/>
        </w:rPr>
        <w:t> </w:t>
      </w:r>
      <w:r>
        <w:rPr>
          <w:rFonts w:ascii="宋体" w:hAnsi="宋体" w:cs="宋体" w:eastAsia="宋体" w:hint="default"/>
          <w:sz w:val="18"/>
          <w:szCs w:val="18"/>
        </w:rPr>
        <w:t>本企业的母公司情况的说明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right="0"/>
        <w:jc w:val="left"/>
      </w:pPr>
      <w:r>
        <w:rPr/>
        <w:t>本企业最终控制方是李小龙。</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本企业的子公司情况" w:id="381"/>
      <w:bookmarkEnd w:id="381"/>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本企业子公司的情况详见附注九、</w:t>
      </w:r>
      <w:r>
        <w:rPr>
          <w:rFonts w:ascii="Times New Roman" w:hAnsi="Times New Roman" w:cs="Times New Roman" w:eastAsia="Times New Roman" w:hint="default"/>
        </w:rPr>
        <w:t>1.</w:t>
      </w:r>
      <w:r>
        <w:rPr/>
        <w:t>在子公司中的权益。</w:t>
      </w:r>
    </w:p>
    <w:p>
      <w:pPr>
        <w:spacing w:after="0" w:line="240" w:lineRule="auto"/>
        <w:jc w:val="left"/>
        <w:sectPr>
          <w:pgSz w:w="11910" w:h="16840"/>
          <w:pgMar w:header="0"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bookmarkStart w:name="3、本企业合营和联营企业情况" w:id="382"/>
      <w:bookmarkEnd w:id="382"/>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292"/>
        <w:jc w:val="left"/>
      </w:pPr>
      <w:r>
        <w:rPr/>
        <w:t>本企业重要的合营或联营企业详见附注七、</w:t>
      </w:r>
      <w:r>
        <w:rPr>
          <w:rFonts w:ascii="Times New Roman" w:hAnsi="Times New Roman" w:cs="Times New Roman" w:eastAsia="Times New Roman" w:hint="default"/>
        </w:rPr>
        <w:t>8.</w:t>
      </w:r>
      <w:r>
        <w:rPr/>
        <w:t>长期股权投资。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北京企飞力网络科技有限公司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本公司之子公司企业通信公司投资之联营公司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北京创新为营网络通信科技有限公司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本公司之子公司企业通信公司投资之联营公司</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其他关联方情况" w:id="383"/>
      <w:bookmarkEnd w:id="383"/>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5、关联交易情况" w:id="384"/>
      <w:bookmarkEnd w:id="384"/>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购销商品、提供和接受劳务的关联交易" w:id="385"/>
      <w:bookmarkEnd w:id="38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创新为营</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427,828.12</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771,485.68</w:t>
            </w: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企飞力</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1,073,980.48</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617,769.36</w:t>
            </w:r>
          </w:p>
        </w:tc>
      </w:tr>
      <w:tr>
        <w:trPr>
          <w:trHeight w:val="403"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1,501,808.60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1,389,255.04</w:t>
            </w: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企飞力</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13,449,328.17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11,919,742.39</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创新为营</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11,154,990.29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11,159,934.76</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易美云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70,754.72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24,604,318.46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23,150,431.87</w:t>
            </w:r>
          </w:p>
        </w:tc>
      </w:tr>
    </w:tbl>
    <w:p>
      <w:pPr>
        <w:pStyle w:val="BodyText"/>
        <w:spacing w:line="240" w:lineRule="auto" w:before="51"/>
        <w:ind w:right="0"/>
        <w:jc w:val="left"/>
      </w:pPr>
      <w:r>
        <w:rPr/>
        <w:t>购销商品、提供和接受劳务的关联交易说明</w:t>
      </w:r>
    </w:p>
    <w:p>
      <w:pPr>
        <w:pStyle w:val="BodyText"/>
        <w:spacing w:line="300" w:lineRule="auto" w:before="116"/>
        <w:ind w:left="514" w:right="2562"/>
        <w:jc w:val="left"/>
      </w:pPr>
      <w:r>
        <w:rPr/>
        <w:t>注</w:t>
      </w:r>
      <w:r>
        <w:rPr>
          <w:rFonts w:ascii="Times New Roman" w:hAnsi="Times New Roman" w:cs="Times New Roman" w:eastAsia="Times New Roman" w:hint="default"/>
        </w:rPr>
        <w:t>1</w:t>
      </w:r>
      <w:r>
        <w:rPr/>
        <w:t>：创新为营、企飞力为本公司之子公司企业通信提供邮箱代理业务，企业通信向其支付代理费。 注</w:t>
      </w:r>
      <w:r>
        <w:rPr>
          <w:rFonts w:ascii="Times New Roman" w:hAnsi="Times New Roman" w:cs="Times New Roman" w:eastAsia="Times New Roman" w:hint="default"/>
        </w:rPr>
        <w:t>2</w:t>
      </w:r>
      <w:r>
        <w:rPr/>
        <w:t>：易美云已于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月注销。</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2）关联受托管理/承包及委托管理/出包情况" w:id="386"/>
      <w:bookmarkEnd w:id="386"/>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3）关联租赁情况" w:id="387"/>
      <w:bookmarkEnd w:id="387"/>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关联担保情况" w:id="388"/>
      <w:bookmarkEnd w:id="388"/>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5）关联方资金拆借" w:id="389"/>
      <w:bookmarkEnd w:id="389"/>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关联方资产转让、债务重组情况" w:id="390"/>
      <w:bookmarkEnd w:id="390"/>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关键管理人员报酬" w:id="391"/>
      <w:bookmarkEnd w:id="391"/>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10,839,321.00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12,539,066.00</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8）其他关联交易" w:id="392"/>
      <w:bookmarkEnd w:id="392"/>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关联方应收应付款项" w:id="393"/>
      <w:bookmarkEnd w:id="393"/>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项目" w:id="394"/>
      <w:bookmarkEnd w:id="394"/>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企飞力</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25,454.51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创新为营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应付项目" w:id="395"/>
      <w:bookmarkEnd w:id="395"/>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企飞力</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17,717,571.72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16,645,374.73</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创新为营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12,096,372.07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10,211,110.56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创新为营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2,999.68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76.39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关联方承诺" w:id="396"/>
      <w:bookmarkEnd w:id="396"/>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8、其他" w:id="397"/>
      <w:bookmarkEnd w:id="397"/>
      <w:r>
        <w:rPr>
          <w:b w:val="0"/>
          <w:bCs w:val="0"/>
        </w:rPr>
      </w:r>
      <w:r>
        <w:rPr>
          <w:rFonts w:ascii="Times New Roman" w:hAnsi="Times New Roman" w:cs="Times New Roman" w:eastAsia="Times New Roman" w:hint="default"/>
        </w:rPr>
        <w:t>8</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三、股份支付" w:id="398"/>
      <w:bookmarkEnd w:id="398"/>
      <w:r>
        <w:rPr>
          <w:b w:val="0"/>
          <w:bCs w:val="0"/>
        </w:rPr>
      </w:r>
      <w:r>
        <w:rPr/>
        <w:t>十三、股份支付</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股份支付总体情况" w:id="399"/>
      <w:bookmarkEnd w:id="399"/>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16,259,140.00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421,440.00</w:t>
            </w:r>
          </w:p>
        </w:tc>
      </w:tr>
      <w:tr>
        <w:trPr>
          <w:trHeight w:val="1339"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、行权价格</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7.65</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股，其中：</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期权剩余期限为</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50%</w:t>
            </w:r>
            <w:r>
              <w:rPr>
                <w:rFonts w:ascii="宋体" w:hAnsi="宋体" w:cs="宋体" w:eastAsia="宋体" w:hint="default"/>
                <w:sz w:val="18"/>
                <w:szCs w:val="18"/>
              </w:rPr>
              <w:t>期权剩余期限为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w:t>
            </w:r>
            <w:r>
              <w:rPr>
                <w:rFonts w:ascii="宋体" w:hAnsi="宋体" w:cs="宋体" w:eastAsia="宋体" w:hint="default"/>
                <w:sz w:val="18"/>
                <w:szCs w:val="18"/>
              </w:rPr>
              <w:t>、行权价格</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5.10 </w:t>
            </w: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股，其中：</w:t>
            </w:r>
            <w:r>
              <w:rPr>
                <w:rFonts w:ascii="Times New Roman" w:hAnsi="Times New Roman" w:cs="Times New Roman" w:eastAsia="Times New Roman" w:hint="default"/>
                <w:spacing w:val="-7"/>
                <w:sz w:val="18"/>
                <w:szCs w:val="18"/>
              </w:rPr>
              <w:t>50%</w:t>
            </w:r>
            <w:r>
              <w:rPr>
                <w:rFonts w:ascii="宋体" w:hAnsi="宋体" w:cs="宋体" w:eastAsia="宋体" w:hint="default"/>
                <w:spacing w:val="-7"/>
                <w:sz w:val="18"/>
                <w:szCs w:val="18"/>
              </w:rPr>
              <w:t>期权剩余期限为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3"/>
                <w:sz w:val="18"/>
                <w:szCs w:val="18"/>
              </w:rPr>
              <w:t> </w:t>
            </w:r>
            <w:r>
              <w:rPr>
                <w:rFonts w:ascii="宋体" w:hAnsi="宋体" w:cs="宋体" w:eastAsia="宋体" w:hint="default"/>
                <w:spacing w:val="-9"/>
                <w:sz w:val="18"/>
                <w:szCs w:val="18"/>
              </w:rPr>
              <w:t>个月，</w:t>
            </w:r>
            <w:r>
              <w:rPr>
                <w:rFonts w:ascii="Times New Roman" w:hAnsi="Times New Roman" w:cs="Times New Roman" w:eastAsia="Times New Roman" w:hint="default"/>
                <w:spacing w:val="-9"/>
                <w:sz w:val="18"/>
                <w:szCs w:val="18"/>
              </w:rPr>
              <w:t>50%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期权剩余期限为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bl>
    <w:p>
      <w:pPr>
        <w:pStyle w:val="BodyText"/>
        <w:spacing w:line="357" w:lineRule="auto" w:before="51"/>
        <w:ind w:right="1003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以权益结算的股份支付情况" w:id="400"/>
      <w:bookmarkEnd w:id="400"/>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本公司采用布莱克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斯科尔期权定价模型（</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模型）确定</w:t>
            </w:r>
          </w:p>
        </w:tc>
      </w:tr>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128"/>
              <w:jc w:val="left"/>
              <w:rPr>
                <w:rFonts w:ascii="宋体" w:hAnsi="宋体" w:cs="宋体" w:eastAsia="宋体" w:hint="default"/>
                <w:sz w:val="18"/>
                <w:szCs w:val="18"/>
              </w:rPr>
            </w:pPr>
            <w:r>
              <w:rPr>
                <w:rFonts w:ascii="宋体" w:hAnsi="宋体" w:cs="宋体" w:eastAsia="宋体" w:hint="default"/>
                <w:sz w:val="18"/>
                <w:szCs w:val="18"/>
              </w:rPr>
              <w:t>本公司采用获授限制性股票</w:t>
            </w:r>
            <w:r>
              <w:rPr>
                <w:rFonts w:ascii="Times New Roman" w:hAnsi="Times New Roman" w:cs="Times New Roman" w:eastAsia="Times New Roman" w:hint="default"/>
                <w:sz w:val="18"/>
                <w:szCs w:val="18"/>
              </w:rPr>
              <w:t>/</w:t>
            </w:r>
            <w:r>
              <w:rPr>
                <w:rFonts w:ascii="宋体" w:hAnsi="宋体" w:cs="宋体" w:eastAsia="宋体" w:hint="default"/>
                <w:sz w:val="18"/>
                <w:szCs w:val="18"/>
              </w:rPr>
              <w:t>期权额度基数与解锁</w:t>
            </w:r>
            <w:r>
              <w:rPr>
                <w:rFonts w:ascii="Times New Roman" w:hAnsi="Times New Roman" w:cs="Times New Roman" w:eastAsia="Times New Roman" w:hint="default"/>
                <w:sz w:val="18"/>
                <w:szCs w:val="18"/>
              </w:rPr>
              <w:t>/</w:t>
            </w:r>
            <w:r>
              <w:rPr>
                <w:rFonts w:ascii="宋体" w:hAnsi="宋体" w:cs="宋体" w:eastAsia="宋体" w:hint="default"/>
                <w:sz w:val="18"/>
                <w:szCs w:val="18"/>
              </w:rPr>
              <w:t>可行权 安排中相应每期解锁比例确定</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18,226,790.64</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5,920,800.00</w:t>
            </w:r>
          </w:p>
        </w:tc>
      </w:tr>
    </w:tbl>
    <w:p>
      <w:pPr>
        <w:pStyle w:val="BodyText"/>
        <w:spacing w:line="240" w:lineRule="auto" w:before="51"/>
        <w:ind w:right="0"/>
        <w:jc w:val="left"/>
      </w:pPr>
      <w:r>
        <w:rPr/>
        <w:t>其他说明</w:t>
      </w:r>
    </w:p>
    <w:p>
      <w:pPr>
        <w:pStyle w:val="BodyText"/>
        <w:spacing w:line="240" w:lineRule="auto" w:before="116"/>
        <w:ind w:left="514" w:right="0"/>
        <w:jc w:val="left"/>
      </w:pPr>
      <w:r>
        <w:rPr>
          <w:rFonts w:ascii="Times New Roman" w:hAnsi="Times New Roman" w:cs="Times New Roman" w:eastAsia="Times New Roman" w:hint="default"/>
        </w:rPr>
        <w:t>1</w:t>
      </w:r>
      <w:r>
        <w:rPr/>
        <w:t>、总体情况</w:t>
      </w:r>
    </w:p>
    <w:p>
      <w:pPr>
        <w:pStyle w:val="BodyText"/>
        <w:spacing w:line="300" w:lineRule="auto" w:before="63"/>
        <w:ind w:left="551" w:right="1118" w:hanging="38"/>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1.1</w:t>
      </w:r>
      <w:r>
        <w:rPr>
          <w:rFonts w:ascii="Times New Roman" w:hAnsi="Times New Roman" w:cs="Times New Roman" w:eastAsia="Times New Roman" w:hint="default"/>
          <w:spacing w:val="28"/>
          <w:u w:val="single" w:color="000000"/>
        </w:rPr>
        <w:t> </w:t>
      </w:r>
      <w:r>
        <w:rPr>
          <w:u w:val="single" w:color="000000"/>
        </w:rPr>
        <w:t>限制性股票</w:t>
      </w:r>
      <w:r>
        <w:rPr/>
      </w:r>
      <w:r>
        <w:rPr/>
        <w:t> 根据公司</w:t>
      </w:r>
      <w:r>
        <w:rPr>
          <w:rFonts w:ascii="Times New Roman" w:hAnsi="Times New Roman" w:cs="Times New Roman" w:eastAsia="Times New Roman" w:hint="default"/>
        </w:rPr>
        <w:t>2017</w:t>
      </w:r>
      <w:r>
        <w:rPr/>
        <w:t>年第五届董事会第二十九次会议、第五届监事会第十九次会议及</w:t>
      </w:r>
      <w:r>
        <w:rPr>
          <w:rFonts w:ascii="Times New Roman" w:hAnsi="Times New Roman" w:cs="Times New Roman" w:eastAsia="Times New Roman" w:hint="default"/>
        </w:rPr>
        <w:t>2017</w:t>
      </w:r>
      <w:r>
        <w:rPr/>
        <w:t>年第三次临时股东大会审议通过的</w:t>
      </w:r>
    </w:p>
    <w:p>
      <w:pPr>
        <w:pStyle w:val="BodyText"/>
        <w:spacing w:line="240" w:lineRule="auto" w:before="13"/>
        <w:ind w:right="0"/>
        <w:jc w:val="left"/>
      </w:pPr>
      <w:r>
        <w:rPr/>
        <w:t>《</w:t>
      </w:r>
      <w:r>
        <w:rPr>
          <w:rFonts w:ascii="Times New Roman" w:hAnsi="Times New Roman" w:cs="Times New Roman" w:eastAsia="Times New Roman" w:hint="default"/>
        </w:rPr>
        <w:t>2017</w:t>
      </w:r>
      <w:r>
        <w:rPr/>
        <w:t>年限制性股票激励计划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“2017</w:t>
      </w:r>
      <w:r>
        <w:rPr/>
        <w:t>年度激励计划</w:t>
      </w:r>
      <w:r>
        <w:rPr>
          <w:rFonts w:ascii="Times New Roman" w:hAnsi="Times New Roman" w:cs="Times New Roman" w:eastAsia="Times New Roman" w:hint="default"/>
        </w:rPr>
        <w:t>”)</w:t>
      </w:r>
      <w:r>
        <w:rPr/>
        <w:t>及其摘要等议案审议，公司以每股人民币</w:t>
      </w:r>
      <w:r>
        <w:rPr>
          <w:rFonts w:ascii="Times New Roman" w:hAnsi="Times New Roman" w:cs="Times New Roman" w:eastAsia="Times New Roman" w:hint="default"/>
        </w:rPr>
        <w:t>4.20</w:t>
      </w:r>
      <w:r>
        <w:rPr/>
        <w:t>元向</w:t>
      </w:r>
      <w:r>
        <w:rPr>
          <w:rFonts w:ascii="Times New Roman" w:hAnsi="Times New Roman" w:cs="Times New Roman" w:eastAsia="Times New Roman" w:hint="default"/>
        </w:rPr>
        <w:t>9</w:t>
      </w:r>
      <w:r>
        <w:rPr/>
        <w:t>名</w:t>
      </w:r>
    </w:p>
    <w:p>
      <w:pPr>
        <w:spacing w:after="0" w:line="240" w:lineRule="auto"/>
        <w:jc w:val="left"/>
        <w:sectPr>
          <w:pgSz w:w="11910" w:h="16840"/>
          <w:pgMar w:header="0"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left="781" w:right="1131" w:hanging="308"/>
        <w:jc w:val="left"/>
      </w:pPr>
      <w:r>
        <w:rPr/>
        <w:t>激励对象授予</w:t>
      </w:r>
      <w:r>
        <w:rPr>
          <w:rFonts w:ascii="Times New Roman" w:hAnsi="Times New Roman" w:cs="Times New Roman" w:eastAsia="Times New Roman" w:hint="default"/>
        </w:rPr>
        <w:t>380</w:t>
      </w:r>
      <w:r>
        <w:rPr/>
        <w:t>万股限制性股票。 </w:t>
      </w:r>
      <w:r>
        <w:rPr>
          <w:spacing w:val="-1"/>
        </w:rPr>
        <w:t>根据公司</w:t>
      </w:r>
      <w:r>
        <w:rPr>
          <w:rFonts w:ascii="Times New Roman" w:hAnsi="Times New Roman" w:cs="Times New Roman" w:eastAsia="Times New Roman" w:hint="default"/>
          <w:spacing w:val="-1"/>
        </w:rPr>
        <w:t>2018</w:t>
      </w:r>
      <w:r>
        <w:rPr>
          <w:spacing w:val="-1"/>
        </w:rPr>
        <w:t>年第六届董事会第三次会议及</w:t>
      </w:r>
      <w:r>
        <w:rPr>
          <w:rFonts w:ascii="Times New Roman" w:hAnsi="Times New Roman" w:cs="Times New Roman" w:eastAsia="Times New Roman" w:hint="default"/>
          <w:spacing w:val="-1"/>
        </w:rPr>
        <w:t>2018</w:t>
      </w:r>
      <w:r>
        <w:rPr>
          <w:spacing w:val="-1"/>
        </w:rPr>
        <w:t>年第四次临时股东大会审议通过的《</w:t>
      </w:r>
      <w:r>
        <w:rPr>
          <w:rFonts w:ascii="Times New Roman" w:hAnsi="Times New Roman" w:cs="Times New Roman" w:eastAsia="Times New Roman" w:hint="default"/>
          <w:spacing w:val="-1"/>
        </w:rPr>
        <w:t>2018</w:t>
      </w:r>
      <w:r>
        <w:rPr>
          <w:spacing w:val="-1"/>
        </w:rPr>
        <w:t>年限制性股票与股票期权激励</w:t>
      </w:r>
    </w:p>
    <w:p>
      <w:pPr>
        <w:pStyle w:val="BodyText"/>
        <w:spacing w:line="240" w:lineRule="auto" w:before="13"/>
        <w:ind w:left="474" w:right="1131"/>
        <w:jc w:val="left"/>
      </w:pPr>
      <w:r>
        <w:rPr/>
        <w:t>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》等议案</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“2018</w:t>
      </w:r>
      <w:r>
        <w:rPr/>
        <w:t>年度激励计划</w:t>
      </w:r>
      <w:r>
        <w:rPr>
          <w:rFonts w:ascii="Times New Roman" w:hAnsi="Times New Roman" w:cs="Times New Roman" w:eastAsia="Times New Roman" w:hint="default"/>
        </w:rPr>
        <w:t>”)</w:t>
      </w:r>
      <w:r>
        <w:rPr/>
        <w:t>，公司以每股人民币</w:t>
      </w:r>
      <w:r>
        <w:rPr>
          <w:rFonts w:ascii="Times New Roman" w:hAnsi="Times New Roman" w:cs="Times New Roman" w:eastAsia="Times New Roman" w:hint="default"/>
        </w:rPr>
        <w:t>2.55</w:t>
      </w:r>
      <w:r>
        <w:rPr/>
        <w:t>元向</w:t>
      </w:r>
      <w:r>
        <w:rPr>
          <w:rFonts w:ascii="Times New Roman" w:hAnsi="Times New Roman" w:cs="Times New Roman" w:eastAsia="Times New Roman" w:hint="default"/>
        </w:rPr>
        <w:t>9</w:t>
      </w:r>
      <w:r>
        <w:rPr/>
        <w:t>名激励对象授予</w:t>
      </w:r>
      <w:r>
        <w:rPr>
          <w:rFonts w:ascii="Times New Roman" w:hAnsi="Times New Roman" w:cs="Times New Roman" w:eastAsia="Times New Roman" w:hint="default"/>
        </w:rPr>
        <w:t>760</w:t>
      </w:r>
      <w:r>
        <w:rPr/>
        <w:t>万股限制性股票。</w:t>
      </w:r>
    </w:p>
    <w:p>
      <w:pPr>
        <w:pStyle w:val="BodyText"/>
        <w:spacing w:line="240" w:lineRule="auto" w:before="63"/>
        <w:ind w:left="943" w:right="1131"/>
        <w:jc w:val="left"/>
      </w:pPr>
      <w:r>
        <w:rPr>
          <w:rFonts w:ascii="Times New Roman" w:hAnsi="Times New Roman" w:cs="Times New Roman" w:eastAsia="Times New Roman" w:hint="default"/>
        </w:rPr>
        <w:t>(1)</w:t>
      </w:r>
      <w:r>
        <w:rPr/>
        <w:t>有关授予的限制性股票的详细信息，列示如下：</w:t>
      </w:r>
    </w:p>
    <w:p>
      <w:pPr>
        <w:spacing w:line="240" w:lineRule="auto" w:before="1"/>
        <w:rPr>
          <w:rFonts w:ascii="宋体" w:hAnsi="宋体" w:cs="宋体" w:eastAsia="宋体" w:hint="default"/>
          <w:sz w:val="4"/>
          <w:szCs w:val="4"/>
        </w:rPr>
      </w:pPr>
    </w:p>
    <w:tbl>
      <w:tblPr>
        <w:tblW w:w="0" w:type="auto"/>
        <w:jc w:val="left"/>
        <w:tblInd w:w="457" w:type="dxa"/>
        <w:tblLayout w:type="fixed"/>
        <w:tblCellMar>
          <w:top w:w="0" w:type="dxa"/>
          <w:left w:w="0" w:type="dxa"/>
          <w:bottom w:w="0" w:type="dxa"/>
          <w:right w:w="0" w:type="dxa"/>
        </w:tblCellMar>
        <w:tblLook w:val="01E0"/>
      </w:tblPr>
      <w:tblGrid>
        <w:gridCol w:w="1178"/>
        <w:gridCol w:w="1170"/>
        <w:gridCol w:w="740"/>
        <w:gridCol w:w="1232"/>
        <w:gridCol w:w="1936"/>
        <w:gridCol w:w="2172"/>
        <w:gridCol w:w="1231"/>
      </w:tblGrid>
      <w:tr>
        <w:trPr>
          <w:trHeight w:val="659" w:hRule="exact"/>
        </w:trPr>
        <w:tc>
          <w:tcPr>
            <w:tcW w:w="1178"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1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授予日</w:t>
            </w:r>
          </w:p>
        </w:tc>
        <w:tc>
          <w:tcPr>
            <w:tcW w:w="7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t>授予数量</w:t>
            </w:r>
          </w:p>
        </w:tc>
        <w:tc>
          <w:tcPr>
            <w:tcW w:w="12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0" w:lineRule="auto" w:before="21"/>
              <w:ind w:left="397" w:right="37"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授予价格</w:t>
            </w:r>
            <w:r>
              <w:rPr>
                <w:rFonts w:ascii="Times New Roman" w:hAnsi="Times New Roman" w:cs="Times New Roman" w:eastAsia="Times New Roman" w:hint="default"/>
                <w:sz w:val="18"/>
                <w:szCs w:val="18"/>
              </w:rPr>
              <w:t>(</w:t>
            </w:r>
            <w:r>
              <w:rPr>
                <w:rFonts w:ascii="宋体" w:hAnsi="宋体" w:cs="宋体" w:eastAsia="宋体" w:hint="default"/>
                <w:sz w:val="18"/>
                <w:szCs w:val="18"/>
              </w:rPr>
              <w:t>人民 币元</w:t>
            </w:r>
            <w:r>
              <w:rPr>
                <w:rFonts w:ascii="Times New Roman" w:hAnsi="Times New Roman" w:cs="Times New Roman" w:eastAsia="Times New Roman" w:hint="default"/>
                <w:sz w:val="18"/>
                <w:szCs w:val="18"/>
              </w:rPr>
              <w:t>)</w:t>
            </w:r>
          </w:p>
        </w:tc>
        <w:tc>
          <w:tcPr>
            <w:tcW w:w="19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锁定期</w:t>
            </w:r>
          </w:p>
        </w:tc>
        <w:tc>
          <w:tcPr>
            <w:tcW w:w="21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17" w:right="0"/>
              <w:jc w:val="left"/>
              <w:rPr>
                <w:rFonts w:ascii="宋体" w:hAnsi="宋体" w:cs="宋体" w:eastAsia="宋体" w:hint="default"/>
                <w:sz w:val="18"/>
                <w:szCs w:val="18"/>
              </w:rPr>
            </w:pPr>
            <w:r>
              <w:rPr>
                <w:rFonts w:ascii="宋体" w:hAnsi="宋体" w:cs="宋体" w:eastAsia="宋体" w:hint="default"/>
                <w:sz w:val="18"/>
                <w:szCs w:val="18"/>
              </w:rPr>
              <w:t>解锁时间</w:t>
            </w:r>
          </w:p>
        </w:tc>
        <w:tc>
          <w:tcPr>
            <w:tcW w:w="12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解锁比例</w:t>
            </w:r>
          </w:p>
        </w:tc>
      </w:tr>
      <w:tr>
        <w:trPr>
          <w:trHeight w:val="1283" w:hRule="exact"/>
        </w:trPr>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年度激励 计划</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p>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3,800,000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4.20/</w:t>
            </w:r>
            <w:r>
              <w:rPr>
                <w:rFonts w:ascii="宋体" w:hAnsi="宋体" w:cs="宋体" w:eastAsia="宋体" w:hint="default"/>
                <w:sz w:val="18"/>
                <w:szCs w:val="18"/>
              </w:rPr>
              <w:t>股</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1"/>
              <w:jc w:val="left"/>
              <w:rPr>
                <w:rFonts w:ascii="宋体" w:hAnsi="宋体" w:cs="宋体" w:eastAsia="宋体" w:hint="default"/>
                <w:sz w:val="18"/>
                <w:szCs w:val="18"/>
              </w:rPr>
            </w:pPr>
            <w:r>
              <w:rPr>
                <w:rFonts w:ascii="宋体" w:hAnsi="宋体" w:cs="宋体" w:eastAsia="宋体" w:hint="default"/>
                <w:spacing w:val="11"/>
                <w:sz w:val="18"/>
                <w:szCs w:val="18"/>
              </w:rPr>
              <w:t>自授予之日起</w:t>
            </w:r>
            <w:r>
              <w:rPr>
                <w:rFonts w:ascii="Times New Roman" w:hAnsi="Times New Roman" w:cs="Times New Roman" w:eastAsia="Times New Roman" w:hint="default"/>
                <w:spacing w:val="11"/>
                <w:sz w:val="18"/>
                <w:szCs w:val="18"/>
              </w:rPr>
              <w:t>12</w:t>
            </w:r>
            <w:r>
              <w:rPr>
                <w:rFonts w:ascii="宋体" w:hAnsi="宋体" w:cs="宋体" w:eastAsia="宋体" w:hint="default"/>
                <w:spacing w:val="11"/>
                <w:sz w:val="18"/>
                <w:szCs w:val="18"/>
              </w:rPr>
              <w:t>个月内</w:t>
            </w:r>
            <w:r>
              <w:rPr>
                <w:rFonts w:ascii="宋体" w:hAnsi="宋体" w:cs="宋体" w:eastAsia="宋体" w:hint="default"/>
                <w:spacing w:val="-88"/>
                <w:sz w:val="18"/>
                <w:szCs w:val="18"/>
              </w:rPr>
              <w:t> </w:t>
            </w:r>
            <w:r>
              <w:rPr>
                <w:rFonts w:ascii="宋体" w:hAnsi="宋体" w:cs="宋体" w:eastAsia="宋体" w:hint="default"/>
                <w:sz w:val="18"/>
                <w:szCs w:val="18"/>
              </w:rPr>
              <w:t>为锁定期</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第一次解锁：自授予日起</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 第二次解锁：自授予日起</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个月后。</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26"/>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60"/>
                <w:sz w:val="18"/>
                <w:szCs w:val="18"/>
              </w:rPr>
              <w:t> </w:t>
            </w:r>
            <w:r>
              <w:rPr>
                <w:rFonts w:ascii="宋体" w:hAnsi="宋体" w:cs="宋体" w:eastAsia="宋体" w:hint="default"/>
                <w:spacing w:val="20"/>
                <w:sz w:val="18"/>
                <w:szCs w:val="18"/>
              </w:rPr>
              <w:t>一次解锁：</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before="116"/>
              <w:ind w:left="3" w:right="0"/>
              <w:jc w:val="left"/>
              <w:rPr>
                <w:rFonts w:ascii="Times New Roman" w:hAnsi="Times New Roman" w:cs="Times New Roman" w:eastAsia="Times New Roman" w:hint="default"/>
                <w:sz w:val="18"/>
                <w:szCs w:val="18"/>
              </w:rPr>
            </w:pPr>
            <w:r>
              <w:rPr>
                <w:rFonts w:ascii="Times New Roman"/>
                <w:sz w:val="18"/>
              </w:rPr>
              <w:t>50%</w:t>
            </w:r>
          </w:p>
          <w:p>
            <w:pPr>
              <w:pStyle w:val="TableParagraph"/>
              <w:spacing w:line="240" w:lineRule="auto" w:before="65"/>
              <w:ind w:left="3" w:right="-26"/>
              <w:jc w:val="left"/>
              <w:rPr>
                <w:rFonts w:ascii="宋体" w:hAnsi="宋体" w:cs="宋体" w:eastAsia="宋体" w:hint="default"/>
                <w:sz w:val="18"/>
                <w:szCs w:val="18"/>
              </w:rPr>
            </w:pPr>
            <w:r>
              <w:rPr>
                <w:rFonts w:ascii="宋体" w:hAnsi="宋体" w:cs="宋体" w:eastAsia="宋体" w:hint="default"/>
                <w:spacing w:val="21"/>
                <w:sz w:val="18"/>
                <w:szCs w:val="18"/>
              </w:rPr>
              <w:t>第二次解锁：</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before="116"/>
              <w:ind w:left="3" w:right="0"/>
              <w:jc w:val="left"/>
              <w:rPr>
                <w:rFonts w:ascii="Times New Roman" w:hAnsi="Times New Roman" w:cs="Times New Roman" w:eastAsia="Times New Roman" w:hint="default"/>
                <w:sz w:val="18"/>
                <w:szCs w:val="18"/>
              </w:rPr>
            </w:pPr>
            <w:r>
              <w:rPr>
                <w:rFonts w:ascii="Times New Roman"/>
                <w:sz w:val="18"/>
              </w:rPr>
              <w:t>50%</w:t>
            </w:r>
          </w:p>
        </w:tc>
      </w:tr>
      <w:tr>
        <w:trPr>
          <w:trHeight w:val="1284" w:hRule="exact"/>
        </w:trPr>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年度激励 计划</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p>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7,600,000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2.55</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1"/>
              <w:jc w:val="left"/>
              <w:rPr>
                <w:rFonts w:ascii="宋体" w:hAnsi="宋体" w:cs="宋体" w:eastAsia="宋体" w:hint="default"/>
                <w:sz w:val="18"/>
                <w:szCs w:val="18"/>
              </w:rPr>
            </w:pPr>
            <w:r>
              <w:rPr>
                <w:rFonts w:ascii="宋体" w:hAnsi="宋体" w:cs="宋体" w:eastAsia="宋体" w:hint="default"/>
                <w:spacing w:val="11"/>
                <w:sz w:val="18"/>
                <w:szCs w:val="18"/>
              </w:rPr>
              <w:t>自授予之日起</w:t>
            </w:r>
            <w:r>
              <w:rPr>
                <w:rFonts w:ascii="Times New Roman" w:hAnsi="Times New Roman" w:cs="Times New Roman" w:eastAsia="Times New Roman" w:hint="default"/>
                <w:spacing w:val="11"/>
                <w:sz w:val="18"/>
                <w:szCs w:val="18"/>
              </w:rPr>
              <w:t>12</w:t>
            </w:r>
            <w:r>
              <w:rPr>
                <w:rFonts w:ascii="宋体" w:hAnsi="宋体" w:cs="宋体" w:eastAsia="宋体" w:hint="default"/>
                <w:spacing w:val="11"/>
                <w:sz w:val="18"/>
                <w:szCs w:val="18"/>
              </w:rPr>
              <w:t>个月内</w:t>
            </w:r>
            <w:r>
              <w:rPr>
                <w:rFonts w:ascii="宋体" w:hAnsi="宋体" w:cs="宋体" w:eastAsia="宋体" w:hint="default"/>
                <w:spacing w:val="-88"/>
                <w:sz w:val="18"/>
                <w:szCs w:val="18"/>
              </w:rPr>
              <w:t> </w:t>
            </w:r>
            <w:r>
              <w:rPr>
                <w:rFonts w:ascii="宋体" w:hAnsi="宋体" w:cs="宋体" w:eastAsia="宋体" w:hint="default"/>
                <w:sz w:val="18"/>
                <w:szCs w:val="18"/>
              </w:rPr>
              <w:t>为锁定期</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第一次解锁：自授予日起</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 第二次解锁：自授予日起</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个月后。</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26"/>
              <w:jc w:val="left"/>
              <w:rPr>
                <w:rFonts w:ascii="宋体" w:hAnsi="宋体" w:cs="宋体" w:eastAsia="宋体" w:hint="default"/>
                <w:sz w:val="18"/>
                <w:szCs w:val="18"/>
              </w:rPr>
            </w:pPr>
            <w:r>
              <w:rPr>
                <w:rFonts w:ascii="宋体" w:hAnsi="宋体" w:cs="宋体" w:eastAsia="宋体" w:hint="default"/>
                <w:spacing w:val="21"/>
                <w:sz w:val="18"/>
                <w:szCs w:val="18"/>
              </w:rPr>
              <w:t>第一次解锁：</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before="116"/>
              <w:ind w:left="3" w:right="0"/>
              <w:jc w:val="left"/>
              <w:rPr>
                <w:rFonts w:ascii="Times New Roman" w:hAnsi="Times New Roman" w:cs="Times New Roman" w:eastAsia="Times New Roman" w:hint="default"/>
                <w:sz w:val="18"/>
                <w:szCs w:val="18"/>
              </w:rPr>
            </w:pPr>
            <w:r>
              <w:rPr>
                <w:rFonts w:ascii="Times New Roman"/>
                <w:sz w:val="18"/>
              </w:rPr>
              <w:t>50%</w:t>
            </w:r>
          </w:p>
          <w:p>
            <w:pPr>
              <w:pStyle w:val="TableParagraph"/>
              <w:spacing w:line="240" w:lineRule="auto" w:before="65"/>
              <w:ind w:left="3" w:right="-26"/>
              <w:jc w:val="left"/>
              <w:rPr>
                <w:rFonts w:ascii="宋体" w:hAnsi="宋体" w:cs="宋体" w:eastAsia="宋体" w:hint="default"/>
                <w:sz w:val="18"/>
                <w:szCs w:val="18"/>
              </w:rPr>
            </w:pPr>
            <w:r>
              <w:rPr>
                <w:rFonts w:ascii="宋体" w:hAnsi="宋体" w:cs="宋体" w:eastAsia="宋体" w:hint="default"/>
                <w:spacing w:val="21"/>
                <w:sz w:val="18"/>
                <w:szCs w:val="18"/>
              </w:rPr>
              <w:t>第二次解锁：</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before="116"/>
              <w:ind w:left="3" w:right="0"/>
              <w:jc w:val="left"/>
              <w:rPr>
                <w:rFonts w:ascii="Times New Roman" w:hAnsi="Times New Roman" w:cs="Times New Roman" w:eastAsia="Times New Roman" w:hint="default"/>
                <w:sz w:val="18"/>
                <w:szCs w:val="18"/>
              </w:rPr>
            </w:pPr>
            <w:r>
              <w:rPr>
                <w:rFonts w:ascii="Times New Roman"/>
                <w:sz w:val="18"/>
              </w:rPr>
              <w:t>50%</w:t>
            </w:r>
          </w:p>
        </w:tc>
      </w:tr>
    </w:tbl>
    <w:p>
      <w:pPr>
        <w:pStyle w:val="BodyText"/>
        <w:spacing w:line="300" w:lineRule="auto" w:before="10"/>
        <w:ind w:left="907" w:right="8489"/>
        <w:jc w:val="left"/>
      </w:pPr>
      <w:r>
        <w:rPr>
          <w:rFonts w:ascii="Times New Roman" w:hAnsi="Times New Roman" w:cs="Times New Roman" w:eastAsia="Times New Roman" w:hint="default"/>
        </w:rPr>
        <w:t>(2)</w:t>
      </w:r>
      <w:r>
        <w:rPr/>
        <w:t>限制性股票解锁条件</w:t>
      </w:r>
      <w:r>
        <w:rPr>
          <w:w w:val="99"/>
        </w:rPr>
        <w:t> </w:t>
      </w:r>
      <w:r>
        <w:rPr>
          <w:rFonts w:ascii="Times New Roman" w:hAnsi="Times New Roman" w:cs="Times New Roman" w:eastAsia="Times New Roman" w:hint="default"/>
        </w:rPr>
        <w:t>1)</w:t>
      </w:r>
      <w:r>
        <w:rPr/>
        <w:t>业绩条件</w:t>
      </w:r>
    </w:p>
    <w:p>
      <w:pPr>
        <w:spacing w:before="1"/>
        <w:ind w:left="834" w:right="1131" w:firstLine="0"/>
        <w:jc w:val="left"/>
        <w:rPr>
          <w:rFonts w:ascii="宋体" w:hAnsi="宋体" w:cs="宋体" w:eastAsia="宋体" w:hint="default"/>
          <w:sz w:val="19"/>
          <w:szCs w:val="19"/>
        </w:rPr>
      </w:pPr>
      <w:r>
        <w:rPr>
          <w:rFonts w:ascii="Times New Roman" w:hAnsi="Times New Roman" w:cs="Times New Roman" w:eastAsia="Times New Roman" w:hint="default"/>
          <w:i/>
          <w:sz w:val="18"/>
          <w:szCs w:val="18"/>
        </w:rPr>
      </w:r>
      <w:r>
        <w:rPr>
          <w:rFonts w:ascii="Times New Roman" w:hAnsi="Times New Roman" w:cs="Times New Roman" w:eastAsia="Times New Roman" w:hint="default"/>
          <w:i/>
          <w:sz w:val="18"/>
          <w:szCs w:val="18"/>
          <w:u w:val="single" w:color="000000"/>
        </w:rPr>
        <w:t>2017</w:t>
      </w:r>
      <w:r>
        <w:rPr>
          <w:rFonts w:ascii="宋体" w:hAnsi="宋体" w:cs="宋体" w:eastAsia="宋体" w:hint="default"/>
          <w:i/>
          <w:sz w:val="19"/>
          <w:szCs w:val="19"/>
          <w:u w:val="single" w:color="000000"/>
        </w:rPr>
        <w:t>年度激励计划</w:t>
      </w:r>
      <w:r>
        <w:rPr>
          <w:rFonts w:ascii="宋体" w:hAnsi="宋体" w:cs="宋体" w:eastAsia="宋体" w:hint="default"/>
          <w:i/>
          <w:sz w:val="19"/>
          <w:szCs w:val="19"/>
        </w:rPr>
      </w:r>
      <w:r>
        <w:rPr>
          <w:rFonts w:ascii="宋体" w:hAnsi="宋体" w:cs="宋体" w:eastAsia="宋体" w:hint="default"/>
          <w:sz w:val="19"/>
          <w:szCs w:val="19"/>
        </w:rPr>
      </w:r>
    </w:p>
    <w:p>
      <w:pPr>
        <w:pStyle w:val="BodyText"/>
        <w:spacing w:line="240" w:lineRule="auto" w:before="63"/>
        <w:ind w:left="834" w:right="1131"/>
        <w:jc w:val="left"/>
        <w:rPr>
          <w:rFonts w:ascii="Times New Roman" w:hAnsi="Times New Roman" w:cs="Times New Roman" w:eastAsia="Times New Roman" w:hint="default"/>
        </w:rPr>
      </w:pPr>
      <w:r>
        <w:rPr/>
        <w:t>该激励对象限制性股票解锁条件需满足如下业绩要求</w:t>
      </w:r>
      <w:r>
        <w:rPr>
          <w:rFonts w:ascii="Times New Roman" w:hAnsi="Times New Roman" w:cs="Times New Roman" w:eastAsia="Times New Roman" w:hint="default"/>
        </w:rPr>
        <w:t>:</w:t>
      </w:r>
    </w:p>
    <w:p>
      <w:pPr>
        <w:pStyle w:val="BodyText"/>
        <w:tabs>
          <w:tab w:pos="833" w:val="left" w:leader="none"/>
        </w:tabs>
        <w:spacing w:line="300" w:lineRule="auto" w:before="63"/>
        <w:ind w:left="474" w:right="1131" w:hanging="360"/>
        <w:jc w:val="left"/>
      </w:pPr>
      <w:r>
        <w:rPr/>
        <w:t>·</w:t>
        <w:tab/>
        <w:tab/>
      </w:r>
      <w:r>
        <w:rPr>
          <w:spacing w:val="-2"/>
        </w:rPr>
        <w:t>第一次解锁：以</w:t>
      </w:r>
      <w:r>
        <w:rPr>
          <w:rFonts w:ascii="Times New Roman" w:hAnsi="Times New Roman" w:cs="Times New Roman" w:eastAsia="Times New Roman" w:hint="default"/>
          <w:spacing w:val="-2"/>
        </w:rPr>
        <w:t>2016</w:t>
      </w:r>
      <w:r>
        <w:rPr>
          <w:spacing w:val="-2"/>
        </w:rPr>
        <w:t>年扣除商誉减值、或有对价增加额以及展动科技并购前持有股权估值调整后的归属于母公司净利润</w:t>
      </w:r>
      <w:r>
        <w:rPr>
          <w:spacing w:val="-64"/>
        </w:rPr>
        <w:t> </w:t>
      </w:r>
      <w:r>
        <w:rPr>
          <w:spacing w:val="-64"/>
        </w:rPr>
      </w:r>
      <w:r>
        <w:rPr/>
        <w:t>人民币</w:t>
      </w:r>
      <w:r>
        <w:rPr>
          <w:rFonts w:ascii="Times New Roman" w:hAnsi="Times New Roman" w:cs="Times New Roman" w:eastAsia="Times New Roman" w:hint="default"/>
        </w:rPr>
        <w:t>6,199</w:t>
      </w:r>
      <w:r>
        <w:rPr/>
        <w:t>万元为基数，</w:t>
      </w:r>
      <w:r>
        <w:rPr>
          <w:rFonts w:ascii="Times New Roman" w:hAnsi="Times New Roman" w:cs="Times New Roman" w:eastAsia="Times New Roman" w:hint="default"/>
        </w:rPr>
        <w:t>2018</w:t>
      </w:r>
      <w:r>
        <w:rPr/>
        <w:t>年归属于母公司净利润增长率不低于</w:t>
      </w:r>
      <w:r>
        <w:rPr>
          <w:rFonts w:ascii="Times New Roman" w:hAnsi="Times New Roman" w:cs="Times New Roman" w:eastAsia="Times New Roman" w:hint="default"/>
        </w:rPr>
        <w:t>10%</w:t>
      </w:r>
      <w:r>
        <w:rPr/>
        <w:t>；</w:t>
      </w:r>
    </w:p>
    <w:p>
      <w:pPr>
        <w:pStyle w:val="BodyText"/>
        <w:tabs>
          <w:tab w:pos="833" w:val="left" w:leader="none"/>
        </w:tabs>
        <w:spacing w:line="300" w:lineRule="auto" w:before="13"/>
        <w:ind w:left="474" w:right="1131" w:hanging="360"/>
        <w:jc w:val="left"/>
      </w:pPr>
      <w:r>
        <w:rPr/>
        <w:t>·</w:t>
        <w:tab/>
        <w:tab/>
      </w:r>
      <w:r>
        <w:rPr>
          <w:spacing w:val="-2"/>
        </w:rPr>
        <w:t>第二次解锁：以</w:t>
      </w:r>
      <w:r>
        <w:rPr>
          <w:rFonts w:ascii="Times New Roman" w:hAnsi="Times New Roman" w:cs="Times New Roman" w:eastAsia="Times New Roman" w:hint="default"/>
          <w:spacing w:val="-2"/>
        </w:rPr>
        <w:t>2016</w:t>
      </w:r>
      <w:r>
        <w:rPr>
          <w:spacing w:val="-2"/>
        </w:rPr>
        <w:t>年扣除商誉减值、或有对价增加额以及展动科技并购前持有股权估值调整后的归属于母公司净利润</w:t>
      </w:r>
      <w:r>
        <w:rPr>
          <w:spacing w:val="-64"/>
        </w:rPr>
        <w:t> </w:t>
      </w:r>
      <w:r>
        <w:rPr>
          <w:spacing w:val="-64"/>
        </w:rPr>
      </w:r>
      <w:r>
        <w:rPr/>
        <w:t>人民币</w:t>
      </w:r>
      <w:r>
        <w:rPr>
          <w:rFonts w:ascii="Times New Roman" w:hAnsi="Times New Roman" w:cs="Times New Roman" w:eastAsia="Times New Roman" w:hint="default"/>
        </w:rPr>
        <w:t>6,199</w:t>
      </w:r>
      <w:r>
        <w:rPr/>
        <w:t>万元为基数，</w:t>
      </w:r>
      <w:r>
        <w:rPr>
          <w:rFonts w:ascii="Times New Roman" w:hAnsi="Times New Roman" w:cs="Times New Roman" w:eastAsia="Times New Roman" w:hint="default"/>
        </w:rPr>
        <w:t>2019</w:t>
      </w:r>
      <w:r>
        <w:rPr/>
        <w:t>年归属于母公司净利润增长率不低于</w:t>
      </w:r>
      <w:r>
        <w:rPr>
          <w:rFonts w:ascii="Times New Roman" w:hAnsi="Times New Roman" w:cs="Times New Roman" w:eastAsia="Times New Roman" w:hint="default"/>
        </w:rPr>
        <w:t>100%</w:t>
      </w:r>
      <w:r>
        <w:rPr/>
        <w:t>。</w:t>
      </w:r>
    </w:p>
    <w:p>
      <w:pPr>
        <w:spacing w:before="1"/>
        <w:ind w:left="834" w:right="1131" w:firstLine="0"/>
        <w:jc w:val="left"/>
        <w:rPr>
          <w:rFonts w:ascii="宋体" w:hAnsi="宋体" w:cs="宋体" w:eastAsia="宋体" w:hint="default"/>
          <w:sz w:val="19"/>
          <w:szCs w:val="19"/>
        </w:rPr>
      </w:pPr>
      <w:r>
        <w:rPr>
          <w:rFonts w:ascii="Times New Roman" w:hAnsi="Times New Roman" w:cs="Times New Roman" w:eastAsia="Times New Roman" w:hint="default"/>
          <w:i/>
          <w:sz w:val="18"/>
          <w:szCs w:val="18"/>
        </w:rPr>
      </w:r>
      <w:r>
        <w:rPr>
          <w:rFonts w:ascii="Times New Roman" w:hAnsi="Times New Roman" w:cs="Times New Roman" w:eastAsia="Times New Roman" w:hint="default"/>
          <w:i/>
          <w:sz w:val="18"/>
          <w:szCs w:val="18"/>
          <w:u w:val="single" w:color="000000"/>
        </w:rPr>
        <w:t>2018</w:t>
      </w:r>
      <w:r>
        <w:rPr>
          <w:rFonts w:ascii="宋体" w:hAnsi="宋体" w:cs="宋体" w:eastAsia="宋体" w:hint="default"/>
          <w:i/>
          <w:sz w:val="19"/>
          <w:szCs w:val="19"/>
          <w:u w:val="single" w:color="000000"/>
        </w:rPr>
        <w:t>年度激励计划</w:t>
      </w:r>
      <w:r>
        <w:rPr>
          <w:rFonts w:ascii="宋体" w:hAnsi="宋体" w:cs="宋体" w:eastAsia="宋体" w:hint="default"/>
          <w:i/>
          <w:sz w:val="19"/>
          <w:szCs w:val="19"/>
        </w:rPr>
      </w:r>
      <w:r>
        <w:rPr>
          <w:rFonts w:ascii="宋体" w:hAnsi="宋体" w:cs="宋体" w:eastAsia="宋体" w:hint="default"/>
          <w:sz w:val="19"/>
          <w:szCs w:val="19"/>
        </w:rPr>
      </w:r>
    </w:p>
    <w:p>
      <w:pPr>
        <w:pStyle w:val="BodyText"/>
        <w:spacing w:line="240" w:lineRule="auto" w:before="63"/>
        <w:ind w:left="834" w:right="1131"/>
        <w:jc w:val="left"/>
        <w:rPr>
          <w:rFonts w:ascii="Times New Roman" w:hAnsi="Times New Roman" w:cs="Times New Roman" w:eastAsia="Times New Roman" w:hint="default"/>
        </w:rPr>
      </w:pPr>
      <w:r>
        <w:rPr/>
        <w:t>该激励对象限制性股票解锁条件需满足如下业绩要求</w:t>
      </w:r>
      <w:r>
        <w:rPr>
          <w:rFonts w:ascii="Times New Roman" w:hAnsi="Times New Roman" w:cs="Times New Roman" w:eastAsia="Times New Roman" w:hint="default"/>
        </w:rPr>
        <w:t>:</w:t>
      </w:r>
    </w:p>
    <w:p>
      <w:pPr>
        <w:pStyle w:val="BodyText"/>
        <w:tabs>
          <w:tab w:pos="833" w:val="left" w:leader="none"/>
        </w:tabs>
        <w:spacing w:line="240" w:lineRule="auto" w:before="63"/>
        <w:ind w:left="114" w:right="1131"/>
        <w:jc w:val="left"/>
      </w:pPr>
      <w:r>
        <w:rPr/>
        <w:t>·</w:t>
        <w:tab/>
        <w:t>第一次解锁：以</w:t>
      </w:r>
      <w:r>
        <w:rPr>
          <w:rFonts w:ascii="Times New Roman" w:hAnsi="Times New Roman" w:cs="Times New Roman" w:eastAsia="Times New Roman" w:hint="default"/>
        </w:rPr>
        <w:t>2017</w:t>
      </w:r>
      <w:r>
        <w:rPr/>
        <w:t>年归属于母公司的净利润</w:t>
      </w:r>
      <w:r>
        <w:rPr>
          <w:rFonts w:ascii="Times New Roman" w:hAnsi="Times New Roman" w:cs="Times New Roman" w:eastAsia="Times New Roman" w:hint="default"/>
        </w:rPr>
        <w:t>3,099</w:t>
      </w:r>
      <w:r>
        <w:rPr/>
        <w:t>万元为基数，</w:t>
      </w:r>
      <w:r>
        <w:rPr>
          <w:rFonts w:ascii="Times New Roman" w:hAnsi="Times New Roman" w:cs="Times New Roman" w:eastAsia="Times New Roman" w:hint="default"/>
        </w:rPr>
        <w:t>2019</w:t>
      </w:r>
      <w:r>
        <w:rPr/>
        <w:t>年归属于母公司净利润不少于</w:t>
      </w:r>
      <w:r>
        <w:rPr>
          <w:rFonts w:ascii="Times New Roman" w:hAnsi="Times New Roman" w:cs="Times New Roman" w:eastAsia="Times New Roman" w:hint="default"/>
        </w:rPr>
        <w:t>16,200</w:t>
      </w:r>
      <w:r>
        <w:rPr/>
        <w:t>万元；</w:t>
      </w:r>
    </w:p>
    <w:p>
      <w:pPr>
        <w:pStyle w:val="BodyText"/>
        <w:tabs>
          <w:tab w:pos="833" w:val="left" w:leader="none"/>
        </w:tabs>
        <w:spacing w:line="240" w:lineRule="auto" w:before="63"/>
        <w:ind w:left="114" w:right="1131"/>
        <w:jc w:val="left"/>
      </w:pPr>
      <w:r>
        <w:rPr/>
        <w:t>·</w:t>
        <w:tab/>
        <w:t>第二次解锁：以</w:t>
      </w:r>
      <w:r>
        <w:rPr>
          <w:rFonts w:ascii="Times New Roman" w:hAnsi="Times New Roman" w:cs="Times New Roman" w:eastAsia="Times New Roman" w:hint="default"/>
        </w:rPr>
        <w:t>2017</w:t>
      </w:r>
      <w:r>
        <w:rPr/>
        <w:t>年归属于母公司的净利润</w:t>
      </w:r>
      <w:r>
        <w:rPr>
          <w:rFonts w:ascii="Times New Roman" w:hAnsi="Times New Roman" w:cs="Times New Roman" w:eastAsia="Times New Roman" w:hint="default"/>
        </w:rPr>
        <w:t>3,099</w:t>
      </w:r>
      <w:r>
        <w:rPr/>
        <w:t>万元为基数，</w:t>
      </w:r>
      <w:r>
        <w:rPr>
          <w:rFonts w:ascii="Times New Roman" w:hAnsi="Times New Roman" w:cs="Times New Roman" w:eastAsia="Times New Roman" w:hint="default"/>
        </w:rPr>
        <w:t>2020</w:t>
      </w:r>
      <w:r>
        <w:rPr/>
        <w:t>年归属于母公司净利润不少于</w:t>
      </w:r>
      <w:r>
        <w:rPr>
          <w:rFonts w:ascii="Times New Roman" w:hAnsi="Times New Roman" w:cs="Times New Roman" w:eastAsia="Times New Roman" w:hint="default"/>
        </w:rPr>
        <w:t>21,000</w:t>
      </w:r>
      <w:r>
        <w:rPr/>
        <w:t>万元。</w:t>
      </w:r>
    </w:p>
    <w:p>
      <w:pPr>
        <w:pStyle w:val="BodyText"/>
        <w:spacing w:line="300" w:lineRule="auto" w:before="63"/>
        <w:ind w:left="834" w:right="3372"/>
        <w:jc w:val="left"/>
      </w:pPr>
      <w:r>
        <w:rPr>
          <w:rFonts w:ascii="Times New Roman" w:hAnsi="Times New Roman" w:cs="Times New Roman" w:eastAsia="Times New Roman" w:hint="default"/>
        </w:rPr>
        <w:t>2)</w:t>
      </w:r>
      <w:r>
        <w:rPr/>
        <w:t>个人绩效考核</w:t>
      </w:r>
      <w:r>
        <w:rPr>
          <w:w w:val="99"/>
        </w:rPr>
        <w:t> </w:t>
      </w:r>
      <w:r>
        <w:rPr/>
        <w:t>根据</w:t>
      </w:r>
      <w:r>
        <w:rPr>
          <w:rFonts w:ascii="Times New Roman" w:hAnsi="Times New Roman" w:cs="Times New Roman" w:eastAsia="Times New Roman" w:hint="default"/>
        </w:rPr>
        <w:t>2017</w:t>
      </w:r>
      <w:r>
        <w:rPr/>
        <w:t>年度激励计划及</w:t>
      </w:r>
      <w:r>
        <w:rPr>
          <w:rFonts w:ascii="Times New Roman" w:hAnsi="Times New Roman" w:cs="Times New Roman" w:eastAsia="Times New Roman" w:hint="default"/>
        </w:rPr>
        <w:t>2018</w:t>
      </w:r>
      <w:r>
        <w:rPr/>
        <w:t>年度激励计划，激励对象在考核年度的绩效为合格及以上。</w:t>
      </w:r>
      <w:r>
        <w:rPr>
          <w:w w:val="99"/>
        </w:rPr>
        <w:t> </w:t>
      </w:r>
      <w:r>
        <w:rPr>
          <w:rFonts w:ascii="Times New Roman" w:hAnsi="Times New Roman" w:cs="Times New Roman" w:eastAsia="Times New Roman" w:hint="default"/>
          <w:w w:val="99"/>
        </w:rPr>
      </w:r>
      <w:r>
        <w:rPr>
          <w:rFonts w:ascii="Times New Roman" w:hAnsi="Times New Roman" w:cs="Times New Roman" w:eastAsia="Times New Roman" w:hint="default"/>
          <w:u w:val="single" w:color="000000"/>
        </w:rPr>
        <w:t>1.2</w:t>
      </w:r>
      <w:r>
        <w:rPr>
          <w:rFonts w:ascii="Times New Roman" w:hAnsi="Times New Roman" w:cs="Times New Roman" w:eastAsia="Times New Roman" w:hint="default"/>
          <w:spacing w:val="28"/>
          <w:u w:val="single" w:color="000000"/>
        </w:rPr>
        <w:t> </w:t>
      </w:r>
      <w:r>
        <w:rPr>
          <w:u w:val="single" w:color="000000"/>
        </w:rPr>
        <w:t>股票期权</w:t>
      </w:r>
      <w:r>
        <w:rPr/>
      </w:r>
    </w:p>
    <w:p>
      <w:pPr>
        <w:pStyle w:val="BodyText"/>
        <w:spacing w:line="300" w:lineRule="auto" w:before="13"/>
        <w:ind w:left="474" w:right="1131" w:firstLine="397"/>
        <w:jc w:val="left"/>
      </w:pPr>
      <w:r>
        <w:rPr/>
        <w:t>根据公司</w:t>
      </w:r>
      <w:r>
        <w:rPr>
          <w:rFonts w:ascii="Times New Roman" w:hAnsi="Times New Roman" w:cs="Times New Roman" w:eastAsia="Times New Roman" w:hint="default"/>
        </w:rPr>
        <w:t>2018</w:t>
      </w:r>
      <w:r>
        <w:rPr/>
        <w:t>年第五届董事会第三十二次会议、第五届监事会第二十二次会议及</w:t>
      </w:r>
      <w:r>
        <w:rPr>
          <w:rFonts w:ascii="Times New Roman" w:hAnsi="Times New Roman" w:cs="Times New Roman" w:eastAsia="Times New Roman" w:hint="default"/>
        </w:rPr>
        <w:t>2018</w:t>
      </w:r>
      <w:r>
        <w:rPr/>
        <w:t>年第一次临时股东大会审议通过 的</w:t>
      </w:r>
      <w:r>
        <w:rPr>
          <w:spacing w:val="-1"/>
        </w:rPr>
        <w:t> </w:t>
      </w:r>
      <w:r>
        <w:rPr/>
        <w:t>《</w:t>
      </w:r>
      <w:r>
        <w:rPr>
          <w:rFonts w:ascii="Times New Roman" w:hAnsi="Times New Roman" w:cs="Times New Roman" w:eastAsia="Times New Roman" w:hint="default"/>
        </w:rPr>
        <w:t>2018</w:t>
      </w:r>
      <w:r>
        <w:rPr/>
        <w:t>年股票期权激励计划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》及其摘要议案，公司向孟雪霞等</w:t>
      </w:r>
      <w:r>
        <w:rPr>
          <w:rFonts w:ascii="Times New Roman" w:hAnsi="Times New Roman" w:cs="Times New Roman" w:eastAsia="Times New Roman" w:hint="default"/>
        </w:rPr>
        <w:t>107</w:t>
      </w:r>
      <w:r>
        <w:rPr/>
        <w:t>名激励对象授予</w:t>
      </w:r>
      <w:r>
        <w:rPr>
          <w:rFonts w:ascii="Times New Roman" w:hAnsi="Times New Roman" w:cs="Times New Roman" w:eastAsia="Times New Roman" w:hint="default"/>
        </w:rPr>
        <w:t>361</w:t>
      </w:r>
      <w:r>
        <w:rPr/>
        <w:t>万普通股股票期权。</w:t>
      </w:r>
    </w:p>
    <w:p>
      <w:pPr>
        <w:pStyle w:val="BodyText"/>
        <w:spacing w:line="300" w:lineRule="auto" w:before="13"/>
        <w:ind w:left="474" w:right="1131" w:firstLine="397"/>
        <w:jc w:val="left"/>
      </w:pPr>
      <w:r>
        <w:rPr/>
        <w:t>根据公司</w:t>
      </w:r>
      <w:r>
        <w:rPr>
          <w:rFonts w:ascii="Times New Roman" w:hAnsi="Times New Roman" w:cs="Times New Roman" w:eastAsia="Times New Roman" w:hint="default"/>
        </w:rPr>
        <w:t>2018</w:t>
      </w:r>
      <w:r>
        <w:rPr/>
        <w:t>年第六届董事会第三次会议及</w:t>
      </w:r>
      <w:r>
        <w:rPr>
          <w:rFonts w:ascii="Times New Roman" w:hAnsi="Times New Roman" w:cs="Times New Roman" w:eastAsia="Times New Roman" w:hint="default"/>
        </w:rPr>
        <w:t>2018</w:t>
      </w:r>
      <w:r>
        <w:rPr/>
        <w:t>年第四次临时股东大会审议通过的《</w:t>
      </w:r>
      <w:r>
        <w:rPr>
          <w:rFonts w:ascii="Times New Roman" w:hAnsi="Times New Roman" w:cs="Times New Roman" w:eastAsia="Times New Roman" w:hint="default"/>
        </w:rPr>
        <w:t>2018</w:t>
      </w:r>
      <w:r>
        <w:rPr/>
        <w:t>年限制性股票与股票期权激</w:t>
      </w:r>
      <w:r>
        <w:rPr>
          <w:spacing w:val="1"/>
        </w:rPr>
        <w:t> </w:t>
      </w:r>
      <w:r>
        <w:rPr/>
        <w:t>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》等议案，公司向徐蕾等</w:t>
      </w:r>
      <w:r>
        <w:rPr>
          <w:rFonts w:ascii="Times New Roman" w:hAnsi="Times New Roman" w:cs="Times New Roman" w:eastAsia="Times New Roman" w:hint="default"/>
        </w:rPr>
        <w:t>160</w:t>
      </w:r>
      <w:r>
        <w:rPr/>
        <w:t>名激励对象授予</w:t>
      </w:r>
      <w:r>
        <w:rPr>
          <w:rFonts w:ascii="Times New Roman" w:hAnsi="Times New Roman" w:cs="Times New Roman" w:eastAsia="Times New Roman" w:hint="default"/>
        </w:rPr>
        <w:t>820</w:t>
      </w:r>
      <w:r>
        <w:rPr/>
        <w:t>万股普通股股票期权</w:t>
      </w:r>
    </w:p>
    <w:p>
      <w:pPr>
        <w:pStyle w:val="BodyText"/>
        <w:spacing w:line="240" w:lineRule="auto" w:before="13"/>
        <w:ind w:left="799" w:right="1131"/>
        <w:jc w:val="left"/>
      </w:pPr>
      <w:r>
        <w:rPr>
          <w:rFonts w:ascii="Times New Roman" w:hAnsi="Times New Roman" w:cs="Times New Roman" w:eastAsia="Times New Roman" w:hint="default"/>
        </w:rPr>
        <w:t>(1)</w:t>
      </w:r>
      <w:r>
        <w:rPr/>
        <w:t>有关授予的股票期权的详细信息，列示如下：</w:t>
      </w:r>
    </w:p>
    <w:p>
      <w:pPr>
        <w:spacing w:line="240" w:lineRule="auto" w:before="1"/>
        <w:rPr>
          <w:rFonts w:ascii="宋体" w:hAnsi="宋体" w:cs="宋体" w:eastAsia="宋体" w:hint="default"/>
          <w:sz w:val="4"/>
          <w:szCs w:val="4"/>
        </w:rPr>
      </w:pPr>
    </w:p>
    <w:tbl>
      <w:tblPr>
        <w:tblW w:w="0" w:type="auto"/>
        <w:jc w:val="left"/>
        <w:tblInd w:w="457" w:type="dxa"/>
        <w:tblLayout w:type="fixed"/>
        <w:tblCellMar>
          <w:top w:w="0" w:type="dxa"/>
          <w:left w:w="0" w:type="dxa"/>
          <w:bottom w:w="0" w:type="dxa"/>
          <w:right w:w="0" w:type="dxa"/>
        </w:tblCellMar>
        <w:tblLook w:val="01E0"/>
      </w:tblPr>
      <w:tblGrid>
        <w:gridCol w:w="1534"/>
        <w:gridCol w:w="952"/>
        <w:gridCol w:w="1124"/>
        <w:gridCol w:w="4174"/>
        <w:gridCol w:w="1874"/>
      </w:tblGrid>
      <w:tr>
        <w:trPr>
          <w:trHeight w:val="658" w:hRule="exact"/>
        </w:trPr>
        <w:tc>
          <w:tcPr>
            <w:tcW w:w="15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授予日</w:t>
            </w:r>
          </w:p>
        </w:tc>
        <w:tc>
          <w:tcPr>
            <w:tcW w:w="9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授予数量</w:t>
            </w:r>
          </w:p>
        </w:tc>
        <w:tc>
          <w:tcPr>
            <w:tcW w:w="11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95" w:right="0"/>
              <w:jc w:val="left"/>
              <w:rPr>
                <w:rFonts w:ascii="宋体" w:hAnsi="宋体" w:cs="宋体" w:eastAsia="宋体" w:hint="default"/>
                <w:sz w:val="18"/>
                <w:szCs w:val="18"/>
              </w:rPr>
            </w:pPr>
            <w:r>
              <w:rPr>
                <w:rFonts w:ascii="宋体" w:hAnsi="宋体" w:cs="宋体" w:eastAsia="宋体" w:hint="default"/>
                <w:sz w:val="18"/>
                <w:szCs w:val="18"/>
              </w:rPr>
              <w:t>行权价格</w:t>
            </w:r>
          </w:p>
          <w:p>
            <w:pPr>
              <w:pStyle w:val="TableParagraph"/>
              <w:spacing w:line="240" w:lineRule="auto" w:before="76"/>
              <w:ind w:left="1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p>
        </w:tc>
        <w:tc>
          <w:tcPr>
            <w:tcW w:w="41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行权时间</w:t>
            </w:r>
          </w:p>
        </w:tc>
        <w:tc>
          <w:tcPr>
            <w:tcW w:w="18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70" w:right="0"/>
              <w:jc w:val="left"/>
              <w:rPr>
                <w:rFonts w:ascii="宋体" w:hAnsi="宋体" w:cs="宋体" w:eastAsia="宋体" w:hint="default"/>
                <w:sz w:val="18"/>
                <w:szCs w:val="18"/>
              </w:rPr>
            </w:pPr>
            <w:r>
              <w:rPr>
                <w:rFonts w:ascii="宋体" w:hAnsi="宋体" w:cs="宋体" w:eastAsia="宋体" w:hint="default"/>
                <w:sz w:val="18"/>
                <w:szCs w:val="18"/>
              </w:rPr>
              <w:t>行权比例</w:t>
            </w:r>
          </w:p>
        </w:tc>
      </w:tr>
      <w:tr>
        <w:trPr>
          <w:trHeight w:val="1283" w:hRule="exact"/>
        </w:trPr>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3,610,000</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7.65</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417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第一个行权期：自授予日起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至授予日起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 第二个行权期：自授予日起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至授予日起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264"/>
              <w:jc w:val="left"/>
              <w:rPr>
                <w:rFonts w:ascii="Times New Roman" w:hAnsi="Times New Roman" w:cs="Times New Roman" w:eastAsia="Times New Roman" w:hint="default"/>
                <w:sz w:val="18"/>
                <w:szCs w:val="18"/>
              </w:rPr>
            </w:pPr>
            <w:r>
              <w:rPr>
                <w:rFonts w:ascii="宋体" w:hAnsi="宋体" w:cs="宋体" w:eastAsia="宋体" w:hint="default"/>
                <w:sz w:val="18"/>
                <w:szCs w:val="18"/>
              </w:rPr>
              <w:t>第一个行权期：</w:t>
            </w:r>
            <w:r>
              <w:rPr>
                <w:rFonts w:ascii="Times New Roman" w:hAnsi="Times New Roman" w:cs="Times New Roman" w:eastAsia="Times New Roman" w:hint="default"/>
                <w:sz w:val="18"/>
                <w:szCs w:val="18"/>
              </w:rPr>
              <w:t>50% </w:t>
            </w:r>
            <w:r>
              <w:rPr>
                <w:rFonts w:ascii="宋体" w:hAnsi="宋体" w:cs="宋体" w:eastAsia="宋体" w:hint="default"/>
                <w:sz w:val="18"/>
                <w:szCs w:val="18"/>
              </w:rPr>
              <w:t>第二个行权期：</w:t>
            </w:r>
            <w:r>
              <w:rPr>
                <w:rFonts w:ascii="Times New Roman" w:hAnsi="Times New Roman" w:cs="Times New Roman" w:eastAsia="Times New Roman" w:hint="default"/>
                <w:sz w:val="18"/>
                <w:szCs w:val="18"/>
              </w:rPr>
              <w:t>50%</w:t>
            </w:r>
          </w:p>
        </w:tc>
      </w:tr>
      <w:tr>
        <w:trPr>
          <w:trHeight w:val="972" w:hRule="exact"/>
        </w:trPr>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8,200,000</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417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第一个行权期：自授予日起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至授予日起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 第二个行权期：自授予日起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264"/>
              <w:jc w:val="left"/>
              <w:rPr>
                <w:rFonts w:ascii="Times New Roman" w:hAnsi="Times New Roman" w:cs="Times New Roman" w:eastAsia="Times New Roman" w:hint="default"/>
                <w:sz w:val="18"/>
                <w:szCs w:val="18"/>
              </w:rPr>
            </w:pPr>
            <w:r>
              <w:rPr>
                <w:rFonts w:ascii="宋体" w:hAnsi="宋体" w:cs="宋体" w:eastAsia="宋体" w:hint="default"/>
                <w:sz w:val="18"/>
                <w:szCs w:val="18"/>
              </w:rPr>
              <w:t>第一个行权期：</w:t>
            </w:r>
            <w:r>
              <w:rPr>
                <w:rFonts w:ascii="Times New Roman" w:hAnsi="Times New Roman" w:cs="Times New Roman" w:eastAsia="Times New Roman" w:hint="default"/>
                <w:sz w:val="18"/>
                <w:szCs w:val="18"/>
              </w:rPr>
              <w:t>50% </w:t>
            </w:r>
            <w:r>
              <w:rPr>
                <w:rFonts w:ascii="宋体" w:hAnsi="宋体" w:cs="宋体" w:eastAsia="宋体" w:hint="default"/>
                <w:sz w:val="18"/>
                <w:szCs w:val="18"/>
              </w:rPr>
              <w:t>第二个行权期：</w:t>
            </w:r>
            <w:r>
              <w:rPr>
                <w:rFonts w:ascii="Times New Roman" w:hAnsi="Times New Roman" w:cs="Times New Roman" w:eastAsia="Times New Roman" w:hint="default"/>
                <w:sz w:val="18"/>
                <w:szCs w:val="18"/>
              </w:rPr>
              <w:t>50%</w:t>
            </w:r>
          </w:p>
        </w:tc>
      </w:tr>
    </w:tbl>
    <w:p>
      <w:pPr>
        <w:spacing w:after="0" w:line="300" w:lineRule="auto"/>
        <w:jc w:val="left"/>
        <w:rPr>
          <w:rFonts w:ascii="Times New Roman" w:hAnsi="Times New Roman" w:cs="Times New Roman" w:eastAsia="Times New Roman" w:hint="default"/>
          <w:sz w:val="18"/>
          <w:szCs w:val="18"/>
        </w:rPr>
        <w:sectPr>
          <w:pgSz w:w="11910" w:h="16840"/>
          <w:pgMar w:header="0" w:footer="979" w:top="1100" w:bottom="1160" w:left="660" w:right="0"/>
        </w:sectPr>
      </w:pPr>
    </w:p>
    <w:p>
      <w:pPr>
        <w:spacing w:line="240" w:lineRule="auto" w:before="6"/>
        <w:rPr>
          <w:rFonts w:ascii="宋体" w:hAnsi="宋体" w:cs="宋体" w:eastAsia="宋体" w:hint="default"/>
          <w:sz w:val="24"/>
          <w:szCs w:val="24"/>
        </w:rPr>
      </w:pPr>
    </w:p>
    <w:tbl>
      <w:tblPr>
        <w:tblW w:w="0" w:type="auto"/>
        <w:jc w:val="left"/>
        <w:tblInd w:w="457" w:type="dxa"/>
        <w:tblLayout w:type="fixed"/>
        <w:tblCellMar>
          <w:top w:w="0" w:type="dxa"/>
          <w:left w:w="0" w:type="dxa"/>
          <w:bottom w:w="0" w:type="dxa"/>
          <w:right w:w="0" w:type="dxa"/>
        </w:tblCellMar>
        <w:tblLook w:val="01E0"/>
      </w:tblPr>
      <w:tblGrid>
        <w:gridCol w:w="1534"/>
        <w:gridCol w:w="952"/>
        <w:gridCol w:w="1124"/>
        <w:gridCol w:w="4174"/>
        <w:gridCol w:w="1874"/>
      </w:tblGrid>
      <w:tr>
        <w:trPr>
          <w:trHeight w:val="348" w:hRule="exact"/>
        </w:trPr>
        <w:tc>
          <w:tcPr>
            <w:tcW w:w="1534"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至授予日起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tc>
        <w:tc>
          <w:tcPr>
            <w:tcW w:w="1874" w:type="dxa"/>
            <w:tcBorders>
              <w:top w:val="single" w:sz="6" w:space="0" w:color="000000"/>
              <w:left w:val="single" w:sz="6" w:space="0" w:color="000000"/>
              <w:bottom w:val="single" w:sz="6" w:space="0" w:color="000000"/>
              <w:right w:val="single" w:sz="6" w:space="0" w:color="000000"/>
            </w:tcBorders>
          </w:tcPr>
          <w:p>
            <w:pPr/>
          </w:p>
        </w:tc>
      </w:tr>
    </w:tbl>
    <w:p>
      <w:pPr>
        <w:spacing w:line="292" w:lineRule="auto" w:before="10"/>
        <w:ind w:left="834" w:right="7512" w:firstLine="4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股票期权行权条件</w:t>
      </w:r>
      <w:r>
        <w:rPr>
          <w:rFonts w:ascii="宋体" w:hAnsi="宋体" w:cs="宋体" w:eastAsia="宋体" w:hint="default"/>
          <w:w w:val="99"/>
          <w:sz w:val="18"/>
          <w:szCs w:val="18"/>
        </w:rPr>
        <w:t> </w:t>
      </w:r>
      <w:r>
        <w:rPr>
          <w:rFonts w:ascii="Times New Roman" w:hAnsi="Times New Roman" w:cs="Times New Roman" w:eastAsia="Times New Roman" w:hint="default"/>
          <w:i/>
          <w:w w:val="99"/>
          <w:sz w:val="18"/>
          <w:szCs w:val="18"/>
        </w:rPr>
      </w:r>
      <w:r>
        <w:rPr>
          <w:rFonts w:ascii="Times New Roman" w:hAnsi="Times New Roman" w:cs="Times New Roman" w:eastAsia="Times New Roman" w:hint="default"/>
          <w:i/>
          <w:sz w:val="18"/>
          <w:szCs w:val="18"/>
          <w:u w:val="single" w:color="000000"/>
        </w:rPr>
        <w:t>2018</w:t>
      </w:r>
      <w:r>
        <w:rPr>
          <w:rFonts w:ascii="宋体" w:hAnsi="宋体" w:cs="宋体" w:eastAsia="宋体" w:hint="default"/>
          <w:i/>
          <w:sz w:val="19"/>
          <w:szCs w:val="19"/>
          <w:u w:val="single" w:color="000000"/>
        </w:rPr>
        <w:t>年</w:t>
      </w:r>
      <w:r>
        <w:rPr>
          <w:rFonts w:ascii="Times New Roman" w:hAnsi="Times New Roman" w:cs="Times New Roman" w:eastAsia="Times New Roman" w:hint="default"/>
          <w:i/>
          <w:sz w:val="18"/>
          <w:szCs w:val="18"/>
          <w:u w:val="single" w:color="000000"/>
        </w:rPr>
        <w:t>2</w:t>
      </w:r>
      <w:r>
        <w:rPr>
          <w:rFonts w:ascii="宋体" w:hAnsi="宋体" w:cs="宋体" w:eastAsia="宋体" w:hint="default"/>
          <w:i/>
          <w:sz w:val="19"/>
          <w:szCs w:val="19"/>
          <w:u w:val="single" w:color="000000"/>
        </w:rPr>
        <w:t>月授予的股票期权</w:t>
      </w:r>
      <w:r>
        <w:rPr>
          <w:rFonts w:ascii="宋体" w:hAnsi="宋体" w:cs="宋体" w:eastAsia="宋体" w:hint="default"/>
          <w:i/>
          <w:w w:val="94"/>
          <w:sz w:val="19"/>
          <w:szCs w:val="19"/>
        </w:rPr>
      </w:r>
      <w:r>
        <w:rPr>
          <w:rFonts w:ascii="宋体" w:hAnsi="宋体" w:cs="宋体" w:eastAsia="宋体" w:hint="default"/>
          <w:i/>
          <w:w w:val="94"/>
          <w:sz w:val="19"/>
          <w:szCs w:val="19"/>
        </w:rPr>
        <w:t> </w:t>
      </w:r>
      <w:r>
        <w:rPr>
          <w:rFonts w:ascii="宋体" w:hAnsi="宋体" w:cs="宋体" w:eastAsia="宋体" w:hint="default"/>
          <w:sz w:val="18"/>
          <w:szCs w:val="18"/>
        </w:rPr>
        <w:t>各行权考核年度业绩考核目标如下：</w:t>
      </w:r>
    </w:p>
    <w:p>
      <w:pPr>
        <w:pStyle w:val="BodyText"/>
        <w:tabs>
          <w:tab w:pos="833" w:val="left" w:leader="none"/>
        </w:tabs>
        <w:spacing w:line="300" w:lineRule="auto" w:before="37"/>
        <w:ind w:left="474" w:right="1131" w:hanging="360"/>
        <w:jc w:val="left"/>
      </w:pPr>
      <w:r>
        <w:rPr/>
        <w:t>·</w:t>
        <w:tab/>
        <w:tab/>
      </w:r>
      <w:r>
        <w:rPr>
          <w:spacing w:val="-2"/>
        </w:rPr>
        <w:t>第一次行权：以</w:t>
      </w:r>
      <w:r>
        <w:rPr>
          <w:rFonts w:ascii="Times New Roman" w:hAnsi="Times New Roman" w:cs="Times New Roman" w:eastAsia="Times New Roman" w:hint="default"/>
          <w:spacing w:val="-2"/>
        </w:rPr>
        <w:t>2016</w:t>
      </w:r>
      <w:r>
        <w:rPr>
          <w:spacing w:val="-2"/>
        </w:rPr>
        <w:t>年扣除商誉减值、或有对价增加额以及展动科技并购前持有股权估值调整后的归属于母公司净利润</w:t>
      </w:r>
      <w:r>
        <w:rPr>
          <w:spacing w:val="-64"/>
        </w:rPr>
        <w:t> </w:t>
      </w:r>
      <w:r>
        <w:rPr>
          <w:spacing w:val="-64"/>
        </w:rPr>
      </w:r>
      <w:r>
        <w:rPr/>
        <w:t>人民币</w:t>
      </w:r>
      <w:r>
        <w:rPr>
          <w:rFonts w:ascii="Times New Roman" w:hAnsi="Times New Roman" w:cs="Times New Roman" w:eastAsia="Times New Roman" w:hint="default"/>
        </w:rPr>
        <w:t>6,199</w:t>
      </w:r>
      <w:r>
        <w:rPr/>
        <w:t>万元为基数，</w:t>
      </w:r>
      <w:r>
        <w:rPr>
          <w:rFonts w:ascii="Times New Roman" w:hAnsi="Times New Roman" w:cs="Times New Roman" w:eastAsia="Times New Roman" w:hint="default"/>
        </w:rPr>
        <w:t>2018</w:t>
      </w:r>
      <w:r>
        <w:rPr/>
        <w:t>年归属于母公司净利润增长率不低于</w:t>
      </w:r>
      <w:r>
        <w:rPr>
          <w:rFonts w:ascii="Times New Roman" w:hAnsi="Times New Roman" w:cs="Times New Roman" w:eastAsia="Times New Roman" w:hint="default"/>
        </w:rPr>
        <w:t>10%</w:t>
      </w:r>
      <w:r>
        <w:rPr/>
        <w:t>；</w:t>
      </w:r>
    </w:p>
    <w:p>
      <w:pPr>
        <w:pStyle w:val="BodyText"/>
        <w:tabs>
          <w:tab w:pos="833" w:val="left" w:leader="none"/>
        </w:tabs>
        <w:spacing w:line="300" w:lineRule="auto" w:before="13"/>
        <w:ind w:left="474" w:right="1131" w:hanging="360"/>
        <w:jc w:val="left"/>
      </w:pPr>
      <w:r>
        <w:rPr/>
        <w:t>·</w:t>
        <w:tab/>
        <w:tab/>
      </w:r>
      <w:r>
        <w:rPr>
          <w:spacing w:val="-2"/>
        </w:rPr>
        <w:t>第二次行权：以</w:t>
      </w:r>
      <w:r>
        <w:rPr>
          <w:rFonts w:ascii="Times New Roman" w:hAnsi="Times New Roman" w:cs="Times New Roman" w:eastAsia="Times New Roman" w:hint="default"/>
          <w:spacing w:val="-2"/>
        </w:rPr>
        <w:t>2016</w:t>
      </w:r>
      <w:r>
        <w:rPr>
          <w:spacing w:val="-2"/>
        </w:rPr>
        <w:t>年扣除商誉减值、或有对价增加额以及展动科技并购前持有股权估值调整后的归属于母公司净利润</w:t>
      </w:r>
      <w:r>
        <w:rPr>
          <w:spacing w:val="-64"/>
        </w:rPr>
        <w:t> </w:t>
      </w:r>
      <w:r>
        <w:rPr>
          <w:spacing w:val="-64"/>
        </w:rPr>
      </w:r>
      <w:r>
        <w:rPr/>
        <w:t>人民币</w:t>
      </w:r>
      <w:r>
        <w:rPr>
          <w:rFonts w:ascii="Times New Roman" w:hAnsi="Times New Roman" w:cs="Times New Roman" w:eastAsia="Times New Roman" w:hint="default"/>
        </w:rPr>
        <w:t>6,199</w:t>
      </w:r>
      <w:r>
        <w:rPr/>
        <w:t>万元为基数，</w:t>
      </w:r>
      <w:r>
        <w:rPr>
          <w:rFonts w:ascii="Times New Roman" w:hAnsi="Times New Roman" w:cs="Times New Roman" w:eastAsia="Times New Roman" w:hint="default"/>
        </w:rPr>
        <w:t>2019</w:t>
      </w:r>
      <w:r>
        <w:rPr/>
        <w:t>年归属于母公司净利润增长率不低于</w:t>
      </w:r>
      <w:r>
        <w:rPr>
          <w:rFonts w:ascii="Times New Roman" w:hAnsi="Times New Roman" w:cs="Times New Roman" w:eastAsia="Times New Roman" w:hint="default"/>
        </w:rPr>
        <w:t>100%</w:t>
      </w:r>
      <w:r>
        <w:rPr/>
        <w:t>。</w:t>
      </w:r>
    </w:p>
    <w:p>
      <w:pPr>
        <w:spacing w:before="1"/>
        <w:ind w:left="834" w:right="1131" w:firstLine="0"/>
        <w:jc w:val="left"/>
        <w:rPr>
          <w:rFonts w:ascii="宋体" w:hAnsi="宋体" w:cs="宋体" w:eastAsia="宋体" w:hint="default"/>
          <w:sz w:val="19"/>
          <w:szCs w:val="19"/>
        </w:rPr>
      </w:pPr>
      <w:r>
        <w:rPr>
          <w:rFonts w:ascii="Times New Roman" w:hAnsi="Times New Roman" w:cs="Times New Roman" w:eastAsia="Times New Roman" w:hint="default"/>
          <w:i/>
          <w:sz w:val="18"/>
          <w:szCs w:val="18"/>
        </w:rPr>
      </w:r>
      <w:r>
        <w:rPr>
          <w:rFonts w:ascii="Times New Roman" w:hAnsi="Times New Roman" w:cs="Times New Roman" w:eastAsia="Times New Roman" w:hint="default"/>
          <w:i/>
          <w:sz w:val="18"/>
          <w:szCs w:val="18"/>
          <w:u w:val="single" w:color="000000"/>
        </w:rPr>
        <w:t>2018</w:t>
      </w:r>
      <w:r>
        <w:rPr>
          <w:rFonts w:ascii="宋体" w:hAnsi="宋体" w:cs="宋体" w:eastAsia="宋体" w:hint="default"/>
          <w:i/>
          <w:sz w:val="19"/>
          <w:szCs w:val="19"/>
          <w:u w:val="single" w:color="000000"/>
        </w:rPr>
        <w:t>年</w:t>
      </w:r>
      <w:r>
        <w:rPr>
          <w:rFonts w:ascii="Times New Roman" w:hAnsi="Times New Roman" w:cs="Times New Roman" w:eastAsia="Times New Roman" w:hint="default"/>
          <w:i/>
          <w:sz w:val="18"/>
          <w:szCs w:val="18"/>
          <w:u w:val="single" w:color="000000"/>
        </w:rPr>
        <w:t>11</w:t>
      </w:r>
      <w:r>
        <w:rPr>
          <w:rFonts w:ascii="宋体" w:hAnsi="宋体" w:cs="宋体" w:eastAsia="宋体" w:hint="default"/>
          <w:i/>
          <w:sz w:val="19"/>
          <w:szCs w:val="19"/>
          <w:u w:val="single" w:color="000000"/>
        </w:rPr>
        <w:t>月授予的股票期权</w:t>
      </w:r>
      <w:r>
        <w:rPr>
          <w:rFonts w:ascii="宋体" w:hAnsi="宋体" w:cs="宋体" w:eastAsia="宋体" w:hint="default"/>
          <w:i/>
          <w:sz w:val="19"/>
          <w:szCs w:val="19"/>
        </w:rPr>
      </w:r>
      <w:r>
        <w:rPr>
          <w:rFonts w:ascii="宋体" w:hAnsi="宋体" w:cs="宋体" w:eastAsia="宋体" w:hint="default"/>
          <w:sz w:val="19"/>
          <w:szCs w:val="19"/>
        </w:rPr>
      </w:r>
    </w:p>
    <w:p>
      <w:pPr>
        <w:pStyle w:val="BodyText"/>
        <w:spacing w:line="240" w:lineRule="auto" w:before="63"/>
        <w:ind w:left="834" w:right="1131"/>
        <w:jc w:val="left"/>
      </w:pPr>
      <w:r>
        <w:rPr/>
        <w:t>各行权考核年度业绩考核目标如下：</w:t>
      </w:r>
    </w:p>
    <w:p>
      <w:pPr>
        <w:pStyle w:val="BodyText"/>
        <w:tabs>
          <w:tab w:pos="833" w:val="left" w:leader="none"/>
        </w:tabs>
        <w:spacing w:line="240" w:lineRule="auto" w:before="76"/>
        <w:ind w:left="114" w:right="1131"/>
        <w:jc w:val="left"/>
      </w:pPr>
      <w:r>
        <w:rPr/>
        <w:t>·</w:t>
        <w:tab/>
        <w:t>第一次行权：以</w:t>
      </w:r>
      <w:r>
        <w:rPr>
          <w:rFonts w:ascii="Times New Roman" w:hAnsi="Times New Roman" w:cs="Times New Roman" w:eastAsia="Times New Roman" w:hint="default"/>
        </w:rPr>
        <w:t>2017</w:t>
      </w:r>
      <w:r>
        <w:rPr/>
        <w:t>年归属于母公司的净利润</w:t>
      </w:r>
      <w:r>
        <w:rPr>
          <w:rFonts w:ascii="Times New Roman" w:hAnsi="Times New Roman" w:cs="Times New Roman" w:eastAsia="Times New Roman" w:hint="default"/>
        </w:rPr>
        <w:t>3,099</w:t>
      </w:r>
      <w:r>
        <w:rPr/>
        <w:t>万元为基数，</w:t>
      </w:r>
      <w:r>
        <w:rPr>
          <w:rFonts w:ascii="Times New Roman" w:hAnsi="Times New Roman" w:cs="Times New Roman" w:eastAsia="Times New Roman" w:hint="default"/>
        </w:rPr>
        <w:t>2019</w:t>
      </w:r>
      <w:r>
        <w:rPr/>
        <w:t>年归属于母公司净利润不少于</w:t>
      </w:r>
      <w:r>
        <w:rPr>
          <w:rFonts w:ascii="Times New Roman" w:hAnsi="Times New Roman" w:cs="Times New Roman" w:eastAsia="Times New Roman" w:hint="default"/>
        </w:rPr>
        <w:t>16,200</w:t>
      </w:r>
      <w:r>
        <w:rPr/>
        <w:t>万元；</w:t>
      </w:r>
    </w:p>
    <w:p>
      <w:pPr>
        <w:pStyle w:val="BodyText"/>
        <w:tabs>
          <w:tab w:pos="833" w:val="left" w:leader="none"/>
        </w:tabs>
        <w:spacing w:line="240" w:lineRule="auto" w:before="63"/>
        <w:ind w:left="114" w:right="1131"/>
        <w:jc w:val="left"/>
      </w:pPr>
      <w:r>
        <w:rPr/>
        <w:t>·</w:t>
        <w:tab/>
        <w:t>第二次行权：以</w:t>
      </w:r>
      <w:r>
        <w:rPr>
          <w:rFonts w:ascii="Times New Roman" w:hAnsi="Times New Roman" w:cs="Times New Roman" w:eastAsia="Times New Roman" w:hint="default"/>
        </w:rPr>
        <w:t>2017</w:t>
      </w:r>
      <w:r>
        <w:rPr/>
        <w:t>年归属于母公司的净利润</w:t>
      </w:r>
      <w:r>
        <w:rPr>
          <w:rFonts w:ascii="Times New Roman" w:hAnsi="Times New Roman" w:cs="Times New Roman" w:eastAsia="Times New Roman" w:hint="default"/>
        </w:rPr>
        <w:t>3,099</w:t>
      </w:r>
      <w:r>
        <w:rPr/>
        <w:t>万元为基数，</w:t>
      </w:r>
      <w:r>
        <w:rPr>
          <w:rFonts w:ascii="Times New Roman" w:hAnsi="Times New Roman" w:cs="Times New Roman" w:eastAsia="Times New Roman" w:hint="default"/>
        </w:rPr>
        <w:t>2020</w:t>
      </w:r>
      <w:r>
        <w:rPr/>
        <w:t>年归属于母公司净利润不少于</w:t>
      </w:r>
      <w:r>
        <w:rPr>
          <w:rFonts w:ascii="Times New Roman" w:hAnsi="Times New Roman" w:cs="Times New Roman" w:eastAsia="Times New Roman" w:hint="default"/>
        </w:rPr>
        <w:t>21,000</w:t>
      </w:r>
      <w:r>
        <w:rPr/>
        <w:t>万元。</w:t>
      </w:r>
    </w:p>
    <w:p>
      <w:pPr>
        <w:pStyle w:val="BodyText"/>
        <w:spacing w:line="240" w:lineRule="auto" w:before="63"/>
        <w:ind w:left="834" w:right="1131"/>
        <w:jc w:val="left"/>
      </w:pPr>
      <w:r>
        <w:rPr>
          <w:rFonts w:ascii="Times New Roman" w:hAnsi="Times New Roman" w:cs="Times New Roman" w:eastAsia="Times New Roman" w:hint="default"/>
        </w:rPr>
        <w:t>2</w:t>
      </w:r>
      <w:r>
        <w:rPr/>
        <w:t>、变动情况</w:t>
      </w:r>
    </w:p>
    <w:p>
      <w:pPr>
        <w:spacing w:line="240" w:lineRule="auto" w:before="13"/>
        <w:rPr>
          <w:rFonts w:ascii="宋体" w:hAnsi="宋体" w:cs="宋体" w:eastAsia="宋体" w:hint="default"/>
          <w:sz w:val="3"/>
          <w:szCs w:val="3"/>
        </w:rPr>
      </w:pPr>
    </w:p>
    <w:tbl>
      <w:tblPr>
        <w:tblW w:w="0" w:type="auto"/>
        <w:jc w:val="left"/>
        <w:tblInd w:w="457" w:type="dxa"/>
        <w:tblLayout w:type="fixed"/>
        <w:tblCellMar>
          <w:top w:w="0" w:type="dxa"/>
          <w:left w:w="0" w:type="dxa"/>
          <w:bottom w:w="0" w:type="dxa"/>
          <w:right w:w="0" w:type="dxa"/>
        </w:tblCellMar>
        <w:tblLook w:val="01E0"/>
      </w:tblPr>
      <w:tblGrid>
        <w:gridCol w:w="1944"/>
        <w:gridCol w:w="876"/>
        <w:gridCol w:w="1202"/>
        <w:gridCol w:w="875"/>
        <w:gridCol w:w="1201"/>
        <w:gridCol w:w="875"/>
        <w:gridCol w:w="875"/>
        <w:gridCol w:w="890"/>
        <w:gridCol w:w="920"/>
      </w:tblGrid>
      <w:tr>
        <w:trPr>
          <w:trHeight w:val="347" w:hRule="exact"/>
        </w:trPr>
        <w:tc>
          <w:tcPr>
            <w:tcW w:w="1944" w:type="dxa"/>
            <w:vMerge w:val="restart"/>
            <w:tcBorders>
              <w:top w:val="single" w:sz="6" w:space="0" w:color="000000"/>
              <w:left w:val="single" w:sz="6" w:space="0" w:color="000000"/>
              <w:right w:val="single" w:sz="6" w:space="0" w:color="000000"/>
            </w:tcBorders>
            <w:shd w:val="clear" w:color="auto" w:fill="D9D9D9"/>
          </w:tcPr>
          <w:p>
            <w:pPr/>
          </w:p>
        </w:tc>
        <w:tc>
          <w:tcPr>
            <w:tcW w:w="2078"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年度激励计划</w:t>
            </w:r>
          </w:p>
        </w:tc>
        <w:tc>
          <w:tcPr>
            <w:tcW w:w="207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年度激励计划</w:t>
            </w:r>
          </w:p>
        </w:tc>
        <w:tc>
          <w:tcPr>
            <w:tcW w:w="175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月股票期权</w:t>
            </w:r>
          </w:p>
        </w:tc>
        <w:tc>
          <w:tcPr>
            <w:tcW w:w="1811"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月股票期权</w:t>
            </w:r>
          </w:p>
        </w:tc>
      </w:tr>
      <w:tr>
        <w:trPr>
          <w:trHeight w:val="347" w:hRule="exact"/>
        </w:trPr>
        <w:tc>
          <w:tcPr>
            <w:tcW w:w="1944" w:type="dxa"/>
            <w:vMerge/>
            <w:tcBorders>
              <w:left w:val="single" w:sz="6" w:space="0" w:color="000000"/>
              <w:bottom w:val="single" w:sz="6" w:space="0" w:color="000000"/>
              <w:right w:val="single" w:sz="6" w:space="0" w:color="000000"/>
            </w:tcBorders>
            <w:shd w:val="clear" w:color="auto" w:fill="D9D9D9"/>
          </w:tcPr>
          <w:p>
            <w:pPr/>
          </w:p>
        </w:tc>
        <w:tc>
          <w:tcPr>
            <w:tcW w:w="8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49" w:right="0"/>
              <w:jc w:val="left"/>
              <w:rPr>
                <w:rFonts w:ascii="宋体" w:hAnsi="宋体" w:cs="宋体" w:eastAsia="宋体" w:hint="default"/>
                <w:sz w:val="18"/>
                <w:szCs w:val="18"/>
              </w:rPr>
            </w:pPr>
            <w:r>
              <w:rPr>
                <w:rFonts w:ascii="宋体" w:hAnsi="宋体" w:cs="宋体" w:eastAsia="宋体" w:hint="default"/>
                <w:sz w:val="18"/>
                <w:szCs w:val="18"/>
              </w:rPr>
              <w:t>股数</w:t>
            </w:r>
          </w:p>
        </w:tc>
        <w:tc>
          <w:tcPr>
            <w:tcW w:w="12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加权平均价格</w:t>
            </w:r>
          </w:p>
        </w:tc>
        <w:tc>
          <w:tcPr>
            <w:tcW w:w="8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49" w:right="0"/>
              <w:jc w:val="left"/>
              <w:rPr>
                <w:rFonts w:ascii="宋体" w:hAnsi="宋体" w:cs="宋体" w:eastAsia="宋体" w:hint="default"/>
                <w:sz w:val="18"/>
                <w:szCs w:val="18"/>
              </w:rPr>
            </w:pPr>
            <w:r>
              <w:rPr>
                <w:rFonts w:ascii="宋体" w:hAnsi="宋体" w:cs="宋体" w:eastAsia="宋体" w:hint="default"/>
                <w:sz w:val="18"/>
                <w:szCs w:val="18"/>
              </w:rPr>
              <w:t>股数</w:t>
            </w:r>
          </w:p>
        </w:tc>
        <w:tc>
          <w:tcPr>
            <w:tcW w:w="12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53"/>
              <w:jc w:val="right"/>
              <w:rPr>
                <w:rFonts w:ascii="宋体" w:hAnsi="宋体" w:cs="宋体" w:eastAsia="宋体" w:hint="default"/>
                <w:sz w:val="18"/>
                <w:szCs w:val="18"/>
              </w:rPr>
            </w:pPr>
            <w:r>
              <w:rPr>
                <w:rFonts w:ascii="宋体" w:hAnsi="宋体" w:cs="宋体" w:eastAsia="宋体" w:hint="default"/>
                <w:sz w:val="18"/>
                <w:szCs w:val="18"/>
              </w:rPr>
              <w:t>加权平均价格</w:t>
            </w:r>
          </w:p>
        </w:tc>
        <w:tc>
          <w:tcPr>
            <w:tcW w:w="8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49" w:right="0"/>
              <w:jc w:val="left"/>
              <w:rPr>
                <w:rFonts w:ascii="宋体" w:hAnsi="宋体" w:cs="宋体" w:eastAsia="宋体" w:hint="default"/>
                <w:sz w:val="18"/>
                <w:szCs w:val="18"/>
              </w:rPr>
            </w:pPr>
            <w:r>
              <w:rPr>
                <w:rFonts w:ascii="宋体" w:hAnsi="宋体" w:cs="宋体" w:eastAsia="宋体" w:hint="default"/>
                <w:sz w:val="18"/>
                <w:szCs w:val="18"/>
              </w:rPr>
              <w:t>股数</w:t>
            </w:r>
          </w:p>
        </w:tc>
        <w:tc>
          <w:tcPr>
            <w:tcW w:w="8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70" w:right="0"/>
              <w:jc w:val="left"/>
              <w:rPr>
                <w:rFonts w:ascii="宋体" w:hAnsi="宋体" w:cs="宋体" w:eastAsia="宋体" w:hint="default"/>
                <w:sz w:val="18"/>
                <w:szCs w:val="18"/>
              </w:rPr>
            </w:pPr>
            <w:r>
              <w:rPr>
                <w:rFonts w:ascii="宋体" w:hAnsi="宋体" w:cs="宋体" w:eastAsia="宋体" w:hint="default"/>
                <w:sz w:val="18"/>
                <w:szCs w:val="18"/>
              </w:rPr>
              <w:t>行权价格</w:t>
            </w:r>
          </w:p>
        </w:tc>
        <w:tc>
          <w:tcPr>
            <w:tcW w:w="8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56" w:right="0"/>
              <w:jc w:val="left"/>
              <w:rPr>
                <w:rFonts w:ascii="宋体" w:hAnsi="宋体" w:cs="宋体" w:eastAsia="宋体" w:hint="default"/>
                <w:sz w:val="18"/>
                <w:szCs w:val="18"/>
              </w:rPr>
            </w:pPr>
            <w:r>
              <w:rPr>
                <w:rFonts w:ascii="宋体" w:hAnsi="宋体" w:cs="宋体" w:eastAsia="宋体" w:hint="default"/>
                <w:sz w:val="18"/>
                <w:szCs w:val="18"/>
              </w:rPr>
              <w:t>股数</w:t>
            </w:r>
          </w:p>
        </w:tc>
        <w:tc>
          <w:tcPr>
            <w:tcW w:w="9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行权价格</w:t>
            </w:r>
          </w:p>
        </w:tc>
      </w:tr>
      <w:tr>
        <w:trPr>
          <w:trHeight w:val="347" w:hRule="exact"/>
        </w:trPr>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3,800,000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4.20</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授予</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7,600,000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2.55</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3,610,000</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7.65</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8,200,000</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5.10</w:t>
            </w:r>
          </w:p>
        </w:tc>
      </w:tr>
      <w:tr>
        <w:trPr>
          <w:trHeight w:val="347" w:hRule="exact"/>
        </w:trPr>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员工离职</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1"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490,000</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7.65</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80,000</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5.10</w:t>
            </w:r>
          </w:p>
        </w:tc>
      </w:tr>
      <w:tr>
        <w:trPr>
          <w:trHeight w:val="348" w:hRule="exact"/>
        </w:trPr>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3,800,000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4.20</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7,600,000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2.55</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3,120,000</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7.65</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8,120,000</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5.10</w:t>
            </w:r>
          </w:p>
        </w:tc>
      </w:tr>
    </w:tbl>
    <w:p>
      <w:pPr>
        <w:pStyle w:val="BodyText"/>
        <w:spacing w:line="300" w:lineRule="auto" w:before="10"/>
        <w:ind w:left="474" w:right="1130" w:firstLine="290"/>
        <w:jc w:val="both"/>
      </w:pPr>
      <w:r>
        <w:rPr>
          <w:spacing w:val="-2"/>
        </w:rPr>
        <w:t>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w:t>
      </w:r>
      <w:r>
        <w:rPr>
          <w:rFonts w:ascii="Times New Roman" w:hAnsi="Times New Roman" w:cs="Times New Roman" w:eastAsia="Times New Roman" w:hint="default"/>
          <w:spacing w:val="-2"/>
        </w:rPr>
        <w:t>2017</w:t>
      </w:r>
      <w:r>
        <w:rPr>
          <w:spacing w:val="-2"/>
        </w:rPr>
        <w:t>年度激励计划下发行在外的限制性股票数量</w:t>
      </w:r>
      <w:r>
        <w:rPr>
          <w:rFonts w:ascii="Times New Roman" w:hAnsi="Times New Roman" w:cs="Times New Roman" w:eastAsia="Times New Roman" w:hint="default"/>
          <w:spacing w:val="-2"/>
        </w:rPr>
        <w:t>3,800,000</w:t>
      </w:r>
      <w:r>
        <w:rPr>
          <w:spacing w:val="-2"/>
        </w:rPr>
        <w:t>股，预计将在</w:t>
      </w:r>
      <w:r>
        <w:rPr>
          <w:rFonts w:ascii="Times New Roman" w:hAnsi="Times New Roman" w:cs="Times New Roman" w:eastAsia="Times New Roman" w:hint="default"/>
          <w:spacing w:val="-2"/>
        </w:rPr>
        <w:t>1</w:t>
      </w:r>
      <w:r>
        <w:rPr>
          <w:spacing w:val="-2"/>
        </w:rPr>
        <w:t>年内解锁；</w:t>
      </w:r>
      <w:r>
        <w:rPr>
          <w:rFonts w:ascii="Times New Roman" w:hAnsi="Times New Roman" w:cs="Times New Roman" w:eastAsia="Times New Roman" w:hint="default"/>
          <w:spacing w:val="-2"/>
        </w:rPr>
        <w:t>2018</w:t>
      </w:r>
      <w:r>
        <w:rPr>
          <w:rFonts w:ascii="Times New Roman" w:hAnsi="Times New Roman" w:cs="Times New Roman" w:eastAsia="Times New Roman" w:hint="default"/>
        </w:rPr>
        <w:t> </w:t>
      </w:r>
      <w:r>
        <w:rPr/>
        <w:t>年度激励计划下发行在外的限制性股票数量</w:t>
      </w:r>
      <w:r>
        <w:rPr>
          <w:rFonts w:ascii="Times New Roman" w:hAnsi="Times New Roman" w:cs="Times New Roman" w:eastAsia="Times New Roman" w:hint="default"/>
        </w:rPr>
        <w:t>7,600,000</w:t>
      </w:r>
      <w:r>
        <w:rPr/>
        <w:t>股，预计将在</w:t>
      </w:r>
      <w:r>
        <w:rPr>
          <w:rFonts w:ascii="Times New Roman" w:hAnsi="Times New Roman" w:cs="Times New Roman" w:eastAsia="Times New Roman" w:hint="default"/>
        </w:rPr>
        <w:t>2</w:t>
      </w:r>
      <w:r>
        <w:rPr/>
        <w:t>年内解锁；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月授予的股票期权预计将在</w:t>
      </w:r>
      <w:r>
        <w:rPr>
          <w:rFonts w:ascii="Times New Roman" w:hAnsi="Times New Roman" w:cs="Times New Roman" w:eastAsia="Times New Roman" w:hint="default"/>
        </w:rPr>
        <w:t>1</w:t>
      </w:r>
      <w:r>
        <w:rPr/>
        <w:t>年内行</w:t>
      </w:r>
      <w:r>
        <w:rPr>
          <w:spacing w:val="-85"/>
        </w:rPr>
        <w:t> </w:t>
      </w:r>
      <w:r>
        <w:rPr/>
        <w:t>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月授予的期权预计将在</w:t>
      </w:r>
      <w:r>
        <w:rPr>
          <w:rFonts w:ascii="Times New Roman" w:hAnsi="Times New Roman" w:cs="Times New Roman" w:eastAsia="Times New Roman" w:hint="default"/>
        </w:rPr>
        <w:t>2</w:t>
      </w:r>
      <w:r>
        <w:rPr/>
        <w:t>年内行权。</w:t>
      </w:r>
    </w:p>
    <w:p>
      <w:pPr>
        <w:pStyle w:val="BodyText"/>
        <w:spacing w:line="300" w:lineRule="auto" w:before="13"/>
        <w:ind w:left="781" w:right="1131" w:firstLine="52"/>
        <w:jc w:val="left"/>
      </w:pPr>
      <w:r>
        <w:rPr>
          <w:rFonts w:ascii="Times New Roman" w:hAnsi="Times New Roman" w:cs="Times New Roman" w:eastAsia="Times New Roman" w:hint="default"/>
        </w:rPr>
        <w:t>3</w:t>
      </w:r>
      <w:r>
        <w:rPr/>
        <w:t>、公允价值的确定及股份支付费用 </w:t>
      </w:r>
      <w:r>
        <w:rPr>
          <w:spacing w:val="-1"/>
        </w:rPr>
        <w:t>对于上述限制性股票激励计划下非董事、高级管理人员的激励对象，限制性股票的公允价值以普通股市价为基础进行计</w:t>
      </w:r>
    </w:p>
    <w:p>
      <w:pPr>
        <w:pStyle w:val="BodyText"/>
        <w:spacing w:line="316" w:lineRule="auto" w:before="31"/>
        <w:ind w:left="781" w:right="1131" w:hanging="308"/>
        <w:jc w:val="left"/>
      </w:pPr>
      <w:r>
        <w:rPr/>
        <w:t>量，董事及高级管理人员的限制性股票的公允价值以普通股市价为基础，并考虑受限成本的影响。 </w:t>
      </w:r>
      <w:r>
        <w:rPr>
          <w:spacing w:val="-2"/>
        </w:rPr>
        <w:t>对于上述股票期权激励计划，本公司按照</w:t>
      </w:r>
      <w:r>
        <w:rPr>
          <w:rFonts w:ascii="Times New Roman" w:hAnsi="Times New Roman" w:cs="Times New Roman" w:eastAsia="Times New Roman" w:hint="default"/>
          <w:spacing w:val="-2"/>
        </w:rPr>
        <w:t>“</w:t>
      </w:r>
      <w:r>
        <w:rPr>
          <w:spacing w:val="-2"/>
        </w:rPr>
        <w:t>布莱克</w:t>
      </w:r>
      <w:r>
        <w:rPr>
          <w:rFonts w:ascii="Times New Roman" w:hAnsi="Times New Roman" w:cs="Times New Roman" w:eastAsia="Times New Roman" w:hint="default"/>
          <w:spacing w:val="-2"/>
        </w:rPr>
        <w:t>-</w:t>
      </w:r>
      <w:r>
        <w:rPr>
          <w:spacing w:val="-2"/>
        </w:rPr>
        <w:t>斯科尔期权定价模型</w:t>
      </w:r>
      <w:r>
        <w:rPr>
          <w:rFonts w:ascii="Times New Roman" w:hAnsi="Times New Roman" w:cs="Times New Roman" w:eastAsia="Times New Roman" w:hint="default"/>
          <w:spacing w:val="-2"/>
        </w:rPr>
        <w:t>”</w:t>
      </w:r>
      <w:r>
        <w:rPr>
          <w:spacing w:val="-2"/>
        </w:rPr>
        <w:t>对股票期权在授予日的公允价值进行测算，模型</w:t>
      </w:r>
    </w:p>
    <w:p>
      <w:pPr>
        <w:pStyle w:val="BodyText"/>
        <w:spacing w:line="316" w:lineRule="auto"/>
        <w:ind w:left="474" w:right="1131"/>
        <w:jc w:val="left"/>
      </w:pPr>
      <w:r>
        <w:rPr>
          <w:spacing w:val="-2"/>
        </w:rPr>
        <w:t>中主要选取参数为标的股价、行权价格、期权有效期、公司近一年和两年股价波动率、中国国债一年和两年期利率和公司最</w:t>
      </w:r>
      <w:r>
        <w:rPr>
          <w:spacing w:val="-66"/>
        </w:rPr>
        <w:t> </w:t>
      </w:r>
      <w:r>
        <w:rPr>
          <w:spacing w:val="-66"/>
        </w:rPr>
      </w:r>
      <w:r>
        <w:rPr/>
        <w:t>近两年的平均股息率。</w:t>
      </w:r>
    </w:p>
    <w:p>
      <w:pPr>
        <w:pStyle w:val="BodyText"/>
        <w:spacing w:line="300" w:lineRule="auto" w:before="19"/>
        <w:ind w:left="474" w:right="1132" w:firstLine="307"/>
        <w:jc w:val="both"/>
      </w:pPr>
      <w:r>
        <w:rPr>
          <w:spacing w:val="-1"/>
        </w:rPr>
        <w:t>本公司</w:t>
      </w:r>
      <w:r>
        <w:rPr>
          <w:rFonts w:ascii="Times New Roman" w:hAnsi="Times New Roman" w:cs="Times New Roman" w:eastAsia="Times New Roman" w:hint="default"/>
          <w:spacing w:val="-1"/>
        </w:rPr>
        <w:t>2018</w:t>
      </w:r>
      <w:r>
        <w:rPr>
          <w:spacing w:val="-1"/>
        </w:rPr>
        <w:t>年确认股份支付费用人民币</w:t>
      </w:r>
      <w:r>
        <w:rPr>
          <w:rFonts w:ascii="Times New Roman" w:hAnsi="Times New Roman" w:cs="Times New Roman" w:eastAsia="Times New Roman" w:hint="default"/>
          <w:spacing w:val="-1"/>
        </w:rPr>
        <w:t>5,920,800.00</w:t>
      </w:r>
      <w:r>
        <w:rPr>
          <w:spacing w:val="-1"/>
        </w:rPr>
        <w:t>元</w:t>
      </w:r>
      <w:r>
        <w:rPr>
          <w:rFonts w:ascii="Times New Roman" w:hAnsi="Times New Roman" w:cs="Times New Roman" w:eastAsia="Times New Roman" w:hint="default"/>
          <w:spacing w:val="-1"/>
        </w:rPr>
        <w:t>(2017</w:t>
      </w:r>
      <w:r>
        <w:rPr>
          <w:spacing w:val="-1"/>
        </w:rPr>
        <w:t>年：人民币</w:t>
      </w:r>
      <w:r>
        <w:rPr>
          <w:rFonts w:ascii="Times New Roman" w:hAnsi="Times New Roman" w:cs="Times New Roman" w:eastAsia="Times New Roman" w:hint="default"/>
          <w:spacing w:val="-1"/>
        </w:rPr>
        <w:t>3,847,521.93</w:t>
      </w:r>
      <w:r>
        <w:rPr>
          <w:spacing w:val="-1"/>
        </w:rPr>
        <w:t>元</w:t>
      </w:r>
      <w:r>
        <w:rPr>
          <w:rFonts w:ascii="Times New Roman" w:hAnsi="Times New Roman" w:cs="Times New Roman" w:eastAsia="Times New Roman" w:hint="default"/>
          <w:spacing w:val="-1"/>
        </w:rPr>
        <w:t>)</w:t>
      </w:r>
      <w:r>
        <w:rPr>
          <w:spacing w:val="-1"/>
        </w:rPr>
        <w:t>。截至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日，股份支付</w:t>
      </w:r>
      <w:r>
        <w:rPr/>
        <w:t> 累计计入资本公积的金额为人民币</w:t>
      </w:r>
      <w:r>
        <w:rPr>
          <w:rFonts w:ascii="Times New Roman" w:hAnsi="Times New Roman" w:cs="Times New Roman" w:eastAsia="Times New Roman" w:hint="default"/>
        </w:rPr>
        <w:t>18,226,790.64</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12,305,990.64</w:t>
      </w:r>
      <w:r>
        <w:rPr/>
        <w:t>元</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2"/>
          <w:szCs w:val="22"/>
        </w:rPr>
      </w:pPr>
    </w:p>
    <w:p>
      <w:pPr>
        <w:pStyle w:val="Heading4"/>
        <w:spacing w:line="240" w:lineRule="auto"/>
        <w:ind w:left="474" w:right="1131"/>
        <w:jc w:val="left"/>
        <w:rPr>
          <w:b w:val="0"/>
          <w:bCs w:val="0"/>
        </w:rPr>
      </w:pPr>
      <w:bookmarkStart w:name="3、以现金结算的股份支付情况" w:id="401"/>
      <w:bookmarkEnd w:id="401"/>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4" w:lineRule="auto" w:before="0"/>
        <w:ind w:left="474" w:right="79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02"/>
      <w:bookmarkEnd w:id="402"/>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4"/>
        <w:spacing w:line="240" w:lineRule="auto" w:before="124"/>
        <w:ind w:left="474" w:right="1131"/>
        <w:jc w:val="left"/>
        <w:rPr>
          <w:b w:val="0"/>
          <w:bCs w:val="0"/>
        </w:rPr>
      </w:pPr>
      <w:bookmarkStart w:name="5、其他" w:id="403"/>
      <w:bookmarkEnd w:id="403"/>
      <w:r>
        <w:rPr>
          <w:b w:val="0"/>
          <w:bCs w:val="0"/>
        </w:rPr>
      </w: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4" w:right="1131"/>
        <w:jc w:val="left"/>
      </w:pPr>
      <w:r>
        <w:rPr/>
        <w:t>无</w:t>
      </w:r>
    </w:p>
    <w:p>
      <w:pPr>
        <w:spacing w:after="0" w:line="240" w:lineRule="auto"/>
        <w:jc w:val="left"/>
        <w:sectPr>
          <w:pgSz w:w="11910" w:h="16840"/>
          <w:pgMar w:header="0" w:footer="979" w:top="1100" w:bottom="1160" w:left="66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十四、承诺及或有事项" w:id="404"/>
      <w:bookmarkEnd w:id="404"/>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承诺事项" w:id="405"/>
      <w:bookmarkEnd w:id="405"/>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资产负债表日存在的重要承诺</w:t>
      </w:r>
    </w:p>
    <w:p>
      <w:pPr>
        <w:pStyle w:val="BodyText"/>
        <w:spacing w:line="240" w:lineRule="auto" w:before="115"/>
        <w:ind w:right="0"/>
        <w:jc w:val="left"/>
      </w:pPr>
      <w:r>
        <w:rPr/>
        <w:t>（</w:t>
      </w:r>
      <w:r>
        <w:rPr>
          <w:rFonts w:ascii="Times New Roman" w:hAnsi="Times New Roman" w:cs="Times New Roman" w:eastAsia="Times New Roman" w:hint="default"/>
        </w:rPr>
        <w:t>1</w:t>
      </w:r>
      <w:r>
        <w:rPr/>
        <w:t>）资本承诺</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5521"/>
        <w:gridCol w:w="2069"/>
        <w:gridCol w:w="2069"/>
      </w:tblGrid>
      <w:tr>
        <w:trPr>
          <w:trHeight w:val="347" w:hRule="exact"/>
        </w:trPr>
        <w:tc>
          <w:tcPr>
            <w:tcW w:w="5521"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20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626" w:right="0"/>
              <w:jc w:val="left"/>
              <w:rPr>
                <w:rFonts w:ascii="宋体" w:hAnsi="宋体" w:cs="宋体" w:eastAsia="宋体" w:hint="default"/>
                <w:sz w:val="20"/>
                <w:szCs w:val="20"/>
              </w:rPr>
            </w:pPr>
            <w:r>
              <w:rPr>
                <w:rFonts w:ascii="宋体" w:hAnsi="宋体" w:cs="宋体" w:eastAsia="宋体" w:hint="default"/>
                <w:sz w:val="20"/>
                <w:szCs w:val="20"/>
              </w:rPr>
              <w:t>年末余额</w:t>
            </w:r>
          </w:p>
        </w:tc>
        <w:tc>
          <w:tcPr>
            <w:tcW w:w="20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626" w:right="0"/>
              <w:jc w:val="left"/>
              <w:rPr>
                <w:rFonts w:ascii="宋体" w:hAnsi="宋体" w:cs="宋体" w:eastAsia="宋体" w:hint="default"/>
                <w:sz w:val="20"/>
                <w:szCs w:val="20"/>
              </w:rPr>
            </w:pPr>
            <w:r>
              <w:rPr>
                <w:rFonts w:ascii="宋体" w:hAnsi="宋体" w:cs="宋体" w:eastAsia="宋体" w:hint="default"/>
                <w:sz w:val="20"/>
                <w:szCs w:val="20"/>
              </w:rPr>
              <w:t>年初余额</w:t>
            </w:r>
          </w:p>
        </w:tc>
      </w:tr>
      <w:tr>
        <w:trPr>
          <w:trHeight w:val="347" w:hRule="exact"/>
        </w:trPr>
        <w:tc>
          <w:tcPr>
            <w:tcW w:w="5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已签约但未于财务报表中确认的</w:t>
            </w:r>
          </w:p>
        </w:tc>
        <w:tc>
          <w:tcPr>
            <w:tcW w:w="2069"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5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8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构建长期资产承诺</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754,978.14</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447,339.30</w:t>
            </w:r>
          </w:p>
        </w:tc>
      </w:tr>
      <w:tr>
        <w:trPr>
          <w:trHeight w:val="348" w:hRule="exact"/>
        </w:trPr>
        <w:tc>
          <w:tcPr>
            <w:tcW w:w="5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754,978.14</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447,339.30</w:t>
            </w:r>
          </w:p>
        </w:tc>
      </w:tr>
    </w:tbl>
    <w:p>
      <w:pPr>
        <w:pStyle w:val="BodyText"/>
        <w:spacing w:line="300" w:lineRule="auto" w:before="10"/>
        <w:ind w:left="564" w:right="4402" w:hanging="338"/>
        <w:jc w:val="left"/>
      </w:pPr>
      <w:r>
        <w:rPr>
          <w:rFonts w:ascii="Times New Roman" w:hAnsi="Times New Roman" w:cs="Times New Roman" w:eastAsia="Times New Roman" w:hint="default"/>
        </w:rPr>
        <w:t>(2)</w:t>
      </w:r>
      <w:r>
        <w:rPr/>
        <w:t>经营租赁承诺</w:t>
      </w:r>
      <w:r>
        <w:rPr>
          <w:w w:val="99"/>
        </w:rPr>
        <w:t> </w:t>
      </w:r>
      <w:r>
        <w:rPr/>
        <w:t>至资产负债表日止，本集团对外签订的不可撤销的经营租赁合约情况如下：</w:t>
      </w:r>
    </w:p>
    <w:tbl>
      <w:tblPr>
        <w:tblW w:w="0" w:type="auto"/>
        <w:jc w:val="left"/>
        <w:tblInd w:w="137" w:type="dxa"/>
        <w:tblLayout w:type="fixed"/>
        <w:tblCellMar>
          <w:top w:w="0" w:type="dxa"/>
          <w:left w:w="0" w:type="dxa"/>
          <w:bottom w:w="0" w:type="dxa"/>
          <w:right w:w="0" w:type="dxa"/>
        </w:tblCellMar>
        <w:tblLook w:val="01E0"/>
      </w:tblPr>
      <w:tblGrid>
        <w:gridCol w:w="5520"/>
        <w:gridCol w:w="2115"/>
        <w:gridCol w:w="2024"/>
      </w:tblGrid>
      <w:tr>
        <w:trPr>
          <w:trHeight w:val="329" w:hRule="exact"/>
        </w:trPr>
        <w:tc>
          <w:tcPr>
            <w:tcW w:w="5520"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211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649" w:right="0"/>
              <w:jc w:val="left"/>
              <w:rPr>
                <w:rFonts w:ascii="宋体" w:hAnsi="宋体" w:cs="宋体" w:eastAsia="宋体" w:hint="default"/>
                <w:sz w:val="20"/>
                <w:szCs w:val="20"/>
              </w:rPr>
            </w:pPr>
            <w:r>
              <w:rPr>
                <w:rFonts w:ascii="宋体" w:hAnsi="宋体" w:cs="宋体" w:eastAsia="宋体" w:hint="default"/>
                <w:sz w:val="20"/>
                <w:szCs w:val="20"/>
              </w:rPr>
              <w:t>年末余额</w:t>
            </w:r>
          </w:p>
        </w:tc>
        <w:tc>
          <w:tcPr>
            <w:tcW w:w="20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604" w:right="0"/>
              <w:jc w:val="left"/>
              <w:rPr>
                <w:rFonts w:ascii="宋体" w:hAnsi="宋体" w:cs="宋体" w:eastAsia="宋体" w:hint="default"/>
                <w:sz w:val="20"/>
                <w:szCs w:val="20"/>
              </w:rPr>
            </w:pPr>
            <w:r>
              <w:rPr>
                <w:rFonts w:ascii="宋体" w:hAnsi="宋体" w:cs="宋体" w:eastAsia="宋体" w:hint="default"/>
                <w:sz w:val="20"/>
                <w:szCs w:val="20"/>
              </w:rPr>
              <w:t>年初余额</w:t>
            </w:r>
          </w:p>
        </w:tc>
      </w:tr>
      <w:tr>
        <w:trPr>
          <w:trHeight w:val="365" w:hRule="exact"/>
        </w:trPr>
        <w:tc>
          <w:tcPr>
            <w:tcW w:w="552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20"/>
                <w:szCs w:val="20"/>
              </w:rPr>
            </w:pPr>
            <w:r>
              <w:rPr>
                <w:rFonts w:ascii="宋体" w:hAnsi="宋体" w:cs="宋体" w:eastAsia="宋体" w:hint="default"/>
                <w:sz w:val="20"/>
                <w:szCs w:val="20"/>
              </w:rPr>
              <w:t>不可撤销经营租赁的最低租赁付款额：</w:t>
            </w:r>
          </w:p>
        </w:tc>
        <w:tc>
          <w:tcPr>
            <w:tcW w:w="2115" w:type="dxa"/>
            <w:tcBorders>
              <w:top w:val="single" w:sz="10" w:space="0" w:color="000000"/>
              <w:left w:val="single" w:sz="6" w:space="0" w:color="000000"/>
              <w:bottom w:val="single" w:sz="6" w:space="0" w:color="000000"/>
              <w:right w:val="single" w:sz="6" w:space="0" w:color="000000"/>
            </w:tcBorders>
          </w:tcPr>
          <w:p>
            <w:pPr/>
          </w:p>
        </w:tc>
        <w:tc>
          <w:tcPr>
            <w:tcW w:w="2024" w:type="dxa"/>
            <w:tcBorders>
              <w:top w:val="single" w:sz="10" w:space="0" w:color="000000"/>
              <w:left w:val="single" w:sz="6" w:space="0" w:color="000000"/>
              <w:bottom w:val="single" w:sz="6" w:space="0" w:color="000000"/>
              <w:right w:val="single" w:sz="6" w:space="0" w:color="000000"/>
            </w:tcBorders>
          </w:tcPr>
          <w:p>
            <w:pPr/>
          </w:p>
        </w:tc>
      </w:tr>
      <w:tr>
        <w:trPr>
          <w:trHeight w:val="347" w:hRule="exact"/>
        </w:trPr>
        <w:tc>
          <w:tcPr>
            <w:tcW w:w="5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资产负债表日后第</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2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26,490,703.19</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28,132,054.24</w:t>
            </w:r>
          </w:p>
        </w:tc>
      </w:tr>
      <w:tr>
        <w:trPr>
          <w:trHeight w:val="347" w:hRule="exact"/>
        </w:trPr>
        <w:tc>
          <w:tcPr>
            <w:tcW w:w="5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资产负债表日后第</w:t>
            </w:r>
            <w:r>
              <w:rPr>
                <w:rFonts w:ascii="Times New Roman" w:hAnsi="Times New Roman" w:cs="Times New Roman" w:eastAsia="Times New Roman" w:hint="default"/>
                <w:sz w:val="20"/>
                <w:szCs w:val="20"/>
              </w:rPr>
              <w:t>2</w:t>
            </w:r>
            <w:r>
              <w:rPr>
                <w:rFonts w:ascii="宋体" w:hAnsi="宋体" w:cs="宋体" w:eastAsia="宋体" w:hint="default"/>
                <w:sz w:val="20"/>
                <w:szCs w:val="20"/>
              </w:rPr>
              <w:t>年</w:t>
            </w:r>
          </w:p>
        </w:tc>
        <w:tc>
          <w:tcPr>
            <w:tcW w:w="2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16,187,736.84</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24,504,228.96</w:t>
            </w:r>
          </w:p>
        </w:tc>
      </w:tr>
      <w:tr>
        <w:trPr>
          <w:trHeight w:val="347" w:hRule="exact"/>
        </w:trPr>
        <w:tc>
          <w:tcPr>
            <w:tcW w:w="5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资产负债表日后第</w:t>
            </w:r>
            <w:r>
              <w:rPr>
                <w:rFonts w:ascii="Times New Roman" w:hAnsi="Times New Roman" w:cs="Times New Roman" w:eastAsia="Times New Roman" w:hint="default"/>
                <w:sz w:val="20"/>
                <w:szCs w:val="20"/>
              </w:rPr>
              <w:t>3</w:t>
            </w:r>
            <w:r>
              <w:rPr>
                <w:rFonts w:ascii="宋体" w:hAnsi="宋体" w:cs="宋体" w:eastAsia="宋体" w:hint="default"/>
                <w:sz w:val="20"/>
                <w:szCs w:val="20"/>
              </w:rPr>
              <w:t>年</w:t>
            </w:r>
          </w:p>
        </w:tc>
        <w:tc>
          <w:tcPr>
            <w:tcW w:w="2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6,774,067.19</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15,630,259.39</w:t>
            </w:r>
          </w:p>
        </w:tc>
      </w:tr>
      <w:tr>
        <w:trPr>
          <w:trHeight w:val="348" w:hRule="exact"/>
        </w:trPr>
        <w:tc>
          <w:tcPr>
            <w:tcW w:w="5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以后年度</w:t>
            </w:r>
          </w:p>
        </w:tc>
        <w:tc>
          <w:tcPr>
            <w:tcW w:w="2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29,563,933.73</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36,114,534.05</w:t>
            </w:r>
          </w:p>
        </w:tc>
      </w:tr>
      <w:tr>
        <w:trPr>
          <w:trHeight w:val="347" w:hRule="exact"/>
        </w:trPr>
        <w:tc>
          <w:tcPr>
            <w:tcW w:w="5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79,016,440.95</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104,381,076.64</w:t>
            </w:r>
          </w:p>
        </w:tc>
      </w:tr>
    </w:tbl>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2、或有事项" w:id="406"/>
      <w:bookmarkEnd w:id="40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资产负债表日存在的重要或有事项" w:id="407"/>
      <w:bookmarkEnd w:id="407"/>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公司没有需要披露的重要或有事项，也应予以说明" w:id="408"/>
      <w:bookmarkEnd w:id="408"/>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其他" w:id="409"/>
      <w:bookmarkEnd w:id="409"/>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五、资产负债表日后事项" w:id="410"/>
      <w:bookmarkEnd w:id="410"/>
      <w:r>
        <w:rPr>
          <w:b w:val="0"/>
          <w:bCs w:val="0"/>
        </w:rPr>
      </w:r>
      <w:r>
        <w:rPr/>
        <w:t>十五、资产负债表日后事项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的非调整事项" w:id="411"/>
      <w:bookmarkEnd w:id="411"/>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2、利润分配情况" w:id="412"/>
      <w:bookmarkEnd w:id="412"/>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79,498,022.00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79,498,022.00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销售退回" w:id="413"/>
      <w:bookmarkEnd w:id="413"/>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其他资产负债表日后事项说明" w:id="414"/>
      <w:bookmarkEnd w:id="414"/>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61" w:right="0" w:firstLine="52"/>
        <w:jc w:val="left"/>
        <w:rPr>
          <w:rFonts w:ascii="宋体" w:hAnsi="宋体" w:cs="宋体" w:eastAsia="宋体" w:hint="default"/>
        </w:rPr>
      </w:pPr>
      <w:r>
        <w:rPr/>
        <w:t>资产负债表日后事项</w:t>
      </w:r>
      <w:r>
        <w:rPr>
          <w:spacing w:val="-17"/>
        </w:rPr>
        <w:t> </w:t>
      </w:r>
      <w:r>
        <w:rPr>
          <w:rFonts w:ascii="Times New Roman" w:hAnsi="Times New Roman" w:cs="Times New Roman" w:eastAsia="Times New Roman" w:hint="default"/>
        </w:rPr>
        <w:t>–</w:t>
      </w:r>
      <w:r>
        <w:rPr/>
        <w:t>利润分配情况 </w:t>
      </w:r>
      <w:r>
        <w:rPr>
          <w:spacing w:val="-1"/>
        </w:rPr>
        <w:t>经</w:t>
      </w:r>
      <w:r>
        <w:rPr>
          <w:rFonts w:ascii="宋体" w:hAnsi="宋体" w:cs="宋体" w:eastAsia="宋体" w:hint="default"/>
          <w:spacing w:val="-1"/>
        </w:rPr>
        <w:t>2019</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28</w:t>
      </w:r>
      <w:r>
        <w:rPr>
          <w:spacing w:val="-1"/>
        </w:rPr>
        <w:t>日本公司第六届董事会第七次会议审议通过，本公司计划以截止到</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日的总股本</w:t>
      </w:r>
      <w:r>
        <w:rPr>
          <w:rFonts w:ascii="宋体" w:hAnsi="宋体" w:cs="宋体" w:eastAsia="宋体" w:hint="default"/>
          <w:spacing w:val="-1"/>
        </w:rPr>
        <w:t>794,980,220</w:t>
      </w:r>
    </w:p>
    <w:p>
      <w:pPr>
        <w:pStyle w:val="BodyText"/>
        <w:spacing w:line="316" w:lineRule="auto" w:before="31"/>
        <w:ind w:right="1130"/>
        <w:jc w:val="both"/>
      </w:pPr>
      <w:r>
        <w:rPr/>
        <w:t>股为基数，向全体股东每</w:t>
      </w:r>
      <w:r>
        <w:rPr>
          <w:rFonts w:ascii="宋体" w:hAnsi="宋体" w:cs="宋体" w:eastAsia="宋体" w:hint="default"/>
        </w:rPr>
        <w:t>10</w:t>
      </w:r>
      <w:r>
        <w:rPr/>
        <w:t>股派发现金红利人民币</w:t>
      </w:r>
      <w:r>
        <w:rPr>
          <w:rFonts w:ascii="宋体" w:hAnsi="宋体" w:cs="宋体" w:eastAsia="宋体" w:hint="default"/>
        </w:rPr>
        <w:t>1.00</w:t>
      </w:r>
      <w:r>
        <w:rPr/>
        <w:t>元（含税），共计现金股利人民币</w:t>
      </w:r>
      <w:r>
        <w:rPr>
          <w:rFonts w:ascii="宋体" w:hAnsi="宋体" w:cs="宋体" w:eastAsia="宋体" w:hint="default"/>
        </w:rPr>
        <w:t>79,498,022.00</w:t>
      </w:r>
      <w:r>
        <w:rPr/>
        <w:t>元；以资本公积金</w:t>
      </w:r>
      <w:r>
        <w:rPr>
          <w:spacing w:val="-84"/>
        </w:rPr>
        <w:t> </w:t>
      </w:r>
      <w:r>
        <w:rPr>
          <w:spacing w:val="-84"/>
        </w:rPr>
      </w:r>
      <w:r>
        <w:rPr/>
        <w:t>向全体股东每</w:t>
      </w:r>
      <w:r>
        <w:rPr>
          <w:rFonts w:ascii="宋体" w:hAnsi="宋体" w:cs="宋体" w:eastAsia="宋体" w:hint="default"/>
        </w:rPr>
        <w:t>10</w:t>
      </w:r>
      <w:r>
        <w:rPr/>
        <w:t>股转增</w:t>
      </w:r>
      <w:r>
        <w:rPr>
          <w:rFonts w:ascii="宋体" w:hAnsi="宋体" w:cs="宋体" w:eastAsia="宋体" w:hint="default"/>
        </w:rPr>
        <w:t>7</w:t>
      </w:r>
      <w:r>
        <w:rPr/>
        <w:t>股，转增后，本公司资本公积由人民币</w:t>
      </w:r>
      <w:r>
        <w:rPr>
          <w:rFonts w:ascii="宋体" w:hAnsi="宋体" w:cs="宋体" w:eastAsia="宋体" w:hint="default"/>
        </w:rPr>
        <w:t>872,278,990.98</w:t>
      </w:r>
      <w:r>
        <w:rPr/>
        <w:t>元减少到人民币</w:t>
      </w:r>
      <w:r>
        <w:rPr>
          <w:rFonts w:ascii="宋体" w:hAnsi="宋体" w:cs="宋体" w:eastAsia="宋体" w:hint="default"/>
        </w:rPr>
        <w:t>315,792,836.98</w:t>
      </w:r>
      <w:r>
        <w:rPr/>
        <w:t>元。自董事</w:t>
      </w:r>
      <w:r>
        <w:rPr>
          <w:spacing w:val="-85"/>
        </w:rPr>
        <w:t> </w:t>
      </w:r>
      <w:r>
        <w:rPr>
          <w:spacing w:val="-2"/>
        </w:rPr>
        <w:t>会审议上述利润分配预案后至实施利润分配方案的股权登记日期间，若本公司股本因限制性股票激励计划和股票期权激励计</w:t>
      </w:r>
      <w:r>
        <w:rPr>
          <w:spacing w:val="-64"/>
        </w:rPr>
        <w:t> </w:t>
      </w:r>
      <w:r>
        <w:rPr>
          <w:spacing w:val="-64"/>
        </w:rPr>
      </w:r>
      <w:r>
        <w:rPr>
          <w:spacing w:val="-2"/>
        </w:rPr>
        <w:t>划发生变动的，依照未来实施分配方案时股权登记日的股本为基数实施，并保持上述分配比例不变对总额进行调整。上述股</w:t>
      </w:r>
      <w:r>
        <w:rPr>
          <w:spacing w:val="-66"/>
        </w:rPr>
        <w:t> </w:t>
      </w:r>
      <w:r>
        <w:rPr>
          <w:spacing w:val="-66"/>
        </w:rPr>
      </w:r>
      <w:r>
        <w:rPr/>
        <w:t>利分配方案尚待股东大会批准。</w:t>
      </w:r>
    </w:p>
    <w:p>
      <w:pPr>
        <w:spacing w:line="240" w:lineRule="auto" w:before="10"/>
        <w:rPr>
          <w:rFonts w:ascii="宋体" w:hAnsi="宋体" w:cs="宋体" w:eastAsia="宋体" w:hint="default"/>
          <w:sz w:val="20"/>
          <w:szCs w:val="20"/>
        </w:rPr>
      </w:pPr>
    </w:p>
    <w:p>
      <w:pPr>
        <w:spacing w:line="506" w:lineRule="auto" w:before="0"/>
        <w:ind w:left="154" w:right="8590" w:firstLine="0"/>
        <w:jc w:val="left"/>
        <w:rPr>
          <w:rFonts w:ascii="宋体" w:hAnsi="宋体" w:cs="宋体" w:eastAsia="宋体" w:hint="default"/>
          <w:sz w:val="18"/>
          <w:szCs w:val="18"/>
        </w:rPr>
      </w:pPr>
      <w:bookmarkStart w:name="十六、其他重要事项" w:id="415"/>
      <w:bookmarkEnd w:id="415"/>
      <w:r>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16"/>
      <w:bookmarkEnd w:id="41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4"/>
        <w:spacing w:line="240" w:lineRule="auto" w:before="150"/>
        <w:ind w:right="0"/>
        <w:jc w:val="left"/>
        <w:rPr>
          <w:b w:val="0"/>
          <w:bCs w:val="0"/>
        </w:rPr>
      </w:pPr>
      <w:bookmarkStart w:name="2、债务重组" w:id="417"/>
      <w:bookmarkEnd w:id="417"/>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资产置换" w:id="418"/>
      <w:bookmarkEnd w:id="418"/>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年金计划" w:id="419"/>
      <w:bookmarkEnd w:id="419"/>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5、终止经营" w:id="420"/>
      <w:bookmarkEnd w:id="42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6、分部信息" w:id="421"/>
      <w:bookmarkEnd w:id="421"/>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分部的确定依据与会计政策" w:id="422"/>
      <w:bookmarkEnd w:id="422"/>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217"/>
        <w:jc w:val="both"/>
      </w:pPr>
      <w:r>
        <w:rPr/>
        <w:t>根据本集团的内部组织结构、管理要求及内部报告制度，本集团的经营业务划分为三个报告分部，分别为：企业业务、 </w:t>
      </w:r>
      <w:r>
        <w:rPr>
          <w:spacing w:val="-2"/>
        </w:rPr>
        <w:t>个人业务以及其他。本集团的各个报告分部分别提供不同的产品或服务，或在不同地区从事经营活动。本集团的管理层定期</w:t>
      </w:r>
      <w:r>
        <w:rPr>
          <w:spacing w:val="-66"/>
        </w:rPr>
        <w:t> </w:t>
      </w:r>
      <w:r>
        <w:rPr>
          <w:spacing w:val="-66"/>
        </w:rPr>
      </w:r>
      <w:r>
        <w:rPr/>
        <w:t>评价这些报告分部的经营成果，以决定向其分配资源及评价其业绩。</w:t>
      </w:r>
    </w:p>
    <w:p>
      <w:pPr>
        <w:pStyle w:val="BodyText"/>
        <w:spacing w:line="316" w:lineRule="auto" w:before="19"/>
        <w:ind w:left="371" w:right="0"/>
        <w:jc w:val="left"/>
      </w:pPr>
      <w:r>
        <w:rPr/>
        <w:t>分部间转移价格按照实际交易价格为基础确定。 分部报告信息根据各分部向管理层报告时采用的会计政策及计量基础披露，这些计量基础与编制财务报表时采用的会计</w:t>
      </w:r>
    </w:p>
    <w:p>
      <w:pPr>
        <w:pStyle w:val="BodyText"/>
        <w:spacing w:line="240" w:lineRule="auto" w:before="19"/>
        <w:ind w:right="0"/>
        <w:jc w:val="left"/>
      </w:pPr>
      <w:r>
        <w:rPr/>
        <w:t>政策与计量基础保持一致。</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报告分部的财务信息" w:id="423"/>
      <w:bookmarkEnd w:id="42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2" w:hRule="exact"/>
        </w:trPr>
        <w:tc>
          <w:tcPr>
            <w:tcW w:w="134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企业业务</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个人业务</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未分配金额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对外营业收入</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499,394,272.04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411,049,502.57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18,289,750.02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928,733,524.63</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分部营业收入</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499,394,272.04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411,049,502.57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18,289,750.02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928,733,524.63</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分部营业成本</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242,002,108.87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133,582,363.35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7,038,946.76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382,623,418.98</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分部利润</w:t>
            </w:r>
            <w:r>
              <w:rPr>
                <w:rFonts w:ascii="Times New Roman" w:hAnsi="Times New Roman" w:cs="Times New Roman" w:eastAsia="Times New Roman" w:hint="default"/>
                <w:sz w:val="18"/>
                <w:szCs w:val="18"/>
              </w:rPr>
              <w:t>(</w:t>
            </w:r>
            <w:r>
              <w:rPr>
                <w:rFonts w:ascii="宋体" w:hAnsi="宋体" w:cs="宋体" w:eastAsia="宋体" w:hint="default"/>
                <w:sz w:val="18"/>
                <w:szCs w:val="18"/>
              </w:rPr>
              <w:t>亏损</w:t>
            </w:r>
            <w:r>
              <w:rPr>
                <w:rFonts w:ascii="Times New Roman" w:hAnsi="Times New Roman" w:cs="Times New Roman" w:eastAsia="Times New Roman" w:hint="default"/>
                <w:sz w:val="18"/>
                <w:szCs w:val="18"/>
              </w:rPr>
              <w:t>)</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60,264,890.49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27,834,169.51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830,943.49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88,930,003.49</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其中：投资收益</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7,992,442.29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-104,114.49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7,888,327.80</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590,551.23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5,356,876.38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1,103.08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5,948,530.69</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-14,579,647.77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-14,579,647.77</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亏损</w:t>
            </w:r>
            <w:r>
              <w:rPr>
                <w:rFonts w:ascii="Times New Roman" w:hAnsi="Times New Roman" w:cs="Times New Roman" w:eastAsia="Times New Roman" w:hint="default"/>
                <w:sz w:val="18"/>
                <w:szCs w:val="18"/>
              </w:rPr>
              <w:t>)</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60,264,890.49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27,834,169.51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830,943.49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-14,579,647.77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74,350,355.72</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对外营业收入</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378,778,834.71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431,299,612.76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25,773,288.40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835,851,735.87</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分部营业收入</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378,778,834.71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431,299,612.76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25,773,288.40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835,851,735.87</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分部营业成本</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148,737,931.87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140,986,600.65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12,310,012.47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302,034,544.99</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分部利润</w:t>
            </w:r>
            <w:r>
              <w:rPr>
                <w:rFonts w:ascii="Times New Roman" w:hAnsi="Times New Roman" w:cs="Times New Roman" w:eastAsia="Times New Roman" w:hint="default"/>
                <w:sz w:val="18"/>
                <w:szCs w:val="18"/>
              </w:rPr>
              <w:t>(</w:t>
            </w:r>
            <w:r>
              <w:rPr>
                <w:rFonts w:ascii="宋体" w:hAnsi="宋体" w:cs="宋体" w:eastAsia="宋体" w:hint="default"/>
                <w:sz w:val="18"/>
                <w:szCs w:val="18"/>
              </w:rPr>
              <w:t>亏损</w:t>
            </w:r>
            <w:r>
              <w:rPr>
                <w:rFonts w:ascii="Times New Roman" w:hAnsi="Times New Roman" w:cs="Times New Roman" w:eastAsia="Times New Roman" w:hint="default"/>
                <w:sz w:val="18"/>
                <w:szCs w:val="18"/>
              </w:rPr>
              <w:t>)</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37,956,191.20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-3,965,660.82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-6,710,696.38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27,279,834.00</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其中：投资收益</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21,415,572.29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21,415,572.29</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4,459,662.97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196,355.23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-11,058.53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4,644,959.67</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-5,714,671.75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-5,714,671.75</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亏损</w:t>
            </w:r>
            <w:r>
              <w:rPr>
                <w:rFonts w:ascii="Times New Roman" w:hAnsi="Times New Roman" w:cs="Times New Roman" w:eastAsia="Times New Roman" w:hint="default"/>
                <w:sz w:val="18"/>
                <w:szCs w:val="18"/>
              </w:rPr>
              <w:t>)</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37,956,191.20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-3,965,660.82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-6,710,696.38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-5,714,671.75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21,565,162.25</w:t>
            </w:r>
          </w:p>
        </w:tc>
      </w:tr>
    </w:tbl>
    <w:p>
      <w:pPr>
        <w:spacing w:line="240" w:lineRule="auto" w:before="6"/>
        <w:rPr>
          <w:rFonts w:ascii="宋体" w:hAnsi="宋体" w:cs="宋体" w:eastAsia="宋体" w:hint="default"/>
          <w:sz w:val="5"/>
          <w:szCs w:val="5"/>
        </w:rPr>
      </w:pPr>
    </w:p>
    <w:p>
      <w:pPr>
        <w:pStyle w:val="Heading4"/>
        <w:spacing w:line="240" w:lineRule="auto" w:before="35"/>
        <w:ind w:right="0"/>
        <w:jc w:val="left"/>
        <w:rPr>
          <w:b w:val="0"/>
          <w:bCs w:val="0"/>
        </w:rPr>
      </w:pPr>
      <w:bookmarkStart w:name="（3）公司无报告分部的，或者不能披露各报告分部的资产总额和负债总额的，应说明原因" w:id="424"/>
      <w:bookmarkEnd w:id="424"/>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pStyle w:val="BodyText"/>
        <w:spacing w:line="240" w:lineRule="auto" w:before="167"/>
        <w:ind w:right="0"/>
        <w:jc w:val="left"/>
      </w:pPr>
      <w:r>
        <w:rPr/>
        <w:t>无</w:t>
      </w:r>
    </w:p>
    <w:p>
      <w:pPr>
        <w:spacing w:line="240" w:lineRule="auto" w:before="2"/>
        <w:rPr>
          <w:rFonts w:ascii="宋体" w:hAnsi="宋体" w:cs="宋体" w:eastAsia="宋体" w:hint="default"/>
          <w:sz w:val="13"/>
          <w:szCs w:val="13"/>
        </w:rPr>
      </w:pPr>
    </w:p>
    <w:p>
      <w:pPr>
        <w:pStyle w:val="Heading4"/>
        <w:spacing w:line="240" w:lineRule="auto"/>
        <w:ind w:right="0"/>
        <w:jc w:val="left"/>
        <w:rPr>
          <w:b w:val="0"/>
          <w:bCs w:val="0"/>
        </w:rPr>
      </w:pPr>
      <w:bookmarkStart w:name="（4）其他说明" w:id="425"/>
      <w:bookmarkEnd w:id="425"/>
      <w:r>
        <w:rPr>
          <w:b w:val="0"/>
          <w:bCs w:val="0"/>
        </w:rPr>
      </w:r>
      <w:r>
        <w:rPr/>
        <w:t>（</w:t>
      </w:r>
      <w:r>
        <w:rPr>
          <w:rFonts w:ascii="Times New Roman" w:hAnsi="Times New Roman" w:cs="Times New Roman" w:eastAsia="Times New Roman" w:hint="default"/>
        </w:rPr>
        <w:t>4</w:t>
      </w:r>
      <w:r>
        <w:rPr/>
        <w:t>）其他说明</w:t>
      </w:r>
      <w:r>
        <w:rPr>
          <w:b w:val="0"/>
          <w:bCs w:val="0"/>
        </w:rPr>
      </w:r>
    </w:p>
    <w:p>
      <w:pPr>
        <w:pStyle w:val="BodyText"/>
        <w:spacing w:line="240" w:lineRule="auto" w:before="166"/>
        <w:ind w:left="516" w:right="0"/>
        <w:jc w:val="left"/>
      </w:pPr>
      <w:r>
        <w:rPr/>
        <w:t>按资产所在地划分的非流动资产：</w:t>
      </w:r>
    </w:p>
    <w:p>
      <w:pPr>
        <w:spacing w:after="0" w:line="240" w:lineRule="auto"/>
        <w:jc w:val="left"/>
        <w:sectPr>
          <w:pgSz w:w="11910" w:h="16840"/>
          <w:pgMar w:header="0" w:footer="979" w:top="1100" w:bottom="1160" w:left="980" w:right="0"/>
        </w:sectPr>
      </w:pPr>
    </w:p>
    <w:p>
      <w:pPr>
        <w:spacing w:line="240" w:lineRule="auto" w:before="12"/>
        <w:rPr>
          <w:rFonts w:ascii="宋体" w:hAnsi="宋体" w:cs="宋体" w:eastAsia="宋体" w:hint="default"/>
          <w:sz w:val="24"/>
          <w:szCs w:val="24"/>
        </w:rPr>
      </w:pPr>
    </w:p>
    <w:tbl>
      <w:tblPr>
        <w:tblW w:w="0" w:type="auto"/>
        <w:jc w:val="left"/>
        <w:tblInd w:w="139" w:type="dxa"/>
        <w:tblLayout w:type="fixed"/>
        <w:tblCellMar>
          <w:top w:w="0" w:type="dxa"/>
          <w:left w:w="0" w:type="dxa"/>
          <w:bottom w:w="0" w:type="dxa"/>
          <w:right w:w="0" w:type="dxa"/>
        </w:tblCellMar>
        <w:tblLook w:val="01E0"/>
      </w:tblPr>
      <w:tblGrid>
        <w:gridCol w:w="4604"/>
        <w:gridCol w:w="2528"/>
        <w:gridCol w:w="2527"/>
      </w:tblGrid>
      <w:tr>
        <w:trPr>
          <w:trHeight w:val="337" w:hRule="exact"/>
        </w:trPr>
        <w:tc>
          <w:tcPr>
            <w:tcW w:w="46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25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本年金额</w:t>
            </w:r>
          </w:p>
        </w:tc>
        <w:tc>
          <w:tcPr>
            <w:tcW w:w="25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left="2" w:right="0"/>
              <w:jc w:val="center"/>
              <w:rPr>
                <w:rFonts w:ascii="宋体" w:hAnsi="宋体" w:cs="宋体" w:eastAsia="宋体" w:hint="default"/>
                <w:sz w:val="20"/>
                <w:szCs w:val="20"/>
              </w:rPr>
            </w:pPr>
            <w:r>
              <w:rPr>
                <w:rFonts w:ascii="宋体" w:hAnsi="宋体" w:cs="宋体" w:eastAsia="宋体" w:hint="default"/>
                <w:sz w:val="20"/>
                <w:szCs w:val="20"/>
              </w:rPr>
              <w:t>上年金额</w:t>
            </w:r>
          </w:p>
        </w:tc>
      </w:tr>
      <w:tr>
        <w:trPr>
          <w:trHeight w:val="342"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位于本国的非流动资产</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868,150,477.80</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590,616,393.65</w:t>
            </w:r>
          </w:p>
        </w:tc>
      </w:tr>
      <w:tr>
        <w:trPr>
          <w:trHeight w:val="342"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位于其他国家的非流动资产</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552,915,829.64</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560,997,236.05</w:t>
            </w:r>
          </w:p>
        </w:tc>
      </w:tr>
      <w:tr>
        <w:trPr>
          <w:trHeight w:val="342"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1,421,066,307.44</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1,151,613,629.70</w:t>
            </w:r>
          </w:p>
        </w:tc>
      </w:tr>
    </w:tbl>
    <w:p>
      <w:pPr>
        <w:pStyle w:val="BodyText"/>
        <w:spacing w:line="240" w:lineRule="auto" w:before="10"/>
        <w:ind w:left="514" w:right="0"/>
        <w:jc w:val="left"/>
      </w:pPr>
      <w:r>
        <w:rPr/>
        <w:t>注：上述非流动资产中不包括可供出售金融资产及递延所得税资产。</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7、其他对投资者决策有影响的重要交易和事项" w:id="426"/>
      <w:bookmarkEnd w:id="426"/>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8、其他" w:id="427"/>
      <w:bookmarkEnd w:id="427"/>
      <w:r>
        <w:rPr>
          <w:b w:val="0"/>
          <w:bCs w:val="0"/>
        </w:rPr>
      </w:r>
      <w:r>
        <w:rPr>
          <w:rFonts w:ascii="Times New Roman" w:hAnsi="Times New Roman" w:cs="Times New Roman" w:eastAsia="Times New Roman" w:hint="default"/>
        </w:rPr>
        <w:t>8</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七、母公司财务报表主要项目注释" w:id="428"/>
      <w:bookmarkEnd w:id="428"/>
      <w:r>
        <w:rPr>
          <w:b w:val="0"/>
          <w:bCs w:val="0"/>
        </w:rPr>
      </w: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应收票据及应收账款" w:id="429"/>
      <w:bookmarkEnd w:id="429"/>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52,425,040.61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24,734,016.75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52,425,040.61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24,734,016.75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 应收票据" w:id="430"/>
      <w:bookmarkEnd w:id="430"/>
      <w:r>
        <w:rPr>
          <w:b w:val="0"/>
          <w:bCs w:val="0"/>
        </w:rPr>
      </w:r>
      <w:r>
        <w:rPr/>
        <w:t>（</w:t>
      </w:r>
      <w:r>
        <w:rPr>
          <w:rFonts w:ascii="Times New Roman" w:hAnsi="Times New Roman" w:cs="Times New Roman" w:eastAsia="Times New Roman" w:hint="default"/>
        </w:rPr>
        <w:t>1</w:t>
      </w:r>
      <w:r>
        <w:rPr/>
        <w:t>）</w:t>
      </w:r>
      <w:r>
        <w:rPr>
          <w:spacing w:val="86"/>
        </w:rPr>
        <w:t> </w:t>
      </w:r>
      <w:r>
        <w:rPr/>
        <w:t>应收票据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0" w:footer="979" w:top="1100" w:bottom="1160" w:left="980" w:right="0"/>
        </w:sectPr>
      </w:pPr>
    </w:p>
    <w:p>
      <w:pPr>
        <w:spacing w:line="240" w:lineRule="auto" w:before="13"/>
        <w:rPr>
          <w:rFonts w:ascii="宋体" w:hAnsi="宋体" w:cs="宋体" w:eastAsia="宋体" w:hint="default"/>
          <w:sz w:val="23"/>
          <w:szCs w:val="23"/>
        </w:rPr>
      </w:pPr>
    </w:p>
    <w:p>
      <w:pPr>
        <w:pStyle w:val="Heading4"/>
        <w:spacing w:line="240" w:lineRule="auto"/>
        <w:ind w:left="140" w:right="-20"/>
        <w:jc w:val="left"/>
        <w:rPr>
          <w:b w:val="0"/>
          <w:bCs w:val="0"/>
        </w:rPr>
      </w:pPr>
      <w:bookmarkStart w:name="（2）应收账款" w:id="431"/>
      <w:bookmarkEnd w:id="431"/>
      <w:r>
        <w:rPr>
          <w:b w:val="0"/>
          <w:bCs w:val="0"/>
        </w:rPr>
      </w:r>
      <w:r>
        <w:rPr/>
        <w:t>（</w:t>
      </w:r>
      <w:r>
        <w:rPr>
          <w:rFonts w:ascii="Times New Roman" w:hAnsi="Times New Roman" w:cs="Times New Roman" w:eastAsia="Times New Roman" w:hint="default"/>
        </w:rPr>
        <w:t>2</w:t>
      </w:r>
      <w:r>
        <w:rPr/>
        <w:t>）应收账款</w:t>
      </w:r>
      <w:r>
        <w:rPr>
          <w:b w:val="0"/>
          <w:bCs w:val="0"/>
        </w:rPr>
      </w:r>
    </w:p>
    <w:p>
      <w:pPr>
        <w:pStyle w:val="BodyText"/>
        <w:spacing w:line="240" w:lineRule="auto" w:before="88"/>
        <w:ind w:left="140" w:right="-20"/>
        <w:jc w:val="left"/>
      </w:pPr>
      <w:r>
        <w:rPr>
          <w:rFonts w:ascii="Times New Roman" w:hAnsi="Times New Roman" w:cs="Times New Roman" w:eastAsia="Times New Roman" w:hint="default"/>
        </w:rPr>
        <w:t>1)</w:t>
      </w:r>
      <w:r>
        <w:rPr/>
        <w:t>应收账款分类披露</w:t>
      </w:r>
    </w:p>
    <w:p>
      <w:pPr>
        <w:pStyle w:val="BodyText"/>
        <w:spacing w:line="240" w:lineRule="auto" w:before="15"/>
        <w:ind w:left="0" w:right="136"/>
        <w:jc w:val="right"/>
      </w:pPr>
      <w:r>
        <w:rPr/>
        <w:br w:type="column"/>
      </w:r>
      <w:r>
        <w:rPr/>
        <w:t>二六三网络通信股份有限公司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3"/>
          <w:szCs w:val="23"/>
        </w:rPr>
      </w:pPr>
    </w:p>
    <w:p>
      <w:pPr>
        <w:pStyle w:val="BodyText"/>
        <w:spacing w:line="240" w:lineRule="auto"/>
        <w:ind w:left="0" w:right="136"/>
        <w:jc w:val="right"/>
      </w:pPr>
      <w:r>
        <w:rPr/>
        <w:pict>
          <v:group style="position:absolute;margin-left:70.5pt;margin-top:-36.968281pt;width:701pt;height:.1pt;mso-position-horizontal-relative:page;mso-position-vertical-relative:paragraph;z-index:1792" coordorigin="1410,-739" coordsize="14020,2">
            <v:shape style="position:absolute;left:1410;top:-739;width:14020;height:2" coordorigin="1410,-739" coordsize="14020,0" path="m1410,-739l15430,-739e" filled="false" stroked="true" strokeweight=".72pt" strokecolor="#000000">
              <v:path arrowok="t"/>
            </v:shape>
            <w10:wrap type="none"/>
          </v:group>
        </w:pict>
      </w:r>
      <w:r>
        <w:rPr/>
        <w:t>单位： 元</w:t>
      </w:r>
    </w:p>
    <w:p>
      <w:pPr>
        <w:spacing w:after="0" w:line="240" w:lineRule="auto"/>
        <w:jc w:val="right"/>
        <w:sectPr>
          <w:headerReference w:type="default" r:id="rId40"/>
          <w:footerReference w:type="default" r:id="rId41"/>
          <w:pgSz w:w="16840" w:h="11910" w:orient="landscape"/>
          <w:pgMar w:header="0" w:footer="0" w:top="800" w:bottom="0" w:left="1300" w:right="1300"/>
          <w:cols w:num="2" w:equalWidth="0">
            <w:col w:w="1731" w:space="8179"/>
            <w:col w:w="4330"/>
          </w:cols>
        </w:sectPr>
      </w:pP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369"/>
        <w:gridCol w:w="1104"/>
        <w:gridCol w:w="1102"/>
        <w:gridCol w:w="1103"/>
        <w:gridCol w:w="1105"/>
        <w:gridCol w:w="1145"/>
        <w:gridCol w:w="1091"/>
        <w:gridCol w:w="1103"/>
        <w:gridCol w:w="1178"/>
        <w:gridCol w:w="1352"/>
        <w:gridCol w:w="1352"/>
      </w:tblGrid>
      <w:tr>
        <w:trPr>
          <w:trHeight w:val="402"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5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7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2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12"/>
              <w:jc w:val="center"/>
              <w:rPr>
                <w:rFonts w:ascii="宋体" w:hAnsi="宋体" w:cs="宋体" w:eastAsia="宋体" w:hint="default"/>
                <w:sz w:val="18"/>
                <w:szCs w:val="18"/>
              </w:rPr>
            </w:pPr>
            <w:r>
              <w:rPr>
                <w:rFonts w:ascii="宋体" w:hAnsi="宋体" w:cs="宋体" w:eastAsia="宋体" w:hint="default"/>
                <w:sz w:val="18"/>
                <w:szCs w:val="18"/>
              </w:rPr>
              <w:t>类别</w:t>
            </w:r>
          </w:p>
        </w:tc>
        <w:tc>
          <w:tcPr>
            <w:tcW w:w="22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0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45" w:type="dxa"/>
            <w:tcBorders>
              <w:top w:val="single" w:sz="4" w:space="0" w:color="000000"/>
              <w:left w:val="single" w:sz="4" w:space="0" w:color="000000"/>
              <w:bottom w:val="nil" w:sz="6" w:space="0" w:color="auto"/>
              <w:right w:val="single" w:sz="4" w:space="0" w:color="000000"/>
            </w:tcBorders>
            <w:shd w:val="clear" w:color="auto" w:fill="D2D2D2"/>
          </w:tcPr>
          <w:p>
            <w:pPr/>
          </w:p>
        </w:tc>
        <w:tc>
          <w:tcPr>
            <w:tcW w:w="21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369" w:type="dxa"/>
            <w:vMerge/>
            <w:tcBorders>
              <w:left w:val="single" w:sz="4" w:space="0" w:color="000000"/>
              <w:bottom w:val="nil" w:sz="6" w:space="0" w:color="auto"/>
              <w:right w:val="single" w:sz="4" w:space="0" w:color="000000"/>
            </w:tcBorders>
            <w:shd w:val="clear" w:color="auto" w:fill="D2D2D2"/>
          </w:tcPr>
          <w:p>
            <w:pPr/>
          </w:p>
        </w:tc>
        <w:tc>
          <w:tcPr>
            <w:tcW w:w="2206" w:type="dxa"/>
            <w:gridSpan w:val="2"/>
            <w:vMerge/>
            <w:tcBorders>
              <w:left w:val="single" w:sz="4" w:space="0" w:color="000000"/>
              <w:bottom w:val="single" w:sz="4" w:space="0" w:color="000000"/>
              <w:right w:val="single" w:sz="4" w:space="0" w:color="000000"/>
            </w:tcBorders>
            <w:shd w:val="clear" w:color="auto" w:fill="D2D2D2"/>
          </w:tcPr>
          <w:p>
            <w:pPr/>
          </w:p>
        </w:tc>
        <w:tc>
          <w:tcPr>
            <w:tcW w:w="2208" w:type="dxa"/>
            <w:gridSpan w:val="2"/>
            <w:vMerge/>
            <w:tcBorders>
              <w:left w:val="single" w:sz="4" w:space="0" w:color="000000"/>
              <w:bottom w:val="single" w:sz="4" w:space="0" w:color="000000"/>
              <w:right w:val="single" w:sz="4" w:space="0" w:color="000000"/>
            </w:tcBorders>
            <w:shd w:val="clear" w:color="auto" w:fill="D2D2D2"/>
          </w:tcPr>
          <w:p>
            <w:pPr/>
          </w:p>
        </w:tc>
        <w:tc>
          <w:tcPr>
            <w:tcW w:w="11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194" w:type="dxa"/>
            <w:gridSpan w:val="2"/>
            <w:vMerge/>
            <w:tcBorders>
              <w:left w:val="single" w:sz="4" w:space="0" w:color="000000"/>
              <w:bottom w:val="single" w:sz="4" w:space="0" w:color="000000"/>
              <w:right w:val="single" w:sz="4" w:space="0" w:color="000000"/>
            </w:tcBorders>
            <w:shd w:val="clear" w:color="auto" w:fill="D2D2D2"/>
          </w:tcPr>
          <w:p>
            <w:pPr/>
          </w:p>
        </w:tc>
        <w:tc>
          <w:tcPr>
            <w:tcW w:w="2530" w:type="dxa"/>
            <w:gridSpan w:val="2"/>
            <w:vMerge/>
            <w:tcBorders>
              <w:left w:val="single" w:sz="4" w:space="0" w:color="000000"/>
              <w:bottom w:val="single" w:sz="4" w:space="0" w:color="000000"/>
              <w:right w:val="single" w:sz="4" w:space="0" w:color="000000"/>
            </w:tcBorders>
            <w:shd w:val="clear" w:color="auto" w:fill="D2D2D2"/>
          </w:tcPr>
          <w:p>
            <w:pPr/>
          </w:p>
        </w:tc>
        <w:tc>
          <w:tcPr>
            <w:tcW w:w="13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2" w:hRule="exact"/>
        </w:trPr>
        <w:tc>
          <w:tcPr>
            <w:tcW w:w="2369" w:type="dxa"/>
            <w:vMerge w:val="restart"/>
            <w:tcBorders>
              <w:top w:val="nil" w:sz="6" w:space="0" w:color="auto"/>
              <w:left w:val="single" w:sz="4" w:space="0" w:color="000000"/>
              <w:right w:val="single" w:sz="4" w:space="0" w:color="000000"/>
            </w:tcBorders>
            <w:shd w:val="clear" w:color="auto" w:fill="D2D2D2"/>
          </w:tcPr>
          <w:p>
            <w:pPr/>
          </w:p>
        </w:tc>
        <w:tc>
          <w:tcPr>
            <w:tcW w:w="11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8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45"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5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1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52"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2369" w:type="dxa"/>
            <w:vMerge/>
            <w:tcBorders>
              <w:left w:val="single" w:sz="4" w:space="0" w:color="000000"/>
              <w:bottom w:val="single" w:sz="4" w:space="0" w:color="000000"/>
              <w:right w:val="single" w:sz="4" w:space="0" w:color="000000"/>
            </w:tcBorders>
            <w:shd w:val="clear" w:color="auto" w:fill="D2D2D2"/>
          </w:tcPr>
          <w:p>
            <w:pPr/>
          </w:p>
        </w:tc>
        <w:tc>
          <w:tcPr>
            <w:tcW w:w="1104" w:type="dxa"/>
            <w:vMerge/>
            <w:tcBorders>
              <w:left w:val="single" w:sz="4" w:space="0" w:color="000000"/>
              <w:bottom w:val="single" w:sz="4" w:space="0" w:color="000000"/>
              <w:right w:val="single" w:sz="4" w:space="0" w:color="000000"/>
            </w:tcBorders>
            <w:shd w:val="clear" w:color="auto" w:fill="D2D2D2"/>
          </w:tcPr>
          <w:p>
            <w:pPr/>
          </w:p>
        </w:tc>
        <w:tc>
          <w:tcPr>
            <w:tcW w:w="1102" w:type="dxa"/>
            <w:vMerge/>
            <w:tcBorders>
              <w:left w:val="single" w:sz="4" w:space="0" w:color="000000"/>
              <w:bottom w:val="single" w:sz="4" w:space="0" w:color="000000"/>
              <w:right w:val="single" w:sz="4" w:space="0" w:color="000000"/>
            </w:tcBorders>
            <w:shd w:val="clear" w:color="auto" w:fill="D2D2D2"/>
          </w:tcPr>
          <w:p>
            <w:pPr/>
          </w:p>
        </w:tc>
        <w:tc>
          <w:tcPr>
            <w:tcW w:w="1103" w:type="dxa"/>
            <w:vMerge/>
            <w:tcBorders>
              <w:left w:val="single" w:sz="4" w:space="0" w:color="000000"/>
              <w:bottom w:val="single" w:sz="4" w:space="0" w:color="000000"/>
              <w:right w:val="single" w:sz="4" w:space="0" w:color="000000"/>
            </w:tcBorders>
            <w:shd w:val="clear" w:color="auto" w:fill="D2D2D2"/>
          </w:tcPr>
          <w:p>
            <w:pPr/>
          </w:p>
        </w:tc>
        <w:tc>
          <w:tcPr>
            <w:tcW w:w="1105" w:type="dxa"/>
            <w:vMerge/>
            <w:tcBorders>
              <w:left w:val="single" w:sz="4" w:space="0" w:color="000000"/>
              <w:bottom w:val="single" w:sz="4" w:space="0" w:color="000000"/>
              <w:right w:val="single" w:sz="4" w:space="0" w:color="000000"/>
            </w:tcBorders>
            <w:shd w:val="clear" w:color="auto" w:fill="D2D2D2"/>
          </w:tcPr>
          <w:p>
            <w:pPr/>
          </w:p>
        </w:tc>
        <w:tc>
          <w:tcPr>
            <w:tcW w:w="11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103" w:type="dxa"/>
            <w:vMerge/>
            <w:tcBorders>
              <w:left w:val="single" w:sz="4" w:space="0" w:color="000000"/>
              <w:bottom w:val="single" w:sz="4" w:space="0" w:color="000000"/>
              <w:right w:val="single" w:sz="4" w:space="0" w:color="000000"/>
            </w:tcBorders>
            <w:shd w:val="clear" w:color="auto" w:fill="D2D2D2"/>
          </w:tcPr>
          <w:p>
            <w:pPr/>
          </w:p>
        </w:tc>
        <w:tc>
          <w:tcPr>
            <w:tcW w:w="1178" w:type="dxa"/>
            <w:vMerge/>
            <w:tcBorders>
              <w:left w:val="single" w:sz="4" w:space="0" w:color="000000"/>
              <w:bottom w:val="single" w:sz="4" w:space="0" w:color="000000"/>
              <w:right w:val="single" w:sz="4" w:space="0" w:color="000000"/>
            </w:tcBorders>
            <w:shd w:val="clear" w:color="auto" w:fill="D2D2D2"/>
          </w:tcPr>
          <w:p>
            <w:pPr/>
          </w:p>
        </w:tc>
        <w:tc>
          <w:tcPr>
            <w:tcW w:w="1352" w:type="dxa"/>
            <w:vMerge/>
            <w:tcBorders>
              <w:left w:val="single" w:sz="4" w:space="0" w:color="000000"/>
              <w:bottom w:val="single" w:sz="4" w:space="0" w:color="000000"/>
              <w:right w:val="single" w:sz="4" w:space="0" w:color="000000"/>
            </w:tcBorders>
            <w:shd w:val="clear" w:color="auto" w:fill="D2D2D2"/>
          </w:tcPr>
          <w:p>
            <w:pPr/>
          </w:p>
        </w:tc>
        <w:tc>
          <w:tcPr>
            <w:tcW w:w="13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账准备的应收账款</w:t>
            </w:r>
          </w:p>
        </w:tc>
        <w:tc>
          <w:tcPr>
            <w:tcW w:w="11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1,778,297.65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3.36%</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504,988.53</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28.40%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1,273,309.12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3,972,693.55</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1,068,664.33</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26.90%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2,904,029.22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单项金额不重大但单独计提 坏账准备的应收账款</w:t>
            </w:r>
          </w:p>
        </w:tc>
        <w:tc>
          <w:tcPr>
            <w:tcW w:w="11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51,151,731.49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96.64%</w:t>
            </w:r>
          </w:p>
        </w:tc>
        <w:tc>
          <w:tcPr>
            <w:tcW w:w="110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51,151,731.49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21,829,987.53</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84.60%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21,829,987.53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52,930,029.14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504,988.53</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52,425,040.61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25,802,681.08</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1,068,664.33</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24,734,016.75</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1160" w:left="1300" w:right="1300"/>
        </w:sectPr>
      </w:pPr>
    </w:p>
    <w:p>
      <w:pPr>
        <w:pStyle w:val="BodyText"/>
        <w:spacing w:line="240" w:lineRule="auto" w:before="51"/>
        <w:ind w:left="140" w:right="-20"/>
        <w:jc w:val="left"/>
      </w:pPr>
      <w:r>
        <w:rPr/>
        <w:t>期末单项金额重大并单项计提坏账准备的应收账款：</w:t>
      </w:r>
    </w:p>
    <w:p>
      <w:pPr>
        <w:pStyle w:val="BodyText"/>
        <w:spacing w:line="338" w:lineRule="auto" w:before="117"/>
        <w:ind w:left="140"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left="14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40" w:right="0"/>
        <w:jc w:val="left"/>
      </w:pPr>
      <w:r>
        <w:rPr/>
        <w:t>单位： 元</w:t>
      </w:r>
    </w:p>
    <w:p>
      <w:pPr>
        <w:spacing w:after="0" w:line="240" w:lineRule="auto"/>
        <w:jc w:val="left"/>
        <w:sectPr>
          <w:type w:val="continuous"/>
          <w:pgSz w:w="16840" w:h="11910" w:orient="landscape"/>
          <w:pgMar w:top="1060" w:bottom="1160" w:left="1300" w:right="1300"/>
          <w:cols w:num="2" w:equalWidth="0">
            <w:col w:w="4281" w:space="8869"/>
            <w:col w:w="1090"/>
          </w:cols>
        </w:sectPr>
      </w:pP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651"/>
        <w:gridCol w:w="3362"/>
        <w:gridCol w:w="3502"/>
        <w:gridCol w:w="3501"/>
      </w:tblGrid>
      <w:tr>
        <w:trPr>
          <w:trHeight w:val="402" w:hRule="exact"/>
        </w:trPr>
        <w:tc>
          <w:tcPr>
            <w:tcW w:w="36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03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651" w:type="dxa"/>
            <w:vMerge/>
            <w:tcBorders>
              <w:left w:val="single" w:sz="4" w:space="0" w:color="000000"/>
              <w:bottom w:val="single" w:sz="4" w:space="0" w:color="000000"/>
              <w:right w:val="single" w:sz="4" w:space="0" w:color="000000"/>
            </w:tcBorders>
            <w:shd w:val="clear" w:color="auto" w:fill="D2D2D2"/>
          </w:tcPr>
          <w:p>
            <w:pPr/>
          </w:p>
        </w:tc>
        <w:tc>
          <w:tcPr>
            <w:tcW w:w="3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3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1401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777,759.37</w:t>
            </w:r>
          </w:p>
        </w:tc>
        <w:tc>
          <w:tcPr>
            <w:tcW w:w="3502" w:type="dxa"/>
            <w:tcBorders>
              <w:top w:val="single" w:sz="4" w:space="0" w:color="000000"/>
              <w:left w:val="single" w:sz="4" w:space="0" w:color="000000"/>
              <w:bottom w:val="single" w:sz="4" w:space="0" w:color="000000"/>
              <w:right w:val="single" w:sz="4" w:space="0" w:color="000000"/>
            </w:tcBorders>
          </w:tcPr>
          <w:p>
            <w:pPr/>
          </w:p>
        </w:tc>
        <w:tc>
          <w:tcPr>
            <w:tcW w:w="35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108,660.22</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10,866.02</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294,762.58</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88,428.77</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382,843.48</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191,421.74</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214,272.00</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214,272.00</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3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1,778,297.65</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504,988.53</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28.40%</w:t>
            </w:r>
          </w:p>
        </w:tc>
      </w:tr>
    </w:tbl>
    <w:p>
      <w:pPr>
        <w:spacing w:before="37"/>
        <w:ind w:left="6445" w:right="7072" w:firstLine="0"/>
        <w:jc w:val="center"/>
        <w:rPr>
          <w:rFonts w:ascii="Times New Roman" w:hAnsi="Times New Roman" w:cs="Times New Roman" w:eastAsia="Times New Roman" w:hint="default"/>
          <w:sz w:val="18"/>
          <w:szCs w:val="18"/>
        </w:rPr>
      </w:pPr>
      <w:r>
        <w:rPr>
          <w:rFonts w:ascii="Times New Roman"/>
          <w:b/>
          <w:sz w:val="18"/>
        </w:rPr>
        <w:t>167 </w:t>
      </w:r>
      <w:r>
        <w:rPr>
          <w:rFonts w:ascii="Times New Roman"/>
          <w:sz w:val="18"/>
        </w:rPr>
        <w:t>/</w:t>
      </w:r>
      <w:r>
        <w:rPr>
          <w:rFonts w:ascii="Times New Roman"/>
          <w:spacing w:val="1"/>
          <w:sz w:val="18"/>
        </w:rPr>
        <w:t> </w:t>
      </w:r>
      <w:r>
        <w:rPr>
          <w:rFonts w:ascii="Times New Roman"/>
          <w:b/>
          <w:sz w:val="18"/>
        </w:rPr>
        <w:t>178</w:t>
      </w:r>
      <w:r>
        <w:rPr>
          <w:rFonts w:ascii="Times New Roman"/>
          <w:sz w:val="18"/>
        </w:rPr>
      </w:r>
    </w:p>
    <w:p>
      <w:pPr>
        <w:spacing w:line="240" w:lineRule="auto" w:before="0"/>
        <w:rPr>
          <w:rFonts w:ascii="Times New Roman" w:hAnsi="Times New Roman" w:cs="Times New Roman" w:eastAsia="Times New Roman" w:hint="default"/>
          <w:b/>
          <w:bCs/>
          <w:sz w:val="20"/>
          <w:szCs w:val="20"/>
        </w:rPr>
      </w:pPr>
    </w:p>
    <w:p>
      <w:pPr>
        <w:spacing w:line="240" w:lineRule="auto" w:before="3"/>
        <w:rPr>
          <w:rFonts w:ascii="Times New Roman" w:hAnsi="Times New Roman" w:cs="Times New Roman" w:eastAsia="Times New Roman" w:hint="default"/>
          <w:b/>
          <w:bCs/>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5" name="image1.jpeg" descr=""/>
            <wp:cNvGraphicFramePr>
              <a:graphicFrameLocks noChangeAspect="1"/>
            </wp:cNvGraphicFramePr>
            <a:graphic>
              <a:graphicData uri="http://schemas.openxmlformats.org/drawingml/2006/picture">
                <pic:pic>
                  <pic:nvPicPr>
                    <pic:cNvPr id="16"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300"/>
        </w:sectPr>
      </w:pPr>
    </w:p>
    <w:p>
      <w:pPr>
        <w:spacing w:line="240" w:lineRule="auto" w:before="0"/>
        <w:rPr>
          <w:rFonts w:ascii="Times New Roman" w:hAnsi="Times New Roman" w:cs="Times New Roman" w:eastAsia="Times New Roman" w:hint="default"/>
          <w:b/>
          <w:bCs/>
          <w:sz w:val="25"/>
          <w:szCs w:val="25"/>
        </w:rPr>
      </w:pPr>
    </w:p>
    <w:p>
      <w:pPr>
        <w:spacing w:after="0" w:line="240" w:lineRule="auto"/>
        <w:rPr>
          <w:rFonts w:ascii="Times New Roman" w:hAnsi="Times New Roman" w:cs="Times New Roman" w:eastAsia="Times New Roman" w:hint="default"/>
          <w:sz w:val="25"/>
          <w:szCs w:val="25"/>
        </w:rPr>
        <w:sectPr>
          <w:headerReference w:type="default" r:id="rId42"/>
          <w:footerReference w:type="default" r:id="rId43"/>
          <w:pgSz w:w="11910" w:h="16840"/>
          <w:pgMar w:header="877" w:footer="0" w:top="1100" w:bottom="0" w:left="980" w:right="0"/>
        </w:sectPr>
      </w:pPr>
    </w:p>
    <w:p>
      <w:pPr>
        <w:pStyle w:val="BodyText"/>
        <w:spacing w:line="357" w:lineRule="auto" w:before="44"/>
        <w:ind w:right="2230"/>
        <w:jc w:val="left"/>
      </w:pPr>
      <w:r>
        <w:rPr/>
        <w:t>确定该组合依据的说明： 组合中，采用余额百分比法计提坏账准备的应收账款：</w:t>
      </w:r>
    </w:p>
    <w:p>
      <w:pPr>
        <w:pStyle w:val="BodyText"/>
        <w:spacing w:line="348" w:lineRule="auto" w:before="29"/>
        <w:ind w:right="25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38" w:lineRule="auto" w:before="14"/>
        <w:ind w:right="-16"/>
        <w:jc w:val="left"/>
      </w:pPr>
      <w:r>
        <w:rPr/>
        <w:t>本期计提坏账准备金额</w:t>
      </w:r>
      <w:r>
        <w:rPr>
          <w:spacing w:val="-46"/>
        </w:rPr>
        <w:t> </w:t>
      </w:r>
      <w:r>
        <w:rPr>
          <w:rFonts w:ascii="Times New Roman" w:hAnsi="Times New Roman" w:cs="Times New Roman" w:eastAsia="Times New Roman" w:hint="default"/>
        </w:rPr>
        <w:t>52,541.46</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616,217.26</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3"/>
        <w:ind w:left="153" w:right="0"/>
        <w:jc w:val="left"/>
      </w:pPr>
      <w:r>
        <w:rPr/>
        <w:t>单位： 元</w:t>
      </w:r>
    </w:p>
    <w:p>
      <w:pPr>
        <w:spacing w:after="0" w:line="240" w:lineRule="auto"/>
        <w:jc w:val="left"/>
        <w:sectPr>
          <w:type w:val="continuous"/>
          <w:pgSz w:w="11910" w:h="16840"/>
          <w:pgMar w:top="1060" w:bottom="1160" w:left="980" w:right="0"/>
          <w:cols w:num="2" w:equalWidth="0">
            <w:col w:w="6725" w:space="210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616,217.26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收回应收账款</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616,217.26</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本期实际核销的应收账款情况：无</w:t>
      </w:r>
    </w:p>
    <w:p>
      <w:pPr>
        <w:pStyle w:val="BodyText"/>
        <w:spacing w:line="240" w:lineRule="auto" w:before="103"/>
        <w:ind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3"/>
        <w:rPr>
          <w:rFonts w:ascii="宋体" w:hAnsi="宋体" w:cs="宋体" w:eastAsia="宋体" w:hint="default"/>
          <w:sz w:val="6"/>
          <w:szCs w:val="6"/>
        </w:rPr>
      </w:pPr>
    </w:p>
    <w:tbl>
      <w:tblPr>
        <w:tblW w:w="0" w:type="auto"/>
        <w:jc w:val="left"/>
        <w:tblInd w:w="137" w:type="dxa"/>
        <w:tblLayout w:type="fixed"/>
        <w:tblCellMar>
          <w:top w:w="0" w:type="dxa"/>
          <w:left w:w="0" w:type="dxa"/>
          <w:bottom w:w="0" w:type="dxa"/>
          <w:right w:w="0" w:type="dxa"/>
        </w:tblCellMar>
        <w:tblLook w:val="01E0"/>
      </w:tblPr>
      <w:tblGrid>
        <w:gridCol w:w="3122"/>
        <w:gridCol w:w="2364"/>
        <w:gridCol w:w="2087"/>
        <w:gridCol w:w="2086"/>
      </w:tblGrid>
      <w:tr>
        <w:trPr>
          <w:trHeight w:val="658" w:hRule="exact"/>
        </w:trPr>
        <w:tc>
          <w:tcPr>
            <w:tcW w:w="31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0"/>
              <w:ind w:left="1"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23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0"/>
              <w:ind w:left="2" w:right="0"/>
              <w:jc w:val="center"/>
              <w:rPr>
                <w:rFonts w:ascii="宋体" w:hAnsi="宋体" w:cs="宋体" w:eastAsia="宋体" w:hint="default"/>
                <w:sz w:val="20"/>
                <w:szCs w:val="20"/>
              </w:rPr>
            </w:pPr>
            <w:r>
              <w:rPr>
                <w:rFonts w:ascii="宋体" w:hAnsi="宋体" w:cs="宋体" w:eastAsia="宋体" w:hint="default"/>
                <w:sz w:val="20"/>
                <w:szCs w:val="20"/>
              </w:rPr>
              <w:t>余额</w:t>
            </w:r>
          </w:p>
        </w:tc>
        <w:tc>
          <w:tcPr>
            <w:tcW w:w="20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5" w:lineRule="auto" w:before="4"/>
              <w:ind w:left="386" w:right="384" w:firstLine="150"/>
              <w:jc w:val="left"/>
              <w:rPr>
                <w:rFonts w:ascii="Times New Roman" w:hAnsi="Times New Roman" w:cs="Times New Roman" w:eastAsia="Times New Roman" w:hint="default"/>
                <w:sz w:val="20"/>
                <w:szCs w:val="20"/>
              </w:rPr>
            </w:pPr>
            <w:r>
              <w:rPr>
                <w:rFonts w:ascii="宋体" w:hAnsi="宋体" w:cs="宋体" w:eastAsia="宋体" w:hint="default"/>
                <w:sz w:val="20"/>
                <w:szCs w:val="20"/>
              </w:rPr>
              <w:t>占应收账款</w:t>
            </w:r>
            <w:r>
              <w:rPr>
                <w:rFonts w:ascii="宋体" w:hAnsi="宋体" w:cs="宋体" w:eastAsia="宋体" w:hint="default"/>
                <w:w w:val="100"/>
                <w:sz w:val="20"/>
                <w:szCs w:val="20"/>
              </w:rPr>
              <w:t> </w:t>
            </w:r>
            <w:r>
              <w:rPr>
                <w:rFonts w:ascii="宋体" w:hAnsi="宋体" w:cs="宋体" w:eastAsia="宋体" w:hint="default"/>
                <w:sz w:val="20"/>
                <w:szCs w:val="20"/>
              </w:rPr>
              <w:t>总额的比例</w:t>
            </w:r>
            <w:r>
              <w:rPr>
                <w:rFonts w:ascii="Times New Roman" w:hAnsi="Times New Roman" w:cs="Times New Roman" w:eastAsia="Times New Roman" w:hint="default"/>
                <w:sz w:val="20"/>
                <w:szCs w:val="20"/>
              </w:rPr>
              <w:t>(%)</w:t>
            </w:r>
          </w:p>
        </w:tc>
        <w:tc>
          <w:tcPr>
            <w:tcW w:w="20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0"/>
              <w:ind w:left="334" w:right="0"/>
              <w:jc w:val="left"/>
              <w:rPr>
                <w:rFonts w:ascii="宋体" w:hAnsi="宋体" w:cs="宋体" w:eastAsia="宋体" w:hint="default"/>
                <w:sz w:val="20"/>
                <w:szCs w:val="20"/>
              </w:rPr>
            </w:pPr>
            <w:r>
              <w:rPr>
                <w:rFonts w:ascii="宋体" w:hAnsi="宋体" w:cs="宋体" w:eastAsia="宋体" w:hint="default"/>
                <w:sz w:val="20"/>
                <w:szCs w:val="20"/>
              </w:rPr>
              <w:t>计提的坏账准备</w:t>
            </w:r>
          </w:p>
        </w:tc>
      </w:tr>
      <w:tr>
        <w:trPr>
          <w:trHeight w:val="347" w:hRule="exact"/>
        </w:trPr>
        <w:tc>
          <w:tcPr>
            <w:tcW w:w="3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企业通信</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24,447,898.98</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46.19</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100"/>
                <w:sz w:val="20"/>
              </w:rPr>
              <w:t>-</w:t>
            </w:r>
          </w:p>
        </w:tc>
      </w:tr>
      <w:tr>
        <w:trPr>
          <w:trHeight w:val="347" w:hRule="exact"/>
        </w:trPr>
        <w:tc>
          <w:tcPr>
            <w:tcW w:w="3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网络科技</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10,373,231.60</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19.60</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100"/>
                <w:sz w:val="20"/>
              </w:rPr>
              <w:t>-</w:t>
            </w:r>
          </w:p>
        </w:tc>
      </w:tr>
      <w:tr>
        <w:trPr>
          <w:trHeight w:val="348" w:hRule="exact"/>
        </w:trPr>
        <w:tc>
          <w:tcPr>
            <w:tcW w:w="3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上海通信</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9,488,188.34</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17.92</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100"/>
                <w:sz w:val="20"/>
              </w:rPr>
              <w:t>-</w:t>
            </w:r>
          </w:p>
        </w:tc>
      </w:tr>
      <w:tr>
        <w:trPr>
          <w:trHeight w:val="347" w:hRule="exact"/>
        </w:trPr>
        <w:tc>
          <w:tcPr>
            <w:tcW w:w="3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广州二六三</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6,842,412.57</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12.93</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w w:val="100"/>
                <w:sz w:val="20"/>
              </w:rPr>
              <w:t>-</w:t>
            </w:r>
          </w:p>
        </w:tc>
      </w:tr>
      <w:tr>
        <w:trPr>
          <w:trHeight w:val="347" w:hRule="exact"/>
        </w:trPr>
        <w:tc>
          <w:tcPr>
            <w:tcW w:w="3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1</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612,944.38</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1.16</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203,893.82</w:t>
            </w:r>
          </w:p>
        </w:tc>
      </w:tr>
      <w:tr>
        <w:trPr>
          <w:trHeight w:val="348" w:hRule="exact"/>
        </w:trPr>
        <w:tc>
          <w:tcPr>
            <w:tcW w:w="3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51,764,675.87</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97.80</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203,893.82</w:t>
            </w:r>
          </w:p>
        </w:tc>
      </w:tr>
    </w:tbl>
    <w:p>
      <w:pPr>
        <w:pStyle w:val="BodyText"/>
        <w:spacing w:line="240" w:lineRule="auto" w:before="51"/>
        <w:ind w:right="0"/>
        <w:jc w:val="left"/>
      </w:pPr>
      <w:r>
        <w:rPr>
          <w:rFonts w:ascii="Times New Roman" w:hAnsi="Times New Roman" w:cs="Times New Roman" w:eastAsia="Times New Roman" w:hint="default"/>
        </w:rPr>
        <w:t>5)</w:t>
      </w:r>
      <w:r>
        <w:rPr/>
        <w:t>因金融资产转移而终止确认的应收账款：无</w:t>
      </w:r>
    </w:p>
    <w:p>
      <w:pPr>
        <w:pStyle w:val="BodyText"/>
        <w:spacing w:line="340" w:lineRule="auto" w:before="102"/>
        <w:ind w:right="6462"/>
        <w:jc w:val="left"/>
      </w:pPr>
      <w:r>
        <w:rPr>
          <w:rFonts w:ascii="Times New Roman" w:hAnsi="Times New Roman" w:cs="Times New Roman" w:eastAsia="Times New Roman" w:hint="default"/>
        </w:rPr>
        <w:t>6)</w:t>
      </w:r>
      <w:r>
        <w:rPr/>
        <w:t>转移应收账款且继续涉入形成的资产、负债金额：无</w:t>
      </w:r>
      <w:r>
        <w:rPr>
          <w:w w:val="99"/>
        </w:rPr>
        <w:t> </w:t>
      </w:r>
      <w:r>
        <w:rPr/>
        <w:t>其他说明：无</w:t>
      </w:r>
    </w:p>
    <w:p>
      <w:pPr>
        <w:spacing w:after="0" w:line="340" w:lineRule="auto"/>
        <w:jc w:val="left"/>
        <w:sectPr>
          <w:type w:val="continuous"/>
          <w:pgSz w:w="11910" w:h="16840"/>
          <w:pgMar w:top="1060" w:bottom="1160" w:left="980" w:right="0"/>
        </w:sectPr>
      </w:pPr>
    </w:p>
    <w:p>
      <w:pPr>
        <w:pStyle w:val="Heading4"/>
        <w:spacing w:line="240" w:lineRule="auto" w:before="94"/>
        <w:ind w:right="0"/>
        <w:jc w:val="left"/>
        <w:rPr>
          <w:b w:val="0"/>
          <w:bCs w:val="0"/>
        </w:rPr>
      </w:pPr>
      <w:bookmarkStart w:name="2、其他应收款" w:id="432"/>
      <w:bookmarkEnd w:id="432"/>
      <w:r>
        <w:rPr>
          <w:b w:val="0"/>
          <w:bCs w:val="0"/>
        </w:rPr>
      </w:r>
      <w:r>
        <w:rPr>
          <w:rFonts w:ascii="Times New Roman" w:hAnsi="Times New Roman" w:cs="Times New Roman" w:eastAsia="Times New Roman" w:hint="default"/>
          <w:w w:val="95"/>
        </w:rPr>
        <w:t>2</w:t>
      </w:r>
      <w:r>
        <w:rPr>
          <w:w w:val="95"/>
        </w:rPr>
        <w:t>、其他应收款</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3"/>
        <w:rPr>
          <w:rFonts w:ascii="宋体" w:hAnsi="宋体" w:cs="宋体" w:eastAsia="宋体" w:hint="default"/>
          <w:b/>
          <w:bCs/>
          <w:sz w:val="18"/>
          <w:szCs w:val="18"/>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1523" w:space="7306"/>
            <w:col w:w="210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1,967,227.21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2,725,488.83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129,283,254.26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135,294,457.23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131,250,481.47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138,019,946.06</w:t>
            </w:r>
          </w:p>
        </w:tc>
      </w:tr>
    </w:tbl>
    <w:p>
      <w:pPr>
        <w:spacing w:line="240" w:lineRule="auto" w:before="6"/>
        <w:rPr>
          <w:rFonts w:ascii="宋体" w:hAnsi="宋体" w:cs="宋体" w:eastAsia="宋体" w:hint="default"/>
          <w:sz w:val="5"/>
          <w:szCs w:val="5"/>
        </w:rPr>
      </w:pPr>
    </w:p>
    <w:p>
      <w:pPr>
        <w:spacing w:after="0" w:line="240" w:lineRule="auto"/>
        <w:rPr>
          <w:rFonts w:ascii="宋体" w:hAnsi="宋体" w:cs="宋体" w:eastAsia="宋体" w:hint="default"/>
          <w:sz w:val="5"/>
          <w:szCs w:val="5"/>
        </w:rPr>
        <w:sectPr>
          <w:type w:val="continuous"/>
          <w:pgSz w:w="11910" w:h="16840"/>
          <w:pgMar w:top="1060" w:bottom="1160" w:left="980" w:right="0"/>
        </w:sectPr>
      </w:pPr>
    </w:p>
    <w:p>
      <w:pPr>
        <w:pStyle w:val="Heading4"/>
        <w:spacing w:line="240" w:lineRule="auto" w:before="35"/>
        <w:ind w:right="0"/>
        <w:jc w:val="left"/>
        <w:rPr>
          <w:b w:val="0"/>
          <w:bCs w:val="0"/>
        </w:rPr>
      </w:pPr>
      <w:bookmarkStart w:name="（1）应收利息" w:id="433"/>
      <w:bookmarkEnd w:id="433"/>
      <w:r>
        <w:rPr>
          <w:b w:val="0"/>
          <w:bCs w:val="0"/>
        </w:rPr>
      </w:r>
      <w:r>
        <w:rPr>
          <w:w w:val="95"/>
        </w:rPr>
        <w:t>（</w:t>
      </w:r>
      <w:r>
        <w:rPr>
          <w:rFonts w:ascii="Times New Roman" w:hAnsi="Times New Roman" w:cs="Times New Roman" w:eastAsia="Times New Roman" w:hint="default"/>
          <w:w w:val="95"/>
        </w:rPr>
        <w:t>1</w:t>
      </w:r>
      <w:r>
        <w:rPr>
          <w:w w:val="95"/>
        </w:rPr>
        <w:t>）应收利息</w:t>
      </w:r>
      <w:r>
        <w:rPr>
          <w:b w:val="0"/>
          <w:bCs w:val="0"/>
        </w:rPr>
      </w:r>
    </w:p>
    <w:p>
      <w:pPr>
        <w:pStyle w:val="BodyText"/>
        <w:spacing w:line="240" w:lineRule="auto" w:before="87"/>
        <w:ind w:right="0"/>
        <w:jc w:val="left"/>
      </w:pPr>
      <w:r>
        <w:rPr>
          <w:rFonts w:ascii="Times New Roman" w:hAnsi="Times New Roman" w:cs="Times New Roman" w:eastAsia="Times New Roman" w:hint="default"/>
        </w:rPr>
        <w:t>1)</w:t>
      </w:r>
      <w:r>
        <w:rPr/>
        <w:t>应收利息分类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1523" w:space="7306"/>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1,715,513.89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2,129,954.10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固定收益理财产品应计利息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251,713.32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595,534.73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1,967,227.21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2,725,488.83</w:t>
            </w:r>
          </w:p>
        </w:tc>
      </w:tr>
    </w:tbl>
    <w:p>
      <w:pPr>
        <w:spacing w:line="240" w:lineRule="auto" w:before="4"/>
        <w:rPr>
          <w:rFonts w:ascii="宋体" w:hAnsi="宋体" w:cs="宋体" w:eastAsia="宋体" w:hint="default"/>
          <w:sz w:val="22"/>
          <w:szCs w:val="22"/>
        </w:rPr>
      </w:pPr>
    </w:p>
    <w:p>
      <w:pPr>
        <w:spacing w:before="76"/>
        <w:ind w:left="1978" w:right="3583" w:firstLine="0"/>
        <w:jc w:val="center"/>
        <w:rPr>
          <w:rFonts w:ascii="Times New Roman" w:hAnsi="Times New Roman" w:cs="Times New Roman" w:eastAsia="Times New Roman" w:hint="default"/>
          <w:sz w:val="18"/>
          <w:szCs w:val="18"/>
        </w:rPr>
      </w:pPr>
      <w:r>
        <w:rPr/>
        <w:pict>
          <v:shape style="position:absolute;margin-left:535.634705pt;margin-top:28.72287pt;width:59.493346pt;height:26.794713pt;mso-position-horizontal-relative:page;mso-position-vertical-relative:paragraph;z-index:1816" type="#_x0000_t75" stroked="false">
            <v:imagedata r:id="rId14" o:title=""/>
          </v:shape>
        </w:pict>
      </w:r>
      <w:r>
        <w:rPr>
          <w:rFonts w:ascii="Times New Roman"/>
          <w:b/>
          <w:sz w:val="18"/>
        </w:rPr>
        <w:t>168 </w:t>
      </w:r>
      <w:r>
        <w:rPr>
          <w:rFonts w:ascii="Times New Roman"/>
          <w:sz w:val="18"/>
        </w:rPr>
        <w:t>/</w:t>
      </w:r>
      <w:r>
        <w:rPr>
          <w:rFonts w:ascii="Times New Roman"/>
          <w:spacing w:val="1"/>
          <w:sz w:val="18"/>
        </w:rPr>
        <w:t> </w:t>
      </w:r>
      <w:r>
        <w:rPr>
          <w:rFonts w:ascii="Times New Roman"/>
          <w:b/>
          <w:sz w:val="18"/>
        </w:rPr>
        <w:t>178</w:t>
      </w:r>
      <w:r>
        <w:rPr>
          <w:rFonts w:ascii="Times New Roman"/>
          <w:sz w:val="18"/>
        </w:rPr>
      </w:r>
    </w:p>
    <w:p>
      <w:pPr>
        <w:spacing w:after="0"/>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b/>
          <w:bCs/>
          <w:sz w:val="18"/>
          <w:szCs w:val="18"/>
        </w:rPr>
      </w:pPr>
    </w:p>
    <w:p>
      <w:pPr>
        <w:pStyle w:val="BodyText"/>
        <w:spacing w:line="240" w:lineRule="auto" w:before="132"/>
        <w:ind w:left="140" w:right="-20"/>
        <w:jc w:val="left"/>
      </w:pPr>
      <w:r>
        <w:rPr>
          <w:rFonts w:ascii="Times New Roman" w:hAnsi="Times New Roman" w:cs="Times New Roman" w:eastAsia="Times New Roman" w:hint="default"/>
        </w:rPr>
        <w:t>2)</w:t>
      </w:r>
      <w:r>
        <w:rPr/>
        <w:t>重要逾期利息：无</w:t>
      </w:r>
    </w:p>
    <w:p>
      <w:pPr>
        <w:spacing w:line="240" w:lineRule="auto" w:before="9"/>
        <w:rPr>
          <w:rFonts w:ascii="宋体" w:hAnsi="宋体" w:cs="宋体" w:eastAsia="宋体" w:hint="default"/>
          <w:sz w:val="25"/>
          <w:szCs w:val="25"/>
        </w:rPr>
      </w:pPr>
    </w:p>
    <w:p>
      <w:pPr>
        <w:pStyle w:val="Heading4"/>
        <w:spacing w:line="240" w:lineRule="auto"/>
        <w:ind w:left="140" w:right="-20"/>
        <w:jc w:val="left"/>
        <w:rPr>
          <w:b w:val="0"/>
          <w:bCs w:val="0"/>
        </w:rPr>
      </w:pPr>
      <w:bookmarkStart w:name="（2）应收股利" w:id="434"/>
      <w:bookmarkEnd w:id="434"/>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0" w:right="-20"/>
        <w:jc w:val="left"/>
      </w:pPr>
      <w:r>
        <w:rPr/>
        <w:t>无</w:t>
      </w:r>
    </w:p>
    <w:p>
      <w:pPr>
        <w:spacing w:line="240" w:lineRule="auto" w:before="10"/>
        <w:rPr>
          <w:rFonts w:ascii="宋体" w:hAnsi="宋体" w:cs="宋体" w:eastAsia="宋体" w:hint="default"/>
          <w:sz w:val="26"/>
          <w:szCs w:val="26"/>
        </w:rPr>
      </w:pPr>
    </w:p>
    <w:p>
      <w:pPr>
        <w:pStyle w:val="Heading4"/>
        <w:spacing w:line="240" w:lineRule="auto"/>
        <w:ind w:left="140" w:right="-20"/>
        <w:jc w:val="left"/>
        <w:rPr>
          <w:b w:val="0"/>
          <w:bCs w:val="0"/>
        </w:rPr>
      </w:pPr>
      <w:bookmarkStart w:name="（3）其他应收款" w:id="435"/>
      <w:bookmarkEnd w:id="435"/>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0" w:right="-20"/>
        <w:jc w:val="left"/>
      </w:pPr>
      <w:r>
        <w:rPr>
          <w:rFonts w:ascii="Times New Roman" w:hAnsi="Times New Roman" w:cs="Times New Roman" w:eastAsia="Times New Roman" w:hint="default"/>
        </w:rPr>
        <w:t>1)</w:t>
      </w:r>
      <w:r>
        <w:rPr/>
        <w:t>其他应收款分类披露</w:t>
      </w:r>
    </w:p>
    <w:p>
      <w:pPr>
        <w:pStyle w:val="BodyText"/>
        <w:spacing w:line="240" w:lineRule="auto" w:before="15"/>
        <w:ind w:left="0" w:right="136"/>
        <w:jc w:val="right"/>
      </w:pPr>
      <w:r>
        <w:rPr/>
        <w:br w:type="column"/>
      </w:r>
      <w:r>
        <w:rPr/>
        <w:t>二六三网络通信股份有限公司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BodyText"/>
        <w:spacing w:line="240" w:lineRule="auto"/>
        <w:ind w:left="0" w:right="136"/>
        <w:jc w:val="right"/>
      </w:pPr>
      <w:r>
        <w:rPr/>
        <w:pict>
          <v:group style="position:absolute;margin-left:70.5pt;margin-top:-141.788284pt;width:701pt;height:.1pt;mso-position-horizontal-relative:page;mso-position-vertical-relative:paragraph;z-index:1840" coordorigin="1410,-2836" coordsize="14020,2">
            <v:shape style="position:absolute;left:1410;top:-2836;width:14020;height:2" coordorigin="1410,-2836" coordsize="14020,0" path="m1410,-2836l15430,-2836e" filled="false" stroked="true" strokeweight=".72pt" strokecolor="#000000">
              <v:path arrowok="t"/>
            </v:shape>
            <w10:wrap type="none"/>
          </v:group>
        </w:pict>
      </w:r>
      <w:r>
        <w:rPr/>
        <w:t>单位： 元</w:t>
      </w:r>
    </w:p>
    <w:p>
      <w:pPr>
        <w:spacing w:after="0" w:line="240" w:lineRule="auto"/>
        <w:jc w:val="right"/>
        <w:sectPr>
          <w:headerReference w:type="default" r:id="rId44"/>
          <w:footerReference w:type="default" r:id="rId45"/>
          <w:pgSz w:w="16840" w:h="11910" w:orient="landscape"/>
          <w:pgMar w:header="0" w:footer="0" w:top="800" w:bottom="0" w:left="1300" w:right="1300"/>
          <w:cols w:num="2" w:equalWidth="0">
            <w:col w:w="1911" w:space="7999"/>
            <w:col w:w="4330"/>
          </w:cols>
        </w:sectPr>
      </w:pP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439"/>
        <w:gridCol w:w="1418"/>
        <w:gridCol w:w="1135"/>
        <w:gridCol w:w="1174"/>
        <w:gridCol w:w="988"/>
        <w:gridCol w:w="1379"/>
        <w:gridCol w:w="1278"/>
        <w:gridCol w:w="991"/>
        <w:gridCol w:w="992"/>
        <w:gridCol w:w="850"/>
        <w:gridCol w:w="1370"/>
      </w:tblGrid>
      <w:tr>
        <w:trPr>
          <w:trHeight w:val="402" w:hRule="exact"/>
        </w:trPr>
        <w:tc>
          <w:tcPr>
            <w:tcW w:w="24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4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7" w:hRule="exact"/>
        </w:trPr>
        <w:tc>
          <w:tcPr>
            <w:tcW w:w="243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55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7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7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439" w:type="dxa"/>
            <w:vMerge/>
            <w:tcBorders>
              <w:left w:val="single" w:sz="4" w:space="0" w:color="000000"/>
              <w:bottom w:val="nil" w:sz="6" w:space="0" w:color="auto"/>
              <w:right w:val="single" w:sz="4" w:space="0" w:color="000000"/>
            </w:tcBorders>
            <w:shd w:val="clear" w:color="auto" w:fill="D2D2D2"/>
          </w:tcPr>
          <w:p>
            <w:pPr/>
          </w:p>
        </w:tc>
        <w:tc>
          <w:tcPr>
            <w:tcW w:w="2554" w:type="dxa"/>
            <w:gridSpan w:val="2"/>
            <w:vMerge/>
            <w:tcBorders>
              <w:left w:val="single" w:sz="4" w:space="0" w:color="000000"/>
              <w:bottom w:val="single" w:sz="4" w:space="0" w:color="000000"/>
              <w:right w:val="single" w:sz="4" w:space="0" w:color="000000"/>
            </w:tcBorders>
            <w:shd w:val="clear" w:color="auto" w:fill="D2D2D2"/>
          </w:tcPr>
          <w:p>
            <w:pPr/>
          </w:p>
        </w:tc>
        <w:tc>
          <w:tcPr>
            <w:tcW w:w="2162" w:type="dxa"/>
            <w:gridSpan w:val="2"/>
            <w:vMerge/>
            <w:tcBorders>
              <w:left w:val="single" w:sz="4" w:space="0" w:color="000000"/>
              <w:bottom w:val="single" w:sz="4" w:space="0" w:color="000000"/>
              <w:right w:val="single" w:sz="4" w:space="0" w:color="000000"/>
            </w:tcBorders>
            <w:shd w:val="clear" w:color="auto" w:fill="D2D2D2"/>
          </w:tcPr>
          <w:p>
            <w:pP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269" w:type="dxa"/>
            <w:gridSpan w:val="2"/>
            <w:vMerge/>
            <w:tcBorders>
              <w:left w:val="single" w:sz="4" w:space="0" w:color="000000"/>
              <w:bottom w:val="single" w:sz="4" w:space="0" w:color="000000"/>
              <w:right w:val="single" w:sz="4" w:space="0" w:color="000000"/>
            </w:tcBorders>
            <w:shd w:val="clear" w:color="auto" w:fill="D2D2D2"/>
          </w:tcPr>
          <w:p>
            <w:pPr/>
          </w:p>
        </w:tc>
        <w:tc>
          <w:tcPr>
            <w:tcW w:w="1842" w:type="dxa"/>
            <w:gridSpan w:val="2"/>
            <w:vMerge/>
            <w:tcBorders>
              <w:left w:val="single" w:sz="4" w:space="0" w:color="000000"/>
              <w:bottom w:val="single" w:sz="4" w:space="0" w:color="000000"/>
              <w:right w:val="single" w:sz="4" w:space="0" w:color="000000"/>
            </w:tcBorders>
            <w:shd w:val="clear" w:color="auto" w:fill="D2D2D2"/>
          </w:tcPr>
          <w:p>
            <w:pPr/>
          </w:p>
        </w:tc>
        <w:tc>
          <w:tcPr>
            <w:tcW w:w="13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0" w:hRule="exact"/>
        </w:trPr>
        <w:tc>
          <w:tcPr>
            <w:tcW w:w="2439" w:type="dxa"/>
            <w:vMerge w:val="restart"/>
            <w:tcBorders>
              <w:top w:val="nil" w:sz="6" w:space="0" w:color="auto"/>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79" w:type="dxa"/>
            <w:vMerge/>
            <w:tcBorders>
              <w:left w:val="single" w:sz="4" w:space="0" w:color="000000"/>
              <w:bottom w:val="nil" w:sz="6" w:space="0" w:color="auto"/>
              <w:right w:val="single" w:sz="4" w:space="0" w:color="000000"/>
            </w:tcBorders>
            <w:shd w:val="clear" w:color="auto" w:fill="D2D2D2"/>
          </w:tcPr>
          <w:p>
            <w:pPr/>
          </w:p>
        </w:tc>
        <w:tc>
          <w:tcPr>
            <w:tcW w:w="12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70"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439"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c>
          <w:tcPr>
            <w:tcW w:w="988"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8"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37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4"/>
              <w:jc w:val="left"/>
              <w:rPr>
                <w:rFonts w:ascii="宋体" w:hAnsi="宋体" w:cs="宋体" w:eastAsia="宋体" w:hint="default"/>
                <w:sz w:val="18"/>
                <w:szCs w:val="18"/>
              </w:rPr>
            </w:pPr>
            <w:r>
              <w:rPr>
                <w:rFonts w:ascii="宋体" w:hAnsi="宋体" w:cs="宋体" w:eastAsia="宋体" w:hint="default"/>
                <w:sz w:val="18"/>
                <w:szCs w:val="18"/>
              </w:rPr>
              <w:t>按信用风险特征组合计提坏账 准备的其他应收款</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129,441,447.03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158,192.77</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0.12%</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129,283,254.26</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135,441,248.84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146,791.61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135,294,457.23</w:t>
            </w:r>
          </w:p>
        </w:tc>
      </w:tr>
      <w:tr>
        <w:trPr>
          <w:trHeight w:val="402" w:hRule="exact"/>
        </w:trPr>
        <w:tc>
          <w:tcPr>
            <w:tcW w:w="2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129,441,447.03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158,192.77</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129,283,254.26</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135,441,248.84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146,791.61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135,294,457.23</w:t>
            </w:r>
          </w:p>
        </w:tc>
      </w:tr>
    </w:tbl>
    <w:p>
      <w:pPr>
        <w:pStyle w:val="BodyText"/>
        <w:spacing w:line="240" w:lineRule="auto" w:before="51"/>
        <w:ind w:left="140" w:right="3908"/>
        <w:jc w:val="left"/>
      </w:pPr>
      <w:r>
        <w:rPr/>
        <w:t>期末单项金额重大并单项计提坏账准备的其他应收款：</w:t>
      </w:r>
    </w:p>
    <w:p>
      <w:pPr>
        <w:pStyle w:val="BodyText"/>
        <w:spacing w:line="240" w:lineRule="auto" w:before="117"/>
        <w:ind w:left="140" w:right="39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76"/>
        <w:ind w:left="6445" w:right="7072" w:firstLine="0"/>
        <w:jc w:val="center"/>
        <w:rPr>
          <w:rFonts w:ascii="Times New Roman" w:hAnsi="Times New Roman" w:cs="Times New Roman" w:eastAsia="Times New Roman" w:hint="default"/>
          <w:sz w:val="18"/>
          <w:szCs w:val="18"/>
        </w:rPr>
      </w:pPr>
      <w:r>
        <w:rPr>
          <w:rFonts w:ascii="Times New Roman"/>
          <w:b/>
          <w:sz w:val="18"/>
        </w:rPr>
        <w:t>169 </w:t>
      </w:r>
      <w:r>
        <w:rPr>
          <w:rFonts w:ascii="Times New Roman"/>
          <w:sz w:val="18"/>
        </w:rPr>
        <w:t>/</w:t>
      </w:r>
      <w:r>
        <w:rPr>
          <w:rFonts w:ascii="Times New Roman"/>
          <w:spacing w:val="1"/>
          <w:sz w:val="18"/>
        </w:rPr>
        <w:t> </w:t>
      </w:r>
      <w:r>
        <w:rPr>
          <w:rFonts w:ascii="Times New Roman"/>
          <w:b/>
          <w:sz w:val="18"/>
        </w:rPr>
        <w:t>178</w:t>
      </w:r>
      <w:r>
        <w:rPr>
          <w:rFonts w:ascii="Times New Roman"/>
          <w:sz w:val="18"/>
        </w:rPr>
      </w:r>
    </w:p>
    <w:p>
      <w:pPr>
        <w:spacing w:line="240" w:lineRule="auto" w:before="0"/>
        <w:rPr>
          <w:rFonts w:ascii="Times New Roman" w:hAnsi="Times New Roman" w:cs="Times New Roman" w:eastAsia="Times New Roman" w:hint="default"/>
          <w:b/>
          <w:bCs/>
          <w:sz w:val="20"/>
          <w:szCs w:val="20"/>
        </w:rPr>
      </w:pPr>
    </w:p>
    <w:p>
      <w:pPr>
        <w:spacing w:line="240" w:lineRule="auto" w:before="3"/>
        <w:rPr>
          <w:rFonts w:ascii="Times New Roman" w:hAnsi="Times New Roman" w:cs="Times New Roman" w:eastAsia="Times New Roman" w:hint="default"/>
          <w:b/>
          <w:bCs/>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7" name="image1.jpeg" descr=""/>
            <wp:cNvGraphicFramePr>
              <a:graphicFrameLocks noChangeAspect="1"/>
            </wp:cNvGraphicFramePr>
            <a:graphic>
              <a:graphicData uri="http://schemas.openxmlformats.org/drawingml/2006/picture">
                <pic:pic>
                  <pic:nvPicPr>
                    <pic:cNvPr id="18"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300"/>
        </w:sectPr>
      </w:pPr>
    </w:p>
    <w:p>
      <w:pPr>
        <w:spacing w:line="240" w:lineRule="auto" w:before="0"/>
        <w:rPr>
          <w:rFonts w:ascii="Times New Roman" w:hAnsi="Times New Roman" w:cs="Times New Roman" w:eastAsia="Times New Roman" w:hint="default"/>
          <w:b/>
          <w:bCs/>
          <w:sz w:val="25"/>
          <w:szCs w:val="25"/>
        </w:rPr>
      </w:pPr>
    </w:p>
    <w:p>
      <w:pPr>
        <w:spacing w:after="0" w:line="240" w:lineRule="auto"/>
        <w:rPr>
          <w:rFonts w:ascii="Times New Roman" w:hAnsi="Times New Roman" w:cs="Times New Roman" w:eastAsia="Times New Roman" w:hint="default"/>
          <w:sz w:val="25"/>
          <w:szCs w:val="25"/>
        </w:rPr>
        <w:sectPr>
          <w:footerReference w:type="default" r:id="rId46"/>
          <w:pgSz w:w="11910" w:h="16840"/>
          <w:pgMar w:footer="979" w:header="0" w:top="1100" w:bottom="1160" w:left="980" w:right="0"/>
          <w:pgNumType w:start="170"/>
        </w:sectPr>
      </w:pPr>
    </w:p>
    <w:p>
      <w:pPr>
        <w:pStyle w:val="BodyText"/>
        <w:spacing w:line="240" w:lineRule="auto" w:before="44"/>
        <w:ind w:right="-20"/>
        <w:jc w:val="left"/>
      </w:pPr>
      <w:r>
        <w:rPr/>
        <w:t>组合中，按账龄分析法计提坏账准备的其他应收款：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123,084.46</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9,118.84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4,559.42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132,476.47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4,623.21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60" w:lineRule="auto" w:before="51"/>
        <w:ind w:right="-20"/>
        <w:jc w:val="left"/>
      </w:pPr>
      <w:r>
        <w:rPr/>
        <w:t>确定该组合依据的说明： 组合中，采用余额百分比法计提坏账准备的其他应收款：</w:t>
      </w:r>
    </w:p>
    <w:p>
      <w:pPr>
        <w:pStyle w:val="BodyText"/>
        <w:spacing w:line="240" w:lineRule="auto" w:before="2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0"/>
        <w:gridCol w:w="2296"/>
        <w:gridCol w:w="2392"/>
        <w:gridCol w:w="2390"/>
      </w:tblGrid>
      <w:tr>
        <w:trPr>
          <w:trHeight w:val="402" w:hRule="exact"/>
        </w:trPr>
        <w:tc>
          <w:tcPr>
            <w:tcW w:w="2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0" w:type="dxa"/>
            <w:vMerge/>
            <w:tcBorders>
              <w:left w:val="single" w:sz="4" w:space="0" w:color="000000"/>
              <w:bottom w:val="single" w:sz="4" w:space="0" w:color="000000"/>
              <w:right w:val="single" w:sz="4" w:space="0" w:color="000000"/>
            </w:tcBorders>
            <w:shd w:val="clear" w:color="auto" w:fill="D2D2D2"/>
          </w:tcPr>
          <w:p>
            <w:pPr/>
          </w:p>
        </w:tc>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通信业务保证金</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6,056,221.40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121,124.43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房租等押金</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648,902.59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32,445.13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6,705,123.99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153,569.56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60" w:lineRule="auto" w:before="51"/>
        <w:ind w:right="1908"/>
        <w:jc w:val="left"/>
      </w:pPr>
      <w:r>
        <w:rPr/>
        <w:t>确定该组合依据的说明： 组合中，采用其他方法计提坏账准备的其他应收款：</w:t>
      </w:r>
    </w:p>
    <w:p>
      <w:pPr>
        <w:pStyle w:val="BodyText"/>
        <w:spacing w:line="240" w:lineRule="auto" w:before="26"/>
        <w:ind w:right="19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908"/>
        <w:jc w:val="left"/>
      </w:pPr>
      <w:r>
        <w:rPr>
          <w:rFonts w:ascii="Times New Roman" w:hAnsi="Times New Roman" w:cs="Times New Roman" w:eastAsia="Times New Roman" w:hint="default"/>
        </w:rPr>
        <w:t>2)</w:t>
      </w:r>
      <w:r>
        <w:rPr/>
        <w:t>本期计提、收回或转回的坏账准备情况</w:t>
      </w:r>
    </w:p>
    <w:p>
      <w:pPr>
        <w:pStyle w:val="BodyText"/>
        <w:spacing w:line="348" w:lineRule="auto" w:before="102"/>
        <w:ind w:right="-15"/>
        <w:jc w:val="left"/>
      </w:pPr>
      <w:r>
        <w:rPr/>
        <w:t>本期计提坏账准备金额</w:t>
      </w:r>
      <w:r>
        <w:rPr>
          <w:spacing w:val="-48"/>
        </w:rPr>
        <w:t> </w:t>
      </w:r>
      <w:r>
        <w:rPr>
          <w:rFonts w:ascii="Times New Roman" w:hAnsi="Times New Roman" w:cs="Times New Roman" w:eastAsia="Times New Roman" w:hint="default"/>
        </w:rPr>
        <w:t>11,401.16</w:t>
      </w:r>
      <w:r>
        <w:rPr>
          <w:rFonts w:ascii="Times New Roman" w:hAnsi="Times New Roman" w:cs="Times New Roman" w:eastAsia="Times New Roman" w:hint="default"/>
          <w:spacing w:val="-3"/>
        </w:rPr>
        <w:t> </w:t>
      </w:r>
      <w:r>
        <w:rPr/>
        <w:t>元；本期收回或转回坏账准备金额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其中本期坏账准备转回或收回金额重要的：无 </w:t>
      </w:r>
      <w:r>
        <w:rPr>
          <w:rFonts w:ascii="Times New Roman" w:hAnsi="Times New Roman" w:cs="Times New Roman" w:eastAsia="Times New Roman" w:hint="default"/>
        </w:rPr>
        <w:t>3)</w:t>
      </w:r>
      <w:r>
        <w:rPr/>
        <w:t>本期实际核销的其他应收款情况：无</w:t>
      </w:r>
    </w:p>
    <w:p>
      <w:pPr>
        <w:pStyle w:val="BodyText"/>
        <w:spacing w:line="240" w:lineRule="auto" w:before="14"/>
        <w:ind w:right="1908"/>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223" w:space="2607"/>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6,705,123.99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6,514,790.13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集团合并范围内公司往来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122,603,846.57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128,631,386.47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132,476.47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295,072.24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129,441,447.03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135,441,248.84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994"/>
        <w:gridCol w:w="2114"/>
        <w:gridCol w:w="1226"/>
        <w:gridCol w:w="757"/>
        <w:gridCol w:w="3051"/>
        <w:gridCol w:w="1553"/>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占其他应收款期末余额合计数的比例</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集团合并范围内公司往来</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61,762,550.60</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47.70%</w:t>
            </w: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上海通信</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集团合并范围内公司往来</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46,489,183.48</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35.92%</w:t>
            </w: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广州二六三</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集团合并范围内公司往来</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11,245,792.51</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8.69%</w:t>
            </w: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业务保证金</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首都在线</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集团合并范围内公司往来</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2,238,470.41</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w:t>
            </w: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127,735,997.00</w:t>
            </w:r>
          </w:p>
        </w:tc>
        <w:tc>
          <w:tcPr>
            <w:tcW w:w="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98.68%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120,000.00</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涉及政府补助的应收款项：无</w:t>
      </w:r>
    </w:p>
    <w:p>
      <w:pPr>
        <w:pStyle w:val="BodyText"/>
        <w:spacing w:line="240" w:lineRule="auto" w:before="102"/>
        <w:ind w:right="0"/>
        <w:jc w:val="left"/>
      </w:pPr>
      <w:r>
        <w:rPr>
          <w:rFonts w:ascii="Times New Roman" w:hAnsi="Times New Roman" w:cs="Times New Roman" w:eastAsia="Times New Roman" w:hint="default"/>
        </w:rPr>
        <w:t>7)</w:t>
      </w:r>
      <w:r>
        <w:rPr/>
        <w:t>因金融资产转移而终止确认的其他应收款：无</w:t>
      </w:r>
    </w:p>
    <w:p>
      <w:pPr>
        <w:pStyle w:val="BodyText"/>
        <w:spacing w:line="338" w:lineRule="auto" w:before="103"/>
        <w:ind w:right="6282"/>
        <w:jc w:val="left"/>
      </w:pPr>
      <w:r>
        <w:rPr>
          <w:rFonts w:ascii="Times New Roman" w:hAnsi="Times New Roman" w:cs="Times New Roman" w:eastAsia="Times New Roman" w:hint="default"/>
        </w:rPr>
        <w:t>8)</w:t>
      </w:r>
      <w:r>
        <w:rPr/>
        <w:t>转移其他应收款且继续涉入形成的资产、负债金额：无</w:t>
      </w:r>
      <w:r>
        <w:rPr>
          <w:w w:val="99"/>
        </w:rPr>
        <w:t> </w:t>
      </w:r>
      <w:r>
        <w:rPr/>
        <w:t>其他说明：无</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长期股权投资" w:id="436"/>
      <w:bookmarkEnd w:id="436"/>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7"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1,504,056,572.21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178,874,705.75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1,325,181,866.46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1,305,073,272.21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178,874,705.75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1,126,198,566.46</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18,813,058.70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18,813,058.70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24,468,655.19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24,468,655.19</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1,522,869,630.91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178,874,705.75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1,343,994,925.16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1,329,541,927.40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203,343,360.94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1,126,198,566.46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对子公司投资" w:id="437"/>
      <w:bookmarkEnd w:id="437"/>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208,043,784.70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5,245,100.00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213,288,884.70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上海通信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156,265,284.65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192,253,300.00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348,518,584.65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34,635,570.72</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711,245,416.10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830,900.00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712,076,316.10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144,239,135.03</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二六三香港控股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23,659,605.00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23,659,605.00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广州二六三</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205,859,181.76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654,000.00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206,513,181.76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1,305,073,272.21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198,983,300.00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1,504,056,572.21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178,874,705.75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3"/>
        <w:rPr>
          <w:rFonts w:ascii="宋体" w:hAnsi="宋体" w:cs="宋体" w:eastAsia="宋体" w:hint="default"/>
          <w:sz w:val="23"/>
          <w:szCs w:val="23"/>
        </w:rPr>
      </w:pPr>
    </w:p>
    <w:p>
      <w:pPr>
        <w:pStyle w:val="Heading4"/>
        <w:spacing w:line="240" w:lineRule="auto"/>
        <w:ind w:left="140" w:right="0"/>
        <w:jc w:val="left"/>
        <w:rPr>
          <w:b w:val="0"/>
          <w:bCs w:val="0"/>
        </w:rPr>
      </w:pPr>
      <w:r>
        <w:rPr/>
        <w:pict>
          <v:group style="position:absolute;margin-left:70.5pt;margin-top:-.39635pt;width:701pt;height:.1pt;mso-position-horizontal-relative:page;mso-position-vertical-relative:paragraph;z-index:1864" coordorigin="1410,-8" coordsize="14020,2">
            <v:shape style="position:absolute;left:1410;top:-8;width:14020;height:2" coordorigin="1410,-8" coordsize="14020,0" path="m1410,-8l15430,-8e" filled="false" stroked="true" strokeweight=".72pt" strokecolor="#000000">
              <v:path arrowok="t"/>
            </v:shape>
            <w10:wrap type="none"/>
          </v:group>
        </w:pict>
      </w:r>
      <w:bookmarkStart w:name="（2）对联营、合营企业投资" w:id="438"/>
      <w:bookmarkEnd w:id="438"/>
      <w:r>
        <w:rPr>
          <w:b w:val="0"/>
          <w:bCs w:val="0"/>
        </w:rPr>
      </w:r>
      <w:r>
        <w:rPr>
          <w:w w:val="95"/>
        </w:rPr>
        <w:t>（</w:t>
      </w:r>
      <w:r>
        <w:rPr>
          <w:rFonts w:ascii="Times New Roman" w:hAnsi="Times New Roman" w:cs="Times New Roman" w:eastAsia="Times New Roman" w:hint="default"/>
          <w:w w:val="95"/>
        </w:rPr>
        <w:t>2</w:t>
      </w:r>
      <w:r>
        <w:rPr>
          <w:w w:val="95"/>
        </w:rPr>
        <w:t>）对联营、合营企业投资</w:t>
      </w:r>
      <w:r>
        <w:rPr>
          <w:b w:val="0"/>
          <w:bCs w:val="0"/>
        </w:rPr>
      </w:r>
    </w:p>
    <w:p>
      <w:pPr>
        <w:pStyle w:val="BodyText"/>
        <w:spacing w:line="240" w:lineRule="auto" w:before="15"/>
        <w:ind w:left="140" w:right="0"/>
        <w:jc w:val="left"/>
      </w:pPr>
      <w:r>
        <w:rPr/>
        <w:br w:type="column"/>
      </w:r>
      <w:r>
        <w:rPr/>
        <w:t>二六三网络通信股份有限公司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after="0" w:line="240" w:lineRule="auto"/>
        <w:jc w:val="left"/>
        <w:sectPr>
          <w:headerReference w:type="default" r:id="rId47"/>
          <w:footerReference w:type="default" r:id="rId48"/>
          <w:pgSz w:w="16840" w:h="11910" w:orient="landscape"/>
          <w:pgMar w:header="0" w:footer="0" w:top="800" w:bottom="0" w:left="1300" w:right="1300"/>
          <w:cols w:num="2" w:equalWidth="0">
            <w:col w:w="2774" w:space="7136"/>
            <w:col w:w="4330"/>
          </w:cols>
        </w:sectPr>
      </w:pPr>
    </w:p>
    <w:p>
      <w:pPr>
        <w:spacing w:line="240" w:lineRule="auto" w:before="3"/>
        <w:rPr>
          <w:rFonts w:ascii="宋体" w:hAnsi="宋体" w:cs="宋体" w:eastAsia="宋体" w:hint="default"/>
          <w:sz w:val="23"/>
          <w:szCs w:val="23"/>
        </w:rPr>
      </w:pPr>
    </w:p>
    <w:p>
      <w:pPr>
        <w:pStyle w:val="BodyText"/>
        <w:spacing w:line="240" w:lineRule="auto" w:before="44"/>
        <w:ind w:left="0" w:right="136"/>
        <w:jc w:val="right"/>
      </w:pPr>
      <w:r>
        <w:rPr/>
        <w:t>单位： 元</w:t>
      </w: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165"/>
        <w:gridCol w:w="1164"/>
        <w:gridCol w:w="1166"/>
        <w:gridCol w:w="1169"/>
        <w:gridCol w:w="1169"/>
        <w:gridCol w:w="1170"/>
        <w:gridCol w:w="1169"/>
        <w:gridCol w:w="1169"/>
        <w:gridCol w:w="1169"/>
        <w:gridCol w:w="1169"/>
        <w:gridCol w:w="1169"/>
        <w:gridCol w:w="1166"/>
      </w:tblGrid>
      <w:tr>
        <w:trPr>
          <w:trHeight w:val="402" w:hRule="exact"/>
        </w:trPr>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98" w:right="36"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713" w:hRule="exact"/>
        </w:trPr>
        <w:tc>
          <w:tcPr>
            <w:tcW w:w="1165"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9" w:right="37"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99" w:right="38" w:hanging="360"/>
              <w:jc w:val="left"/>
              <w:rPr>
                <w:rFonts w:ascii="宋体" w:hAnsi="宋体" w:cs="宋体" w:eastAsia="宋体" w:hint="default"/>
                <w:sz w:val="18"/>
                <w:szCs w:val="18"/>
              </w:rPr>
            </w:pPr>
            <w:r>
              <w:rPr>
                <w:rFonts w:ascii="宋体" w:hAnsi="宋体" w:cs="宋体" w:eastAsia="宋体" w:hint="default"/>
                <w:sz w:val="18"/>
                <w:szCs w:val="18"/>
              </w:rPr>
              <w:t>其他综合收益 调整</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其他权益变动</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8" w:right="38" w:hanging="90"/>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01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1401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50"/>
              <w:jc w:val="left"/>
              <w:rPr>
                <w:rFonts w:ascii="宋体" w:hAnsi="宋体" w:cs="宋体" w:eastAsia="宋体" w:hint="default"/>
                <w:sz w:val="18"/>
                <w:szCs w:val="18"/>
              </w:rPr>
            </w:pPr>
            <w:r>
              <w:rPr>
                <w:rFonts w:ascii="宋体" w:hAnsi="宋体" w:cs="宋体" w:eastAsia="宋体" w:hint="default"/>
                <w:sz w:val="18"/>
                <w:szCs w:val="18"/>
              </w:rPr>
              <w:t>易美云</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信息技术有限 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24,468,655.19</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苏州龙遨泛人 工智能高科技 投资中心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20,000,000.00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-1,186,941.30</w:t>
            </w: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18,813,058.70</w:t>
            </w: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24,468,655.19</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18,813,058.70</w:t>
            </w: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24,468,655.19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 w:right="0"/>
              <w:jc w:val="center"/>
              <w:rPr>
                <w:rFonts w:ascii="Times New Roman" w:hAnsi="Times New Roman" w:cs="Times New Roman" w:eastAsia="Times New Roman" w:hint="default"/>
                <w:sz w:val="18"/>
                <w:szCs w:val="18"/>
              </w:rPr>
            </w:pPr>
            <w:r>
              <w:rPr>
                <w:rFonts w:ascii="Times New Roman"/>
                <w:sz w:val="18"/>
              </w:rPr>
              <w:t>20,000,000.00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-1,186,941.30</w:t>
            </w: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18,813,058.70</w:t>
            </w:r>
          </w:p>
        </w:tc>
        <w:tc>
          <w:tcPr>
            <w:tcW w:w="11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40" w:right="3908"/>
        <w:jc w:val="left"/>
        <w:rPr>
          <w:b w:val="0"/>
          <w:bCs w:val="0"/>
        </w:rPr>
      </w:pPr>
      <w:bookmarkStart w:name="（3）其他说明" w:id="439"/>
      <w:bookmarkEnd w:id="439"/>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00" w:right="3908"/>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年度，本公司对子公司以现金增资人民币</w:t>
      </w:r>
      <w:r>
        <w:rPr>
          <w:rFonts w:ascii="Times New Roman" w:hAnsi="Times New Roman" w:cs="Times New Roman" w:eastAsia="Times New Roman" w:hint="default"/>
        </w:rPr>
        <w:t>195,270,000.00</w:t>
      </w:r>
      <w:r>
        <w:rPr/>
        <w:t>元。 注</w:t>
      </w:r>
      <w:r>
        <w:rPr>
          <w:rFonts w:ascii="Times New Roman" w:hAnsi="Times New Roman" w:cs="Times New Roman" w:eastAsia="Times New Roman" w:hint="default"/>
        </w:rPr>
        <w:t>2</w:t>
      </w:r>
      <w:r>
        <w:rPr/>
        <w:t>：其他增加主要系本公司授予子公司员工限制性股票及股票期权确认的股份支付费用。易美云已于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月完成注销。 本公司的上述被投资单位不存在</w:t>
      </w:r>
      <w:r>
        <w:rPr>
          <w:rFonts w:ascii="Times New Roman" w:hAnsi="Times New Roman" w:cs="Times New Roman" w:eastAsia="Times New Roman" w:hint="default"/>
        </w:rPr>
        <w:t>“</w:t>
      </w:r>
      <w:r>
        <w:rPr/>
        <w:t>向投资企业转移资金的能力受到限制的情况</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76"/>
        <w:ind w:left="6445" w:right="7072" w:firstLine="0"/>
        <w:jc w:val="center"/>
        <w:rPr>
          <w:rFonts w:ascii="Times New Roman" w:hAnsi="Times New Roman" w:cs="Times New Roman" w:eastAsia="Times New Roman" w:hint="default"/>
          <w:sz w:val="18"/>
          <w:szCs w:val="18"/>
        </w:rPr>
      </w:pPr>
      <w:r>
        <w:rPr>
          <w:rFonts w:ascii="Times New Roman"/>
          <w:b/>
          <w:sz w:val="18"/>
        </w:rPr>
        <w:t>172 </w:t>
      </w:r>
      <w:r>
        <w:rPr>
          <w:rFonts w:ascii="Times New Roman"/>
          <w:sz w:val="18"/>
        </w:rPr>
        <w:t>/</w:t>
      </w:r>
      <w:r>
        <w:rPr>
          <w:rFonts w:ascii="Times New Roman"/>
          <w:spacing w:val="1"/>
          <w:sz w:val="18"/>
        </w:rPr>
        <w:t> </w:t>
      </w:r>
      <w:r>
        <w:rPr>
          <w:rFonts w:ascii="Times New Roman"/>
          <w:b/>
          <w:sz w:val="18"/>
        </w:rPr>
        <w:t>178</w:t>
      </w:r>
      <w:r>
        <w:rPr>
          <w:rFonts w:ascii="Times New Roman"/>
          <w:sz w:val="18"/>
        </w:rPr>
      </w:r>
    </w:p>
    <w:p>
      <w:pPr>
        <w:spacing w:line="240" w:lineRule="auto" w:before="0"/>
        <w:rPr>
          <w:rFonts w:ascii="Times New Roman" w:hAnsi="Times New Roman" w:cs="Times New Roman" w:eastAsia="Times New Roman" w:hint="default"/>
          <w:b/>
          <w:bCs/>
          <w:sz w:val="20"/>
          <w:szCs w:val="20"/>
        </w:rPr>
      </w:pPr>
    </w:p>
    <w:p>
      <w:pPr>
        <w:spacing w:line="240" w:lineRule="auto" w:before="3"/>
        <w:rPr>
          <w:rFonts w:ascii="Times New Roman" w:hAnsi="Times New Roman" w:cs="Times New Roman" w:eastAsia="Times New Roman" w:hint="default"/>
          <w:b/>
          <w:bCs/>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9" name="image1.jpeg" descr=""/>
            <wp:cNvGraphicFramePr>
              <a:graphicFrameLocks noChangeAspect="1"/>
            </wp:cNvGraphicFramePr>
            <a:graphic>
              <a:graphicData uri="http://schemas.openxmlformats.org/drawingml/2006/picture">
                <pic:pic>
                  <pic:nvPicPr>
                    <pic:cNvPr id="20"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300"/>
        </w:sectPr>
      </w:pPr>
    </w:p>
    <w:p>
      <w:pPr>
        <w:spacing w:line="240" w:lineRule="auto" w:before="7"/>
        <w:rPr>
          <w:rFonts w:ascii="Times New Roman" w:hAnsi="Times New Roman" w:cs="Times New Roman" w:eastAsia="Times New Roman" w:hint="default"/>
          <w:b/>
          <w:bCs/>
          <w:sz w:val="23"/>
          <w:szCs w:val="23"/>
        </w:rPr>
      </w:pPr>
    </w:p>
    <w:p>
      <w:pPr>
        <w:pStyle w:val="Heading4"/>
        <w:spacing w:line="240" w:lineRule="auto" w:before="35"/>
        <w:ind w:right="0"/>
        <w:jc w:val="left"/>
        <w:rPr>
          <w:b w:val="0"/>
          <w:bCs w:val="0"/>
        </w:rPr>
      </w:pPr>
      <w:bookmarkStart w:name="4、营业收入和营业成本" w:id="440"/>
      <w:bookmarkEnd w:id="44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8,904,176.58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1,617,615.57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7,662,609.60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1,041,840.20</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31,330,076.49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8,704,809.86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29,314,506.62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7,082,627.04</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40,234,253.07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10,322,425.43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36,977,116.22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8,124,467.24</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投资收益" w:id="441"/>
      <w:bookmarkEnd w:id="44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-1,186,941.30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5,016,401.34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4,344,727.11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4,059,112.59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400,000.00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7,888,572.63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4,744,727.11</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6、其他" w:id="442"/>
      <w:bookmarkEnd w:id="442"/>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）货币资金</w:t>
      </w:r>
      <w:r>
        <w:rPr>
          <w:b w:val="0"/>
          <w:bCs w:val="0"/>
        </w:rPr>
      </w:r>
    </w:p>
    <w:p>
      <w:pPr>
        <w:spacing w:line="240" w:lineRule="auto" w:before="9"/>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5336"/>
        <w:gridCol w:w="2162"/>
        <w:gridCol w:w="2161"/>
      </w:tblGrid>
      <w:tr>
        <w:trPr>
          <w:trHeight w:val="347" w:hRule="exact"/>
        </w:trPr>
        <w:tc>
          <w:tcPr>
            <w:tcW w:w="53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1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673" w:right="0"/>
              <w:jc w:val="left"/>
              <w:rPr>
                <w:rFonts w:ascii="宋体" w:hAnsi="宋体" w:cs="宋体" w:eastAsia="宋体" w:hint="default"/>
                <w:sz w:val="20"/>
                <w:szCs w:val="20"/>
              </w:rPr>
            </w:pPr>
            <w:r>
              <w:rPr>
                <w:rFonts w:ascii="宋体" w:hAnsi="宋体" w:cs="宋体" w:eastAsia="宋体" w:hint="default"/>
                <w:sz w:val="20"/>
                <w:szCs w:val="20"/>
              </w:rPr>
              <w:t>年末余额</w:t>
            </w:r>
          </w:p>
        </w:tc>
        <w:tc>
          <w:tcPr>
            <w:tcW w:w="21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673" w:right="0"/>
              <w:jc w:val="left"/>
              <w:rPr>
                <w:rFonts w:ascii="宋体" w:hAnsi="宋体" w:cs="宋体" w:eastAsia="宋体" w:hint="default"/>
                <w:sz w:val="20"/>
                <w:szCs w:val="20"/>
              </w:rPr>
            </w:pPr>
            <w:r>
              <w:rPr>
                <w:rFonts w:ascii="宋体" w:hAnsi="宋体" w:cs="宋体" w:eastAsia="宋体" w:hint="default"/>
                <w:sz w:val="20"/>
                <w:szCs w:val="20"/>
              </w:rPr>
              <w:t>年初余额</w:t>
            </w:r>
          </w:p>
        </w:tc>
      </w:tr>
      <w:tr>
        <w:trPr>
          <w:trHeight w:val="347" w:hRule="exact"/>
        </w:trPr>
        <w:tc>
          <w:tcPr>
            <w:tcW w:w="5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银行存款：</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345,925,250.00</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463,269,212.33</w:t>
            </w:r>
          </w:p>
        </w:tc>
      </w:tr>
      <w:tr>
        <w:trPr>
          <w:trHeight w:val="347" w:hRule="exact"/>
        </w:trPr>
        <w:tc>
          <w:tcPr>
            <w:tcW w:w="5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345,925,250.00</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463,269,212.33</w:t>
            </w:r>
          </w:p>
        </w:tc>
      </w:tr>
      <w:tr>
        <w:trPr>
          <w:trHeight w:val="348" w:hRule="exact"/>
        </w:trPr>
        <w:tc>
          <w:tcPr>
            <w:tcW w:w="5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345,925,250.00</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463,269,212.33</w:t>
            </w:r>
          </w:p>
        </w:tc>
      </w:tr>
    </w:tbl>
    <w:p>
      <w:pPr>
        <w:spacing w:line="240" w:lineRule="auto" w:before="1"/>
        <w:rPr>
          <w:rFonts w:ascii="宋体" w:hAnsi="宋体" w:cs="宋体" w:eastAsia="宋体" w:hint="default"/>
          <w:b/>
          <w:bCs/>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）资产减值损失</w:t>
      </w:r>
      <w:r>
        <w:rPr>
          <w:b w:val="0"/>
          <w:bCs w:val="0"/>
        </w:rPr>
      </w:r>
    </w:p>
    <w:p>
      <w:pPr>
        <w:spacing w:line="240" w:lineRule="auto" w:before="9"/>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5434"/>
        <w:gridCol w:w="2111"/>
        <w:gridCol w:w="2113"/>
      </w:tblGrid>
      <w:tr>
        <w:trPr>
          <w:trHeight w:val="347" w:hRule="exact"/>
        </w:trPr>
        <w:tc>
          <w:tcPr>
            <w:tcW w:w="54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1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548" w:right="0"/>
              <w:jc w:val="left"/>
              <w:rPr>
                <w:rFonts w:ascii="宋体" w:hAnsi="宋体" w:cs="宋体" w:eastAsia="宋体" w:hint="default"/>
                <w:sz w:val="20"/>
                <w:szCs w:val="20"/>
              </w:rPr>
            </w:pPr>
            <w:r>
              <w:rPr>
                <w:rFonts w:ascii="宋体" w:hAnsi="宋体" w:cs="宋体" w:eastAsia="宋体" w:hint="default"/>
                <w:sz w:val="20"/>
                <w:szCs w:val="20"/>
              </w:rPr>
              <w:t>本年发生额</w:t>
            </w:r>
          </w:p>
        </w:tc>
        <w:tc>
          <w:tcPr>
            <w:tcW w:w="21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548" w:right="0"/>
              <w:jc w:val="left"/>
              <w:rPr>
                <w:rFonts w:ascii="宋体" w:hAnsi="宋体" w:cs="宋体" w:eastAsia="宋体" w:hint="default"/>
                <w:sz w:val="20"/>
                <w:szCs w:val="20"/>
              </w:rPr>
            </w:pPr>
            <w:r>
              <w:rPr>
                <w:rFonts w:ascii="宋体" w:hAnsi="宋体" w:cs="宋体" w:eastAsia="宋体" w:hint="default"/>
                <w:sz w:val="20"/>
                <w:szCs w:val="20"/>
              </w:rPr>
              <w:t>上年发生额</w:t>
            </w:r>
          </w:p>
        </w:tc>
      </w:tr>
      <w:tr>
        <w:trPr>
          <w:trHeight w:val="347" w:hRule="exact"/>
        </w:trPr>
        <w:tc>
          <w:tcPr>
            <w:tcW w:w="5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坏账损失</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-552,274.64</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337,738.75</w:t>
            </w:r>
          </w:p>
        </w:tc>
      </w:tr>
      <w:tr>
        <w:trPr>
          <w:trHeight w:val="348" w:hRule="exact"/>
        </w:trPr>
        <w:tc>
          <w:tcPr>
            <w:tcW w:w="5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-552,274.64</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337,738.75</w:t>
            </w:r>
          </w:p>
        </w:tc>
      </w:tr>
    </w:tbl>
    <w:p>
      <w:pPr>
        <w:spacing w:line="240" w:lineRule="auto" w:before="1"/>
        <w:rPr>
          <w:rFonts w:ascii="宋体" w:hAnsi="宋体" w:cs="宋体" w:eastAsia="宋体" w:hint="default"/>
          <w:b/>
          <w:bCs/>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）关联方往来及交易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rFonts w:ascii="Times New Roman" w:hAnsi="Times New Roman" w:cs="Times New Roman" w:eastAsia="Times New Roman" w:hint="default"/>
        </w:rPr>
        <w:t>1</w:t>
      </w:r>
      <w:r>
        <w:rPr/>
        <w:t>）</w:t>
      </w:r>
      <w:r>
        <w:rPr>
          <w:spacing w:val="-20"/>
        </w:rPr>
        <w:t> </w:t>
      </w:r>
      <w:r>
        <w:rPr/>
        <w:t>本公司的子公司情况：本公司的子公司情况详见三、公司基本情况</w:t>
      </w:r>
    </w:p>
    <w:p>
      <w:pPr>
        <w:pStyle w:val="BodyText"/>
        <w:spacing w:line="240" w:lineRule="auto" w:before="63"/>
        <w:ind w:left="299" w:right="0"/>
        <w:jc w:val="left"/>
      </w:pPr>
      <w:r>
        <w:rPr>
          <w:rFonts w:ascii="Times New Roman" w:hAnsi="Times New Roman" w:cs="Times New Roman" w:eastAsia="Times New Roman" w:hint="default"/>
        </w:rPr>
        <w:t>2</w:t>
      </w:r>
      <w:r>
        <w:rPr/>
        <w:t>）</w:t>
      </w:r>
      <w:r>
        <w:rPr>
          <w:spacing w:val="-20"/>
        </w:rPr>
        <w:t> </w:t>
      </w:r>
      <w:r>
        <w:rPr/>
        <w:t>本公司的联营企业情况详见附注七、</w:t>
      </w:r>
      <w:r>
        <w:rPr>
          <w:rFonts w:ascii="Times New Roman" w:hAnsi="Times New Roman" w:cs="Times New Roman" w:eastAsia="Times New Roman" w:hint="default"/>
        </w:rPr>
        <w:t>8</w:t>
      </w:r>
      <w:r>
        <w:rPr/>
        <w:t>。</w:t>
      </w:r>
    </w:p>
    <w:p>
      <w:pPr>
        <w:spacing w:after="0" w:line="240" w:lineRule="auto"/>
        <w:jc w:val="left"/>
        <w:sectPr>
          <w:footerReference w:type="default" r:id="rId49"/>
          <w:pgSz w:w="11910" w:h="16840"/>
          <w:pgMar w:footer="979" w:header="0" w:top="1100" w:bottom="1160" w:left="980" w:right="0"/>
          <w:pgNumType w:start="173"/>
        </w:sectPr>
      </w:pPr>
    </w:p>
    <w:p>
      <w:pPr>
        <w:spacing w:line="240" w:lineRule="auto" w:before="13"/>
        <w:rPr>
          <w:rFonts w:ascii="宋体" w:hAnsi="宋体" w:cs="宋体" w:eastAsia="宋体" w:hint="default"/>
          <w:sz w:val="21"/>
          <w:szCs w:val="21"/>
        </w:rPr>
      </w:pPr>
    </w:p>
    <w:p>
      <w:pPr>
        <w:pStyle w:val="BodyText"/>
        <w:spacing w:line="338" w:lineRule="auto" w:before="44"/>
        <w:ind w:left="444" w:right="8972" w:hanging="111"/>
        <w:jc w:val="left"/>
      </w:pPr>
      <w:r>
        <w:rPr>
          <w:rFonts w:ascii="Times New Roman" w:hAnsi="Times New Roman" w:cs="Times New Roman" w:eastAsia="Times New Roman" w:hint="default"/>
        </w:rPr>
        <w:t>3</w:t>
      </w:r>
      <w:r>
        <w:rPr/>
        <w:t>）</w:t>
      </w:r>
      <w:r>
        <w:rPr>
          <w:spacing w:val="-19"/>
        </w:rPr>
        <w:t> </w:t>
      </w:r>
      <w:r>
        <w:rPr/>
        <w:t>关联方交易情况</w:t>
      </w:r>
      <w:r>
        <w:rPr/>
        <w:t> 本公司作为出租方</w:t>
      </w:r>
    </w:p>
    <w:p>
      <w:pPr>
        <w:spacing w:line="240" w:lineRule="auto" w:before="6"/>
        <w:rPr>
          <w:rFonts w:ascii="宋体" w:hAnsi="宋体" w:cs="宋体" w:eastAsia="宋体" w:hint="default"/>
          <w:sz w:val="2"/>
          <w:szCs w:val="2"/>
        </w:rPr>
      </w:pPr>
    </w:p>
    <w:tbl>
      <w:tblPr>
        <w:tblW w:w="0" w:type="auto"/>
        <w:jc w:val="left"/>
        <w:tblInd w:w="137" w:type="dxa"/>
        <w:tblLayout w:type="fixed"/>
        <w:tblCellMar>
          <w:top w:w="0" w:type="dxa"/>
          <w:left w:w="0" w:type="dxa"/>
          <w:bottom w:w="0" w:type="dxa"/>
          <w:right w:w="0" w:type="dxa"/>
        </w:tblCellMar>
        <w:tblLook w:val="01E0"/>
      </w:tblPr>
      <w:tblGrid>
        <w:gridCol w:w="3047"/>
        <w:gridCol w:w="2111"/>
        <w:gridCol w:w="2250"/>
        <w:gridCol w:w="2250"/>
      </w:tblGrid>
      <w:tr>
        <w:trPr>
          <w:trHeight w:val="329" w:hRule="exact"/>
        </w:trPr>
        <w:tc>
          <w:tcPr>
            <w:tcW w:w="30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关联方</w:t>
            </w:r>
          </w:p>
        </w:tc>
        <w:tc>
          <w:tcPr>
            <w:tcW w:w="21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关联交易内容</w:t>
            </w:r>
          </w:p>
        </w:tc>
        <w:tc>
          <w:tcPr>
            <w:tcW w:w="22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616" w:right="0"/>
              <w:jc w:val="left"/>
              <w:rPr>
                <w:rFonts w:ascii="宋体" w:hAnsi="宋体" w:cs="宋体" w:eastAsia="宋体" w:hint="default"/>
                <w:sz w:val="20"/>
                <w:szCs w:val="20"/>
              </w:rPr>
            </w:pPr>
            <w:r>
              <w:rPr>
                <w:rFonts w:ascii="宋体" w:hAnsi="宋体" w:cs="宋体" w:eastAsia="宋体" w:hint="default"/>
                <w:sz w:val="20"/>
                <w:szCs w:val="20"/>
              </w:rPr>
              <w:t>本年发生额</w:t>
            </w:r>
          </w:p>
        </w:tc>
        <w:tc>
          <w:tcPr>
            <w:tcW w:w="22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616" w:right="0"/>
              <w:jc w:val="left"/>
              <w:rPr>
                <w:rFonts w:ascii="宋体" w:hAnsi="宋体" w:cs="宋体" w:eastAsia="宋体" w:hint="default"/>
                <w:sz w:val="20"/>
                <w:szCs w:val="20"/>
              </w:rPr>
            </w:pPr>
            <w:r>
              <w:rPr>
                <w:rFonts w:ascii="宋体" w:hAnsi="宋体" w:cs="宋体" w:eastAsia="宋体" w:hint="default"/>
                <w:sz w:val="20"/>
                <w:szCs w:val="20"/>
              </w:rPr>
              <w:t>上年发生额</w:t>
            </w:r>
          </w:p>
        </w:tc>
      </w:tr>
      <w:tr>
        <w:trPr>
          <w:trHeight w:val="365" w:hRule="exact"/>
        </w:trPr>
        <w:tc>
          <w:tcPr>
            <w:tcW w:w="304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20"/>
                <w:szCs w:val="20"/>
              </w:rPr>
            </w:pPr>
            <w:r>
              <w:rPr>
                <w:rFonts w:ascii="宋体" w:hAnsi="宋体" w:cs="宋体" w:eastAsia="宋体" w:hint="default"/>
                <w:sz w:val="20"/>
                <w:szCs w:val="20"/>
              </w:rPr>
              <w:t>企业通信</w:t>
            </w:r>
          </w:p>
        </w:tc>
        <w:tc>
          <w:tcPr>
            <w:tcW w:w="211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租赁业务收入</w:t>
            </w:r>
          </w:p>
        </w:tc>
        <w:tc>
          <w:tcPr>
            <w:tcW w:w="225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20"/>
                <w:szCs w:val="20"/>
              </w:rPr>
            </w:pPr>
            <w:r>
              <w:rPr>
                <w:rFonts w:ascii="Times New Roman"/>
                <w:spacing w:val="-1"/>
                <w:sz w:val="20"/>
              </w:rPr>
              <w:t>2,145,501.81</w:t>
            </w:r>
          </w:p>
        </w:tc>
        <w:tc>
          <w:tcPr>
            <w:tcW w:w="225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20"/>
                <w:szCs w:val="20"/>
              </w:rPr>
            </w:pPr>
            <w:r>
              <w:rPr>
                <w:rFonts w:ascii="Times New Roman"/>
                <w:spacing w:val="-1"/>
                <w:sz w:val="20"/>
              </w:rPr>
              <w:t>2,163,386.31</w:t>
            </w:r>
          </w:p>
        </w:tc>
      </w:tr>
      <w:tr>
        <w:trPr>
          <w:trHeight w:val="347" w:hRule="exact"/>
        </w:trPr>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上海通信</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租赁业务收入</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37,845.15</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130,387.65</w:t>
            </w:r>
          </w:p>
        </w:tc>
      </w:tr>
      <w:tr>
        <w:trPr>
          <w:trHeight w:val="347" w:hRule="exact"/>
        </w:trPr>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网络科技</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租赁业务收入</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1,668,870.89</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2,063,020.62</w:t>
            </w:r>
          </w:p>
        </w:tc>
      </w:tr>
      <w:tr>
        <w:trPr>
          <w:trHeight w:val="347" w:hRule="exact"/>
        </w:trPr>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软件技术</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租赁业务收入</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200.00</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600.00</w:t>
            </w:r>
          </w:p>
        </w:tc>
      </w:tr>
      <w:tr>
        <w:trPr>
          <w:trHeight w:val="348" w:hRule="exact"/>
        </w:trPr>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广州二六三</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租赁业务收入</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600.00</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100"/>
                <w:sz w:val="20"/>
              </w:rPr>
              <w:t>-</w:t>
            </w:r>
          </w:p>
        </w:tc>
      </w:tr>
      <w:tr>
        <w:trPr>
          <w:trHeight w:val="347" w:hRule="exact"/>
        </w:trPr>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北京展视</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租赁业务收入</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1,200.00</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w w:val="100"/>
                <w:sz w:val="20"/>
              </w:rPr>
              <w:t>-</w:t>
            </w:r>
          </w:p>
        </w:tc>
      </w:tr>
      <w:tr>
        <w:trPr>
          <w:trHeight w:val="347" w:hRule="exact"/>
        </w:trPr>
        <w:tc>
          <w:tcPr>
            <w:tcW w:w="3047" w:type="dxa"/>
            <w:tcBorders>
              <w:top w:val="single" w:sz="6" w:space="0" w:color="000000"/>
              <w:left w:val="single" w:sz="6" w:space="0" w:color="000000"/>
              <w:bottom w:val="single" w:sz="6" w:space="0" w:color="000000"/>
              <w:right w:val="single" w:sz="6" w:space="0" w:color="000000"/>
            </w:tcBorders>
          </w:tcPr>
          <w:p>
            <w:pP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小计</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3,854,217.85</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4,357,394.58</w:t>
            </w:r>
          </w:p>
        </w:tc>
      </w:tr>
    </w:tbl>
    <w:p>
      <w:pPr>
        <w:pStyle w:val="BodyText"/>
        <w:spacing w:line="240" w:lineRule="auto" w:before="51"/>
        <w:ind w:left="444" w:right="0"/>
        <w:jc w:val="left"/>
      </w:pPr>
      <w:r>
        <w:rPr/>
        <w:t>其他关联交易</w:t>
      </w:r>
    </w:p>
    <w:p>
      <w:pPr>
        <w:spacing w:line="240" w:lineRule="auto" w:before="1"/>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3047"/>
        <w:gridCol w:w="2111"/>
        <w:gridCol w:w="2250"/>
        <w:gridCol w:w="2250"/>
      </w:tblGrid>
      <w:tr>
        <w:trPr>
          <w:trHeight w:val="347" w:hRule="exact"/>
        </w:trPr>
        <w:tc>
          <w:tcPr>
            <w:tcW w:w="30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2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667"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2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667"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47" w:hRule="exact"/>
        </w:trPr>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其他收入</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9,807,297.77</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10,411,211.70</w:t>
            </w:r>
          </w:p>
        </w:tc>
      </w:tr>
      <w:tr>
        <w:trPr>
          <w:trHeight w:val="348" w:hRule="exact"/>
        </w:trPr>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上海通信</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其他收入</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4,814,551.30</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4,035,493.87</w:t>
            </w:r>
          </w:p>
        </w:tc>
      </w:tr>
      <w:tr>
        <w:trPr>
          <w:trHeight w:val="347" w:hRule="exact"/>
        </w:trPr>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其他收入</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8,958,577.22</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8,097,512.52</w:t>
            </w:r>
          </w:p>
        </w:tc>
      </w:tr>
      <w:tr>
        <w:trPr>
          <w:trHeight w:val="347" w:hRule="exact"/>
        </w:trPr>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广州二六三</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其他收入</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3,869,801.12</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2,390,334.04</w:t>
            </w:r>
          </w:p>
        </w:tc>
      </w:tr>
      <w:tr>
        <w:trPr>
          <w:trHeight w:val="347" w:hRule="exact"/>
        </w:trPr>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793,996.80</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592,641.27</w:t>
            </w:r>
          </w:p>
        </w:tc>
      </w:tr>
      <w:tr>
        <w:trPr>
          <w:trHeight w:val="347" w:hRule="exact"/>
        </w:trPr>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上海通信</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171,696.87</w:t>
            </w:r>
          </w:p>
        </w:tc>
      </w:tr>
      <w:tr>
        <w:trPr>
          <w:trHeight w:val="347" w:hRule="exact"/>
        </w:trPr>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广州二六三</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26,496.39</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421,882.87</w:t>
            </w:r>
          </w:p>
        </w:tc>
      </w:tr>
      <w:tr>
        <w:trPr>
          <w:trHeight w:val="348" w:hRule="exact"/>
        </w:trPr>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首都在线</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2,203,275.19</w:t>
            </w:r>
          </w:p>
        </w:tc>
      </w:tr>
      <w:tr>
        <w:trPr>
          <w:trHeight w:val="347" w:hRule="exact"/>
        </w:trPr>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97,555.12</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2,586,480.62</w:t>
            </w:r>
          </w:p>
        </w:tc>
      </w:tr>
      <w:tr>
        <w:trPr>
          <w:trHeight w:val="347" w:hRule="exact"/>
        </w:trPr>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软件技术</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71,857.92</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412,431.18</w:t>
            </w:r>
          </w:p>
        </w:tc>
      </w:tr>
      <w:tr>
        <w:trPr>
          <w:trHeight w:val="347" w:hRule="exact"/>
        </w:trPr>
        <w:tc>
          <w:tcPr>
            <w:tcW w:w="3047" w:type="dxa"/>
            <w:tcBorders>
              <w:top w:val="single" w:sz="6" w:space="0" w:color="000000"/>
              <w:left w:val="single" w:sz="6" w:space="0" w:color="000000"/>
              <w:bottom w:val="single" w:sz="6" w:space="0" w:color="000000"/>
              <w:right w:val="single" w:sz="6" w:space="0" w:color="000000"/>
            </w:tcBorders>
          </w:tcPr>
          <w:p>
            <w:pP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28,440,133.64</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31,322,960.13</w:t>
            </w:r>
          </w:p>
        </w:tc>
      </w:tr>
      <w:tr>
        <w:trPr>
          <w:trHeight w:val="347" w:hRule="exact"/>
        </w:trPr>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业务成本</w:t>
            </w:r>
            <w:r>
              <w:rPr>
                <w:rFonts w:ascii="Times New Roman" w:hAnsi="Times New Roman" w:cs="Times New Roman" w:eastAsia="Times New Roman" w:hint="default"/>
                <w:sz w:val="18"/>
                <w:szCs w:val="18"/>
              </w:rPr>
              <w:t>-</w:t>
            </w:r>
            <w:r>
              <w:rPr>
                <w:rFonts w:ascii="宋体" w:hAnsi="宋体" w:cs="宋体" w:eastAsia="宋体" w:hint="default"/>
                <w:sz w:val="18"/>
                <w:szCs w:val="18"/>
              </w:rPr>
              <w:t>服务成本</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8,286,806.47</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6,343,837.71</w:t>
            </w:r>
          </w:p>
        </w:tc>
      </w:tr>
      <w:tr>
        <w:trPr>
          <w:trHeight w:val="347" w:hRule="exact"/>
        </w:trPr>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托管费</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90,566.04</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90,566.04</w:t>
            </w:r>
          </w:p>
        </w:tc>
      </w:tr>
      <w:tr>
        <w:trPr>
          <w:trHeight w:val="348" w:hRule="exact"/>
        </w:trPr>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2,936,037.28</w:t>
            </w:r>
          </w:p>
        </w:tc>
      </w:tr>
      <w:tr>
        <w:trPr>
          <w:trHeight w:val="347" w:hRule="exact"/>
        </w:trPr>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展动科技</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358,754.43</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730,886.32</w:t>
            </w:r>
          </w:p>
        </w:tc>
      </w:tr>
      <w:tr>
        <w:trPr>
          <w:trHeight w:val="347" w:hRule="exact"/>
        </w:trPr>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北京展视</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1,582,658.53</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2,176,665.20</w:t>
            </w:r>
          </w:p>
        </w:tc>
      </w:tr>
      <w:tr>
        <w:trPr>
          <w:trHeight w:val="347" w:hRule="exact"/>
        </w:trPr>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杭州展动科技有限公司</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11,150.74</w:t>
            </w:r>
          </w:p>
        </w:tc>
      </w:tr>
      <w:tr>
        <w:trPr>
          <w:trHeight w:val="347" w:hRule="exact"/>
        </w:trPr>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上海通信</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137,917.71</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17,021.84</w:t>
            </w:r>
          </w:p>
        </w:tc>
      </w:tr>
      <w:tr>
        <w:trPr>
          <w:trHeight w:val="347" w:hRule="exact"/>
        </w:trPr>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广州二六三</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1,497.94</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87,858.54</w:t>
            </w:r>
          </w:p>
        </w:tc>
      </w:tr>
      <w:tr>
        <w:trPr>
          <w:trHeight w:val="348" w:hRule="exact"/>
        </w:trPr>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首都在线</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66,156.97</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30,844.33</w:t>
            </w:r>
          </w:p>
        </w:tc>
      </w:tr>
      <w:tr>
        <w:trPr>
          <w:trHeight w:val="347" w:hRule="exact"/>
        </w:trPr>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软件技术</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667,331.89</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642,979.80</w:t>
            </w:r>
          </w:p>
        </w:tc>
      </w:tr>
      <w:tr>
        <w:trPr>
          <w:trHeight w:val="347" w:hRule="exact"/>
        </w:trPr>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91,246.90</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047" w:type="dxa"/>
            <w:tcBorders>
              <w:top w:val="single" w:sz="6" w:space="0" w:color="000000"/>
              <w:left w:val="single" w:sz="6" w:space="0" w:color="000000"/>
              <w:bottom w:val="single" w:sz="6" w:space="0" w:color="000000"/>
              <w:right w:val="single" w:sz="6" w:space="0" w:color="000000"/>
            </w:tcBorders>
          </w:tcPr>
          <w:p>
            <w:pP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11,282,936.88</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13,067,847.80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3"/>
        <w:rPr>
          <w:rFonts w:ascii="宋体" w:hAnsi="宋体" w:cs="宋体" w:eastAsia="宋体" w:hint="default"/>
          <w:sz w:val="21"/>
          <w:szCs w:val="21"/>
        </w:rPr>
      </w:pPr>
    </w:p>
    <w:p>
      <w:pPr>
        <w:pStyle w:val="BodyText"/>
        <w:spacing w:line="338" w:lineRule="auto" w:before="44"/>
        <w:ind w:left="299" w:right="8792" w:hanging="146"/>
        <w:jc w:val="left"/>
      </w:pPr>
      <w:r>
        <w:rPr>
          <w:rFonts w:ascii="Times New Roman" w:hAnsi="Times New Roman" w:cs="Times New Roman" w:eastAsia="Times New Roman" w:hint="default"/>
        </w:rPr>
        <w:t>4</w:t>
      </w:r>
      <w:r>
        <w:rPr/>
        <w:t>）</w:t>
      </w:r>
      <w:r>
        <w:rPr>
          <w:spacing w:val="-19"/>
        </w:rPr>
        <w:t> </w:t>
      </w:r>
      <w:r>
        <w:rPr/>
        <w:t>关联方应收应付款项</w:t>
      </w:r>
      <w:r>
        <w:rPr/>
        <w:t> 应收款项</w:t>
      </w:r>
    </w:p>
    <w:p>
      <w:pPr>
        <w:spacing w:line="240" w:lineRule="auto" w:before="6"/>
        <w:rPr>
          <w:rFonts w:ascii="宋体" w:hAnsi="宋体" w:cs="宋体" w:eastAsia="宋体" w:hint="default"/>
          <w:sz w:val="2"/>
          <w:szCs w:val="2"/>
        </w:rPr>
      </w:pPr>
    </w:p>
    <w:tbl>
      <w:tblPr>
        <w:tblW w:w="0" w:type="auto"/>
        <w:jc w:val="left"/>
        <w:tblInd w:w="137" w:type="dxa"/>
        <w:tblLayout w:type="fixed"/>
        <w:tblCellMar>
          <w:top w:w="0" w:type="dxa"/>
          <w:left w:w="0" w:type="dxa"/>
          <w:bottom w:w="0" w:type="dxa"/>
          <w:right w:w="0" w:type="dxa"/>
        </w:tblCellMar>
        <w:tblLook w:val="01E0"/>
      </w:tblPr>
      <w:tblGrid>
        <w:gridCol w:w="2140"/>
        <w:gridCol w:w="2468"/>
        <w:gridCol w:w="2535"/>
        <w:gridCol w:w="2516"/>
      </w:tblGrid>
      <w:tr>
        <w:trPr>
          <w:trHeight w:val="347" w:hRule="exact"/>
        </w:trPr>
        <w:tc>
          <w:tcPr>
            <w:tcW w:w="214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5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898"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5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890"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2140" w:type="dxa"/>
            <w:vMerge/>
            <w:tcBorders>
              <w:left w:val="single" w:sz="6" w:space="0" w:color="000000"/>
              <w:bottom w:val="single" w:sz="6" w:space="0" w:color="000000"/>
              <w:right w:val="single" w:sz="6" w:space="0" w:color="000000"/>
            </w:tcBorders>
            <w:shd w:val="clear" w:color="auto" w:fill="D9D9D9"/>
          </w:tcPr>
          <w:p>
            <w:pPr/>
          </w:p>
        </w:tc>
        <w:tc>
          <w:tcPr>
            <w:tcW w:w="2468" w:type="dxa"/>
            <w:vMerge/>
            <w:tcBorders>
              <w:left w:val="single" w:sz="6" w:space="0" w:color="000000"/>
              <w:bottom w:val="single" w:sz="6" w:space="0" w:color="000000"/>
              <w:right w:val="single" w:sz="6" w:space="0" w:color="000000"/>
            </w:tcBorders>
            <w:shd w:val="clear" w:color="auto" w:fill="D9D9D9"/>
          </w:tcPr>
          <w:p>
            <w:pPr/>
          </w:p>
        </w:tc>
        <w:tc>
          <w:tcPr>
            <w:tcW w:w="25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8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5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890" w:right="0"/>
              <w:jc w:val="left"/>
              <w:rPr>
                <w:rFonts w:ascii="宋体" w:hAnsi="宋体" w:cs="宋体" w:eastAsia="宋体" w:hint="default"/>
                <w:sz w:val="18"/>
                <w:szCs w:val="18"/>
              </w:rPr>
            </w:pPr>
            <w:r>
              <w:rPr>
                <w:rFonts w:ascii="宋体" w:hAnsi="宋体" w:cs="宋体" w:eastAsia="宋体" w:hint="default"/>
                <w:sz w:val="18"/>
                <w:szCs w:val="18"/>
              </w:rPr>
              <w:t>账面余额</w:t>
            </w:r>
          </w:p>
        </w:tc>
      </w:tr>
      <w:tr>
        <w:trPr>
          <w:trHeight w:val="347" w:hRule="exact"/>
        </w:trPr>
        <w:tc>
          <w:tcPr>
            <w:tcW w:w="2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24,447,898.98</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14,034,123.34</w:t>
            </w:r>
          </w:p>
        </w:tc>
      </w:tr>
      <w:tr>
        <w:trPr>
          <w:trHeight w:val="347" w:hRule="exact"/>
        </w:trPr>
        <w:tc>
          <w:tcPr>
            <w:tcW w:w="2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上海通信</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9,488,188.34</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4,594,727.60</w:t>
            </w:r>
          </w:p>
        </w:tc>
      </w:tr>
      <w:tr>
        <w:trPr>
          <w:trHeight w:val="348" w:hRule="exact"/>
        </w:trPr>
        <w:tc>
          <w:tcPr>
            <w:tcW w:w="2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10,373,231.60</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460,047.22</w:t>
            </w:r>
          </w:p>
        </w:tc>
      </w:tr>
      <w:tr>
        <w:trPr>
          <w:trHeight w:val="347" w:hRule="exact"/>
        </w:trPr>
        <w:tc>
          <w:tcPr>
            <w:tcW w:w="2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广州二六三</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6,842,412.57</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2,740,423.37</w:t>
            </w:r>
          </w:p>
        </w:tc>
      </w:tr>
      <w:tr>
        <w:trPr>
          <w:trHeight w:val="347" w:hRule="exact"/>
        </w:trPr>
        <w:tc>
          <w:tcPr>
            <w:tcW w:w="2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软件技术</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666.00</w:t>
            </w:r>
          </w:p>
        </w:tc>
      </w:tr>
      <w:tr>
        <w:trPr>
          <w:trHeight w:val="347" w:hRule="exact"/>
        </w:trPr>
        <w:tc>
          <w:tcPr>
            <w:tcW w:w="2140" w:type="dxa"/>
            <w:tcBorders>
              <w:top w:val="single" w:sz="6" w:space="0" w:color="000000"/>
              <w:left w:val="single" w:sz="6" w:space="0" w:color="000000"/>
              <w:bottom w:val="single" w:sz="6" w:space="0" w:color="000000"/>
              <w:right w:val="single" w:sz="6" w:space="0" w:color="000000"/>
            </w:tcBorders>
          </w:tcPr>
          <w:p>
            <w:pP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51,151,731.49</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21,829,987.53</w:t>
            </w:r>
          </w:p>
        </w:tc>
      </w:tr>
      <w:tr>
        <w:trPr>
          <w:trHeight w:val="347" w:hRule="exact"/>
        </w:trPr>
        <w:tc>
          <w:tcPr>
            <w:tcW w:w="2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61,762,550.60</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58,290,480.93</w:t>
            </w:r>
          </w:p>
        </w:tc>
      </w:tr>
      <w:tr>
        <w:trPr>
          <w:trHeight w:val="347" w:hRule="exact"/>
        </w:trPr>
        <w:tc>
          <w:tcPr>
            <w:tcW w:w="2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上海通信</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46,489,183.48</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43,985,502.51</w:t>
            </w:r>
          </w:p>
        </w:tc>
      </w:tr>
      <w:tr>
        <w:trPr>
          <w:trHeight w:val="348" w:hRule="exact"/>
        </w:trPr>
        <w:tc>
          <w:tcPr>
            <w:tcW w:w="2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733,646.19</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13,796,431.62</w:t>
            </w:r>
          </w:p>
        </w:tc>
      </w:tr>
      <w:tr>
        <w:trPr>
          <w:trHeight w:val="347" w:hRule="exact"/>
        </w:trPr>
        <w:tc>
          <w:tcPr>
            <w:tcW w:w="2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首都在线</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2,238,470.41</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2,304,627.38</w:t>
            </w:r>
          </w:p>
        </w:tc>
      </w:tr>
      <w:tr>
        <w:trPr>
          <w:trHeight w:val="347" w:hRule="exact"/>
        </w:trPr>
        <w:tc>
          <w:tcPr>
            <w:tcW w:w="2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软件技术</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9,895,006.72</w:t>
            </w:r>
          </w:p>
        </w:tc>
      </w:tr>
      <w:tr>
        <w:trPr>
          <w:trHeight w:val="347" w:hRule="exact"/>
        </w:trPr>
        <w:tc>
          <w:tcPr>
            <w:tcW w:w="2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广州二六三</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11,245,792.51</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359,337.31</w:t>
            </w:r>
          </w:p>
        </w:tc>
      </w:tr>
      <w:tr>
        <w:trPr>
          <w:trHeight w:val="347" w:hRule="exact"/>
        </w:trPr>
        <w:tc>
          <w:tcPr>
            <w:tcW w:w="2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深圳日升</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134,203.38</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140" w:type="dxa"/>
            <w:tcBorders>
              <w:top w:val="single" w:sz="6" w:space="0" w:color="000000"/>
              <w:left w:val="single" w:sz="6" w:space="0" w:color="000000"/>
              <w:bottom w:val="single" w:sz="6" w:space="0" w:color="000000"/>
              <w:right w:val="single" w:sz="6" w:space="0" w:color="000000"/>
            </w:tcBorders>
          </w:tcPr>
          <w:p>
            <w:pP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122,603,846.57</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128,631,386.47</w:t>
            </w:r>
          </w:p>
        </w:tc>
      </w:tr>
    </w:tbl>
    <w:p>
      <w:pPr>
        <w:pStyle w:val="BodyText"/>
        <w:spacing w:line="240" w:lineRule="auto" w:before="51"/>
        <w:ind w:left="371" w:right="0"/>
        <w:jc w:val="left"/>
      </w:pPr>
      <w:r>
        <w:rPr/>
        <w:t>应付款项</w:t>
      </w:r>
    </w:p>
    <w:p>
      <w:pPr>
        <w:spacing w:line="240" w:lineRule="auto" w:before="1"/>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2126"/>
        <w:gridCol w:w="2484"/>
        <w:gridCol w:w="2526"/>
        <w:gridCol w:w="2522"/>
      </w:tblGrid>
      <w:tr>
        <w:trPr>
          <w:trHeight w:val="347" w:hRule="exact"/>
        </w:trPr>
        <w:tc>
          <w:tcPr>
            <w:tcW w:w="21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5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5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902,574.26</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240,778.84</w:t>
            </w:r>
          </w:p>
        </w:tc>
      </w:tr>
      <w:tr>
        <w:trPr>
          <w:trHeight w:val="347" w:hRule="exact"/>
        </w:trPr>
        <w:tc>
          <w:tcPr>
            <w:tcW w:w="2126" w:type="dxa"/>
            <w:tcBorders>
              <w:top w:val="single" w:sz="6" w:space="0" w:color="000000"/>
              <w:left w:val="single" w:sz="6" w:space="0" w:color="000000"/>
              <w:bottom w:val="single" w:sz="6" w:space="0" w:color="000000"/>
              <w:right w:val="single" w:sz="6" w:space="0" w:color="000000"/>
            </w:tcBorders>
          </w:tcPr>
          <w:p>
            <w:pP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902,574.26</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240,778.84</w:t>
            </w:r>
          </w:p>
        </w:tc>
      </w:tr>
      <w:tr>
        <w:trPr>
          <w:trHeight w:val="347" w:hRule="exact"/>
        </w:trPr>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38,847,701.40</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31,986,589.14</w:t>
            </w:r>
          </w:p>
        </w:tc>
      </w:tr>
      <w:tr>
        <w:trPr>
          <w:trHeight w:val="347" w:hRule="exact"/>
        </w:trPr>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展动科技</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28,695,433.99</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13,192,636.87</w:t>
            </w:r>
          </w:p>
        </w:tc>
      </w:tr>
      <w:tr>
        <w:trPr>
          <w:trHeight w:val="348" w:hRule="exact"/>
        </w:trPr>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北京展视</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69,561,307.48</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74,250,051.51</w:t>
            </w:r>
          </w:p>
        </w:tc>
      </w:tr>
      <w:tr>
        <w:trPr>
          <w:trHeight w:val="347" w:hRule="exact"/>
        </w:trPr>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上海通信</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50,077,066.46</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47,867,295.29</w:t>
            </w:r>
          </w:p>
        </w:tc>
      </w:tr>
      <w:tr>
        <w:trPr>
          <w:trHeight w:val="347" w:hRule="exact"/>
        </w:trPr>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28,265,822.21</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170,938.75</w:t>
            </w:r>
          </w:p>
        </w:tc>
      </w:tr>
      <w:tr>
        <w:trPr>
          <w:trHeight w:val="347" w:hRule="exact"/>
        </w:trPr>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首都在线</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3,041,699.50</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3,041,699.50</w:t>
            </w:r>
          </w:p>
        </w:tc>
      </w:tr>
      <w:tr>
        <w:trPr>
          <w:trHeight w:val="347" w:hRule="exact"/>
        </w:trPr>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软件技术</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45,505,070.37</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205,802.75</w:t>
            </w:r>
          </w:p>
        </w:tc>
      </w:tr>
      <w:tr>
        <w:trPr>
          <w:trHeight w:val="347" w:hRule="exact"/>
        </w:trPr>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广州二六三</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59,649.71</w:t>
            </w:r>
          </w:p>
        </w:tc>
      </w:tr>
      <w:tr>
        <w:trPr>
          <w:trHeight w:val="347" w:hRule="exact"/>
        </w:trPr>
        <w:tc>
          <w:tcPr>
            <w:tcW w:w="2126" w:type="dxa"/>
            <w:tcBorders>
              <w:top w:val="single" w:sz="6" w:space="0" w:color="000000"/>
              <w:left w:val="single" w:sz="6" w:space="0" w:color="000000"/>
              <w:bottom w:val="single" w:sz="6" w:space="0" w:color="000000"/>
              <w:right w:val="single" w:sz="6" w:space="0" w:color="000000"/>
            </w:tcBorders>
          </w:tcPr>
          <w:p>
            <w:pP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263,994,101.41</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170,774,663.52</w:t>
            </w:r>
          </w:p>
        </w:tc>
      </w:tr>
      <w:tr>
        <w:trPr>
          <w:trHeight w:val="348" w:hRule="exact"/>
        </w:trPr>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8,450.66</w:t>
            </w:r>
          </w:p>
        </w:tc>
      </w:tr>
      <w:tr>
        <w:trPr>
          <w:trHeight w:val="347" w:hRule="exact"/>
        </w:trPr>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510,350.95</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510,350.95</w:t>
            </w:r>
          </w:p>
        </w:tc>
      </w:tr>
      <w:tr>
        <w:trPr>
          <w:trHeight w:val="347" w:hRule="exact"/>
        </w:trPr>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上海通信</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20,879.09</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20,879.09</w:t>
            </w:r>
          </w:p>
        </w:tc>
      </w:tr>
      <w:tr>
        <w:trPr>
          <w:trHeight w:val="348" w:hRule="exact"/>
        </w:trPr>
        <w:tc>
          <w:tcPr>
            <w:tcW w:w="2126" w:type="dxa"/>
            <w:tcBorders>
              <w:top w:val="single" w:sz="6" w:space="0" w:color="000000"/>
              <w:left w:val="single" w:sz="6" w:space="0" w:color="000000"/>
              <w:bottom w:val="single" w:sz="6" w:space="0" w:color="000000"/>
              <w:right w:val="single" w:sz="6" w:space="0" w:color="000000"/>
            </w:tcBorders>
          </w:tcPr>
          <w:p>
            <w:pP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531,230.04</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539,680.70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十八、补充资料" w:id="443"/>
      <w:bookmarkEnd w:id="443"/>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444"/>
      <w:bookmarkEnd w:id="44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3"/>
        <w:gridCol w:w="3059"/>
        <w:gridCol w:w="3186"/>
      </w:tblGrid>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-3,366,724.29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4,257,261.84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41"/>
              <w:jc w:val="left"/>
              <w:rPr>
                <w:rFonts w:ascii="宋体" w:hAnsi="宋体" w:cs="宋体" w:eastAsia="宋体" w:hint="default"/>
                <w:sz w:val="18"/>
                <w:szCs w:val="18"/>
              </w:rPr>
            </w:pPr>
            <w:r>
              <w:rPr>
                <w:rFonts w:ascii="宋体" w:hAnsi="宋体" w:cs="宋体" w:eastAsia="宋体" w:hint="default"/>
                <w:sz w:val="18"/>
                <w:szCs w:val="18"/>
              </w:rPr>
              <w:t>详见</w:t>
            </w:r>
            <w:r>
              <w:rPr>
                <w:rFonts w:ascii="Times New Roman" w:hAnsi="Times New Roman" w:cs="Times New Roman" w:eastAsia="Times New Roman" w:hint="default"/>
                <w:sz w:val="18"/>
                <w:szCs w:val="18"/>
              </w:rPr>
              <w:t>“</w:t>
            </w:r>
            <w:r>
              <w:rPr>
                <w:rFonts w:ascii="宋体" w:hAnsi="宋体" w:cs="宋体" w:eastAsia="宋体" w:hint="default"/>
                <w:sz w:val="18"/>
                <w:szCs w:val="18"/>
              </w:rPr>
              <w:t>附注（七）</w:t>
            </w:r>
            <w:r>
              <w:rPr>
                <w:rFonts w:ascii="Times New Roman" w:hAnsi="Times New Roman" w:cs="Times New Roman" w:eastAsia="Times New Roman" w:hint="default"/>
                <w:sz w:val="18"/>
                <w:szCs w:val="18"/>
              </w:rPr>
              <w:t>.47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扣除软件 产品增值税即征即退的金额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650"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5,016,401.34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本报告期购买理财产品收益。</w:t>
            </w:r>
          </w:p>
        </w:tc>
      </w:tr>
      <w:tr>
        <w:trPr>
          <w:trHeight w:val="161" w:hRule="exact"/>
        </w:trPr>
        <w:tc>
          <w:tcPr>
            <w:tcW w:w="33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338,349.92</w:t>
            </w:r>
          </w:p>
        </w:tc>
        <w:tc>
          <w:tcPr>
            <w:tcW w:w="3186"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本报告期内，单项金额重大并单独计提 坏账准备的应收账款收回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 金。</w:t>
            </w:r>
          </w:p>
        </w:tc>
      </w:tr>
      <w:tr>
        <w:trPr>
          <w:trHeight w:val="704" w:hRule="exact"/>
        </w:trPr>
        <w:tc>
          <w:tcPr>
            <w:tcW w:w="33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51"/>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59" w:type="dxa"/>
            <w:vMerge/>
            <w:tcBorders>
              <w:left w:val="single" w:sz="9"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161" w:hRule="exact"/>
        </w:trPr>
        <w:tc>
          <w:tcPr>
            <w:tcW w:w="331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9" w:type="dxa"/>
            <w:vMerge/>
            <w:tcBorders>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870,227.28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收购子公司应支付的或有对价增加额</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204,657.47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6,954.67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6,903,903.95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445"/>
      <w:bookmarkEnd w:id="44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0.11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0"/>
        <w:rPr>
          <w:rFonts w:ascii="宋体" w:hAnsi="宋体" w:cs="宋体" w:eastAsia="宋体" w:hint="default"/>
          <w:b/>
          <w:bCs/>
          <w:sz w:val="20"/>
          <w:szCs w:val="20"/>
        </w:rPr>
      </w:pPr>
    </w:p>
    <w:p>
      <w:pPr>
        <w:pStyle w:val="Heading4"/>
        <w:spacing w:line="240" w:lineRule="auto" w:before="35"/>
        <w:ind w:right="0"/>
        <w:jc w:val="left"/>
        <w:rPr>
          <w:b w:val="0"/>
          <w:bCs w:val="0"/>
        </w:rPr>
      </w:pPr>
      <w:bookmarkStart w:name="3、境内外会计准则下会计数据差异" w:id="446"/>
      <w:bookmarkEnd w:id="446"/>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中国会计准则披露的财务报告中净利润和净资产差异情况" w:id="447"/>
      <w:bookmarkEnd w:id="447"/>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同时按照境外会计准则与按中国会计准则披露的财务报告中净利润和净资产差异情况" w:id="448"/>
      <w:bookmarkEnd w:id="448"/>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59" w:lineRule="auto"/>
        <w:ind w:right="0"/>
        <w:jc w:val="left"/>
        <w:rPr>
          <w:b w:val="0"/>
          <w:bCs w:val="0"/>
        </w:rPr>
      </w:pPr>
      <w:bookmarkStart w:name="（3）境内外会计准则下会计数据差异原因说明，对已经境外审计机构审计的数据进行差异" w:id="449"/>
      <w:bookmarkEnd w:id="449"/>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其他" w:id="450"/>
      <w:bookmarkEnd w:id="450"/>
      <w:r>
        <w:rPr>
          <w:b w:val="0"/>
          <w:bCs w:val="0"/>
        </w:rPr>
      </w: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286" w:right="0"/>
        <w:jc w:val="left"/>
        <w:rPr>
          <w:b w:val="0"/>
          <w:bCs w:val="0"/>
        </w:rPr>
      </w:pPr>
      <w:bookmarkStart w:name="第十二节 备查文件目录" w:id="451"/>
      <w:bookmarkEnd w:id="451"/>
      <w:r>
        <w:rPr>
          <w:b w:val="0"/>
          <w:bCs w:val="0"/>
        </w:rPr>
      </w:r>
      <w:bookmarkStart w:name="_bookmark11" w:id="452"/>
      <w:bookmarkEnd w:id="452"/>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324" w:lineRule="auto"/>
        <w:ind w:right="3732"/>
        <w:jc w:val="left"/>
      </w:pPr>
      <w:r>
        <w:rPr/>
        <w:t>一、载有法定代表人、主管会计负责人、会计机构负责人签名并盖章的财务报表； 二、载有会计师事务所盖章、注册会计师签名并盖章的审计报告原件； 三、报告期内在中国证监会指定报纸上公开披露过的所有公司文件的正本及公告的原稿； 四、载有公司法定代表人签名的公司</w:t>
      </w:r>
      <w:r>
        <w:rPr>
          <w:rFonts w:ascii="Times New Roman" w:hAnsi="Times New Roman" w:cs="Times New Roman" w:eastAsia="Times New Roman" w:hint="default"/>
        </w:rPr>
        <w:t>2018</w:t>
      </w:r>
      <w:r>
        <w:rPr/>
        <w:t>年年度报告文本。 五、以上备查文件的备置地点：公司法务证券部。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pStyle w:val="Heading3"/>
        <w:spacing w:line="357" w:lineRule="auto"/>
        <w:ind w:left="6673" w:right="1113" w:firstLine="441"/>
        <w:jc w:val="left"/>
      </w:pPr>
      <w:r>
        <w:rPr/>
        <w:t>法定代表人</w:t>
      </w:r>
      <w:r>
        <w:rPr>
          <w:rFonts w:ascii="宋体" w:hAnsi="宋体" w:cs="宋体" w:eastAsia="宋体" w:hint="default"/>
        </w:rPr>
        <w:t>:</w:t>
      </w:r>
      <w:r>
        <w:rPr/>
        <w:t>李小龙 二六三网络通信股份有限公司</w:t>
      </w:r>
    </w:p>
    <w:p>
      <w:pPr>
        <w:pStyle w:val="Heading3"/>
        <w:spacing w:line="240" w:lineRule="auto" w:before="36"/>
        <w:ind w:left="7074" w:right="0"/>
        <w:jc w:val="left"/>
      </w:pP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 </w:t>
      </w:r>
      <w:r>
        <w:rPr>
          <w:rFonts w:ascii="宋体" w:hAnsi="宋体" w:cs="宋体" w:eastAsia="宋体" w:hint="default"/>
        </w:rPr>
        <w:t>30</w:t>
      </w:r>
      <w:r>
        <w:rPr>
          <w:rFonts w:ascii="宋体" w:hAnsi="宋体" w:cs="宋体" w:eastAsia="宋体" w:hint="default"/>
          <w:spacing w:val="-60"/>
        </w:rPr>
        <w:t> </w:t>
      </w:r>
      <w:r>
        <w:rPr/>
        <w:t>日</w:t>
      </w:r>
    </w:p>
    <w:sectPr>
      <w:pgSz w:w="11910" w:h="16840"/>
      <w:pgMar w:header="0"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Gothic">
    <w:altName w:val="MS Gothic"/>
    <w:charset w:val="0"/>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04200" type="#_x0000_t75" stroked="false">
          <v:imagedata r:id="rId1" o:title=""/>
        </v:shape>
      </w:pict>
    </w:r>
    <w:r>
      <w:rPr/>
      <w:pict>
        <v:shape style="position:absolute;margin-left:268.440002pt;margin-top:795.517944pt;width:27.1pt;height:11pt;mso-position-horizontal-relative:page;mso-position-vertical-relative:page;z-index:-10041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b/>
                    <w:sz w:val="18"/>
                  </w:rPr>
                  <w:t>1 </w:t>
                </w:r>
                <w:r>
                  <w:rPr>
                    <w:rFonts w:ascii="Times New Roman"/>
                    <w:sz w:val="18"/>
                  </w:rPr>
                  <w:t>/</w:t>
                </w:r>
                <w:r>
                  <w:rPr>
                    <w:rFonts w:ascii="Times New Roman"/>
                    <w:spacing w:val="1"/>
                    <w:sz w:val="18"/>
                  </w:rPr>
                  <w:t> </w:t>
                </w:r>
                <w:r>
                  <w:rPr>
                    <w:rFonts w:ascii="Times New Roman"/>
                    <w:b/>
                    <w:sz w:val="18"/>
                  </w:rPr>
                  <w:t>178</w:t>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03672" type="#_x0000_t75" stroked="false">
          <v:imagedata r:id="rId1" o:title=""/>
        </v:shape>
      </w:pict>
    </w:r>
    <w:r>
      <w:rPr/>
      <w:pict>
        <v:shape style="position:absolute;margin-left:262.940002pt;margin-top:781.957947pt;width:37.1pt;height:11pt;mso-position-horizontal-relative:page;mso-position-vertical-relative:page;z-index:-1003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101</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178</w:t>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03624" type="#_x0000_t75" stroked="false">
          <v:imagedata r:id="rId1" o:title=""/>
        </v:shape>
      </w:pict>
    </w:r>
    <w:r>
      <w:rPr/>
      <w:pict>
        <v:shape style="position:absolute;margin-left:262.940002pt;margin-top:781.957947pt;width:37.1pt;height:11pt;mso-position-horizontal-relative:page;mso-position-vertical-relative:page;z-index:-1003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111</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178</w:t>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03576" type="#_x0000_t75" stroked="false">
          <v:imagedata r:id="rId1" o:title=""/>
        </v:shape>
      </w:pict>
    </w:r>
    <w:r>
      <w:rPr/>
      <w:pict>
        <v:shape style="position:absolute;margin-left:262.940002pt;margin-top:781.957947pt;width:37.1pt;height:11pt;mso-position-horizontal-relative:page;mso-position-vertical-relative:page;z-index:-1003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115</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178</w:t>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03528" type="#_x0000_t75" stroked="false">
          <v:imagedata r:id="rId1" o:title=""/>
        </v:shape>
      </w:pict>
    </w:r>
    <w:r>
      <w:rPr/>
      <w:pict>
        <v:shape style="position:absolute;margin-left:262.940002pt;margin-top:781.957947pt;width:37.1pt;height:11pt;mso-position-horizontal-relative:page;mso-position-vertical-relative:page;z-index:-1003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120</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178</w:t>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03480" type="#_x0000_t75" stroked="false">
          <v:imagedata r:id="rId1" o:title=""/>
        </v:shape>
      </w:pict>
    </w:r>
    <w:r>
      <w:rPr/>
      <w:pict>
        <v:shape style="position:absolute;margin-left:262.940002pt;margin-top:781.957947pt;width:37.1pt;height:11pt;mso-position-horizontal-relative:page;mso-position-vertical-relative:page;z-index:-1003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153</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178</w:t>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04152" type="#_x0000_t75" stroked="false">
          <v:imagedata r:id="rId1" o:title=""/>
        </v:shape>
      </w:pict>
    </w:r>
    <w:r>
      <w:rPr/>
      <w:pict>
        <v:shape style="position:absolute;margin-left:265.160004pt;margin-top:781.957947pt;width:32.6pt;height:11pt;mso-position-horizontal-relative:page;mso-position-vertical-relative:page;z-index:-1004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178</w:t>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03384" type="#_x0000_t75" stroked="false">
          <v:imagedata r:id="rId1" o:title=""/>
        </v:shape>
      </w:pict>
    </w:r>
    <w:r>
      <w:rPr/>
      <w:pict>
        <v:shape style="position:absolute;margin-left:262.940002pt;margin-top:781.957947pt;width:37.1pt;height:11pt;mso-position-horizontal-relative:page;mso-position-vertical-relative:page;z-index:-1003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170</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178</w:t>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03336" type="#_x0000_t75" stroked="false">
          <v:imagedata r:id="rId1" o:title=""/>
        </v:shape>
      </w:pict>
    </w:r>
    <w:r>
      <w:rPr/>
      <w:pict>
        <v:shape style="position:absolute;margin-left:262.940002pt;margin-top:781.957947pt;width:37.1pt;height:11pt;mso-position-horizontal-relative:page;mso-position-vertical-relative:page;z-index:-1003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173</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178</w:t>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04104" type="#_x0000_t75" stroked="false">
          <v:imagedata r:id="rId1" o:title=""/>
        </v:shape>
      </w:pict>
    </w:r>
    <w:r>
      <w:rPr/>
      <w:pict>
        <v:shape style="position:absolute;margin-left:265.160004pt;margin-top:781.957947pt;width:32.6pt;height:11pt;mso-position-horizontal-relative:page;mso-position-vertical-relative:page;z-index:-1004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22</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178</w:t>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004032" type="#_x0000_t75" stroked="false">
          <v:imagedata r:id="rId1" o:title=""/>
        </v:shape>
      </w:pict>
    </w:r>
    <w:r>
      <w:rPr/>
      <w:pict>
        <v:shape style="position:absolute;margin-left:388.440002pt;margin-top:535.357971pt;width:32.6pt;height:11pt;mso-position-horizontal-relative:page;mso-position-vertical-relative:page;z-index:-1004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39</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178</w:t>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03936" type="#_x0000_t75" stroked="false">
          <v:imagedata r:id="rId1" o:title=""/>
        </v:shape>
      </w:pict>
    </w:r>
    <w:r>
      <w:rPr/>
      <w:pict>
        <v:shape style="position:absolute;margin-left:265.160004pt;margin-top:781.957947pt;width:32.6pt;height:11pt;mso-position-horizontal-relative:page;mso-position-vertical-relative:page;z-index:-1003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43</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178</w:t>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003864" type="#_x0000_t75" stroked="false">
          <v:imagedata r:id="rId1" o:title=""/>
        </v:shape>
      </w:pict>
    </w:r>
    <w:r>
      <w:rPr/>
      <w:pict>
        <v:shape style="position:absolute;margin-left:388.440002pt;margin-top:535.357971pt;width:32.6pt;height:11pt;mso-position-horizontal-relative:page;mso-position-vertical-relative:page;z-index:-1003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82</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178</w:t>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03768" type="#_x0000_t75" stroked="false">
          <v:imagedata r:id="rId1" o:title=""/>
        </v:shape>
      </w:pict>
    </w:r>
    <w:r>
      <w:rPr/>
      <w:pict>
        <v:shape style="position:absolute;margin-left:265.160004pt;margin-top:781.957947pt;width:32.6pt;height:11pt;mso-position-horizontal-relative:page;mso-position-vertical-relative:page;z-index:-1003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86</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178</w:t>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03720" type="#_x0000_t75" stroked="false">
          <v:imagedata r:id="rId1" o:title=""/>
        </v:shape>
      </w:pict>
    </w:r>
    <w:r>
      <w:rPr/>
      <w:pict>
        <v:shape style="position:absolute;margin-left:263.940002pt;margin-top:781.957947pt;width:36.1pt;height:11pt;mso-position-horizontal-relative:page;mso-position-vertical-relative:page;z-index:-10036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b/>
                    <w:sz w:val="18"/>
                  </w:rPr>
                  <w:t>100 </w:t>
                </w:r>
                <w:r>
                  <w:rPr>
                    <w:rFonts w:ascii="Times New Roman"/>
                    <w:sz w:val="18"/>
                  </w:rPr>
                  <w:t>/</w:t>
                </w:r>
                <w:r>
                  <w:rPr>
                    <w:rFonts w:ascii="Times New Roman"/>
                    <w:spacing w:val="1"/>
                    <w:sz w:val="18"/>
                  </w:rPr>
                  <w:t> </w:t>
                </w:r>
                <w:r>
                  <w:rPr>
                    <w:rFonts w:ascii="Times New Roman"/>
                    <w:b/>
                    <w:sz w:val="18"/>
                  </w:rPr>
                  <w:t>178</w:t>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60004pt;margin-top:36.325607pt;width:204.55pt;height:11.5pt;mso-position-horizontal-relative:page;mso-position-vertical-relative:page;z-index:-1004224" type="#_x0000_t202" filled="false" stroked="false">
          <v:textbox inset="0,0,0,0">
            <w:txbxContent>
              <w:p>
                <w:pPr>
                  <w:pStyle w:val="BodyText"/>
                  <w:spacing w:line="214" w:lineRule="exact"/>
                  <w:ind w:left="20" w:right="0"/>
                  <w:jc w:val="left"/>
                </w:pPr>
                <w:r>
                  <w:rPr/>
                  <w:t>二六三网络通信股份有限公司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00343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35.160004pt;margin-top:42.865608pt;width:204.55pt;height:11.5pt;mso-position-horizontal-relative:page;mso-position-vertical-relative:page;z-index:-1003408" type="#_x0000_t202" filled="false" stroked="false">
          <v:textbox inset="0,0,0,0">
            <w:txbxContent>
              <w:p>
                <w:pPr>
                  <w:pStyle w:val="BodyText"/>
                  <w:spacing w:line="214" w:lineRule="exact"/>
                  <w:ind w:left="20" w:right="0"/>
                  <w:jc w:val="left"/>
                </w:pPr>
                <w:r>
                  <w:rPr/>
                  <w:t>二六三网络通信股份有限公司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60022pt;margin-top:42.865631pt;width:204.55pt;height:11.5pt;mso-position-horizontal-relative:page;mso-position-vertical-relative:page;z-index:-1004056" type="#_x0000_t202" filled="false" stroked="false">
          <v:textbox inset="0,0,0,0">
            <w:txbxContent>
              <w:p>
                <w:pPr>
                  <w:pStyle w:val="BodyText"/>
                  <w:spacing w:line="214" w:lineRule="exact"/>
                  <w:ind w:left="20" w:right="0"/>
                  <w:jc w:val="left"/>
                </w:pPr>
                <w:r>
                  <w:rPr/>
                  <w:t>二六三网络通信股份有限公司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00398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35.160004pt;margin-top:42.865608pt;width:204.55pt;height:11.5pt;mso-position-horizontal-relative:page;mso-position-vertical-relative:page;z-index:-1003960" type="#_x0000_t202" filled="false" stroked="false">
          <v:textbox inset="0,0,0,0">
            <w:txbxContent>
              <w:p>
                <w:pPr>
                  <w:pStyle w:val="BodyText"/>
                  <w:spacing w:line="214" w:lineRule="exact"/>
                  <w:ind w:left="20" w:right="0"/>
                  <w:jc w:val="left"/>
                </w:pPr>
                <w:r>
                  <w:rPr/>
                  <w:t>二六三网络通信股份有限公司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60022pt;margin-top:42.865631pt;width:204.55pt;height:11.5pt;mso-position-horizontal-relative:page;mso-position-vertical-relative:page;z-index:-1003888" type="#_x0000_t202" filled="false" stroked="false">
          <v:textbox inset="0,0,0,0">
            <w:txbxContent>
              <w:p>
                <w:pPr>
                  <w:pStyle w:val="BodyText"/>
                  <w:spacing w:line="214" w:lineRule="exact"/>
                  <w:ind w:left="20" w:right="0"/>
                  <w:jc w:val="left"/>
                </w:pPr>
                <w:r>
                  <w:rPr/>
                  <w:t>二六三网络通信股份有限公司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00381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35.160004pt;margin-top:42.865608pt;width:204.55pt;height:11.5pt;mso-position-horizontal-relative:page;mso-position-vertical-relative:page;z-index:-1003792" type="#_x0000_t202" filled="false" stroked="false">
          <v:textbox inset="0,0,0,0">
            <w:txbxContent>
              <w:p>
                <w:pPr>
                  <w:pStyle w:val="BodyText"/>
                  <w:spacing w:line="214" w:lineRule="exact"/>
                  <w:ind w:left="20" w:right="0"/>
                  <w:jc w:val="left"/>
                </w:pPr>
                <w:r>
                  <w:rPr/>
                  <w:t>二六三网络通信股份有限公司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2"/>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260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spacing w:before="38"/>
      <w:ind w:left="154"/>
      <w:outlineLvl w:val="5"/>
    </w:pPr>
    <w:rPr>
      <w:rFonts w:ascii="宋体" w:hAnsi="宋体" w:eastAsia="宋体"/>
      <w:sz w:val="20"/>
      <w:szCs w:val="20"/>
    </w:rPr>
  </w:style>
  <w:style w:styleId="Heading6" w:type="paragraph">
    <w:name w:val="Heading 6"/>
    <w:basedOn w:val="Normal"/>
    <w:uiPriority w:val="1"/>
    <w:qFormat/>
    <w:pPr>
      <w:spacing w:before="7"/>
      <w:ind w:left="694"/>
      <w:outlineLvl w:val="6"/>
    </w:pPr>
    <w:rPr>
      <w:rFonts w:ascii="宋体" w:hAnsi="宋体" w:eastAsia="宋体"/>
      <w:i/>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net263.com/" TargetMode="External"/><Relationship Id="rId10" Type="http://schemas.openxmlformats.org/officeDocument/2006/relationships/hyperlink" Target="mailto:invest263@net263.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1.jpeg"/><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header" Target="header4.xml"/><Relationship Id="rId19" Type="http://schemas.openxmlformats.org/officeDocument/2006/relationships/footer" Target="footer6.xml"/><Relationship Id="rId20" Type="http://schemas.openxmlformats.org/officeDocument/2006/relationships/hyperlink" Target="http://www.chinfo.com.cn/" TargetMode="External"/><Relationship Id="rId21" Type="http://schemas.openxmlformats.org/officeDocument/2006/relationships/image" Target="media/image3.jpeg"/><Relationship Id="rId22" Type="http://schemas.openxmlformats.org/officeDocument/2006/relationships/header" Target="header5.xml"/><Relationship Id="rId23" Type="http://schemas.openxmlformats.org/officeDocument/2006/relationships/footer" Target="footer7.xml"/><Relationship Id="rId24" Type="http://schemas.openxmlformats.org/officeDocument/2006/relationships/header" Target="header6.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header" Target="header7.xml"/><Relationship Id="rId29" Type="http://schemas.openxmlformats.org/officeDocument/2006/relationships/footer" Target="footer11.xml"/><Relationship Id="rId30" Type="http://schemas.openxmlformats.org/officeDocument/2006/relationships/footer" Target="footer12.xml"/><Relationship Id="rId31" Type="http://schemas.openxmlformats.org/officeDocument/2006/relationships/header" Target="header8.xml"/><Relationship Id="rId32" Type="http://schemas.openxmlformats.org/officeDocument/2006/relationships/footer" Target="footer13.xml"/><Relationship Id="rId33" Type="http://schemas.openxmlformats.org/officeDocument/2006/relationships/footer" Target="footer14.xml"/><Relationship Id="rId34" Type="http://schemas.openxmlformats.org/officeDocument/2006/relationships/header" Target="header9.xml"/><Relationship Id="rId35" Type="http://schemas.openxmlformats.org/officeDocument/2006/relationships/footer" Target="footer15.xml"/><Relationship Id="rId36" Type="http://schemas.openxmlformats.org/officeDocument/2006/relationships/footer" Target="footer16.xml"/><Relationship Id="rId37" Type="http://schemas.openxmlformats.org/officeDocument/2006/relationships/header" Target="header10.xml"/><Relationship Id="rId38" Type="http://schemas.openxmlformats.org/officeDocument/2006/relationships/footer" Target="footer17.xml"/><Relationship Id="rId39" Type="http://schemas.openxmlformats.org/officeDocument/2006/relationships/footer" Target="footer18.xml"/><Relationship Id="rId40" Type="http://schemas.openxmlformats.org/officeDocument/2006/relationships/header" Target="header11.xml"/><Relationship Id="rId41" Type="http://schemas.openxmlformats.org/officeDocument/2006/relationships/footer" Target="footer19.xml"/><Relationship Id="rId42" Type="http://schemas.openxmlformats.org/officeDocument/2006/relationships/header" Target="header12.xml"/><Relationship Id="rId43" Type="http://schemas.openxmlformats.org/officeDocument/2006/relationships/footer" Target="footer20.xml"/><Relationship Id="rId44" Type="http://schemas.openxmlformats.org/officeDocument/2006/relationships/header" Target="header13.xml"/><Relationship Id="rId45" Type="http://schemas.openxmlformats.org/officeDocument/2006/relationships/footer" Target="footer21.xml"/><Relationship Id="rId46" Type="http://schemas.openxmlformats.org/officeDocument/2006/relationships/footer" Target="footer22.xml"/><Relationship Id="rId47" Type="http://schemas.openxmlformats.org/officeDocument/2006/relationships/header" Target="header14.xml"/><Relationship Id="rId48" Type="http://schemas.openxmlformats.org/officeDocument/2006/relationships/footer" Target="footer23.xml"/><Relationship Id="rId49" Type="http://schemas.openxmlformats.org/officeDocument/2006/relationships/footer" Target="footer2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二六三网络通信股份有限公司</dc:creator>
  <dc:title>二六三网络通信股份有限公司2018年年度报告全文</dc:title>
  <dcterms:created xsi:type="dcterms:W3CDTF">2020-05-04T21:09:25Z</dcterms:created>
  <dcterms:modified xsi:type="dcterms:W3CDTF">2020-05-04T21:09:25Z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2019-03-29T00:00:00Z</vt:filetime>
  </property>
  <property fmtid="{D5CDD505-2E9C-101B-9397-08002B2CF9AE}" pid="3" name="Creator">
    <vt:lpwstr>Microsoft® Office Word 2007</vt:lpwstr>
  </property>
  <property fmtid="{D5CDD505-2E9C-101B-9397-08002B2CF9AE}" pid="4" name="LastSaved">
    <vt:filetime>2020-05-04T00:00:00Z</vt:filetime>
  </property>
</Properties>
</file>