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3.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939983pt;width:485pt;height:.1pt;mso-position-horizontal-relative:page;mso-position-vertical-relative:page;z-index:0" coordorigin="1104,999" coordsize="9700,2">
            <v:shape style="position:absolute;left:1104;top:999;width:9700;height:2" coordorigin="1104,999" coordsize="9700,0" path="m1104,999l10804,999e" filled="false" stroked="true" strokeweight=".48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p>
      <w:pPr>
        <w:spacing w:line="988" w:lineRule="exact"/>
        <w:ind w:left="377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1522767" cy="62750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522767" cy="627506"/>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11"/>
        <w:rPr>
          <w:rFonts w:ascii="Times New Roman" w:hAnsi="Times New Roman" w:cs="Times New Roman" w:eastAsia="Times New Roman" w:hint="default"/>
          <w:sz w:val="12"/>
          <w:szCs w:val="12"/>
        </w:rPr>
      </w:pPr>
    </w:p>
    <w:p>
      <w:pPr>
        <w:spacing w:line="460" w:lineRule="exact" w:before="0"/>
        <w:ind w:left="2602" w:right="3583" w:firstLine="0"/>
        <w:jc w:val="center"/>
        <w:rPr>
          <w:rFonts w:ascii="宋体" w:hAnsi="宋体" w:cs="宋体" w:eastAsia="宋体" w:hint="default"/>
          <w:sz w:val="36"/>
          <w:szCs w:val="36"/>
        </w:rPr>
      </w:pPr>
      <w:r>
        <w:rPr>
          <w:rFonts w:ascii="宋体" w:hAnsi="宋体" w:cs="宋体" w:eastAsia="宋体" w:hint="default"/>
          <w:b/>
          <w:bCs/>
          <w:sz w:val="36"/>
          <w:szCs w:val="36"/>
        </w:rPr>
        <w:t>二六三网络通信股份有限公司</w:t>
      </w:r>
      <w:r>
        <w:rPr>
          <w:rFonts w:ascii="宋体" w:hAnsi="宋体" w:cs="宋体" w:eastAsia="宋体" w:hint="default"/>
          <w:sz w:val="36"/>
          <w:szCs w:val="36"/>
        </w:rPr>
      </w:r>
    </w:p>
    <w:p>
      <w:pPr>
        <w:spacing w:line="240" w:lineRule="auto" w:before="6"/>
        <w:rPr>
          <w:rFonts w:ascii="宋体" w:hAnsi="宋体" w:cs="宋体" w:eastAsia="宋体" w:hint="default"/>
          <w:b/>
          <w:bCs/>
          <w:sz w:val="31"/>
          <w:szCs w:val="31"/>
        </w:rPr>
      </w:pPr>
    </w:p>
    <w:p>
      <w:pPr>
        <w:spacing w:before="0"/>
        <w:ind w:left="2602" w:right="358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602" w:right="357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4" w:footer="1022" w:top="1100" w:bottom="1220" w:left="980" w:right="0"/>
        </w:sect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85.5pt;height:.5pt;mso-position-horizontal-relative:char;mso-position-vertical-relative:line" coordorigin="0,0" coordsize="9710,10">
            <v:group style="position:absolute;left:5;top:5;width:9700;height:2" coordorigin="5,5" coordsize="9700,2">
              <v:shape style="position:absolute;left:5;top:5;width:9700;height:2" coordorigin="5,5" coordsize="9700,0" path="m5,5l9705,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Heading1"/>
        <w:spacing w:line="240" w:lineRule="auto"/>
        <w:ind w:left="2885" w:right="0"/>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12"/>
        <w:rPr>
          <w:rFonts w:ascii="宋体" w:hAnsi="宋体" w:cs="宋体" w:eastAsia="宋体" w:hint="default"/>
          <w:b/>
          <w:bCs/>
          <w:sz w:val="47"/>
          <w:szCs w:val="47"/>
        </w:rPr>
      </w:pPr>
    </w:p>
    <w:p>
      <w:pPr>
        <w:spacing w:line="408" w:lineRule="auto" w:before="0"/>
        <w:ind w:left="153" w:right="1141"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实、准确、完整，不存在虚假记载、误导性陈述或重大遗漏，并承担个别和连</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带的法律责任。</w:t>
      </w:r>
      <w:r>
        <w:rPr>
          <w:rFonts w:ascii="宋体" w:hAnsi="宋体" w:cs="宋体" w:eastAsia="宋体" w:hint="default"/>
          <w:spacing w:val="2"/>
          <w:sz w:val="28"/>
          <w:szCs w:val="28"/>
        </w:rPr>
      </w:r>
    </w:p>
    <w:p>
      <w:pPr>
        <w:spacing w:line="386" w:lineRule="auto" w:before="162"/>
        <w:ind w:left="153" w:right="1127"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公司负责人李小龙、主管会计工作负责人李光千及会计机构负责人</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pacing w:val="2"/>
          <w:sz w:val="28"/>
          <w:szCs w:val="28"/>
        </w:rPr>
        <w:t>管人员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王志慧声明：保证年度报告中财务报告的真实、准确、完整。</w:t>
      </w:r>
      <w:r>
        <w:rPr>
          <w:rFonts w:ascii="宋体" w:hAnsi="宋体" w:cs="宋体" w:eastAsia="宋体" w:hint="default"/>
          <w:spacing w:val="2"/>
          <w:sz w:val="28"/>
          <w:szCs w:val="28"/>
        </w:rPr>
      </w:r>
    </w:p>
    <w:p>
      <w:pPr>
        <w:spacing w:line="475" w:lineRule="auto" w:before="148"/>
        <w:ind w:left="71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本报告中如有涉及未来计划、业绩预测等方面的内容，均不构成公司对投</w:t>
      </w:r>
      <w:r>
        <w:rPr>
          <w:rFonts w:ascii="宋体" w:hAnsi="宋体" w:cs="宋体" w:eastAsia="宋体" w:hint="default"/>
          <w:spacing w:val="4"/>
          <w:sz w:val="28"/>
          <w:szCs w:val="28"/>
        </w:rPr>
      </w:r>
    </w:p>
    <w:p>
      <w:pPr>
        <w:spacing w:line="350" w:lineRule="exact" w:before="0"/>
        <w:ind w:left="153" w:right="0" w:firstLine="0"/>
        <w:jc w:val="both"/>
        <w:rPr>
          <w:rFonts w:ascii="宋体" w:hAnsi="宋体" w:cs="宋体" w:eastAsia="宋体" w:hint="default"/>
          <w:sz w:val="28"/>
          <w:szCs w:val="28"/>
        </w:rPr>
      </w:pPr>
      <w:r>
        <w:rPr>
          <w:rFonts w:ascii="宋体" w:hAnsi="宋体" w:cs="宋体" w:eastAsia="宋体" w:hint="default"/>
          <w:b/>
          <w:bCs/>
          <w:spacing w:val="4"/>
          <w:sz w:val="28"/>
          <w:szCs w:val="28"/>
        </w:rPr>
        <w:t>资者的实质承诺，投资者及相关人士均应当对此保持足够的风险认识，并且应</w:t>
      </w:r>
      <w:r>
        <w:rPr>
          <w:rFonts w:ascii="宋体" w:hAnsi="宋体" w:cs="宋体" w:eastAsia="宋体" w:hint="default"/>
          <w:spacing w:val="4"/>
          <w:sz w:val="28"/>
          <w:szCs w:val="28"/>
        </w:rPr>
      </w:r>
    </w:p>
    <w:p>
      <w:pPr>
        <w:spacing w:line="240" w:lineRule="auto" w:before="9"/>
        <w:rPr>
          <w:rFonts w:ascii="宋体" w:hAnsi="宋体" w:cs="宋体" w:eastAsia="宋体" w:hint="default"/>
          <w:b/>
          <w:bCs/>
          <w:sz w:val="19"/>
          <w:szCs w:val="19"/>
        </w:rPr>
      </w:pPr>
    </w:p>
    <w:p>
      <w:pPr>
        <w:spacing w:line="472" w:lineRule="auto" w:before="0"/>
        <w:ind w:left="714" w:right="0" w:hanging="562"/>
        <w:jc w:val="left"/>
        <w:rPr>
          <w:rFonts w:ascii="宋体" w:hAnsi="宋体" w:cs="宋体" w:eastAsia="宋体" w:hint="default"/>
          <w:sz w:val="28"/>
          <w:szCs w:val="28"/>
        </w:rPr>
      </w:pPr>
      <w:r>
        <w:rPr>
          <w:rFonts w:ascii="宋体" w:hAnsi="宋体" w:cs="宋体" w:eastAsia="宋体" w:hint="default"/>
          <w:b/>
          <w:bCs/>
          <w:spacing w:val="2"/>
          <w:sz w:val="28"/>
          <w:szCs w:val="28"/>
        </w:rPr>
        <w:t>当理解计划、预测与承诺之间的差异，请投资者注意投资风险。</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公司已在本报告中详细描述未来将面临的主要风险及应对措施，请查阅本</w:t>
      </w:r>
      <w:r>
        <w:rPr>
          <w:rFonts w:ascii="宋体" w:hAnsi="宋体" w:cs="宋体" w:eastAsia="宋体" w:hint="default"/>
          <w:spacing w:val="4"/>
          <w:sz w:val="28"/>
          <w:szCs w:val="28"/>
        </w:rPr>
      </w:r>
    </w:p>
    <w:p>
      <w:pPr>
        <w:spacing w:line="386" w:lineRule="auto" w:before="0"/>
        <w:ind w:left="153" w:right="1135"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报告</w:t>
      </w:r>
      <w:r>
        <w:rPr>
          <w:rFonts w:ascii="Times New Roman" w:hAnsi="Times New Roman" w:cs="Times New Roman" w:eastAsia="Times New Roman" w:hint="default"/>
          <w:b/>
          <w:bCs/>
          <w:spacing w:val="4"/>
          <w:w w:val="95"/>
          <w:sz w:val="28"/>
          <w:szCs w:val="28"/>
        </w:rPr>
        <w:t>“</w:t>
      </w:r>
      <w:r>
        <w:rPr>
          <w:rFonts w:ascii="宋体" w:hAnsi="宋体" w:cs="宋体" w:eastAsia="宋体" w:hint="default"/>
          <w:b/>
          <w:bCs/>
          <w:spacing w:val="4"/>
          <w:w w:val="95"/>
          <w:sz w:val="28"/>
          <w:szCs w:val="28"/>
        </w:rPr>
        <w:t>第四节经营情况讨论与分析</w:t>
      </w:r>
      <w:r>
        <w:rPr>
          <w:rFonts w:ascii="Times New Roman" w:hAnsi="Times New Roman" w:cs="Times New Roman" w:eastAsia="Times New Roman" w:hint="default"/>
          <w:b/>
          <w:bCs/>
          <w:spacing w:val="4"/>
          <w:w w:val="95"/>
          <w:sz w:val="28"/>
          <w:szCs w:val="28"/>
        </w:rPr>
        <w:t>”</w:t>
      </w:r>
      <w:r>
        <w:rPr>
          <w:rFonts w:ascii="宋体" w:hAnsi="宋体" w:cs="宋体" w:eastAsia="宋体" w:hint="default"/>
          <w:b/>
          <w:bCs/>
          <w:spacing w:val="4"/>
          <w:w w:val="95"/>
          <w:sz w:val="28"/>
          <w:szCs w:val="28"/>
        </w:rPr>
        <w:t>之</w:t>
      </w:r>
      <w:r>
        <w:rPr>
          <w:rFonts w:ascii="Times New Roman" w:hAnsi="Times New Roman" w:cs="Times New Roman" w:eastAsia="Times New Roman" w:hint="default"/>
          <w:b/>
          <w:bCs/>
          <w:spacing w:val="4"/>
          <w:w w:val="95"/>
          <w:sz w:val="28"/>
          <w:szCs w:val="28"/>
        </w:rPr>
        <w:t>“</w:t>
      </w:r>
      <w:r>
        <w:rPr>
          <w:rFonts w:ascii="宋体" w:hAnsi="宋体" w:cs="宋体" w:eastAsia="宋体" w:hint="default"/>
          <w:b/>
          <w:bCs/>
          <w:spacing w:val="4"/>
          <w:w w:val="95"/>
          <w:sz w:val="28"/>
          <w:szCs w:val="28"/>
        </w:rPr>
        <w:t>九、公司未来发展的展望</w:t>
      </w:r>
      <w:r>
        <w:rPr>
          <w:rFonts w:ascii="Times New Roman" w:hAnsi="Times New Roman" w:cs="Times New Roman" w:eastAsia="Times New Roman" w:hint="default"/>
          <w:b/>
          <w:bCs/>
          <w:spacing w:val="4"/>
          <w:w w:val="95"/>
          <w:sz w:val="28"/>
          <w:szCs w:val="28"/>
        </w:rPr>
        <w:t>”</w:t>
      </w:r>
      <w:r>
        <w:rPr>
          <w:rFonts w:ascii="宋体" w:hAnsi="宋体" w:cs="宋体" w:eastAsia="宋体" w:hint="default"/>
          <w:b/>
          <w:bCs/>
          <w:spacing w:val="4"/>
          <w:w w:val="95"/>
          <w:sz w:val="28"/>
          <w:szCs w:val="28"/>
        </w:rPr>
        <w:t>部分，请投资</w:t>
      </w:r>
      <w:r>
        <w:rPr>
          <w:rFonts w:ascii="宋体" w:hAnsi="宋体" w:cs="宋体" w:eastAsia="宋体" w:hint="default"/>
          <w:b/>
          <w:bCs/>
          <w:spacing w:val="118"/>
          <w:w w:val="95"/>
          <w:sz w:val="28"/>
          <w:szCs w:val="28"/>
        </w:rPr>
        <w:t> </w:t>
      </w:r>
      <w:r>
        <w:rPr>
          <w:rFonts w:ascii="宋体" w:hAnsi="宋体" w:cs="宋体" w:eastAsia="宋体" w:hint="default"/>
          <w:b/>
          <w:bCs/>
          <w:spacing w:val="118"/>
          <w:w w:val="95"/>
          <w:sz w:val="28"/>
          <w:szCs w:val="28"/>
        </w:rPr>
      </w:r>
      <w:r>
        <w:rPr>
          <w:rFonts w:ascii="宋体" w:hAnsi="宋体" w:cs="宋体" w:eastAsia="宋体" w:hint="default"/>
          <w:b/>
          <w:bCs/>
          <w:spacing w:val="2"/>
          <w:sz w:val="28"/>
          <w:szCs w:val="28"/>
        </w:rPr>
        <w:t>者注意投资风险。</w:t>
      </w:r>
      <w:r>
        <w:rPr>
          <w:rFonts w:ascii="宋体" w:hAnsi="宋体" w:cs="宋体" w:eastAsia="宋体" w:hint="default"/>
          <w:spacing w:val="2"/>
          <w:sz w:val="28"/>
          <w:szCs w:val="28"/>
        </w:rPr>
      </w:r>
    </w:p>
    <w:p>
      <w:pPr>
        <w:spacing w:before="188"/>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w:t>
      </w:r>
      <w:r>
        <w:rPr>
          <w:rFonts w:ascii="宋体" w:hAnsi="宋体" w:cs="宋体" w:eastAsia="宋体" w:hint="default"/>
          <w:b/>
          <w:bCs/>
          <w:spacing w:val="-109"/>
          <w:sz w:val="28"/>
          <w:szCs w:val="28"/>
        </w:rPr>
        <w:t> </w:t>
      </w:r>
      <w:r>
        <w:rPr>
          <w:rFonts w:ascii="宋体" w:hAnsi="宋体" w:cs="宋体" w:eastAsia="宋体" w:hint="default"/>
          <w:b/>
          <w:bCs/>
          <w:spacing w:val="16"/>
          <w:sz w:val="28"/>
          <w:szCs w:val="28"/>
        </w:rPr>
        <w:t>司经</w:t>
      </w:r>
      <w:r>
        <w:rPr>
          <w:rFonts w:ascii="宋体" w:hAnsi="宋体" w:cs="宋体" w:eastAsia="宋体" w:hint="default"/>
          <w:b/>
          <w:bCs/>
          <w:spacing w:val="-109"/>
          <w:sz w:val="28"/>
          <w:szCs w:val="28"/>
        </w:rPr>
        <w:t> </w:t>
      </w:r>
      <w:r>
        <w:rPr>
          <w:rFonts w:ascii="宋体" w:hAnsi="宋体" w:cs="宋体" w:eastAsia="宋体" w:hint="default"/>
          <w:b/>
          <w:bCs/>
          <w:spacing w:val="16"/>
          <w:sz w:val="28"/>
          <w:szCs w:val="28"/>
        </w:rPr>
        <w:t>本次</w:t>
      </w:r>
      <w:r>
        <w:rPr>
          <w:rFonts w:ascii="宋体" w:hAnsi="宋体" w:cs="宋体" w:eastAsia="宋体" w:hint="default"/>
          <w:b/>
          <w:bCs/>
          <w:spacing w:val="-109"/>
          <w:sz w:val="28"/>
          <w:szCs w:val="28"/>
        </w:rPr>
        <w:t> </w:t>
      </w:r>
      <w:r>
        <w:rPr>
          <w:rFonts w:ascii="宋体" w:hAnsi="宋体" w:cs="宋体" w:eastAsia="宋体" w:hint="default"/>
          <w:b/>
          <w:bCs/>
          <w:spacing w:val="22"/>
          <w:sz w:val="28"/>
          <w:szCs w:val="28"/>
        </w:rPr>
        <w:t>董事会</w:t>
      </w:r>
      <w:r>
        <w:rPr>
          <w:rFonts w:ascii="宋体" w:hAnsi="宋体" w:cs="宋体" w:eastAsia="宋体" w:hint="default"/>
          <w:b/>
          <w:bCs/>
          <w:spacing w:val="-109"/>
          <w:sz w:val="28"/>
          <w:szCs w:val="28"/>
        </w:rPr>
        <w:t> </w:t>
      </w:r>
      <w:r>
        <w:rPr>
          <w:rFonts w:ascii="宋体" w:hAnsi="宋体" w:cs="宋体" w:eastAsia="宋体" w:hint="default"/>
          <w:b/>
          <w:bCs/>
          <w:spacing w:val="16"/>
          <w:sz w:val="28"/>
          <w:szCs w:val="28"/>
        </w:rPr>
        <w:t>审议</w:t>
      </w:r>
      <w:r>
        <w:rPr>
          <w:rFonts w:ascii="宋体" w:hAnsi="宋体" w:cs="宋体" w:eastAsia="宋体" w:hint="default"/>
          <w:b/>
          <w:bCs/>
          <w:spacing w:val="-109"/>
          <w:sz w:val="28"/>
          <w:szCs w:val="28"/>
        </w:rPr>
        <w:t> </w:t>
      </w:r>
      <w:r>
        <w:rPr>
          <w:rFonts w:ascii="宋体" w:hAnsi="宋体" w:cs="宋体" w:eastAsia="宋体" w:hint="default"/>
          <w:b/>
          <w:bCs/>
          <w:spacing w:val="16"/>
          <w:sz w:val="28"/>
          <w:szCs w:val="28"/>
        </w:rPr>
        <w:t>通过</w:t>
      </w:r>
      <w:r>
        <w:rPr>
          <w:rFonts w:ascii="宋体" w:hAnsi="宋体" w:cs="宋体" w:eastAsia="宋体" w:hint="default"/>
          <w:b/>
          <w:bCs/>
          <w:spacing w:val="-109"/>
          <w:sz w:val="28"/>
          <w:szCs w:val="28"/>
        </w:rPr>
        <w:t> </w:t>
      </w:r>
      <w:r>
        <w:rPr>
          <w:rFonts w:ascii="宋体" w:hAnsi="宋体" w:cs="宋体" w:eastAsia="宋体" w:hint="default"/>
          <w:b/>
          <w:bCs/>
          <w:spacing w:val="24"/>
          <w:sz w:val="28"/>
          <w:szCs w:val="28"/>
        </w:rPr>
        <w:t>的利润分</w:t>
      </w:r>
      <w:r>
        <w:rPr>
          <w:rFonts w:ascii="宋体" w:hAnsi="宋体" w:cs="宋体" w:eastAsia="宋体" w:hint="default"/>
          <w:b/>
          <w:bCs/>
          <w:spacing w:val="-109"/>
          <w:sz w:val="28"/>
          <w:szCs w:val="28"/>
        </w:rPr>
        <w:t> </w:t>
      </w:r>
      <w:r>
        <w:rPr>
          <w:rFonts w:ascii="宋体" w:hAnsi="宋体" w:cs="宋体" w:eastAsia="宋体" w:hint="default"/>
          <w:b/>
          <w:bCs/>
          <w:spacing w:val="16"/>
          <w:sz w:val="28"/>
          <w:szCs w:val="28"/>
        </w:rPr>
        <w:t>配预</w:t>
      </w:r>
      <w:r>
        <w:rPr>
          <w:rFonts w:ascii="宋体" w:hAnsi="宋体" w:cs="宋体" w:eastAsia="宋体" w:hint="default"/>
          <w:b/>
          <w:bCs/>
          <w:spacing w:val="-109"/>
          <w:sz w:val="28"/>
          <w:szCs w:val="28"/>
        </w:rPr>
        <w:t> </w:t>
      </w:r>
      <w:r>
        <w:rPr>
          <w:rFonts w:ascii="宋体" w:hAnsi="宋体" w:cs="宋体" w:eastAsia="宋体" w:hint="default"/>
          <w:b/>
          <w:bCs/>
          <w:spacing w:val="16"/>
          <w:sz w:val="28"/>
          <w:szCs w:val="28"/>
        </w:rPr>
        <w:t>案为</w:t>
      </w:r>
      <w:r>
        <w:rPr>
          <w:rFonts w:ascii="宋体" w:hAnsi="宋体" w:cs="宋体" w:eastAsia="宋体" w:hint="default"/>
          <w:b/>
          <w:bCs/>
          <w:spacing w:val="-109"/>
          <w:sz w:val="28"/>
          <w:szCs w:val="28"/>
        </w:rPr>
        <w:t> </w:t>
      </w:r>
      <w:r>
        <w:rPr>
          <w:rFonts w:ascii="宋体" w:hAnsi="宋体" w:cs="宋体" w:eastAsia="宋体" w:hint="default"/>
          <w:b/>
          <w:bCs/>
          <w:sz w:val="28"/>
          <w:szCs w:val="28"/>
        </w:rPr>
        <w:t>：</w:t>
      </w:r>
      <w:r>
        <w:rPr>
          <w:rFonts w:ascii="宋体" w:hAnsi="宋体" w:cs="宋体" w:eastAsia="宋体" w:hint="default"/>
          <w:b/>
          <w:bCs/>
          <w:spacing w:val="-113"/>
          <w:sz w:val="28"/>
          <w:szCs w:val="28"/>
        </w:rPr>
        <w:t> </w:t>
      </w:r>
      <w:r>
        <w:rPr>
          <w:rFonts w:ascii="宋体" w:hAnsi="宋体" w:cs="宋体" w:eastAsia="宋体" w:hint="default"/>
          <w:b/>
          <w:bCs/>
          <w:spacing w:val="16"/>
          <w:sz w:val="28"/>
          <w:szCs w:val="28"/>
        </w:rPr>
        <w:t>以公</w:t>
      </w:r>
      <w:r>
        <w:rPr>
          <w:rFonts w:ascii="宋体" w:hAnsi="宋体" w:cs="宋体" w:eastAsia="宋体" w:hint="default"/>
          <w:b/>
          <w:bCs/>
          <w:spacing w:val="-109"/>
          <w:sz w:val="28"/>
          <w:szCs w:val="28"/>
        </w:rPr>
        <w:t> </w:t>
      </w:r>
      <w:r>
        <w:rPr>
          <w:rFonts w:ascii="宋体" w:hAnsi="宋体" w:cs="宋体" w:eastAsia="宋体" w:hint="default"/>
          <w:b/>
          <w:bCs/>
          <w:spacing w:val="16"/>
          <w:sz w:val="28"/>
          <w:szCs w:val="28"/>
        </w:rPr>
        <w:t>司现</w:t>
      </w:r>
      <w:r>
        <w:rPr>
          <w:rFonts w:ascii="宋体" w:hAnsi="宋体" w:cs="宋体" w:eastAsia="宋体" w:hint="default"/>
          <w:b/>
          <w:bCs/>
          <w:spacing w:val="-109"/>
          <w:sz w:val="28"/>
          <w:szCs w:val="28"/>
        </w:rPr>
        <w:t> </w:t>
      </w:r>
      <w:r>
        <w:rPr>
          <w:rFonts w:ascii="宋体" w:hAnsi="宋体" w:cs="宋体" w:eastAsia="宋体" w:hint="default"/>
          <w:b/>
          <w:bCs/>
          <w:spacing w:val="16"/>
          <w:sz w:val="28"/>
          <w:szCs w:val="28"/>
        </w:rPr>
        <w:t>有总</w:t>
      </w:r>
      <w:r>
        <w:rPr>
          <w:rFonts w:ascii="宋体" w:hAnsi="宋体" w:cs="宋体" w:eastAsia="宋体" w:hint="default"/>
          <w:b/>
          <w:bCs/>
          <w:spacing w:val="-109"/>
          <w:sz w:val="28"/>
          <w:szCs w:val="28"/>
        </w:rPr>
        <w:t> </w:t>
      </w:r>
      <w:r>
        <w:rPr>
          <w:rFonts w:ascii="宋体" w:hAnsi="宋体" w:cs="宋体" w:eastAsia="宋体" w:hint="default"/>
          <w:b/>
          <w:bCs/>
          <w:spacing w:val="16"/>
          <w:sz w:val="28"/>
          <w:szCs w:val="28"/>
        </w:rPr>
        <w:t>股本</w:t>
      </w:r>
      <w:r>
        <w:rPr>
          <w:rFonts w:ascii="宋体" w:hAnsi="宋体" w:cs="宋体" w:eastAsia="宋体" w:hint="default"/>
          <w:spacing w:val="16"/>
          <w:sz w:val="28"/>
          <w:szCs w:val="28"/>
        </w:rPr>
      </w:r>
    </w:p>
    <w:p>
      <w:pPr>
        <w:spacing w:line="240" w:lineRule="auto" w:before="9"/>
        <w:rPr>
          <w:rFonts w:ascii="宋体" w:hAnsi="宋体" w:cs="宋体" w:eastAsia="宋体" w:hint="default"/>
          <w:b/>
          <w:bCs/>
          <w:sz w:val="19"/>
          <w:szCs w:val="19"/>
        </w:rPr>
      </w:pPr>
    </w:p>
    <w:p>
      <w:pPr>
        <w:spacing w:before="0"/>
        <w:ind w:left="153" w:right="0" w:firstLine="0"/>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1,354,041,873</w:t>
      </w:r>
      <w:r>
        <w:rPr>
          <w:rFonts w:ascii="Times New Roman" w:hAnsi="Times New Roman" w:cs="Times New Roman" w:eastAsia="Times New Roman" w:hint="default"/>
          <w:b/>
          <w:bCs/>
          <w:spacing w:val="-7"/>
          <w:sz w:val="28"/>
          <w:szCs w:val="28"/>
        </w:rPr>
        <w:t> </w:t>
      </w:r>
      <w:r>
        <w:rPr>
          <w:rFonts w:ascii="宋体" w:hAnsi="宋体" w:cs="宋体" w:eastAsia="宋体" w:hint="default"/>
          <w:b/>
          <w:bCs/>
          <w:spacing w:val="2"/>
          <w:sz w:val="28"/>
          <w:szCs w:val="28"/>
        </w:rPr>
        <w:t>股为基数，向全体股东每</w:t>
      </w:r>
      <w:r>
        <w:rPr>
          <w:rFonts w:ascii="宋体" w:hAnsi="宋体" w:cs="宋体" w:eastAsia="宋体" w:hint="default"/>
          <w:b/>
          <w:bCs/>
          <w:spacing w:val="-76"/>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8"/>
          <w:sz w:val="28"/>
          <w:szCs w:val="28"/>
        </w:rPr>
        <w:t> </w:t>
      </w:r>
      <w:r>
        <w:rPr>
          <w:rFonts w:ascii="宋体" w:hAnsi="宋体" w:cs="宋体" w:eastAsia="宋体" w:hint="default"/>
          <w:b/>
          <w:bCs/>
          <w:spacing w:val="2"/>
          <w:sz w:val="28"/>
          <w:szCs w:val="28"/>
        </w:rPr>
        <w:t>股派发现金红利</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0.5</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元（含税），送</w:t>
      </w:r>
      <w:r>
        <w:rPr>
          <w:rFonts w:ascii="宋体" w:hAnsi="宋体" w:cs="宋体" w:eastAsia="宋体" w:hint="default"/>
          <w:sz w:val="28"/>
          <w:szCs w:val="28"/>
        </w:rPr>
      </w:r>
    </w:p>
    <w:p>
      <w:pPr>
        <w:spacing w:line="400" w:lineRule="auto" w:before="236"/>
        <w:ind w:left="153" w:right="1131" w:firstLine="0"/>
        <w:jc w:val="both"/>
        <w:rPr>
          <w:rFonts w:ascii="宋体" w:hAnsi="宋体" w:cs="宋体" w:eastAsia="宋体" w:hint="default"/>
          <w:sz w:val="28"/>
          <w:szCs w:val="28"/>
        </w:rPr>
      </w:pPr>
      <w:r>
        <w:rPr>
          <w:rFonts w:ascii="宋体" w:hAnsi="宋体" w:cs="宋体" w:eastAsia="宋体" w:hint="default"/>
          <w:b/>
          <w:bCs/>
          <w:sz w:val="28"/>
          <w:szCs w:val="28"/>
        </w:rPr>
        <w:t>红股</w:t>
      </w:r>
      <w:r>
        <w:rPr>
          <w:rFonts w:ascii="宋体" w:hAnsi="宋体" w:cs="宋体" w:eastAsia="宋体" w:hint="default"/>
          <w:b/>
          <w:bCs/>
          <w:spacing w:val="-64"/>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pacing w:val="2"/>
          <w:sz w:val="28"/>
          <w:szCs w:val="28"/>
        </w:rPr>
        <w:t>股（含税），不以公积金转增股本。公司利润分配预案发布至实施前，</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若公司总股本因限制性股票激励计划和股票期权激励计划发生变动的，依照未</w:t>
      </w:r>
      <w:r>
        <w:rPr>
          <w:rFonts w:ascii="宋体" w:hAnsi="宋体" w:cs="宋体" w:eastAsia="宋体" w:hint="default"/>
          <w:b/>
          <w:bCs/>
          <w:spacing w:val="133"/>
          <w:w w:val="95"/>
          <w:sz w:val="28"/>
          <w:szCs w:val="28"/>
        </w:rPr>
        <w:t> </w:t>
      </w:r>
      <w:r>
        <w:rPr>
          <w:rFonts w:ascii="宋体" w:hAnsi="宋体" w:cs="宋体" w:eastAsia="宋体" w:hint="default"/>
          <w:b/>
          <w:bCs/>
          <w:spacing w:val="133"/>
          <w:w w:val="95"/>
          <w:sz w:val="28"/>
          <w:szCs w:val="28"/>
        </w:rPr>
      </w:r>
      <w:r>
        <w:rPr>
          <w:rFonts w:ascii="宋体" w:hAnsi="宋体" w:cs="宋体" w:eastAsia="宋体" w:hint="default"/>
          <w:b/>
          <w:bCs/>
          <w:spacing w:val="4"/>
          <w:w w:val="95"/>
          <w:sz w:val="28"/>
          <w:szCs w:val="28"/>
        </w:rPr>
        <w:t>来实施分配方案时股权登记日的总股本为基数实施，并保持上述分配比例不变</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对总额进行调整。</w:t>
      </w:r>
      <w:r>
        <w:rPr>
          <w:rFonts w:ascii="宋体" w:hAnsi="宋体" w:cs="宋体" w:eastAsia="宋体" w:hint="default"/>
          <w:spacing w:val="2"/>
          <w:sz w:val="28"/>
          <w:szCs w:val="28"/>
        </w:rPr>
      </w:r>
    </w:p>
    <w:p>
      <w:pPr>
        <w:spacing w:after="0" w:line="400" w:lineRule="auto"/>
        <w:jc w:val="both"/>
        <w:rPr>
          <w:rFonts w:ascii="宋体" w:hAnsi="宋体" w:cs="宋体" w:eastAsia="宋体" w:hint="default"/>
          <w:sz w:val="28"/>
          <w:szCs w:val="28"/>
        </w:rPr>
        <w:sectPr>
          <w:footerReference w:type="default" r:id="rId8"/>
          <w:pgSz w:w="11910" w:h="16840"/>
          <w:pgMar w:footer="1022" w:header="784" w:top="1100" w:bottom="1220" w:left="980" w:right="0"/>
          <w:pgNumType w:start="2"/>
        </w:sect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85.5pt;height:.5pt;mso-position-horizontal-relative:char;mso-position-vertical-relative:line" coordorigin="0,0" coordsize="9710,10">
            <v:group style="position:absolute;left:5;top:5;width:9700;height:2" coordorigin="5,5" coordsize="9700,2">
              <v:shape style="position:absolute;left:5;top:5;width:9700;height:2" coordorigin="5,5" coordsize="9700,0" path="m5,5l9705,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5"/>
          <w:szCs w:val="25"/>
        </w:rPr>
      </w:pPr>
    </w:p>
    <w:p>
      <w:pPr>
        <w:spacing w:line="460" w:lineRule="exact" w:before="0"/>
        <w:ind w:left="2602" w:right="3576"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5" w:val="right" w:leader="dot"/>
            </w:tabs>
            <w:spacing w:line="240" w:lineRule="auto" w:before="158"/>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
              </w:rPr>
              <w:t> </w:t>
            </w:r>
            <w:r>
              <w:rPr/>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4">
            <w:r>
              <w:rPr/>
              <w:t>第五节</w:t>
            </w:r>
            <w:r>
              <w:rPr>
                <w:spacing w:val="-2"/>
              </w:rPr>
              <w:t> </w:t>
            </w:r>
            <w:r>
              <w:rPr/>
              <w:t>重要事项</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
              </w:rPr>
              <w:t> </w:t>
            </w:r>
            <w:r>
              <w:rPr/>
              <w:t>股份变动及股东情况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6">
            <w:r>
              <w:rPr/>
              <w:t>第七节</w:t>
            </w:r>
            <w:r>
              <w:rPr>
                <w:spacing w:val="-2"/>
              </w:rPr>
              <w:t> </w:t>
            </w:r>
            <w:r>
              <w:rPr/>
              <w:t>优先股相关情况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可转换公司债券相关情况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8">
            <w:r>
              <w:rPr/>
              <w:t>第九节</w:t>
            </w:r>
            <w:r>
              <w:rPr>
                <w:spacing w:val="-2"/>
              </w:rPr>
              <w:t> </w:t>
            </w:r>
            <w:r>
              <w:rPr/>
              <w:t>董事、监事、高级管理人员和员工情况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2"/>
              </w:rPr>
              <w:t> </w:t>
            </w:r>
            <w:r>
              <w:rPr/>
              <w:t>公司治理</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公司债券相关情况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1"/>
              </w:rPr>
              <w:t> </w:t>
            </w:r>
            <w:r>
              <w:rPr/>
              <w:t>财务报告</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12">
            <w:r>
              <w:rPr/>
              <w:t>第十三节</w:t>
            </w:r>
            <w:r>
              <w:rPr>
                <w:spacing w:val="-2"/>
              </w:rPr>
              <w:t> </w:t>
            </w:r>
            <w:r>
              <w:rPr/>
              <w:t>备查文件目录</w:t>
            </w:r>
            <w:r>
              <w:rPr>
                <w:rFonts w:ascii="Times New Roman" w:hAnsi="Times New Roman" w:cs="Times New Roman" w:eastAsia="Times New Roman" w:hint="default"/>
              </w:rPr>
              <w:tab/>
              <w:t>186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84" w:footer="1022" w:top="1100" w:bottom="1220" w:left="980" w:right="0"/>
        </w:sectPr>
      </w:pPr>
    </w:p>
    <w:p>
      <w:pPr>
        <w:spacing w:before="910"/>
        <w:ind w:left="2602" w:right="35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525"/>
        <w:gridCol w:w="624"/>
        <w:gridCol w:w="5426"/>
      </w:tblGrid>
      <w:tr>
        <w:trPr>
          <w:trHeight w:val="398"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二六三</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二六三网络通信股份有限公司</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《中华人民共和国公司法》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《中华人民共和国证券法》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《二六三网络通信股份有限公司公司章程》</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工业和信息化部</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中华人民共和国工业和信息化部</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如无说明，指人民币元、人民币万元</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深圳日升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日升科技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深圳市日升科技有限公司</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致远互联</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北京致远互联软件股份有限公司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首都在线</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北京首都在线科技股份有限公司</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263  </w:t>
            </w:r>
            <w:r>
              <w:rPr>
                <w:rFonts w:ascii="宋体" w:hAnsi="宋体" w:cs="宋体" w:eastAsia="宋体" w:hint="default"/>
                <w:sz w:val="18"/>
                <w:szCs w:val="18"/>
              </w:rPr>
              <w:t>环球通信</w:t>
            </w:r>
            <w:r>
              <w:rPr>
                <w:rFonts w:ascii="Times New Roman" w:hAnsi="Times New Roman" w:cs="Times New Roman" w:eastAsia="Times New Roman" w:hint="default"/>
                <w:sz w:val="18"/>
                <w:szCs w:val="18"/>
              </w:rPr>
              <w:t>/</w:t>
            </w:r>
            <w:r>
              <w:rPr>
                <w:rFonts w:ascii="宋体" w:hAnsi="宋体" w:cs="宋体" w:eastAsia="宋体" w:hint="default"/>
                <w:sz w:val="18"/>
                <w:szCs w:val="18"/>
              </w:rPr>
              <w:t>原</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I-ACCESS</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0" w:right="9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263 </w:t>
            </w:r>
            <w:r>
              <w:rPr>
                <w:rFonts w:ascii="Times New Roman" w:hAnsi="Times New Roman" w:cs="Times New Roman" w:eastAsia="Times New Roman" w:hint="default"/>
                <w:spacing w:val="-4"/>
                <w:sz w:val="18"/>
                <w:szCs w:val="18"/>
              </w:rPr>
              <w:t>GLOBAL COMMUNICATIONS </w:t>
            </w:r>
            <w:r>
              <w:rPr>
                <w:rFonts w:ascii="Times New Roman" w:hAnsi="Times New Roman" w:cs="Times New Roman" w:eastAsia="Times New Roman" w:hint="default"/>
                <w:spacing w:val="-8"/>
                <w:sz w:val="18"/>
                <w:szCs w:val="18"/>
              </w:rPr>
              <w:t>LIMITED</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263 </w:t>
            </w:r>
            <w:r>
              <w:rPr>
                <w:rFonts w:ascii="宋体" w:hAnsi="宋体" w:cs="宋体" w:eastAsia="宋体" w:hint="default"/>
                <w:sz w:val="18"/>
                <w:szCs w:val="18"/>
              </w:rPr>
              <w:t>环球通信有限公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司），原</w:t>
            </w:r>
            <w:r>
              <w:rPr>
                <w:rFonts w:ascii="Times New Roman" w:hAnsi="Times New Roman" w:cs="Times New Roman" w:eastAsia="Times New Roman" w:hint="default"/>
                <w:spacing w:val="-2"/>
                <w:sz w:val="18"/>
                <w:szCs w:val="18"/>
              </w:rPr>
              <w:t>“I</w:t>
            </w:r>
            <w:r>
              <w:rPr>
                <w:rFonts w:ascii="Times New Roman" w:hAnsi="Times New Roman" w:cs="Times New Roman" w:eastAsia="Times New Roman" w:hint="default"/>
                <w:spacing w:val="-2"/>
                <w:sz w:val="18"/>
                <w:szCs w:val="18"/>
              </w:rPr>
              <w:t>-ACCESS  </w:t>
            </w:r>
            <w:r>
              <w:rPr>
                <w:rFonts w:ascii="Times New Roman" w:hAnsi="Times New Roman" w:cs="Times New Roman" w:eastAsia="Times New Roman" w:hint="default"/>
                <w:spacing w:val="-3"/>
                <w:sz w:val="18"/>
                <w:szCs w:val="18"/>
              </w:rPr>
              <w:t>N</w:t>
            </w:r>
            <w:r>
              <w:rPr>
                <w:rFonts w:ascii="Times New Roman" w:hAnsi="Times New Roman" w:cs="Times New Roman" w:eastAsia="Times New Roman" w:hint="default"/>
                <w:spacing w:val="-3"/>
                <w:sz w:val="18"/>
                <w:szCs w:val="18"/>
              </w:rPr>
              <w:t>ETWORK</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pacing w:val="-3"/>
                <w:sz w:val="18"/>
                <w:szCs w:val="18"/>
              </w:rPr>
              <w:t>LIMITED”</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展动科技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展动科技（北京）有限公司</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展视互动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北京展视</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北京展视互动科技有限公司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pacing w:val="5"/>
                <w:sz w:val="18"/>
              </w:rPr>
              <w:t> </w:t>
            </w:r>
            <w:r>
              <w:rPr>
                <w:rFonts w:ascii="Times New Roman"/>
                <w:sz w:val="18"/>
              </w:rPr>
              <w:t>BB</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Global</w:t>
            </w:r>
            <w:r>
              <w:rPr>
                <w:rFonts w:ascii="Times New Roman"/>
                <w:spacing w:val="-13"/>
                <w:sz w:val="18"/>
              </w:rPr>
              <w:t> </w:t>
            </w:r>
            <w:r>
              <w:rPr>
                <w:rFonts w:ascii="Times New Roman"/>
                <w:sz w:val="18"/>
              </w:rPr>
              <w:t>Communications,Inc.</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pacing w:val="1"/>
                <w:sz w:val="18"/>
              </w:rPr>
              <w:t> </w:t>
            </w:r>
            <w:r>
              <w:rPr>
                <w:rFonts w:ascii="Times New Roman"/>
                <w:sz w:val="18"/>
              </w:rPr>
              <w:t>Media</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pacing w:val="-3"/>
                <w:sz w:val="18"/>
              </w:rPr>
              <w:t>iTalkBB </w:t>
            </w:r>
            <w:r>
              <w:rPr>
                <w:rFonts w:ascii="Times New Roman"/>
                <w:sz w:val="18"/>
              </w:rPr>
              <w:t>Media</w:t>
            </w:r>
            <w:r>
              <w:rPr>
                <w:rFonts w:ascii="Times New Roman"/>
                <w:spacing w:val="13"/>
                <w:sz w:val="18"/>
              </w:rPr>
              <w:t> </w:t>
            </w:r>
            <w:r>
              <w:rPr>
                <w:rFonts w:ascii="Times New Roman"/>
                <w:spacing w:val="-4"/>
                <w:sz w:val="18"/>
              </w:rPr>
              <w:t>Inc.</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苏州龙遨</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苏州龙遨泛人工智能高科技投资中心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有限合伙</w:t>
            </w:r>
            <w:r>
              <w:rPr>
                <w:rFonts w:ascii="Times New Roman" w:hAnsi="Times New Roman" w:cs="Times New Roman" w:eastAsia="Times New Roman" w:hint="default"/>
                <w:spacing w:val="-3"/>
                <w:sz w:val="18"/>
                <w:szCs w:val="18"/>
              </w:rPr>
              <w:t>)</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联通</w:t>
            </w:r>
            <w:r>
              <w:rPr>
                <w:rFonts w:ascii="Times New Roman" w:hAnsi="Times New Roman" w:cs="Times New Roman" w:eastAsia="Times New Roman" w:hint="default"/>
                <w:sz w:val="18"/>
                <w:szCs w:val="18"/>
              </w:rPr>
              <w:t>/</w:t>
            </w:r>
            <w:r>
              <w:rPr>
                <w:rFonts w:ascii="宋体" w:hAnsi="宋体" w:cs="宋体" w:eastAsia="宋体" w:hint="default"/>
                <w:sz w:val="18"/>
                <w:szCs w:val="18"/>
              </w:rPr>
              <w:t>中国联通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中国联合网络通信集团有限公司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84" w:footer="1022" w:top="1100" w:bottom="122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spacing w:line="240" w:lineRule="auto"/>
        <w:ind w:left="2722" w:right="0"/>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6"/>
        <w:gridCol w:w="2953"/>
        <w:gridCol w:w="2156"/>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二六三</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002467</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股票上市证券交易所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二六三网络通信股份有限公司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二六三网络通信</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NET263</w:t>
            </w:r>
            <w:r>
              <w:rPr>
                <w:rFonts w:ascii="Times New Roman"/>
                <w:spacing w:val="-1"/>
                <w:sz w:val="18"/>
              </w:rPr>
              <w:t> </w:t>
            </w:r>
            <w:r>
              <w:rPr>
                <w:rFonts w:ascii="Times New Roman"/>
                <w:sz w:val="18"/>
              </w:rPr>
              <w:t>Ltd.</w:t>
            </w:r>
          </w:p>
        </w:tc>
      </w:tr>
      <w:tr>
        <w:trPr>
          <w:trHeight w:val="716"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85"/>
              <w:jc w:val="left"/>
              <w:rPr>
                <w:rFonts w:ascii="宋体" w:hAnsi="宋体" w:cs="宋体" w:eastAsia="宋体" w:hint="default"/>
                <w:sz w:val="18"/>
                <w:szCs w:val="18"/>
              </w:rPr>
            </w:pPr>
            <w:r>
              <w:rPr>
                <w:rFonts w:ascii="宋体" w:hAnsi="宋体" w:cs="宋体" w:eastAsia="宋体" w:hint="default"/>
                <w:spacing w:val="-3"/>
                <w:sz w:val="18"/>
                <w:szCs w:val="18"/>
              </w:rPr>
              <w:t>公司的外文名称缩写（如</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NET263</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李小龙</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北京市昌平区城区镇超前路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102200</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北京市朝阳区和平里东土城路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号建达大厦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100013</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hyperlink r:id="rId9">
              <w:r>
                <w:rPr>
                  <w:rFonts w:ascii="Times New Roman"/>
                  <w:spacing w:val="-3"/>
                  <w:sz w:val="18"/>
                </w:rPr>
                <w:t>www.net263.com</w:t>
              </w:r>
            </w:hyperlink>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hyperlink r:id="rId10">
              <w:r>
                <w:rPr>
                  <w:rFonts w:ascii="Times New Roman"/>
                  <w:sz w:val="18"/>
                </w:rPr>
                <w:t>invest263@net263.com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孙丹洪</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6" w:right="0"/>
              <w:jc w:val="left"/>
              <w:rPr>
                <w:rFonts w:ascii="宋体" w:hAnsi="宋体" w:cs="宋体" w:eastAsia="宋体" w:hint="default"/>
                <w:sz w:val="18"/>
                <w:szCs w:val="18"/>
              </w:rPr>
            </w:pPr>
            <w:r>
              <w:rPr>
                <w:rFonts w:ascii="宋体" w:hAnsi="宋体" w:cs="宋体" w:eastAsia="宋体" w:hint="default"/>
                <w:sz w:val="18"/>
                <w:szCs w:val="18"/>
              </w:rPr>
              <w:t>北京市朝阳区和平里东土城路</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号建</w:t>
            </w:r>
          </w:p>
          <w:p>
            <w:pPr>
              <w:pStyle w:val="TableParagraph"/>
              <w:spacing w:line="240" w:lineRule="auto" w:before="67"/>
              <w:ind w:left="106" w:right="0"/>
              <w:jc w:val="left"/>
              <w:rPr>
                <w:rFonts w:ascii="宋体" w:hAnsi="宋体" w:cs="宋体" w:eastAsia="宋体" w:hint="default"/>
                <w:sz w:val="18"/>
                <w:szCs w:val="18"/>
              </w:rPr>
            </w:pPr>
            <w:r>
              <w:rPr>
                <w:rFonts w:ascii="宋体" w:hAnsi="宋体" w:cs="宋体" w:eastAsia="宋体" w:hint="default"/>
                <w:sz w:val="18"/>
                <w:szCs w:val="18"/>
              </w:rPr>
              <w:t>达大厦</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北京市朝阳区和平里东土城路</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号建</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达大厦</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6" w:right="0"/>
              <w:jc w:val="left"/>
              <w:rPr>
                <w:rFonts w:ascii="Times New Roman" w:hAnsi="Times New Roman" w:cs="Times New Roman" w:eastAsia="Times New Roman" w:hint="default"/>
                <w:sz w:val="18"/>
                <w:szCs w:val="18"/>
              </w:rPr>
            </w:pPr>
            <w:r>
              <w:rPr>
                <w:rFonts w:ascii="Times New Roman"/>
                <w:sz w:val="18"/>
              </w:rPr>
              <w:t>010-64260109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010-64260109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6" w:right="0"/>
              <w:jc w:val="left"/>
              <w:rPr>
                <w:rFonts w:ascii="Times New Roman" w:hAnsi="Times New Roman" w:cs="Times New Roman" w:eastAsia="Times New Roman" w:hint="default"/>
                <w:sz w:val="18"/>
                <w:szCs w:val="18"/>
              </w:rPr>
            </w:pPr>
            <w:r>
              <w:rPr>
                <w:rFonts w:ascii="Times New Roman"/>
                <w:sz w:val="18"/>
              </w:rPr>
              <w:t>010-64260109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010-64260109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6" w:right="0"/>
              <w:jc w:val="left"/>
              <w:rPr>
                <w:rFonts w:ascii="Times New Roman" w:hAnsi="Times New Roman" w:cs="Times New Roman" w:eastAsia="Times New Roman" w:hint="default"/>
                <w:sz w:val="18"/>
                <w:szCs w:val="18"/>
              </w:rPr>
            </w:pPr>
            <w:hyperlink r:id="rId10">
              <w:r>
                <w:rPr>
                  <w:rFonts w:ascii="Times New Roman"/>
                  <w:sz w:val="18"/>
                </w:rPr>
                <w:t>invest263@net263.com</w:t>
              </w:r>
            </w:hyperlink>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hyperlink r:id="rId10">
              <w:r>
                <w:rPr>
                  <w:rFonts w:ascii="Times New Roman"/>
                  <w:sz w:val="18"/>
                </w:rPr>
                <w:t>invest263@net263.com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95"/>
        <w:gridCol w:w="5575"/>
      </w:tblGrid>
      <w:tr>
        <w:trPr>
          <w:trHeight w:val="398"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《中国证券报》、《证券时报》</w:t>
            </w:r>
          </w:p>
        </w:tc>
      </w:tr>
      <w:tr>
        <w:trPr>
          <w:trHeight w:val="404"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1">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3"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公司法务证券部</w:t>
            </w:r>
          </w:p>
        </w:tc>
      </w:tr>
    </w:tbl>
    <w:p>
      <w:pPr>
        <w:spacing w:after="0" w:line="240" w:lineRule="auto"/>
        <w:jc w:val="left"/>
        <w:rPr>
          <w:rFonts w:ascii="宋体" w:hAnsi="宋体" w:cs="宋体" w:eastAsia="宋体" w:hint="default"/>
          <w:sz w:val="18"/>
          <w:szCs w:val="18"/>
        </w:rPr>
        <w:sectPr>
          <w:pgSz w:w="11910" w:h="16840"/>
          <w:pgMar w:header="784" w:footer="1022" w:top="1100" w:bottom="1220" w:left="980" w:right="0"/>
        </w:sectPr>
      </w:pPr>
    </w:p>
    <w:p>
      <w:pPr>
        <w:spacing w:line="240" w:lineRule="auto" w:before="6"/>
        <w:rPr>
          <w:rFonts w:ascii="宋体" w:hAnsi="宋体" w:cs="宋体" w:eastAsia="宋体" w:hint="default"/>
          <w:b/>
          <w:bCs/>
          <w:sz w:val="20"/>
          <w:szCs w:val="20"/>
        </w:rPr>
      </w:pPr>
    </w:p>
    <w:p>
      <w:pPr>
        <w:pStyle w:val="Heading2"/>
        <w:spacing w:line="240" w:lineRule="auto" w:before="26"/>
        <w:ind w:left="553" w:right="5618"/>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6"/>
          <w:szCs w:val="26"/>
        </w:rPr>
      </w:pPr>
    </w:p>
    <w:tbl>
      <w:tblPr>
        <w:tblW w:w="0" w:type="auto"/>
        <w:jc w:val="left"/>
        <w:tblInd w:w="440" w:type="dxa"/>
        <w:tblLayout w:type="fixed"/>
        <w:tblCellMar>
          <w:top w:w="0" w:type="dxa"/>
          <w:left w:w="0" w:type="dxa"/>
          <w:bottom w:w="0" w:type="dxa"/>
          <w:right w:w="0" w:type="dxa"/>
        </w:tblCellMar>
        <w:tblLook w:val="01E0"/>
      </w:tblPr>
      <w:tblGrid>
        <w:gridCol w:w="6427"/>
        <w:gridCol w:w="3290"/>
      </w:tblGrid>
      <w:tr>
        <w:trPr>
          <w:trHeight w:val="403" w:hRule="exact"/>
        </w:trPr>
        <w:tc>
          <w:tcPr>
            <w:tcW w:w="6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91110000700347267E</w:t>
            </w:r>
          </w:p>
        </w:tc>
      </w:tr>
      <w:tr>
        <w:trPr>
          <w:trHeight w:val="399" w:hRule="exact"/>
        </w:trPr>
        <w:tc>
          <w:tcPr>
            <w:tcW w:w="6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pacing w:val="-3"/>
                <w:sz w:val="18"/>
                <w:szCs w:val="18"/>
              </w:rPr>
              <w:t>公司上市以来主营业务的变化情况（如有）</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3" w:hRule="exact"/>
        </w:trPr>
        <w:tc>
          <w:tcPr>
            <w:tcW w:w="6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pacing w:val="-3"/>
                <w:sz w:val="18"/>
                <w:szCs w:val="18"/>
              </w:rPr>
              <w:t>历次控股股东的变更情况（如有）</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9"/>
        <w:rPr>
          <w:rFonts w:ascii="宋体" w:hAnsi="宋体" w:cs="宋体" w:eastAsia="宋体" w:hint="default"/>
          <w:b/>
          <w:bCs/>
          <w:sz w:val="17"/>
          <w:szCs w:val="17"/>
        </w:rPr>
      </w:pPr>
    </w:p>
    <w:p>
      <w:pPr>
        <w:pStyle w:val="Heading2"/>
        <w:spacing w:line="240" w:lineRule="auto" w:before="26"/>
        <w:ind w:left="553" w:right="5618"/>
        <w:jc w:val="left"/>
        <w:rPr>
          <w:b w:val="0"/>
          <w:bCs w:val="0"/>
        </w:rPr>
      </w:pPr>
      <w:bookmarkStart w:name="五、其他有关资料" w:id="9"/>
      <w:bookmarkEnd w:id="9"/>
      <w:r>
        <w:rPr>
          <w:b w:val="0"/>
          <w:bCs w:val="0"/>
        </w:rPr>
      </w:r>
      <w:r>
        <w:rPr/>
        <w:t>五、其他有关资料</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553" w:right="5618"/>
        <w:jc w:val="left"/>
      </w:pPr>
      <w:r>
        <w:rPr>
          <w:spacing w:val="-3"/>
        </w:rPr>
        <w:t>公司聘请的会计师事务所</w:t>
      </w:r>
    </w:p>
    <w:p>
      <w:pPr>
        <w:spacing w:line="240" w:lineRule="auto" w:before="13"/>
        <w:rPr>
          <w:rFonts w:ascii="宋体" w:hAnsi="宋体" w:cs="宋体" w:eastAsia="宋体" w:hint="default"/>
          <w:sz w:val="7"/>
          <w:szCs w:val="7"/>
        </w:rPr>
      </w:pPr>
    </w:p>
    <w:tbl>
      <w:tblPr>
        <w:tblW w:w="0" w:type="auto"/>
        <w:jc w:val="left"/>
        <w:tblInd w:w="548" w:type="dxa"/>
        <w:tblLayout w:type="fixed"/>
        <w:tblCellMar>
          <w:top w:w="0" w:type="dxa"/>
          <w:left w:w="0" w:type="dxa"/>
          <w:bottom w:w="0" w:type="dxa"/>
          <w:right w:w="0" w:type="dxa"/>
        </w:tblCellMar>
        <w:tblLook w:val="01E0"/>
      </w:tblPr>
      <w:tblGrid>
        <w:gridCol w:w="2665"/>
        <w:gridCol w:w="6905"/>
      </w:tblGrid>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德勤华永会计师事务所（特殊普通合伙）</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中国上海市延安路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号外滩中心</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楼</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童传江、高天福</w:t>
            </w:r>
          </w:p>
        </w:tc>
      </w:tr>
    </w:tbl>
    <w:p>
      <w:pPr>
        <w:pStyle w:val="BodyText"/>
        <w:spacing w:line="240" w:lineRule="auto" w:before="54"/>
        <w:ind w:left="553" w:right="5618"/>
        <w:jc w:val="left"/>
      </w:pPr>
      <w:r>
        <w:rPr>
          <w:spacing w:val="-3"/>
        </w:rPr>
        <w:t>公司聘请的报告期内履行持续督导职责的保荐机构</w:t>
      </w:r>
    </w:p>
    <w:p>
      <w:pPr>
        <w:pStyle w:val="BodyText"/>
        <w:spacing w:line="338" w:lineRule="auto" w:before="119"/>
        <w:ind w:left="553" w:right="561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公司聘请的报告期内履行持续督导职责的财务顾问</w:t>
      </w:r>
    </w:p>
    <w:p>
      <w:pPr>
        <w:pStyle w:val="BodyText"/>
        <w:spacing w:line="240" w:lineRule="auto" w:before="41"/>
        <w:ind w:left="553" w:right="561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left="553" w:right="5618"/>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53" w:right="5618"/>
        <w:jc w:val="left"/>
      </w:pPr>
      <w:r>
        <w:rPr>
          <w:spacing w:val="-3"/>
        </w:rPr>
        <w:t>公司是否需追溯调整或重述以前年度会计数据</w:t>
      </w:r>
    </w:p>
    <w:p>
      <w:pPr>
        <w:pStyle w:val="BodyText"/>
        <w:spacing w:line="240" w:lineRule="auto" w:before="115"/>
        <w:ind w:left="553" w:right="56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304" w:lineRule="auto" w:before="96"/>
        <w:ind w:left="553" w:right="176"/>
        <w:jc w:val="left"/>
      </w:pPr>
      <w:r>
        <w:rPr>
          <w:spacing w:val="-3"/>
        </w:rPr>
        <w:t>追溯调整或重述原因：其他原因（</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6"/>
        </w:rPr>
        <w:t> </w:t>
      </w:r>
      <w:r>
        <w:rPr>
          <w:spacing w:val="-3"/>
        </w:rPr>
        <w:t>年年度权益分派实施，以资本公积向全体股东每</w:t>
      </w:r>
      <w:r>
        <w:rPr>
          <w:spacing w:val="-20"/>
        </w:rPr>
        <w:t>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24"/>
        </w:rPr>
        <w:t> </w:t>
      </w:r>
      <w:r>
        <w:rPr/>
        <w:t>股转增</w:t>
      </w:r>
      <w:r>
        <w:rPr>
          <w:spacing w:val="-21"/>
        </w:rPr>
        <w:t> </w:t>
      </w: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spacing w:val="-3"/>
        </w:rPr>
        <w:t>股，上年同期基本每股</w:t>
      </w:r>
      <w:r>
        <w:rPr>
          <w:spacing w:val="-79"/>
        </w:rPr>
        <w:t> </w:t>
      </w:r>
      <w:r>
        <w:rPr>
          <w:spacing w:val="-79"/>
        </w:rPr>
      </w:r>
      <w:r>
        <w:rPr>
          <w:spacing w:val="-3"/>
        </w:rPr>
        <w:t>收益和稀释每股收益进行追溯调整）</w:t>
      </w:r>
    </w:p>
    <w:p>
      <w:pPr>
        <w:spacing w:line="240" w:lineRule="auto" w:before="3"/>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1935"/>
        <w:gridCol w:w="1527"/>
        <w:gridCol w:w="1489"/>
        <w:gridCol w:w="1532"/>
        <w:gridCol w:w="1018"/>
        <w:gridCol w:w="1503"/>
        <w:gridCol w:w="1484"/>
      </w:tblGrid>
      <w:tr>
        <w:trPr>
          <w:trHeight w:val="718" w:hRule="exact"/>
        </w:trPr>
        <w:tc>
          <w:tcPr>
            <w:tcW w:w="1935" w:type="dxa"/>
            <w:vMerge w:val="restart"/>
            <w:tcBorders>
              <w:top w:val="single" w:sz="4" w:space="0" w:color="000000"/>
              <w:left w:val="single" w:sz="4" w:space="0" w:color="000000"/>
              <w:right w:val="single" w:sz="4" w:space="0" w:color="000000"/>
            </w:tcBorders>
            <w:shd w:val="clear" w:color="auto" w:fill="D2D2D2"/>
          </w:tcPr>
          <w:p>
            <w:pPr/>
          </w:p>
        </w:tc>
        <w:tc>
          <w:tcPr>
            <w:tcW w:w="15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30" w:right="141" w:hanging="92"/>
              <w:jc w:val="left"/>
              <w:rPr>
                <w:rFonts w:ascii="宋体" w:hAnsi="宋体" w:cs="宋体" w:eastAsia="宋体" w:hint="default"/>
                <w:sz w:val="18"/>
                <w:szCs w:val="18"/>
              </w:rPr>
            </w:pPr>
            <w:r>
              <w:rPr>
                <w:rFonts w:ascii="宋体" w:hAnsi="宋体" w:cs="宋体" w:eastAsia="宋体" w:hint="default"/>
                <w:sz w:val="18"/>
                <w:szCs w:val="18"/>
              </w:rPr>
              <w:t>本年比上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年增减</w:t>
            </w:r>
          </w:p>
        </w:tc>
        <w:tc>
          <w:tcPr>
            <w:tcW w:w="29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1" w:hRule="exact"/>
        </w:trPr>
        <w:tc>
          <w:tcPr>
            <w:tcW w:w="1935" w:type="dxa"/>
            <w:vMerge/>
            <w:tcBorders>
              <w:left w:val="single" w:sz="4" w:space="0" w:color="000000"/>
              <w:bottom w:val="single" w:sz="4" w:space="0" w:color="000000"/>
              <w:right w:val="single" w:sz="4" w:space="0" w:color="000000"/>
            </w:tcBorders>
            <w:shd w:val="clear" w:color="auto" w:fill="D2D2D2"/>
          </w:tcPr>
          <w:p>
            <w:pPr/>
          </w:p>
        </w:tc>
        <w:tc>
          <w:tcPr>
            <w:tcW w:w="1527" w:type="dxa"/>
            <w:vMerge/>
            <w:tcBorders>
              <w:left w:val="single" w:sz="4" w:space="0" w:color="000000"/>
              <w:bottom w:val="single" w:sz="4" w:space="0" w:color="000000"/>
              <w:right w:val="single" w:sz="4" w:space="0" w:color="000000"/>
            </w:tcBorders>
            <w:shd w:val="clear" w:color="auto" w:fill="D2D2D2"/>
          </w:tcPr>
          <w:p>
            <w:pP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8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7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4"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1,013,565,798.16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928,733,524.63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928,733,524.63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9.13%</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835,851,735.87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835,851,735.87</w:t>
            </w:r>
          </w:p>
        </w:tc>
      </w:tr>
      <w:tr>
        <w:trPr>
          <w:trHeight w:val="715"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0" w:right="199"/>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的净利润（元）</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174,612,994.49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86,042,223.02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86,042,223.02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102.94%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30,986,896.11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30,986,896.11</w:t>
            </w:r>
          </w:p>
        </w:tc>
      </w:tr>
      <w:tr>
        <w:trPr>
          <w:trHeight w:val="1023"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0" w:right="199"/>
              <w:jc w:val="both"/>
              <w:rPr>
                <w:rFonts w:ascii="宋体" w:hAnsi="宋体" w:cs="宋体" w:eastAsia="宋体" w:hint="default"/>
                <w:sz w:val="18"/>
                <w:szCs w:val="18"/>
              </w:rPr>
            </w:pPr>
            <w:r>
              <w:rPr>
                <w:rFonts w:ascii="宋体" w:hAnsi="宋体" w:cs="宋体" w:eastAsia="宋体" w:hint="default"/>
                <w:spacing w:val="-3"/>
                <w:sz w:val="18"/>
                <w:szCs w:val="18"/>
              </w:rPr>
              <w:t>归属于上市公司股东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的扣除非经常性损益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的净利润（元）</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36,671,967.01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79,138,319.07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79,138,319.07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-53.66%</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11,010,772.43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11,010,772.43</w:t>
            </w:r>
          </w:p>
        </w:tc>
      </w:tr>
      <w:tr>
        <w:trPr>
          <w:trHeight w:val="715"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0" w:right="199"/>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流量净额（元）</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146,243,612.74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127,495,669.92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127,495,669.92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14.70%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141,349,980.76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141,349,980.76</w:t>
            </w:r>
          </w:p>
        </w:tc>
      </w:tr>
      <w:tr>
        <w:trPr>
          <w:trHeight w:val="403"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0.13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0.11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116.67%</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0.02</w:t>
            </w:r>
          </w:p>
        </w:tc>
      </w:tr>
      <w:tr>
        <w:trPr>
          <w:trHeight w:val="403"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0.13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0.11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116.67%</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0.02</w:t>
            </w:r>
          </w:p>
        </w:tc>
      </w:tr>
      <w:tr>
        <w:trPr>
          <w:trHeight w:val="716"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0" w:right="199"/>
              <w:jc w:val="left"/>
              <w:rPr>
                <w:rFonts w:ascii="宋体" w:hAnsi="宋体" w:cs="宋体" w:eastAsia="宋体" w:hint="default"/>
                <w:sz w:val="18"/>
                <w:szCs w:val="18"/>
              </w:rPr>
            </w:pPr>
            <w:r>
              <w:rPr>
                <w:rFonts w:ascii="宋体" w:hAnsi="宋体" w:cs="宋体" w:eastAsia="宋体" w:hint="default"/>
                <w:spacing w:val="-3"/>
                <w:sz w:val="18"/>
                <w:szCs w:val="18"/>
              </w:rPr>
              <w:t>加权平均净资产收益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率</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8.72%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4.09%</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1.72%</w:t>
            </w:r>
          </w:p>
        </w:tc>
      </w:tr>
    </w:tbl>
    <w:p>
      <w:pPr>
        <w:spacing w:after="0" w:line="240" w:lineRule="auto"/>
        <w:jc w:val="right"/>
        <w:rPr>
          <w:rFonts w:ascii="Times New Roman" w:hAnsi="Times New Roman" w:cs="Times New Roman" w:eastAsia="Times New Roman" w:hint="default"/>
          <w:sz w:val="18"/>
          <w:szCs w:val="18"/>
        </w:rPr>
        <w:sectPr>
          <w:pgSz w:w="11910" w:h="16840"/>
          <w:pgMar w:header="784" w:footer="1022" w:top="1100" w:bottom="1220" w:left="580" w:right="0"/>
        </w:sectPr>
      </w:pPr>
    </w:p>
    <w:p>
      <w:pPr>
        <w:spacing w:line="240" w:lineRule="auto" w:before="7"/>
        <w:rPr>
          <w:rFonts w:ascii="宋体" w:hAnsi="宋体" w:cs="宋体" w:eastAsia="宋体" w:hint="default"/>
          <w:sz w:val="25"/>
          <w:szCs w:val="25"/>
        </w:rPr>
      </w:pPr>
    </w:p>
    <w:tbl>
      <w:tblPr>
        <w:tblW w:w="0" w:type="auto"/>
        <w:jc w:val="left"/>
        <w:tblInd w:w="102" w:type="dxa"/>
        <w:tblLayout w:type="fixed"/>
        <w:tblCellMar>
          <w:top w:w="0" w:type="dxa"/>
          <w:left w:w="0" w:type="dxa"/>
          <w:bottom w:w="0" w:type="dxa"/>
          <w:right w:w="0" w:type="dxa"/>
        </w:tblCellMar>
        <w:tblLook w:val="01E0"/>
      </w:tblPr>
      <w:tblGrid>
        <w:gridCol w:w="1935"/>
        <w:gridCol w:w="1527"/>
        <w:gridCol w:w="1489"/>
        <w:gridCol w:w="1532"/>
        <w:gridCol w:w="1018"/>
        <w:gridCol w:w="1503"/>
        <w:gridCol w:w="1484"/>
      </w:tblGrid>
      <w:tr>
        <w:trPr>
          <w:trHeight w:val="1027" w:hRule="exact"/>
        </w:trPr>
        <w:tc>
          <w:tcPr>
            <w:tcW w:w="1935" w:type="dxa"/>
            <w:vMerge w:val="restart"/>
            <w:tcBorders>
              <w:top w:val="single" w:sz="4" w:space="0" w:color="000000"/>
              <w:left w:val="single" w:sz="4" w:space="0" w:color="000000"/>
              <w:right w:val="single" w:sz="4" w:space="0" w:color="000000"/>
            </w:tcBorders>
            <w:shd w:val="clear" w:color="auto" w:fill="D2D2D2"/>
          </w:tcPr>
          <w:p>
            <w:pPr/>
          </w:p>
        </w:tc>
        <w:tc>
          <w:tcPr>
            <w:tcW w:w="15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39" w:right="141"/>
              <w:jc w:val="center"/>
              <w:rPr>
                <w:rFonts w:ascii="宋体" w:hAnsi="宋体" w:cs="宋体" w:eastAsia="宋体" w:hint="default"/>
                <w:sz w:val="18"/>
                <w:szCs w:val="18"/>
              </w:rPr>
            </w:pPr>
            <w:r>
              <w:rPr>
                <w:rFonts w:ascii="宋体" w:hAnsi="宋体" w:cs="宋体" w:eastAsia="宋体" w:hint="default"/>
                <w:spacing w:val="-2"/>
                <w:sz w:val="18"/>
                <w:szCs w:val="18"/>
              </w:rPr>
              <w:t>本年末比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上年末增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减</w:t>
            </w:r>
          </w:p>
        </w:tc>
        <w:tc>
          <w:tcPr>
            <w:tcW w:w="29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399" w:hRule="exact"/>
        </w:trPr>
        <w:tc>
          <w:tcPr>
            <w:tcW w:w="1935" w:type="dxa"/>
            <w:vMerge/>
            <w:tcBorders>
              <w:left w:val="single" w:sz="4" w:space="0" w:color="000000"/>
              <w:bottom w:val="single" w:sz="4" w:space="0" w:color="000000"/>
              <w:right w:val="single" w:sz="4" w:space="0" w:color="000000"/>
            </w:tcBorders>
            <w:shd w:val="clear" w:color="auto" w:fill="D2D2D2"/>
          </w:tcPr>
          <w:p>
            <w:pPr/>
          </w:p>
        </w:tc>
        <w:tc>
          <w:tcPr>
            <w:tcW w:w="1527" w:type="dxa"/>
            <w:vMerge/>
            <w:tcBorders>
              <w:left w:val="single" w:sz="4" w:space="0" w:color="000000"/>
              <w:bottom w:val="single" w:sz="4" w:space="0" w:color="000000"/>
              <w:right w:val="single" w:sz="4" w:space="0" w:color="000000"/>
            </w:tcBorders>
            <w:shd w:val="clear" w:color="auto" w:fill="D2D2D2"/>
          </w:tcPr>
          <w:p>
            <w:pP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2,708,651,589.48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 w:right="0"/>
              <w:jc w:val="center"/>
              <w:rPr>
                <w:rFonts w:ascii="Times New Roman" w:hAnsi="Times New Roman" w:cs="Times New Roman" w:eastAsia="Times New Roman" w:hint="default"/>
                <w:sz w:val="18"/>
                <w:szCs w:val="18"/>
              </w:rPr>
            </w:pPr>
            <w:r>
              <w:rPr>
                <w:rFonts w:ascii="Times New Roman"/>
                <w:sz w:val="18"/>
              </w:rPr>
              <w:t>2,539,538,499.89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center"/>
              <w:rPr>
                <w:rFonts w:ascii="Times New Roman" w:hAnsi="Times New Roman" w:cs="Times New Roman" w:eastAsia="Times New Roman" w:hint="default"/>
                <w:sz w:val="18"/>
                <w:szCs w:val="18"/>
              </w:rPr>
            </w:pPr>
            <w:r>
              <w:rPr>
                <w:rFonts w:ascii="Times New Roman"/>
                <w:sz w:val="18"/>
              </w:rPr>
              <w:t>2,539,538,499.89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6.66%</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 w:right="0"/>
              <w:jc w:val="center"/>
              <w:rPr>
                <w:rFonts w:ascii="Times New Roman" w:hAnsi="Times New Roman" w:cs="Times New Roman" w:eastAsia="Times New Roman" w:hint="default"/>
                <w:sz w:val="18"/>
                <w:szCs w:val="18"/>
              </w:rPr>
            </w:pPr>
            <w:r>
              <w:rPr>
                <w:rFonts w:ascii="Times New Roman"/>
                <w:sz w:val="18"/>
              </w:rPr>
              <w:t>2,375,904,975.20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 w:right="0"/>
              <w:jc w:val="center"/>
              <w:rPr>
                <w:rFonts w:ascii="Times New Roman" w:hAnsi="Times New Roman" w:cs="Times New Roman" w:eastAsia="Times New Roman" w:hint="default"/>
                <w:sz w:val="18"/>
                <w:szCs w:val="18"/>
              </w:rPr>
            </w:pPr>
            <w:r>
              <w:rPr>
                <w:rFonts w:ascii="Times New Roman"/>
                <w:sz w:val="18"/>
              </w:rPr>
              <w:t>2,375,904,975.20</w:t>
            </w:r>
          </w:p>
        </w:tc>
      </w:tr>
      <w:tr>
        <w:trPr>
          <w:trHeight w:val="715"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0" w:right="199"/>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的净资产（元）</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2,062,692,811.76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1,902,702,794.12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1,902,702,794.12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8.41%</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1,811,879,665.90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1,811,879,665.90</w:t>
            </w:r>
          </w:p>
        </w:tc>
      </w:tr>
    </w:tbl>
    <w:p>
      <w:pPr>
        <w:spacing w:line="240" w:lineRule="auto" w:before="9"/>
        <w:rPr>
          <w:rFonts w:ascii="宋体" w:hAnsi="宋体" w:cs="宋体" w:eastAsia="宋体" w:hint="default"/>
          <w:sz w:val="17"/>
          <w:szCs w:val="17"/>
        </w:rPr>
      </w:pPr>
    </w:p>
    <w:p>
      <w:pPr>
        <w:pStyle w:val="Heading2"/>
        <w:spacing w:line="240" w:lineRule="auto" w:before="26"/>
        <w:ind w:left="553" w:right="5618"/>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553" w:right="176"/>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left="553" w:right="154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公司报告期不存在按照国际会计准则与按照中国会计准则披露的财务报告中净利润和净资产差异情况。</w:t>
      </w:r>
    </w:p>
    <w:p>
      <w:pPr>
        <w:spacing w:line="240" w:lineRule="auto" w:before="0"/>
        <w:rPr>
          <w:rFonts w:ascii="宋体" w:hAnsi="宋体" w:cs="宋体" w:eastAsia="宋体" w:hint="default"/>
          <w:sz w:val="21"/>
          <w:szCs w:val="21"/>
        </w:rPr>
      </w:pPr>
    </w:p>
    <w:p>
      <w:pPr>
        <w:pStyle w:val="Heading4"/>
        <w:spacing w:line="240" w:lineRule="auto"/>
        <w:ind w:left="553" w:right="176"/>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left="553" w:right="154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公司报告期不存在按照境外会计准则与按照中国会计准则披露的财务报告中净利润和净资产差异情况。</w:t>
      </w:r>
    </w:p>
    <w:p>
      <w:pPr>
        <w:spacing w:line="240" w:lineRule="auto" w:before="4"/>
        <w:rPr>
          <w:rFonts w:ascii="宋体" w:hAnsi="宋体" w:cs="宋体" w:eastAsia="宋体" w:hint="default"/>
          <w:sz w:val="18"/>
          <w:szCs w:val="18"/>
        </w:rPr>
      </w:pPr>
    </w:p>
    <w:p>
      <w:pPr>
        <w:pStyle w:val="Heading2"/>
        <w:spacing w:line="240" w:lineRule="auto"/>
        <w:ind w:left="553" w:right="5618"/>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548" w:type="dxa"/>
        <w:tblLayout w:type="fixed"/>
        <w:tblCellMar>
          <w:top w:w="0" w:type="dxa"/>
          <w:left w:w="0" w:type="dxa"/>
          <w:bottom w:w="0" w:type="dxa"/>
          <w:right w:w="0" w:type="dxa"/>
        </w:tblCellMar>
        <w:tblLook w:val="01E0"/>
      </w:tblPr>
      <w:tblGrid>
        <w:gridCol w:w="2622"/>
        <w:gridCol w:w="1743"/>
        <w:gridCol w:w="1738"/>
        <w:gridCol w:w="1738"/>
        <w:gridCol w:w="1733"/>
      </w:tblGrid>
      <w:tr>
        <w:trPr>
          <w:trHeight w:val="399"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262,463,173.80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247,619,247.51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261,237,243.57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242,246,133.28</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36,924,947.38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27,293,223.69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27,377,523.99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83,017,299.43</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61"/>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经常性损益的净利润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34,687,985.10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27,162,322.15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24,593,723.45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-49,772,063.69</w:t>
            </w: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41,078,463.72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16,604,695.35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24,132,371.41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64,428,082.26</w:t>
            </w:r>
          </w:p>
        </w:tc>
      </w:tr>
    </w:tbl>
    <w:p>
      <w:pPr>
        <w:pStyle w:val="BodyText"/>
        <w:spacing w:line="240" w:lineRule="auto" w:before="53"/>
        <w:ind w:left="553" w:right="176"/>
        <w:jc w:val="left"/>
      </w:pPr>
      <w:r>
        <w:rPr>
          <w:spacing w:val="-3"/>
        </w:rPr>
        <w:t>上述财务指标或其加总数是否与公司已披露季度报告、半年度报告相关财务指标存在重大差异</w:t>
      </w:r>
    </w:p>
    <w:p>
      <w:pPr>
        <w:pStyle w:val="BodyText"/>
        <w:spacing w:line="240" w:lineRule="auto" w:before="119"/>
        <w:ind w:left="553" w:right="56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84" w:footer="1022" w:top="1100" w:bottom="1220" w:left="5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2"/>
        <w:spacing w:line="240" w:lineRule="auto" w:before="26"/>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46"/>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294"/>
        <w:gridCol w:w="1340"/>
        <w:gridCol w:w="1224"/>
        <w:gridCol w:w="1249"/>
        <w:gridCol w:w="2751"/>
      </w:tblGrid>
      <w:tr>
        <w:trPr>
          <w:trHeight w:val="398"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2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14"/>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减值准备的冲销部分）</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-1,425,364.89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-3,366,724.29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-2,374,981.68</w:t>
            </w:r>
          </w:p>
        </w:tc>
        <w:tc>
          <w:tcPr>
            <w:tcW w:w="275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05" w:right="113"/>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密切相关，按照国家统一标准定额或定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量享受的政府补助除外）</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3,091,847.09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4,257,261.84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3,959,503.36</w:t>
            </w:r>
          </w:p>
        </w:tc>
        <w:tc>
          <w:tcPr>
            <w:tcW w:w="2751"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14"/>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保值业务外，持有交易性金融资产、衍</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生金融资产、交易性金融负债、衍生金</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融负债产生的公允价值变动损益，以及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处置交易性金融资产、衍生金融资产、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交易性金融负债、衍生金融负债和其他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债权投资取得的投资收益</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186,011,895.49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5,016,401.34</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2"/>
                <w:sz w:val="18"/>
              </w:rPr>
              <w:t>4,344,727.11</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30"/>
              <w:ind w:left="105" w:right="9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、主要系本报告期内，其他非流</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动金融资产公允价值变动损益</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Times New Roman" w:hAnsi="Times New Roman" w:cs="Times New Roman" w:eastAsia="Times New Roman" w:hint="default"/>
                <w:sz w:val="18"/>
                <w:szCs w:val="18"/>
              </w:rPr>
              <w:t>17,600.96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、主要系报告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期内，银行理财产品产生的投资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收益</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747.73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1959"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5" w:right="114"/>
              <w:jc w:val="left"/>
              <w:rPr>
                <w:rFonts w:ascii="宋体" w:hAnsi="宋体" w:cs="宋体" w:eastAsia="宋体" w:hint="default"/>
                <w:sz w:val="18"/>
                <w:szCs w:val="18"/>
              </w:rPr>
            </w:pPr>
            <w:r>
              <w:rPr>
                <w:rFonts w:ascii="宋体" w:hAnsi="宋体" w:cs="宋体" w:eastAsia="宋体" w:hint="default"/>
                <w:spacing w:val="-3"/>
                <w:sz w:val="18"/>
                <w:szCs w:val="18"/>
              </w:rPr>
              <w:t>单独进行减值测试的应收款项、合同资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产减值准备转回</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2,054,025.60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338,349.92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2,600,858.57</w:t>
            </w:r>
          </w:p>
        </w:tc>
        <w:tc>
          <w:tcPr>
            <w:tcW w:w="27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105" w:right="99"/>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、主要系本报告期内，单项金额</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重大并单独计提坏账准备的应收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账款收回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396.72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万美金；</w:t>
            </w:r>
            <w:r>
              <w:rPr>
                <w:rFonts w:ascii="Times New Roman" w:hAnsi="Times New Roman" w:cs="Times New Roman" w:eastAsia="Times New Roman" w:hint="default"/>
                <w:sz w:val="18"/>
                <w:szCs w:val="18"/>
              </w:rPr>
              <w:t>2</w:t>
            </w:r>
            <w:r>
              <w:rPr>
                <w:rFonts w:ascii="宋体" w:hAnsi="宋体" w:cs="宋体" w:eastAsia="宋体" w:hint="default"/>
                <w:sz w:val="18"/>
                <w:szCs w:val="18"/>
              </w:rPr>
              <w:t>、主</w:t>
            </w:r>
            <w:r>
              <w:rPr>
                <w:rFonts w:ascii="宋体" w:hAnsi="宋体" w:cs="宋体" w:eastAsia="宋体" w:hint="default"/>
                <w:spacing w:val="-85"/>
                <w:sz w:val="18"/>
                <w:szCs w:val="18"/>
              </w:rPr>
              <w:t> </w:t>
            </w:r>
            <w:r>
              <w:rPr>
                <w:rFonts w:ascii="宋体" w:hAnsi="宋体" w:cs="宋体" w:eastAsia="宋体" w:hint="default"/>
                <w:spacing w:val="-3"/>
                <w:sz w:val="18"/>
                <w:szCs w:val="18"/>
              </w:rPr>
              <w:t>要系本报告期内，单项金额重大</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并单独计提坏账准备的应收账款</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收回</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71.42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1027"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14"/>
              <w:jc w:val="both"/>
              <w:rPr>
                <w:rFonts w:ascii="宋体" w:hAnsi="宋体" w:cs="宋体" w:eastAsia="宋体" w:hint="default"/>
                <w:sz w:val="18"/>
                <w:szCs w:val="18"/>
              </w:rPr>
            </w:pPr>
            <w:r>
              <w:rPr>
                <w:rFonts w:ascii="宋体" w:hAnsi="宋体" w:cs="宋体" w:eastAsia="宋体" w:hint="default"/>
                <w:spacing w:val="-3"/>
                <w:sz w:val="18"/>
                <w:szCs w:val="18"/>
              </w:rPr>
              <w:t>根据税收、会计等法律、法规的要求对</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当期损益进行一次性调整对当期损益的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134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16,328,324.38</w:t>
            </w:r>
          </w:p>
        </w:tc>
        <w:tc>
          <w:tcPr>
            <w:tcW w:w="275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14"/>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出</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-6,172,612.01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870,227.28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-5,764,418.09</w:t>
            </w:r>
          </w:p>
        </w:tc>
        <w:tc>
          <w:tcPr>
            <w:tcW w:w="27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45,612,255.62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204,657.47</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2"/>
                <w:sz w:val="18"/>
              </w:rPr>
              <w:t>-882,110.03</w:t>
            </w:r>
          </w:p>
        </w:tc>
        <w:tc>
          <w:tcPr>
            <w:tcW w:w="275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6,508.18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6,954.67</w:t>
            </w:r>
          </w:p>
        </w:tc>
        <w:tc>
          <w:tcPr>
            <w:tcW w:w="1249" w:type="dxa"/>
            <w:tcBorders>
              <w:top w:val="single" w:sz="4" w:space="0" w:color="000000"/>
              <w:left w:val="single" w:sz="4" w:space="0" w:color="000000"/>
              <w:bottom w:val="single" w:sz="4" w:space="0" w:color="000000"/>
              <w:right w:val="single" w:sz="4" w:space="0" w:color="000000"/>
            </w:tcBorders>
          </w:tcPr>
          <w:p>
            <w:pPr/>
          </w:p>
        </w:tc>
        <w:tc>
          <w:tcPr>
            <w:tcW w:w="27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137,941,027.48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6,903,903.95</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0"/>
              <w:jc w:val="right"/>
              <w:rPr>
                <w:rFonts w:ascii="Times New Roman" w:hAnsi="Times New Roman" w:cs="Times New Roman" w:eastAsia="Times New Roman" w:hint="default"/>
                <w:sz w:val="18"/>
                <w:szCs w:val="18"/>
              </w:rPr>
            </w:pPr>
            <w:r>
              <w:rPr>
                <w:rFonts w:ascii="Times New Roman"/>
                <w:spacing w:val="-1"/>
                <w:sz w:val="18"/>
              </w:rPr>
              <w:t>19,976,123.68</w:t>
            </w:r>
          </w:p>
        </w:tc>
        <w:tc>
          <w:tcPr>
            <w:tcW w:w="2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left="153"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63"/>
        <w:ind w:left="153" w:right="1029"/>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6"/>
        </w:rPr>
        <w:t> </w:t>
      </w:r>
      <w:r>
        <w:rPr>
          <w:spacing w:val="-36"/>
        </w:rPr>
      </w:r>
      <w:r>
        <w:rPr/>
        <w:t>说明原因</w:t>
      </w:r>
    </w:p>
    <w:p>
      <w:pPr>
        <w:pStyle w:val="BodyText"/>
        <w:spacing w:line="240" w:lineRule="auto" w:before="66"/>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4" w:lineRule="auto" w:before="96"/>
        <w:ind w:left="153" w:right="0"/>
        <w:jc w:val="left"/>
      </w:pPr>
      <w:r>
        <w:rPr>
          <w:spacing w:val="-4"/>
        </w:rPr>
        <w:t>公司报告期不存在将根据《公开发行证券的公司信息披露解释性公告第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非经常性损益》定义、列举的非经常性损益</w:t>
      </w:r>
      <w:r>
        <w:rPr>
          <w:spacing w:val="-24"/>
        </w:rPr>
        <w:t> </w:t>
      </w:r>
      <w:r>
        <w:rPr>
          <w:spacing w:val="-24"/>
        </w:rPr>
      </w:r>
      <w:r>
        <w:rPr>
          <w:spacing w:val="-3"/>
        </w:rPr>
        <w:t>项目界定为经常性损益的项目的情形。</w:t>
      </w:r>
    </w:p>
    <w:p>
      <w:pPr>
        <w:spacing w:after="0" w:line="304" w:lineRule="auto"/>
        <w:jc w:val="left"/>
        <w:sectPr>
          <w:pgSz w:w="11910" w:h="16840"/>
          <w:pgMar w:header="784" w:footer="1022" w:top="110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529" w:right="0"/>
        <w:jc w:val="left"/>
        <w:rPr>
          <w:b w:val="0"/>
          <w:bCs w:val="0"/>
        </w:rPr>
      </w:pPr>
      <w:bookmarkStart w:name="第三节公司业务概要" w:id="16"/>
      <w:bookmarkEnd w:id="16"/>
      <w:r>
        <w:rPr>
          <w:b w:val="0"/>
          <w:bCs w:val="0"/>
        </w:rPr>
      </w:r>
      <w:bookmarkStart w:name="_bookmark2" w:id="17"/>
      <w:bookmarkEnd w:id="17"/>
      <w:r>
        <w:rPr>
          <w:b w:val="0"/>
          <w:bCs w:val="0"/>
        </w:rPr>
      </w:r>
      <w:r>
        <w:rPr/>
        <w:t>第三节公司业务概要</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3"/>
        <w:rPr>
          <w:rFonts w:ascii="宋体" w:hAnsi="宋体" w:cs="宋体" w:eastAsia="宋体" w:hint="default"/>
          <w:b/>
          <w:bCs/>
          <w:sz w:val="27"/>
          <w:szCs w:val="27"/>
        </w:rPr>
      </w:pPr>
    </w:p>
    <w:p>
      <w:pPr>
        <w:pStyle w:val="BodyText"/>
        <w:spacing w:line="316" w:lineRule="auto"/>
        <w:ind w:left="455" w:right="0"/>
        <w:jc w:val="left"/>
      </w:pPr>
      <w:r>
        <w:rPr>
          <w:spacing w:val="-3"/>
        </w:rPr>
        <w:t>公司致力于运用互联网技术和转售方式为客户提供通信服务。</w:t>
      </w:r>
      <w:r>
        <w:rPr>
          <w:spacing w:val="-10"/>
        </w:rPr>
        <w:t> </w:t>
      </w:r>
      <w:r>
        <w:rPr>
          <w:spacing w:val="-10"/>
        </w:rPr>
      </w:r>
      <w:r>
        <w:rPr>
          <w:spacing w:val="-3"/>
        </w:rPr>
        <w:t>在企业客户市场，公司在企业通信和协同办公领域为国内各类企业客户提供企业级</w:t>
      </w:r>
      <w:r>
        <w:rPr>
          <w:rFonts w:ascii="Times New Roman" w:hAnsi="Times New Roman" w:cs="Times New Roman" w:eastAsia="Times New Roman" w:hint="default"/>
          <w:spacing w:val="-3"/>
        </w:rPr>
        <w:t>SaaS</w:t>
      </w:r>
      <w:r>
        <w:rPr>
          <w:spacing w:val="-3"/>
        </w:rPr>
        <w:t>服务，同时，公司借助国家</w:t>
      </w:r>
      <w:r>
        <w:rPr>
          <w:rFonts w:ascii="Times New Roman" w:hAnsi="Times New Roman" w:cs="Times New Roman" w:eastAsia="Times New Roman" w:hint="default"/>
          <w:spacing w:val="-3"/>
        </w:rPr>
        <w:t>“</w:t>
      </w:r>
      <w:r>
        <w:rPr>
          <w:spacing w:val="-3"/>
        </w:rPr>
        <w:t>一</w:t>
      </w:r>
    </w:p>
    <w:p>
      <w:pPr>
        <w:pStyle w:val="BodyText"/>
        <w:spacing w:line="300" w:lineRule="auto"/>
        <w:ind w:left="455" w:right="0" w:hanging="303"/>
        <w:jc w:val="left"/>
      </w:pPr>
      <w:r>
        <w:rPr>
          <w:spacing w:val="-3"/>
        </w:rPr>
        <w:t>带一路</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走出去</w:t>
      </w:r>
      <w:r>
        <w:rPr>
          <w:rFonts w:ascii="Times New Roman" w:hAnsi="Times New Roman" w:cs="Times New Roman" w:eastAsia="Times New Roman" w:hint="default"/>
          <w:spacing w:val="-3"/>
        </w:rPr>
        <w:t>”</w:t>
      </w:r>
      <w:r>
        <w:rPr>
          <w:spacing w:val="-3"/>
        </w:rPr>
        <w:t>战略、积极开展企业国际化通信服务，向企业用户提供国际跨境通信服务和境外本地通信服务。</w:t>
      </w:r>
      <w:r>
        <w:rPr>
          <w:spacing w:val="60"/>
        </w:rPr>
        <w:t> </w:t>
      </w:r>
      <w:r>
        <w:rPr>
          <w:spacing w:val="60"/>
        </w:rPr>
      </w:r>
      <w:r>
        <w:rPr>
          <w:spacing w:val="-3"/>
        </w:rPr>
        <w:t>在个人客户市场，公司主要为北美华人提供家庭安防、家庭电话以及多平台、多终端的中文视频内容服务，致力于成为</w:t>
      </w:r>
    </w:p>
    <w:p>
      <w:pPr>
        <w:pStyle w:val="BodyText"/>
        <w:spacing w:line="240" w:lineRule="auto" w:before="31"/>
        <w:ind w:left="153" w:right="0"/>
        <w:jc w:val="left"/>
      </w:pPr>
      <w:r>
        <w:rPr>
          <w:spacing w:val="-3"/>
        </w:rPr>
        <w:t>北美地区的互联网综合服务商。</w:t>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53"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4"/>
        <w:gridCol w:w="6516"/>
      </w:tblGrid>
      <w:tr>
        <w:trPr>
          <w:trHeight w:val="76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0" w:right="94"/>
              <w:jc w:val="left"/>
              <w:rPr>
                <w:rFonts w:ascii="宋体" w:hAnsi="宋体" w:cs="宋体" w:eastAsia="宋体" w:hint="default"/>
                <w:sz w:val="18"/>
                <w:szCs w:val="18"/>
              </w:rPr>
            </w:pPr>
            <w:r>
              <w:rPr>
                <w:rFonts w:ascii="宋体" w:hAnsi="宋体" w:cs="宋体" w:eastAsia="宋体" w:hint="default"/>
                <w:sz w:val="18"/>
                <w:szCs w:val="18"/>
              </w:rPr>
              <w:t>本期末较年初增加 </w:t>
            </w:r>
            <w:r>
              <w:rPr>
                <w:rFonts w:ascii="Times New Roman" w:hAnsi="Times New Roman" w:cs="Times New Roman" w:eastAsia="Times New Roman" w:hint="default"/>
                <w:sz w:val="18"/>
                <w:szCs w:val="18"/>
              </w:rPr>
              <w:t>21,232.07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增加比例 </w:t>
            </w:r>
            <w:r>
              <w:rPr>
                <w:rFonts w:ascii="Times New Roman" w:hAnsi="Times New Roman" w:cs="Times New Roman" w:eastAsia="Times New Roman" w:hint="default"/>
                <w:spacing w:val="-6"/>
                <w:sz w:val="18"/>
                <w:szCs w:val="18"/>
              </w:rPr>
              <w:t>86.83%</w:t>
            </w:r>
            <w:r>
              <w:rPr>
                <w:rFonts w:ascii="宋体" w:hAnsi="宋体" w:cs="宋体" w:eastAsia="宋体" w:hint="default"/>
                <w:spacing w:val="-6"/>
                <w:sz w:val="18"/>
                <w:szCs w:val="18"/>
              </w:rPr>
              <w:t>，主要系本报告期持有的非流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动金融资产公允价值上升所致。</w:t>
            </w:r>
          </w:p>
        </w:tc>
      </w:tr>
      <w:tr>
        <w:trPr>
          <w:trHeight w:val="39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未发生重大变化</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未发生重大变化</w:t>
            </w:r>
          </w:p>
        </w:tc>
      </w:tr>
      <w:tr>
        <w:trPr>
          <w:trHeight w:val="71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0" w:right="171"/>
              <w:jc w:val="left"/>
              <w:rPr>
                <w:rFonts w:ascii="宋体" w:hAnsi="宋体" w:cs="宋体" w:eastAsia="宋体" w:hint="default"/>
                <w:sz w:val="18"/>
                <w:szCs w:val="18"/>
              </w:rPr>
            </w:pPr>
            <w:r>
              <w:rPr>
                <w:rFonts w:ascii="宋体" w:hAnsi="宋体" w:cs="宋体" w:eastAsia="宋体" w:hint="default"/>
                <w:sz w:val="18"/>
                <w:szCs w:val="18"/>
              </w:rPr>
              <w:t>本期末较年初增加</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81.04</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万元，增加比例</w:t>
            </w:r>
            <w:r>
              <w:rPr>
                <w:rFonts w:ascii="宋体" w:hAnsi="宋体" w:cs="宋体" w:eastAsia="宋体" w:hint="default"/>
                <w:spacing w:val="-23"/>
                <w:sz w:val="18"/>
                <w:szCs w:val="18"/>
              </w:rPr>
              <w:t> </w:t>
            </w:r>
            <w:r>
              <w:rPr>
                <w:rFonts w:ascii="Times New Roman" w:hAnsi="Times New Roman" w:cs="Times New Roman" w:eastAsia="Times New Roman" w:hint="default"/>
                <w:spacing w:val="-3"/>
                <w:sz w:val="18"/>
                <w:szCs w:val="18"/>
              </w:rPr>
              <w:t>131.20%</w:t>
            </w:r>
            <w:r>
              <w:rPr>
                <w:rFonts w:ascii="宋体" w:hAnsi="宋体" w:cs="宋体" w:eastAsia="宋体" w:hint="default"/>
                <w:spacing w:val="-3"/>
                <w:sz w:val="18"/>
                <w:szCs w:val="18"/>
              </w:rPr>
              <w:t>，主要系本报告期国际业务骨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干平台建设所致。</w:t>
            </w:r>
          </w:p>
        </w:tc>
      </w:tr>
      <w:tr>
        <w:trPr>
          <w:trHeight w:val="71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0" w:right="175"/>
              <w:jc w:val="left"/>
              <w:rPr>
                <w:rFonts w:ascii="宋体" w:hAnsi="宋体" w:cs="宋体" w:eastAsia="宋体" w:hint="default"/>
                <w:sz w:val="18"/>
                <w:szCs w:val="18"/>
              </w:rPr>
            </w:pPr>
            <w:r>
              <w:rPr>
                <w:rFonts w:ascii="宋体" w:hAnsi="宋体" w:cs="宋体" w:eastAsia="宋体" w:hint="default"/>
                <w:sz w:val="18"/>
                <w:szCs w:val="18"/>
              </w:rPr>
              <w:t>本期末较年初减少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32,684.57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万元，减少比例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53.08%</w:t>
            </w:r>
            <w:r>
              <w:rPr>
                <w:rFonts w:ascii="宋体" w:hAnsi="宋体" w:cs="宋体" w:eastAsia="宋体" w:hint="default"/>
                <w:sz w:val="18"/>
                <w:szCs w:val="18"/>
              </w:rPr>
              <w:t>，主要系</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、本报告期购买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银行理财增加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27,953.49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、本报告期支付股利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7,959.89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tc>
      </w:tr>
      <w:tr>
        <w:trPr>
          <w:trHeight w:val="71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0" w:right="94"/>
              <w:jc w:val="left"/>
              <w:rPr>
                <w:rFonts w:ascii="宋体" w:hAnsi="宋体" w:cs="宋体" w:eastAsia="宋体" w:hint="default"/>
                <w:sz w:val="18"/>
                <w:szCs w:val="18"/>
              </w:rPr>
            </w:pPr>
            <w:r>
              <w:rPr>
                <w:rFonts w:ascii="宋体" w:hAnsi="宋体" w:cs="宋体" w:eastAsia="宋体" w:hint="default"/>
                <w:sz w:val="18"/>
                <w:szCs w:val="18"/>
              </w:rPr>
              <w:t>本期末较年初增加</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27,953.49</w:t>
            </w:r>
            <w:r>
              <w:rPr>
                <w:rFonts w:ascii="Times New Roman" w:hAnsi="Times New Roman" w:cs="Times New Roman" w:eastAsia="Times New Roman" w:hint="default"/>
                <w:spacing w:val="13"/>
                <w:sz w:val="18"/>
                <w:szCs w:val="18"/>
              </w:rPr>
              <w:t> </w:t>
            </w:r>
            <w:r>
              <w:rPr>
                <w:rFonts w:ascii="宋体" w:hAnsi="宋体" w:cs="宋体" w:eastAsia="宋体" w:hint="default"/>
                <w:spacing w:val="-7"/>
                <w:sz w:val="18"/>
                <w:szCs w:val="18"/>
              </w:rPr>
              <w:t>万元，增加比例</w:t>
            </w:r>
            <w:r>
              <w:rPr>
                <w:rFonts w:ascii="宋体" w:hAnsi="宋体" w:cs="宋体" w:eastAsia="宋体" w:hint="default"/>
                <w:spacing w:val="-24"/>
                <w:sz w:val="18"/>
                <w:szCs w:val="18"/>
              </w:rPr>
              <w:t> </w:t>
            </w:r>
            <w:r>
              <w:rPr>
                <w:rFonts w:ascii="Times New Roman" w:hAnsi="Times New Roman" w:cs="Times New Roman" w:eastAsia="Times New Roman" w:hint="default"/>
                <w:spacing w:val="-4"/>
                <w:sz w:val="18"/>
                <w:szCs w:val="18"/>
              </w:rPr>
              <w:t>227.80%</w:t>
            </w:r>
            <w:r>
              <w:rPr>
                <w:rFonts w:ascii="宋体" w:hAnsi="宋体" w:cs="宋体" w:eastAsia="宋体" w:hint="default"/>
                <w:spacing w:val="-4"/>
                <w:sz w:val="18"/>
                <w:szCs w:val="18"/>
              </w:rPr>
              <w:t>，主要系本报告期购买银行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理财增加所致。</w:t>
            </w:r>
          </w:p>
        </w:tc>
      </w:tr>
      <w:tr>
        <w:trPr>
          <w:trHeight w:val="71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本期末较年初减少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516.90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万元，减少比例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40.54%</w:t>
            </w:r>
            <w:r>
              <w:rPr>
                <w:rFonts w:ascii="宋体" w:hAnsi="宋体" w:cs="宋体" w:eastAsia="宋体" w:hint="default"/>
                <w:sz w:val="18"/>
                <w:szCs w:val="18"/>
              </w:rPr>
              <w:t>，主要系上年同期</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iTalk</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Global</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sz w:val="18"/>
                <w:szCs w:val="18"/>
              </w:rPr>
              <w:t>预缴所得税本报告期退回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781.46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c>
      </w:tr>
      <w:tr>
        <w:trPr>
          <w:trHeight w:val="71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本期末较年初增加</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694.16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万元，增加比例</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380.27%</w:t>
            </w:r>
            <w:r>
              <w:rPr>
                <w:rFonts w:ascii="宋体" w:hAnsi="宋体" w:cs="宋体" w:eastAsia="宋体" w:hint="default"/>
                <w:spacing w:val="-3"/>
                <w:sz w:val="18"/>
                <w:szCs w:val="18"/>
              </w:rPr>
              <w:t>，主要系本报告期</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云视系</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统增加支出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694.16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c>
      </w:tr>
      <w:tr>
        <w:trPr>
          <w:trHeight w:val="716"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100" w:right="127"/>
              <w:jc w:val="left"/>
              <w:rPr>
                <w:rFonts w:ascii="宋体" w:hAnsi="宋体" w:cs="宋体" w:eastAsia="宋体" w:hint="default"/>
                <w:sz w:val="18"/>
                <w:szCs w:val="18"/>
              </w:rPr>
            </w:pPr>
            <w:r>
              <w:rPr>
                <w:rFonts w:ascii="宋体" w:hAnsi="宋体" w:cs="宋体" w:eastAsia="宋体" w:hint="default"/>
                <w:sz w:val="18"/>
                <w:szCs w:val="18"/>
              </w:rPr>
              <w:t>本期末较年初减少</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7,186.98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万元，减少比例</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6.50%</w:t>
            </w:r>
            <w:r>
              <w:rPr>
                <w:rFonts w:ascii="宋体" w:hAnsi="宋体" w:cs="宋体" w:eastAsia="宋体" w:hint="default"/>
                <w:spacing w:val="-3"/>
                <w:sz w:val="18"/>
                <w:szCs w:val="18"/>
              </w:rPr>
              <w:t>，主要系本报告期对迪讯业务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计提商誉减值准备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7,423.68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万元所致。</w:t>
            </w:r>
          </w:p>
        </w:tc>
      </w:tr>
      <w:tr>
        <w:trPr>
          <w:trHeight w:val="1022"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100" w:right="141"/>
              <w:jc w:val="left"/>
              <w:rPr>
                <w:rFonts w:ascii="宋体" w:hAnsi="宋体" w:cs="宋体" w:eastAsia="宋体" w:hint="default"/>
                <w:sz w:val="18"/>
                <w:szCs w:val="18"/>
              </w:rPr>
            </w:pPr>
            <w:r>
              <w:rPr>
                <w:rFonts w:ascii="宋体" w:hAnsi="宋体" w:cs="宋体" w:eastAsia="宋体" w:hint="default"/>
                <w:sz w:val="18"/>
                <w:szCs w:val="18"/>
              </w:rPr>
              <w:t>本期末较年初增加</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2,697.84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万元，增加比例</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251.30%</w:t>
            </w:r>
            <w:r>
              <w:rPr>
                <w:rFonts w:ascii="宋体" w:hAnsi="宋体" w:cs="宋体" w:eastAsia="宋体" w:hint="default"/>
                <w:spacing w:val="-3"/>
                <w:sz w:val="18"/>
                <w:szCs w:val="18"/>
              </w:rPr>
              <w:t>，主要系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、本报告期母公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司按未来利润预计情况，确认了递延所得税资产总计 </w:t>
            </w:r>
            <w:r>
              <w:rPr>
                <w:rFonts w:ascii="Times New Roman" w:hAnsi="Times New Roman" w:cs="Times New Roman" w:eastAsia="Times New Roman" w:hint="default"/>
                <w:sz w:val="18"/>
                <w:szCs w:val="18"/>
              </w:rPr>
              <w:t>802.04 </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、本报告期</w:t>
            </w:r>
          </w:p>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pacing w:val="-3"/>
                <w:sz w:val="18"/>
                <w:szCs w:val="18"/>
              </w:rPr>
              <w:t>上海奈盛按未来利润预计情况，确认了递延所得税资产总计 </w:t>
            </w:r>
            <w:r>
              <w:rPr>
                <w:rFonts w:ascii="Times New Roman" w:hAnsi="Times New Roman" w:cs="Times New Roman" w:eastAsia="Times New Roman" w:hint="default"/>
                <w:sz w:val="18"/>
                <w:szCs w:val="18"/>
              </w:rPr>
              <w:t>1,776.37</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84" w:footer="1022" w:top="1100" w:bottom="1220" w:left="980" w:right="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4"/>
          <w:szCs w:val="24"/>
        </w:rPr>
      </w:pPr>
    </w:p>
    <w:p>
      <w:pPr>
        <w:pStyle w:val="Heading4"/>
        <w:spacing w:line="240" w:lineRule="auto" w:before="36"/>
        <w:ind w:left="253"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2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004"/>
        <w:gridCol w:w="994"/>
        <w:gridCol w:w="1095"/>
        <w:gridCol w:w="1258"/>
        <w:gridCol w:w="1849"/>
        <w:gridCol w:w="1263"/>
        <w:gridCol w:w="576"/>
        <w:gridCol w:w="1100"/>
        <w:gridCol w:w="783"/>
      </w:tblGrid>
      <w:tr>
        <w:trPr>
          <w:trHeight w:val="1334" w:hRule="exact"/>
        </w:trPr>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0" w:right="128" w:hanging="92"/>
              <w:jc w:val="left"/>
              <w:rPr>
                <w:rFonts w:ascii="宋体" w:hAnsi="宋体" w:cs="宋体" w:eastAsia="宋体" w:hint="default"/>
                <w:sz w:val="18"/>
                <w:szCs w:val="18"/>
              </w:rPr>
            </w:pPr>
            <w:r>
              <w:rPr>
                <w:rFonts w:ascii="宋体" w:hAnsi="宋体" w:cs="宋体" w:eastAsia="宋体" w:hint="default"/>
                <w:sz w:val="18"/>
                <w:szCs w:val="18"/>
              </w:rPr>
              <w:t>资产的具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体内容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6"/>
                <w:szCs w:val="26"/>
              </w:rPr>
            </w:pPr>
          </w:p>
          <w:p>
            <w:pPr>
              <w:pStyle w:val="TableParagraph"/>
              <w:spacing w:line="357" w:lineRule="auto"/>
              <w:ind w:left="312" w:right="305"/>
              <w:jc w:val="left"/>
              <w:rPr>
                <w:rFonts w:ascii="宋体" w:hAnsi="宋体" w:cs="宋体" w:eastAsia="宋体" w:hint="default"/>
                <w:sz w:val="18"/>
                <w:szCs w:val="18"/>
              </w:rPr>
            </w:pPr>
            <w:r>
              <w:rPr>
                <w:rFonts w:ascii="宋体" w:hAnsi="宋体" w:cs="宋体" w:eastAsia="宋体" w:hint="default"/>
                <w:sz w:val="18"/>
                <w:szCs w:val="18"/>
              </w:rPr>
              <w:t>形成</w:t>
            </w:r>
            <w:r>
              <w:rPr>
                <w:rFonts w:ascii="宋体" w:hAnsi="宋体" w:cs="宋体" w:eastAsia="宋体" w:hint="default"/>
                <w:spacing w:val="-86"/>
                <w:sz w:val="18"/>
                <w:szCs w:val="18"/>
              </w:rPr>
              <w:t> </w:t>
            </w:r>
            <w:r>
              <w:rPr>
                <w:rFonts w:ascii="宋体" w:hAnsi="宋体" w:cs="宋体" w:eastAsia="宋体" w:hint="default"/>
                <w:sz w:val="18"/>
                <w:szCs w:val="18"/>
              </w:rPr>
              <w:t>原因</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6"/>
                <w:szCs w:val="26"/>
              </w:rPr>
            </w:pPr>
          </w:p>
          <w:p>
            <w:pPr>
              <w:pStyle w:val="TableParagraph"/>
              <w:spacing w:line="357" w:lineRule="auto"/>
              <w:ind w:left="360" w:right="359"/>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86"/>
                <w:sz w:val="18"/>
                <w:szCs w:val="18"/>
              </w:rPr>
              <w:t> </w:t>
            </w:r>
            <w:r>
              <w:rPr>
                <w:rFonts w:ascii="宋体" w:hAnsi="宋体" w:cs="宋体" w:eastAsia="宋体" w:hint="default"/>
                <w:sz w:val="18"/>
                <w:szCs w:val="18"/>
              </w:rPr>
              <w:t>规模</w:t>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2" w:right="176"/>
              <w:jc w:val="center"/>
              <w:rPr>
                <w:rFonts w:ascii="宋体" w:hAnsi="宋体" w:cs="宋体" w:eastAsia="宋体" w:hint="default"/>
                <w:sz w:val="18"/>
                <w:szCs w:val="18"/>
              </w:rPr>
            </w:pPr>
            <w:r>
              <w:rPr>
                <w:rFonts w:ascii="宋体" w:hAnsi="宋体" w:cs="宋体" w:eastAsia="宋体" w:hint="default"/>
                <w:spacing w:val="-2"/>
                <w:sz w:val="18"/>
                <w:szCs w:val="18"/>
              </w:rPr>
              <w:t>保障资产安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全性的控制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措施</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00" w:right="98"/>
              <w:jc w:val="left"/>
              <w:rPr>
                <w:rFonts w:ascii="宋体" w:hAnsi="宋体" w:cs="宋体" w:eastAsia="宋体" w:hint="default"/>
                <w:sz w:val="18"/>
                <w:szCs w:val="18"/>
              </w:rPr>
            </w:pP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状况</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7" w:right="175"/>
              <w:jc w:val="center"/>
              <w:rPr>
                <w:rFonts w:ascii="宋体" w:hAnsi="宋体" w:cs="宋体" w:eastAsia="宋体" w:hint="default"/>
                <w:sz w:val="18"/>
                <w:szCs w:val="18"/>
              </w:rPr>
            </w:pPr>
            <w:r>
              <w:rPr>
                <w:rFonts w:ascii="宋体" w:hAnsi="宋体" w:cs="宋体" w:eastAsia="宋体" w:hint="default"/>
                <w:spacing w:val="-2"/>
                <w:sz w:val="18"/>
                <w:szCs w:val="18"/>
              </w:rPr>
              <w:t>境外资产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占公司净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资产的比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重</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5" w:right="113"/>
              <w:jc w:val="center"/>
              <w:rPr>
                <w:rFonts w:ascii="宋体" w:hAnsi="宋体" w:cs="宋体" w:eastAsia="宋体" w:hint="default"/>
                <w:sz w:val="18"/>
                <w:szCs w:val="18"/>
              </w:rPr>
            </w:pPr>
            <w:r>
              <w:rPr>
                <w:rFonts w:ascii="宋体" w:hAnsi="宋体" w:cs="宋体" w:eastAsia="宋体" w:hint="default"/>
                <w:spacing w:val="-2"/>
                <w:sz w:val="18"/>
                <w:szCs w:val="18"/>
              </w:rPr>
              <w:t>是否存</w:t>
            </w:r>
            <w:r>
              <w:rPr>
                <w:rFonts w:ascii="宋体" w:hAnsi="宋体" w:cs="宋体" w:eastAsia="宋体" w:hint="default"/>
                <w:w w:val="101"/>
                <w:sz w:val="18"/>
                <w:szCs w:val="18"/>
              </w:rPr>
              <w:t> </w:t>
            </w:r>
            <w:r>
              <w:rPr>
                <w:rFonts w:ascii="宋体" w:hAnsi="宋体" w:cs="宋体" w:eastAsia="宋体" w:hint="default"/>
                <w:spacing w:val="-2"/>
                <w:sz w:val="18"/>
                <w:szCs w:val="18"/>
              </w:rPr>
              <w:t>在重大</w:t>
            </w:r>
            <w:r>
              <w:rPr>
                <w:rFonts w:ascii="宋体" w:hAnsi="宋体" w:cs="宋体" w:eastAsia="宋体" w:hint="default"/>
                <w:w w:val="101"/>
                <w:sz w:val="18"/>
                <w:szCs w:val="18"/>
              </w:rPr>
              <w:t> </w:t>
            </w:r>
            <w:r>
              <w:rPr>
                <w:rFonts w:ascii="宋体" w:hAnsi="宋体" w:cs="宋体" w:eastAsia="宋体" w:hint="default"/>
                <w:spacing w:val="-2"/>
                <w:sz w:val="18"/>
                <w:szCs w:val="18"/>
              </w:rPr>
              <w:t>减值风</w:t>
            </w:r>
            <w:r>
              <w:rPr>
                <w:rFonts w:ascii="宋体" w:hAnsi="宋体" w:cs="宋体" w:eastAsia="宋体" w:hint="default"/>
                <w:w w:val="101"/>
                <w:sz w:val="18"/>
                <w:szCs w:val="18"/>
              </w:rPr>
              <w:t> </w:t>
            </w:r>
            <w:r>
              <w:rPr>
                <w:rFonts w:ascii="宋体" w:hAnsi="宋体" w:cs="宋体" w:eastAsia="宋体" w:hint="default"/>
                <w:sz w:val="18"/>
                <w:szCs w:val="18"/>
              </w:rPr>
              <w:t>险</w:t>
            </w:r>
          </w:p>
        </w:tc>
      </w:tr>
      <w:tr>
        <w:trPr>
          <w:trHeight w:val="1028"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6"/>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5" w:right="151"/>
              <w:jc w:val="both"/>
              <w:rPr>
                <w:rFonts w:ascii="宋体" w:hAnsi="宋体" w:cs="宋体" w:eastAsia="宋体" w:hint="default"/>
                <w:sz w:val="18"/>
                <w:szCs w:val="18"/>
              </w:rPr>
            </w:pPr>
            <w:r>
              <w:rPr>
                <w:rFonts w:ascii="宋体" w:hAnsi="宋体" w:cs="宋体" w:eastAsia="宋体" w:hint="default"/>
                <w:sz w:val="18"/>
                <w:szCs w:val="18"/>
              </w:rPr>
              <w:t>注资及境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外经营累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10,643</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万元</w:t>
            </w:r>
            <w:r>
              <w:rPr>
                <w:rFonts w:ascii="宋体" w:hAnsi="宋体" w:cs="宋体" w:eastAsia="宋体" w:hint="default"/>
                <w:sz w:val="18"/>
                <w:szCs w:val="18"/>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5" w:right="60"/>
              <w:jc w:val="both"/>
              <w:rPr>
                <w:rFonts w:ascii="宋体" w:hAnsi="宋体" w:cs="宋体" w:eastAsia="宋体" w:hint="default"/>
                <w:sz w:val="18"/>
                <w:szCs w:val="18"/>
              </w:rPr>
            </w:pPr>
            <w:r>
              <w:rPr>
                <w:rFonts w:ascii="宋体" w:hAnsi="宋体" w:cs="宋体" w:eastAsia="宋体" w:hint="default"/>
                <w:spacing w:val="-3"/>
                <w:sz w:val="18"/>
                <w:szCs w:val="18"/>
              </w:rPr>
              <w:t>美国、香港、</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9"/>
                <w:sz w:val="18"/>
                <w:szCs w:val="18"/>
              </w:rPr>
              <w:t>加拿大、澳大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利亚</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经营积累</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银行保存</w:t>
            </w:r>
          </w:p>
        </w:tc>
        <w:tc>
          <w:tcPr>
            <w:tcW w:w="5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5.16%</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51"/>
              <w:jc w:val="both"/>
              <w:rPr>
                <w:rFonts w:ascii="宋体" w:hAnsi="宋体" w:cs="宋体" w:eastAsia="宋体" w:hint="default"/>
                <w:sz w:val="18"/>
                <w:szCs w:val="18"/>
              </w:rPr>
            </w:pPr>
            <w:r>
              <w:rPr>
                <w:rFonts w:ascii="宋体" w:hAnsi="宋体" w:cs="宋体" w:eastAsia="宋体" w:hint="default"/>
                <w:sz w:val="18"/>
                <w:szCs w:val="18"/>
              </w:rPr>
              <w:t>境外业务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经营应收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款</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7,842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38"/>
              <w:jc w:val="both"/>
              <w:rPr>
                <w:rFonts w:ascii="宋体" w:hAnsi="宋体" w:cs="宋体" w:eastAsia="宋体" w:hint="default"/>
                <w:sz w:val="18"/>
                <w:szCs w:val="18"/>
              </w:rPr>
            </w:pPr>
            <w:r>
              <w:rPr>
                <w:rFonts w:ascii="宋体" w:hAnsi="宋体" w:cs="宋体" w:eastAsia="宋体" w:hint="default"/>
                <w:spacing w:val="-2"/>
                <w:sz w:val="18"/>
                <w:szCs w:val="18"/>
              </w:rPr>
              <w:t>美国、加拿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大、澳大利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亚、香港</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105" w:right="127"/>
              <w:jc w:val="both"/>
              <w:rPr>
                <w:rFonts w:ascii="宋体" w:hAnsi="宋体" w:cs="宋体" w:eastAsia="宋体" w:hint="default"/>
                <w:sz w:val="18"/>
                <w:szCs w:val="18"/>
              </w:rPr>
            </w:pPr>
            <w:r>
              <w:rPr>
                <w:rFonts w:ascii="宋体" w:hAnsi="宋体" w:cs="宋体" w:eastAsia="宋体" w:hint="default"/>
                <w:spacing w:val="-4"/>
                <w:sz w:val="18"/>
                <w:szCs w:val="18"/>
              </w:rPr>
              <w:t>网络电话</w:t>
            </w:r>
            <w:r>
              <w:rPr>
                <w:rFonts w:ascii="Times New Roman" w:hAnsi="Times New Roman" w:cs="Times New Roman" w:eastAsia="Times New Roman" w:hint="default"/>
                <w:spacing w:val="-4"/>
                <w:sz w:val="18"/>
                <w:szCs w:val="18"/>
              </w:rPr>
              <w:t>(VoIP)</w:t>
            </w:r>
            <w:r>
              <w:rPr>
                <w:rFonts w:ascii="宋体" w:hAnsi="宋体" w:cs="宋体" w:eastAsia="宋体" w:hint="default"/>
                <w:spacing w:val="-4"/>
                <w:sz w:val="18"/>
                <w:szCs w:val="18"/>
              </w:rPr>
              <w:t>及网</w:t>
            </w:r>
            <w:r>
              <w:rPr>
                <w:rFonts w:ascii="宋体" w:hAnsi="宋体" w:cs="宋体" w:eastAsia="宋体" w:hint="default"/>
                <w:spacing w:val="-66"/>
                <w:sz w:val="18"/>
                <w:szCs w:val="18"/>
              </w:rPr>
              <w:t> </w:t>
            </w:r>
            <w:r>
              <w:rPr>
                <w:rFonts w:ascii="宋体" w:hAnsi="宋体" w:cs="宋体" w:eastAsia="宋体" w:hint="default"/>
                <w:spacing w:val="-2"/>
                <w:sz w:val="18"/>
                <w:szCs w:val="18"/>
              </w:rPr>
              <w:t>络电视</w:t>
            </w:r>
            <w:r>
              <w:rPr>
                <w:rFonts w:ascii="Times New Roman" w:hAnsi="Times New Roman" w:cs="Times New Roman" w:eastAsia="Times New Roman" w:hint="default"/>
                <w:spacing w:val="-2"/>
                <w:sz w:val="18"/>
                <w:szCs w:val="18"/>
              </w:rPr>
              <w:t>(IPTV)</w:t>
            </w:r>
            <w:r>
              <w:rPr>
                <w:rFonts w:ascii="宋体" w:hAnsi="宋体" w:cs="宋体" w:eastAsia="宋体" w:hint="default"/>
                <w:spacing w:val="-2"/>
                <w:sz w:val="18"/>
                <w:szCs w:val="18"/>
              </w:rPr>
              <w:t>业务、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系统业务发展</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0" w:right="99"/>
              <w:jc w:val="left"/>
              <w:rPr>
                <w:rFonts w:ascii="宋体" w:hAnsi="宋体" w:cs="宋体" w:eastAsia="宋体" w:hint="default"/>
                <w:sz w:val="18"/>
                <w:szCs w:val="18"/>
              </w:rPr>
            </w:pPr>
            <w:r>
              <w:rPr>
                <w:rFonts w:ascii="宋体" w:hAnsi="宋体" w:cs="宋体" w:eastAsia="宋体" w:hint="default"/>
                <w:spacing w:val="-8"/>
                <w:sz w:val="18"/>
                <w:szCs w:val="18"/>
              </w:rPr>
              <w:t>及时催收，降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低账龄</w:t>
            </w:r>
          </w:p>
        </w:tc>
        <w:tc>
          <w:tcPr>
            <w:tcW w:w="5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3.80%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1"/>
              <w:jc w:val="left"/>
              <w:rPr>
                <w:rFonts w:ascii="宋体" w:hAnsi="宋体" w:cs="宋体" w:eastAsia="宋体" w:hint="default"/>
                <w:sz w:val="18"/>
                <w:szCs w:val="18"/>
              </w:rPr>
            </w:pPr>
            <w:r>
              <w:rPr>
                <w:rFonts w:ascii="宋体" w:hAnsi="宋体" w:cs="宋体" w:eastAsia="宋体" w:hint="default"/>
                <w:sz w:val="18"/>
                <w:szCs w:val="18"/>
              </w:rPr>
              <w:t>投资性房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地产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z w:val="18"/>
                <w:szCs w:val="18"/>
              </w:rPr>
              <w:t>境外收购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形成</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长期持有、保值增值</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99"/>
              <w:jc w:val="left"/>
              <w:rPr>
                <w:rFonts w:ascii="宋体" w:hAnsi="宋体" w:cs="宋体" w:eastAsia="宋体" w:hint="default"/>
                <w:sz w:val="18"/>
                <w:szCs w:val="18"/>
              </w:rPr>
            </w:pPr>
            <w:r>
              <w:rPr>
                <w:rFonts w:ascii="宋体" w:hAnsi="宋体" w:cs="宋体" w:eastAsia="宋体" w:hint="default"/>
                <w:spacing w:val="-8"/>
                <w:sz w:val="18"/>
                <w:szCs w:val="18"/>
              </w:rPr>
              <w:t>产权过户、关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注业务发展</w:t>
            </w:r>
          </w:p>
        </w:tc>
        <w:tc>
          <w:tcPr>
            <w:tcW w:w="5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1.90%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1"/>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工具投资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z w:val="18"/>
                <w:szCs w:val="18"/>
              </w:rPr>
              <w:t>境外收购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形成</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1,396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香港、美国</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长期持有</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99"/>
              <w:jc w:val="left"/>
              <w:rPr>
                <w:rFonts w:ascii="宋体" w:hAnsi="宋体" w:cs="宋体" w:eastAsia="宋体" w:hint="default"/>
                <w:sz w:val="18"/>
                <w:szCs w:val="18"/>
              </w:rPr>
            </w:pPr>
            <w:r>
              <w:rPr>
                <w:rFonts w:ascii="宋体" w:hAnsi="宋体" w:cs="宋体" w:eastAsia="宋体" w:hint="default"/>
                <w:spacing w:val="-8"/>
                <w:sz w:val="18"/>
                <w:szCs w:val="18"/>
              </w:rPr>
              <w:t>产权过户、关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注业务发展</w:t>
            </w:r>
          </w:p>
        </w:tc>
        <w:tc>
          <w:tcPr>
            <w:tcW w:w="5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0.68%</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5" w:right="161"/>
              <w:jc w:val="both"/>
              <w:rPr>
                <w:rFonts w:ascii="宋体" w:hAnsi="宋体" w:cs="宋体" w:eastAsia="宋体" w:hint="default"/>
                <w:sz w:val="18"/>
                <w:szCs w:val="18"/>
              </w:rPr>
            </w:pPr>
            <w:r>
              <w:rPr>
                <w:rFonts w:ascii="宋体" w:hAnsi="宋体" w:cs="宋体" w:eastAsia="宋体" w:hint="default"/>
                <w:sz w:val="18"/>
                <w:szCs w:val="18"/>
              </w:rPr>
              <w:t>其他非流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动金融资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51"/>
              <w:jc w:val="left"/>
              <w:rPr>
                <w:rFonts w:ascii="宋体" w:hAnsi="宋体" w:cs="宋体" w:eastAsia="宋体" w:hint="default"/>
                <w:sz w:val="18"/>
                <w:szCs w:val="18"/>
              </w:rPr>
            </w:pPr>
            <w:r>
              <w:rPr>
                <w:rFonts w:ascii="宋体" w:hAnsi="宋体" w:cs="宋体" w:eastAsia="宋体" w:hint="default"/>
                <w:sz w:val="18"/>
                <w:szCs w:val="18"/>
              </w:rPr>
              <w:t>境外收购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形成</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3,761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长期持有</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0" w:right="99"/>
              <w:jc w:val="left"/>
              <w:rPr>
                <w:rFonts w:ascii="宋体" w:hAnsi="宋体" w:cs="宋体" w:eastAsia="宋体" w:hint="default"/>
                <w:sz w:val="18"/>
                <w:szCs w:val="18"/>
              </w:rPr>
            </w:pPr>
            <w:r>
              <w:rPr>
                <w:rFonts w:ascii="宋体" w:hAnsi="宋体" w:cs="宋体" w:eastAsia="宋体" w:hint="default"/>
                <w:spacing w:val="-8"/>
                <w:sz w:val="18"/>
                <w:szCs w:val="18"/>
              </w:rPr>
              <w:t>产权过户、关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注业务发展</w:t>
            </w:r>
          </w:p>
        </w:tc>
        <w:tc>
          <w:tcPr>
            <w:tcW w:w="5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1.82%</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left="253"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253" w:right="0"/>
        <w:jc w:val="left"/>
      </w:pPr>
      <w:r>
        <w:rPr>
          <w:rFonts w:ascii="Times New Roman" w:hAnsi="Times New Roman" w:cs="Times New Roman" w:eastAsia="Times New Roman" w:hint="default"/>
        </w:rPr>
        <w:t>1</w:t>
      </w:r>
      <w:r>
        <w:rPr/>
        <w:t>、资源技术能力</w:t>
      </w:r>
    </w:p>
    <w:p>
      <w:pPr>
        <w:pStyle w:val="BodyText"/>
        <w:spacing w:line="319" w:lineRule="auto" w:before="63"/>
        <w:ind w:left="253" w:right="0" w:firstLine="422"/>
        <w:jc w:val="left"/>
      </w:pPr>
      <w:r>
        <w:rPr>
          <w:spacing w:val="-2"/>
        </w:rPr>
        <w:t>公司长期专注于虚拟运营通信服务领域，在互联网通信和通信转售方面长期积累，形成了独特的资源和技术能力。凭</w:t>
      </w:r>
      <w:r>
        <w:rPr>
          <w:w w:val="101"/>
        </w:rPr>
        <w:t> </w:t>
      </w:r>
      <w:r>
        <w:rPr>
          <w:spacing w:val="-4"/>
        </w:rPr>
        <w:t>借多年来在通信服务领域的守法经营和良好业绩，公司获得多项电信业务经营许可证书，丰富的牌照资源为公司开展通信服</w:t>
      </w:r>
      <w:r>
        <w:rPr>
          <w:spacing w:val="43"/>
        </w:rPr>
        <w:t> </w:t>
      </w:r>
      <w:r>
        <w:rPr>
          <w:spacing w:val="43"/>
        </w:rPr>
      </w:r>
      <w:r>
        <w:rPr>
          <w:spacing w:val="-4"/>
        </w:rPr>
        <w:t>务业务、特别是开展融合业务提供了保障；基于对基础电信运营商业务体系及运作方式的深刻理解，公司在长期的通信服务</w:t>
      </w:r>
      <w:r>
        <w:rPr>
          <w:spacing w:val="43"/>
        </w:rPr>
        <w:t> </w:t>
      </w:r>
      <w:r>
        <w:rPr>
          <w:spacing w:val="43"/>
        </w:rPr>
      </w:r>
      <w:r>
        <w:rPr>
          <w:spacing w:val="-4"/>
        </w:rPr>
        <w:t>经营过程中不断维护、深化与国内外基础电信运营商的良好合作关系，与其建立了类型丰富、资源完整、独立运营、互联互</w:t>
      </w:r>
      <w:r>
        <w:rPr>
          <w:spacing w:val="40"/>
        </w:rPr>
        <w:t> </w:t>
      </w:r>
      <w:r>
        <w:rPr>
          <w:spacing w:val="40"/>
        </w:rPr>
      </w:r>
      <w:r>
        <w:rPr>
          <w:spacing w:val="-3"/>
        </w:rPr>
        <w:t>通的通信资源体系；公司在长期的通信服务经营过程中注重技术研发、不断积累提升通信业务技术能力，并在互联网通信、</w:t>
      </w:r>
      <w:r>
        <w:rPr>
          <w:spacing w:val="66"/>
        </w:rPr>
        <w:t> </w:t>
      </w:r>
      <w:r>
        <w:rPr>
          <w:spacing w:val="66"/>
        </w:rPr>
      </w:r>
      <w:r>
        <w:rPr>
          <w:spacing w:val="-3"/>
        </w:rPr>
        <w:t>通信转售方面拥有多项核心技术并获得多项专利。</w:t>
      </w:r>
    </w:p>
    <w:p>
      <w:pPr>
        <w:pStyle w:val="BodyText"/>
        <w:spacing w:line="240" w:lineRule="auto" w:before="17"/>
        <w:ind w:left="253" w:right="0"/>
        <w:jc w:val="left"/>
      </w:pPr>
      <w:r>
        <w:rPr>
          <w:rFonts w:ascii="Times New Roman" w:hAnsi="Times New Roman" w:cs="Times New Roman" w:eastAsia="Times New Roman" w:hint="default"/>
        </w:rPr>
        <w:t>2</w:t>
      </w:r>
      <w:r>
        <w:rPr/>
        <w:t>、产品创新能力</w:t>
      </w:r>
    </w:p>
    <w:p>
      <w:pPr>
        <w:pStyle w:val="BodyText"/>
        <w:spacing w:line="312" w:lineRule="auto" w:before="63"/>
        <w:ind w:left="253" w:right="0" w:firstLine="422"/>
        <w:jc w:val="left"/>
      </w:pPr>
      <w:r>
        <w:rPr>
          <w:spacing w:val="-2"/>
        </w:rPr>
        <w:t>通信行业不变的特点是</w:t>
      </w:r>
      <w:r>
        <w:rPr>
          <w:rFonts w:ascii="Times New Roman" w:hAnsi="Times New Roman" w:cs="Times New Roman" w:eastAsia="Times New Roman" w:hint="default"/>
          <w:spacing w:val="-2"/>
        </w:rPr>
        <w:t>“</w:t>
      </w:r>
      <w:r>
        <w:rPr>
          <w:spacing w:val="-2"/>
        </w:rPr>
        <w:t>变</w:t>
      </w:r>
      <w:r>
        <w:rPr>
          <w:rFonts w:ascii="Times New Roman" w:hAnsi="Times New Roman" w:cs="Times New Roman" w:eastAsia="Times New Roman" w:hint="default"/>
          <w:spacing w:val="-2"/>
        </w:rPr>
        <w:t>”</w:t>
      </w:r>
      <w:r>
        <w:rPr>
          <w:spacing w:val="-2"/>
        </w:rPr>
        <w:t>，市场、技术、用户需求、行业监管政策等的快速变化决定了唯有顺应变化、不断创新才</w:t>
      </w:r>
      <w:r>
        <w:rPr>
          <w:w w:val="101"/>
        </w:rPr>
        <w:t> </w:t>
      </w:r>
      <w:r>
        <w:rPr>
          <w:spacing w:val="-4"/>
        </w:rPr>
        <w:t>能在本行业立足、生存和发展。在多年的业务经营过程中，伴随着对行业、市场、运营商体系了解的加深，凭借对细分用户</w:t>
      </w:r>
      <w:r>
        <w:rPr>
          <w:spacing w:val="40"/>
        </w:rPr>
        <w:t> </w:t>
      </w:r>
      <w:r>
        <w:rPr>
          <w:spacing w:val="40"/>
        </w:rPr>
      </w:r>
      <w:r>
        <w:rPr>
          <w:spacing w:val="-3"/>
        </w:rPr>
        <w:t>群通信需求、应用场景、使用习惯、消费心态和文化差异等的深度挖掘和掌握，公司积累了丰富的通信服务产品创新经验，</w:t>
      </w:r>
      <w:r>
        <w:rPr>
          <w:spacing w:val="66"/>
        </w:rPr>
        <w:t> </w:t>
      </w:r>
      <w:r>
        <w:rPr>
          <w:spacing w:val="66"/>
        </w:rPr>
      </w:r>
      <w:r>
        <w:rPr>
          <w:spacing w:val="-3"/>
        </w:rPr>
        <w:t>从洞悉市场需求变化开始，到最终推出新的产品或增加新的功能，公司内部形成了高效的产品创新机制。</w:t>
      </w:r>
    </w:p>
    <w:p>
      <w:pPr>
        <w:pStyle w:val="BodyText"/>
        <w:spacing w:line="240" w:lineRule="auto" w:before="22"/>
        <w:ind w:left="253" w:right="0"/>
        <w:jc w:val="left"/>
      </w:pPr>
      <w:r>
        <w:rPr>
          <w:rFonts w:ascii="Times New Roman" w:hAnsi="Times New Roman" w:cs="Times New Roman" w:eastAsia="Times New Roman" w:hint="default"/>
        </w:rPr>
        <w:t>3</w:t>
      </w:r>
      <w:r>
        <w:rPr/>
        <w:t>、运营服务能力</w:t>
      </w:r>
    </w:p>
    <w:p>
      <w:pPr>
        <w:pStyle w:val="BodyText"/>
        <w:spacing w:line="314" w:lineRule="auto" w:before="63"/>
        <w:ind w:left="253" w:right="1122" w:firstLine="422"/>
        <w:jc w:val="both"/>
      </w:pPr>
      <w:r>
        <w:rPr>
          <w:spacing w:val="-3"/>
        </w:rPr>
        <w:t>通信服务商必须具备成熟稳定的运营体系</w:t>
      </w:r>
      <w:r>
        <w:rPr>
          <w:rFonts w:ascii="Times New Roman" w:hAnsi="Times New Roman" w:cs="Times New Roman" w:eastAsia="Times New Roman" w:hint="default"/>
          <w:spacing w:val="-3"/>
        </w:rPr>
        <w:t>,</w:t>
      </w:r>
      <w:r>
        <w:rPr>
          <w:spacing w:val="-3"/>
        </w:rPr>
        <w:t>才能为用户提供</w:t>
      </w:r>
      <w:r>
        <w:rPr>
          <w:rFonts w:ascii="Times New Roman" w:hAnsi="Times New Roman" w:cs="Times New Roman" w:eastAsia="Times New Roman" w:hint="default"/>
          <w:spacing w:val="-3"/>
        </w:rPr>
        <w:t>24</w:t>
      </w:r>
      <w:r>
        <w:rPr>
          <w:spacing w:val="-3"/>
        </w:rPr>
        <w:t>小时不间断的运营型服务，并能及时有效的处理故障、用</w:t>
      </w:r>
      <w:r>
        <w:rPr>
          <w:w w:val="101"/>
        </w:rPr>
        <w:t> </w:t>
      </w:r>
      <w:r>
        <w:rPr>
          <w:spacing w:val="-4"/>
        </w:rPr>
        <w:t>户投诉及各种突发事件。所以运营水平是决定通信服务业务经营成败的核心要素之一，且通信企业的运营服务能力需要在长</w:t>
      </w:r>
      <w:r>
        <w:rPr>
          <w:spacing w:val="45"/>
        </w:rPr>
        <w:t> </w:t>
      </w:r>
      <w:r>
        <w:rPr>
          <w:spacing w:val="45"/>
        </w:rPr>
      </w:r>
      <w:r>
        <w:rPr>
          <w:spacing w:val="-4"/>
        </w:rPr>
        <w:t>期的运营实践中逐渐积累，无法通过短期的学习和简单的复制而快速获得。公司长期专注于通信运营服务，在多年的经营过</w:t>
      </w:r>
      <w:r>
        <w:rPr>
          <w:spacing w:val="43"/>
        </w:rPr>
        <w:t> </w:t>
      </w:r>
      <w:r>
        <w:rPr>
          <w:spacing w:val="43"/>
        </w:rPr>
      </w:r>
      <w:r>
        <w:rPr>
          <w:spacing w:val="-4"/>
        </w:rPr>
        <w:t>程中积累了丰富的通信服务运营经验，形成了成熟的运营体系和运营文化，建立了成熟稳定的运营能力并不断提升，确保了</w:t>
      </w:r>
      <w:r>
        <w:rPr>
          <w:spacing w:val="43"/>
        </w:rPr>
        <w:t> </w:t>
      </w:r>
      <w:r>
        <w:rPr>
          <w:spacing w:val="43"/>
        </w:rPr>
      </w:r>
      <w:r>
        <w:rPr>
          <w:spacing w:val="-3"/>
        </w:rPr>
        <w:t>公司为用户提供稳定、持续、高效的服务。</w:t>
      </w:r>
    </w:p>
    <w:p>
      <w:pPr>
        <w:pStyle w:val="BodyText"/>
        <w:spacing w:line="240" w:lineRule="auto" w:before="20"/>
        <w:ind w:left="253" w:right="0"/>
        <w:jc w:val="left"/>
      </w:pPr>
      <w:r>
        <w:rPr>
          <w:rFonts w:ascii="Times New Roman" w:hAnsi="Times New Roman" w:cs="Times New Roman" w:eastAsia="Times New Roman" w:hint="default"/>
        </w:rPr>
        <w:t>4</w:t>
      </w:r>
      <w:r>
        <w:rPr/>
        <w:t>、营销能力</w:t>
      </w:r>
    </w:p>
    <w:p>
      <w:pPr>
        <w:spacing w:after="0" w:line="240" w:lineRule="auto"/>
        <w:jc w:val="left"/>
        <w:sectPr>
          <w:pgSz w:w="11910" w:h="16840"/>
          <w:pgMar w:header="784" w:footer="1022" w:top="1100" w:bottom="1220" w:left="880" w:right="0"/>
        </w:sectPr>
      </w:pPr>
    </w:p>
    <w:p>
      <w:pPr>
        <w:spacing w:line="240" w:lineRule="auto" w:before="10"/>
        <w:rPr>
          <w:rFonts w:ascii="宋体" w:hAnsi="宋体" w:cs="宋体" w:eastAsia="宋体" w:hint="default"/>
          <w:sz w:val="22"/>
          <w:szCs w:val="22"/>
        </w:rPr>
      </w:pPr>
    </w:p>
    <w:p>
      <w:pPr>
        <w:pStyle w:val="BodyText"/>
        <w:spacing w:line="316" w:lineRule="auto" w:before="46"/>
        <w:ind w:left="153" w:right="1032" w:firstLine="422"/>
        <w:jc w:val="both"/>
      </w:pPr>
      <w:r>
        <w:rPr>
          <w:spacing w:val="-4"/>
        </w:rPr>
        <w:t>公司在面向企业客户的产品营销中，积累和形成了遍布全国主要市场领域的营销渠道，发展了上百家一级合作代理商，</w:t>
      </w:r>
      <w:r>
        <w:rPr>
          <w:w w:val="101"/>
        </w:rPr>
        <w:t> </w:t>
      </w:r>
      <w:r>
        <w:rPr>
          <w:spacing w:val="-3"/>
        </w:rPr>
        <w:t>这些渠道广泛接触客户，拥有有效的产品推介能力，有助于公司各项通信服务产品的迅速拓展。</w:t>
      </w:r>
      <w:r>
        <w:rPr/>
      </w:r>
    </w:p>
    <w:p>
      <w:pPr>
        <w:pStyle w:val="BodyText"/>
        <w:spacing w:line="307" w:lineRule="auto" w:before="19"/>
        <w:ind w:left="153" w:right="1122" w:firstLine="422"/>
        <w:jc w:val="both"/>
      </w:pPr>
      <w:r>
        <w:rPr>
          <w:spacing w:val="-2"/>
        </w:rPr>
        <w:t>在个人客户市场，公司长期积累形成了独特的面向海外华人的营销渠道。公司与海外的华文媒体建立了良好的长期合</w:t>
      </w:r>
      <w:r>
        <w:rPr>
          <w:w w:val="101"/>
        </w:rPr>
        <w:t> </w:t>
      </w:r>
      <w:r>
        <w:rPr>
          <w:spacing w:val="-2"/>
        </w:rPr>
        <w:t>作关系，和全球超过百万的海外华人终端用户建立了良好的信任关系，</w:t>
      </w:r>
      <w:r>
        <w:rPr>
          <w:rFonts w:ascii="Times New Roman" w:hAnsi="Times New Roman" w:cs="Times New Roman" w:eastAsia="Times New Roman" w:hint="default"/>
          <w:spacing w:val="-2"/>
        </w:rPr>
        <w:t>“iTalkBB</w:t>
      </w:r>
      <w:r>
        <w:rPr>
          <w:spacing w:val="-2"/>
        </w:rPr>
        <w:t>蜻蜓</w:t>
      </w:r>
      <w:r>
        <w:rPr>
          <w:rFonts w:ascii="Times New Roman" w:hAnsi="Times New Roman" w:cs="Times New Roman" w:eastAsia="Times New Roman" w:hint="default"/>
          <w:spacing w:val="-2"/>
        </w:rPr>
        <w:t>”</w:t>
      </w:r>
      <w:r>
        <w:rPr>
          <w:spacing w:val="-2"/>
        </w:rPr>
        <w:t>品牌在海外华人特别是北美华人群体</w:t>
      </w:r>
      <w:r>
        <w:rPr>
          <w:spacing w:val="63"/>
        </w:rPr>
        <w:t> </w:t>
      </w:r>
      <w:r>
        <w:rPr>
          <w:spacing w:val="63"/>
        </w:rPr>
      </w:r>
      <w:r>
        <w:rPr>
          <w:spacing w:val="-4"/>
        </w:rPr>
        <w:t>中树立了良好的品牌形象。公司在美国、加拿大等地开设了近</w:t>
      </w:r>
      <w:r>
        <w:rPr>
          <w:rFonts w:ascii="Times New Roman" w:hAnsi="Times New Roman" w:cs="Times New Roman" w:eastAsia="Times New Roman" w:hint="default"/>
          <w:spacing w:val="-4"/>
        </w:rPr>
        <w:t>30</w:t>
      </w:r>
      <w:r>
        <w:rPr>
          <w:spacing w:val="-4"/>
        </w:rPr>
        <w:t>家线下实体店，在海外华人及亚裔集中区域抢占了有利的战</w:t>
      </w:r>
      <w:r>
        <w:rPr>
          <w:spacing w:val="48"/>
        </w:rPr>
        <w:t> </w:t>
      </w:r>
      <w:r>
        <w:rPr>
          <w:spacing w:val="48"/>
        </w:rPr>
      </w:r>
      <w:r>
        <w:rPr/>
        <w:t>略位置。</w:t>
      </w:r>
    </w:p>
    <w:p>
      <w:pPr>
        <w:spacing w:after="0" w:line="307" w:lineRule="auto"/>
        <w:jc w:val="both"/>
        <w:sectPr>
          <w:pgSz w:w="11910" w:h="16840"/>
          <w:pgMar w:header="784" w:footer="1022" w:top="110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043" w:right="0"/>
        <w:jc w:val="left"/>
        <w:rPr>
          <w:b w:val="0"/>
          <w:bCs w:val="0"/>
        </w:rPr>
      </w:pPr>
      <w:bookmarkStart w:name="第四节经营情况讨论与分析" w:id="23"/>
      <w:bookmarkEnd w:id="23"/>
      <w:r>
        <w:rPr>
          <w:b w:val="0"/>
          <w:bCs w:val="0"/>
        </w:rPr>
      </w:r>
      <w:bookmarkStart w:name="_bookmark3" w:id="24"/>
      <w:bookmarkEnd w:id="2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3"/>
        <w:rPr>
          <w:rFonts w:ascii="宋体" w:hAnsi="宋体" w:cs="宋体" w:eastAsia="宋体" w:hint="default"/>
          <w:b/>
          <w:bCs/>
          <w:sz w:val="27"/>
          <w:szCs w:val="27"/>
        </w:rPr>
      </w:pPr>
    </w:p>
    <w:p>
      <w:pPr>
        <w:pStyle w:val="BodyText"/>
        <w:spacing w:line="302" w:lineRule="auto"/>
        <w:ind w:left="153" w:right="1122" w:firstLine="360"/>
        <w:jc w:val="both"/>
      </w:pPr>
      <w:r>
        <w:rPr>
          <w:rFonts w:ascii="Times New Roman" w:hAnsi="Times New Roman" w:cs="Times New Roman" w:eastAsia="Times New Roman" w:hint="default"/>
          <w:spacing w:val="-3"/>
        </w:rPr>
        <w:t>2019</w:t>
      </w:r>
      <w:r>
        <w:rPr>
          <w:spacing w:val="-3"/>
        </w:rPr>
        <w:t>年度即报告期内，公司实现收入</w:t>
      </w:r>
      <w:r>
        <w:rPr>
          <w:rFonts w:ascii="Times New Roman" w:hAnsi="Times New Roman" w:cs="Times New Roman" w:eastAsia="Times New Roman" w:hint="default"/>
          <w:spacing w:val="-3"/>
        </w:rPr>
        <w:t>101,356.58</w:t>
      </w:r>
      <w:r>
        <w:rPr>
          <w:spacing w:val="-3"/>
        </w:rPr>
        <w:t>万元，较上年同期上升</w:t>
      </w:r>
      <w:r>
        <w:rPr>
          <w:rFonts w:ascii="Times New Roman" w:hAnsi="Times New Roman" w:cs="Times New Roman" w:eastAsia="Times New Roman" w:hint="default"/>
          <w:spacing w:val="-3"/>
        </w:rPr>
        <w:t>9.13%</w:t>
      </w:r>
      <w:r>
        <w:rPr>
          <w:spacing w:val="-3"/>
        </w:rPr>
        <w:t>，主要原因为</w:t>
      </w:r>
      <w:r>
        <w:rPr>
          <w:rFonts w:ascii="Times New Roman" w:hAnsi="Times New Roman" w:cs="Times New Roman" w:eastAsia="Times New Roman" w:hint="default"/>
          <w:spacing w:val="-3"/>
        </w:rPr>
        <w:t>:</w:t>
      </w:r>
      <w:r>
        <w:rPr>
          <w:spacing w:val="-3"/>
        </w:rPr>
        <w:t>深圳日升和</w:t>
      </w:r>
      <w:r>
        <w:rPr>
          <w:rFonts w:ascii="Times New Roman" w:hAnsi="Times New Roman" w:cs="Times New Roman" w:eastAsia="Times New Roman" w:hint="default"/>
          <w:spacing w:val="-3"/>
        </w:rPr>
        <w:t>263</w:t>
      </w:r>
      <w:r>
        <w:rPr>
          <w:spacing w:val="-3"/>
        </w:rPr>
        <w:t>环球通信本期</w:t>
      </w:r>
      <w:r>
        <w:rPr>
          <w:w w:val="101"/>
        </w:rPr>
        <w:t> </w:t>
      </w:r>
      <w:r>
        <w:rPr>
          <w:spacing w:val="-1"/>
        </w:rPr>
        <w:t>全部业绩纳入合并范围，而上年同期仅合并深圳日升</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-12</w:t>
      </w:r>
      <w:r>
        <w:rPr>
          <w:spacing w:val="-1"/>
        </w:rPr>
        <w:t>月收入、</w:t>
      </w:r>
      <w:r>
        <w:rPr>
          <w:rFonts w:ascii="Times New Roman" w:hAnsi="Times New Roman" w:cs="Times New Roman" w:eastAsia="Times New Roman" w:hint="default"/>
          <w:spacing w:val="-1"/>
        </w:rPr>
        <w:t>263</w:t>
      </w:r>
      <w:r>
        <w:rPr>
          <w:spacing w:val="-1"/>
        </w:rPr>
        <w:t>环球通信</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-12</w:t>
      </w:r>
      <w:r>
        <w:rPr>
          <w:spacing w:val="-1"/>
        </w:rPr>
        <w:t>月收入。</w:t>
      </w:r>
      <w:r>
        <w:rPr>
          <w:rFonts w:ascii="Times New Roman" w:hAnsi="Times New Roman" w:cs="Times New Roman" w:eastAsia="Times New Roman" w:hint="default"/>
          <w:spacing w:val="-1"/>
        </w:rPr>
        <w:t>2019</w:t>
      </w:r>
      <w:r>
        <w:rPr>
          <w:spacing w:val="-1"/>
        </w:rPr>
        <w:t>年度公</w:t>
      </w:r>
      <w:r>
        <w:rPr>
          <w:spacing w:val="38"/>
        </w:rPr>
        <w:t> </w:t>
      </w:r>
      <w:r>
        <w:rPr>
          <w:spacing w:val="38"/>
        </w:rPr>
      </w:r>
      <w:r>
        <w:rPr>
          <w:spacing w:val="-3"/>
        </w:rPr>
        <w:t>司实现营业利润</w:t>
      </w:r>
      <w:r>
        <w:rPr>
          <w:rFonts w:ascii="Times New Roman" w:hAnsi="Times New Roman" w:cs="Times New Roman" w:eastAsia="Times New Roman" w:hint="default"/>
          <w:spacing w:val="-3"/>
        </w:rPr>
        <w:t>20,777.24</w:t>
      </w:r>
      <w:r>
        <w:rPr>
          <w:spacing w:val="-3"/>
        </w:rPr>
        <w:t>万元，比上年同期上升</w:t>
      </w:r>
      <w:r>
        <w:rPr>
          <w:rFonts w:ascii="Times New Roman" w:hAnsi="Times New Roman" w:cs="Times New Roman" w:eastAsia="Times New Roman" w:hint="default"/>
          <w:spacing w:val="-3"/>
        </w:rPr>
        <w:t>131.23%</w:t>
      </w:r>
      <w:r>
        <w:rPr>
          <w:spacing w:val="-3"/>
        </w:rPr>
        <w:t>；实现归属于上市公司股东的净利润</w:t>
      </w:r>
      <w:r>
        <w:rPr>
          <w:rFonts w:ascii="Times New Roman" w:hAnsi="Times New Roman" w:cs="Times New Roman" w:eastAsia="Times New Roman" w:hint="default"/>
          <w:spacing w:val="-3"/>
        </w:rPr>
        <w:t>17,461.30</w:t>
      </w:r>
      <w:r>
        <w:rPr>
          <w:spacing w:val="-3"/>
        </w:rPr>
        <w:t>万元，比上年同期上</w:t>
      </w:r>
      <w:r>
        <w:rPr>
          <w:spacing w:val="14"/>
        </w:rPr>
        <w:t> </w:t>
      </w:r>
      <w:r>
        <w:rPr>
          <w:spacing w:val="14"/>
        </w:rPr>
      </w:r>
      <w:r>
        <w:rPr>
          <w:spacing w:val="-3"/>
        </w:rPr>
        <w:t>升</w:t>
      </w:r>
      <w:r>
        <w:rPr>
          <w:rFonts w:ascii="Times New Roman" w:hAnsi="Times New Roman" w:cs="Times New Roman" w:eastAsia="Times New Roman" w:hint="default"/>
          <w:spacing w:val="-3"/>
        </w:rPr>
        <w:t>102.94%</w:t>
      </w:r>
      <w:r>
        <w:rPr>
          <w:spacing w:val="-3"/>
        </w:rPr>
        <w:t>。业绩变动的主要原因为：（</w:t>
      </w:r>
      <w:r>
        <w:rPr>
          <w:rFonts w:ascii="Times New Roman" w:hAnsi="Times New Roman" w:cs="Times New Roman" w:eastAsia="Times New Roman" w:hint="default"/>
          <w:spacing w:val="-3"/>
        </w:rPr>
        <w:t>1</w:t>
      </w:r>
      <w:r>
        <w:rPr>
          <w:spacing w:val="-3"/>
        </w:rPr>
        <w:t>）非流动金融资产下对致远互联、首都在线等投资本期公允价值上升较大；（</w:t>
      </w:r>
      <w:r>
        <w:rPr>
          <w:rFonts w:ascii="Times New Roman" w:hAnsi="Times New Roman" w:cs="Times New Roman" w:eastAsia="Times New Roman" w:hint="default"/>
          <w:spacing w:val="-3"/>
        </w:rPr>
        <w:t>2</w:t>
      </w:r>
      <w:r>
        <w:rPr>
          <w:spacing w:val="-3"/>
        </w:rPr>
        <w:t>）</w:t>
      </w:r>
      <w:r>
        <w:rPr>
          <w:spacing w:val="77"/>
        </w:rPr>
        <w:t> </w:t>
      </w:r>
      <w:r>
        <w:rPr/>
        <w:t>深圳日升和</w:t>
      </w:r>
      <w:r>
        <w:rPr>
          <w:rFonts w:ascii="Times New Roman" w:hAnsi="Times New Roman" w:cs="Times New Roman" w:eastAsia="Times New Roman" w:hint="default"/>
        </w:rPr>
        <w:t>263</w:t>
      </w:r>
      <w:r>
        <w:rPr/>
        <w:t>环球通信本期全部业绩纳入合并范围，而上年同期仅合并深圳日升</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月业绩、</w:t>
      </w:r>
      <w:r>
        <w:rPr>
          <w:rFonts w:ascii="Times New Roman" w:hAnsi="Times New Roman" w:cs="Times New Roman" w:eastAsia="Times New Roman" w:hint="default"/>
        </w:rPr>
        <w:t>263</w:t>
      </w:r>
      <w:r>
        <w:rPr/>
        <w:t>环球通信</w:t>
      </w:r>
      <w:r>
        <w:rPr>
          <w:rFonts w:ascii="Times New Roman" w:hAnsi="Times New Roman" w:cs="Times New Roman" w:eastAsia="Times New Roman" w:hint="default"/>
        </w:rPr>
        <w:t>2018</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-12</w:t>
      </w:r>
      <w:r>
        <w:rPr>
          <w:spacing w:val="-4"/>
        </w:rPr>
        <w:t>月业绩；（</w:t>
      </w:r>
      <w:r>
        <w:rPr>
          <w:rFonts w:ascii="Times New Roman" w:hAnsi="Times New Roman" w:cs="Times New Roman" w:eastAsia="Times New Roman" w:hint="default"/>
          <w:spacing w:val="-4"/>
        </w:rPr>
        <w:t>3</w:t>
      </w:r>
      <w:r>
        <w:rPr>
          <w:spacing w:val="-4"/>
        </w:rPr>
        <w:t>）原并购展动科技（北京）有限公司时确认的自研软件于</w:t>
      </w:r>
      <w:r>
        <w:rPr>
          <w:rFonts w:ascii="Times New Roman" w:hAnsi="Times New Roman" w:cs="Times New Roman" w:eastAsia="Times New Roman" w:hint="default"/>
          <w:spacing w:val="-4"/>
        </w:rPr>
        <w:t>2018</w:t>
      </w:r>
      <w:r>
        <w:rPr>
          <w:spacing w:val="-4"/>
        </w:rPr>
        <w:t>年摊销完毕；（</w:t>
      </w:r>
      <w:r>
        <w:rPr>
          <w:rFonts w:ascii="Times New Roman" w:hAnsi="Times New Roman" w:cs="Times New Roman" w:eastAsia="Times New Roman" w:hint="default"/>
          <w:spacing w:val="-4"/>
        </w:rPr>
        <w:t>4</w:t>
      </w:r>
      <w:r>
        <w:rPr>
          <w:spacing w:val="-4"/>
        </w:rPr>
        <w:t>）母公司、上海奈盛通</w:t>
      </w:r>
      <w:r>
        <w:rPr>
          <w:spacing w:val="5"/>
        </w:rPr>
        <w:t> </w:t>
      </w:r>
      <w:r>
        <w:rPr>
          <w:spacing w:val="5"/>
        </w:rPr>
      </w:r>
      <w:r>
        <w:rPr>
          <w:spacing w:val="-4"/>
        </w:rPr>
        <w:t>信科技有限公司按未来利润预计情况，确认了递延所得税资产；（</w:t>
      </w:r>
      <w:r>
        <w:rPr>
          <w:rFonts w:ascii="Times New Roman" w:hAnsi="Times New Roman" w:cs="Times New Roman" w:eastAsia="Times New Roman" w:hint="default"/>
          <w:spacing w:val="-4"/>
        </w:rPr>
        <w:t>5</w:t>
      </w:r>
      <w:r>
        <w:rPr>
          <w:spacing w:val="-4"/>
        </w:rPr>
        <w:t>）迪讯业务资产组商誉发生减值；（</w:t>
      </w:r>
      <w:r>
        <w:rPr>
          <w:rFonts w:ascii="Times New Roman" w:hAnsi="Times New Roman" w:cs="Times New Roman" w:eastAsia="Times New Roman" w:hint="default"/>
          <w:spacing w:val="-4"/>
        </w:rPr>
        <w:t>6</w:t>
      </w:r>
      <w:r>
        <w:rPr>
          <w:spacing w:val="-4"/>
        </w:rPr>
        <w:t>）涉诉案件发生的</w:t>
      </w:r>
      <w:r>
        <w:rPr>
          <w:spacing w:val="45"/>
        </w:rPr>
        <w:t> </w:t>
      </w:r>
      <w:r>
        <w:rPr>
          <w:spacing w:val="45"/>
        </w:rPr>
      </w:r>
      <w:r>
        <w:rPr/>
        <w:t>律师费及可能的损失。</w:t>
      </w:r>
    </w:p>
    <w:p>
      <w:pPr>
        <w:pStyle w:val="BodyText"/>
        <w:spacing w:line="309" w:lineRule="auto" w:before="64"/>
        <w:ind w:left="153" w:right="0" w:firstLine="360"/>
        <w:jc w:val="left"/>
      </w:pPr>
      <w:r>
        <w:rPr>
          <w:spacing w:val="-4"/>
        </w:rPr>
        <w:t>公司专注通信领域逾</w:t>
      </w:r>
      <w:r>
        <w:rPr>
          <w:rFonts w:ascii="Times New Roman" w:hAnsi="Times New Roman" w:cs="Times New Roman" w:eastAsia="Times New Roman" w:hint="default"/>
          <w:spacing w:val="-4"/>
        </w:rPr>
        <w:t>20</w:t>
      </w:r>
      <w:r>
        <w:rPr>
          <w:spacing w:val="-4"/>
        </w:rPr>
        <w:t>年，致力于运用互联网技术和转售方式为客户提供通信服务。自</w:t>
      </w:r>
      <w:r>
        <w:rPr>
          <w:rFonts w:ascii="Times New Roman" w:hAnsi="Times New Roman" w:cs="Times New Roman" w:eastAsia="Times New Roman" w:hint="default"/>
          <w:spacing w:val="-4"/>
        </w:rPr>
        <w:t>2018</w:t>
      </w:r>
      <w:r>
        <w:rPr>
          <w:spacing w:val="-4"/>
        </w:rPr>
        <w:t>年末公司确定了面向企业用</w:t>
      </w:r>
      <w:r>
        <w:rPr>
          <w:w w:val="101"/>
        </w:rPr>
        <w:t> </w:t>
      </w:r>
      <w:r>
        <w:rPr>
          <w:spacing w:val="-6"/>
        </w:rPr>
        <w:t>户提供国内、国际及跨境通信服务；在北美地区面向海外华人提供互联网综合服务的战略后，根据现有业务属性及战略部署，</w:t>
      </w:r>
      <w:r>
        <w:rPr>
          <w:spacing w:val="63"/>
        </w:rPr>
        <w:t> </w:t>
      </w:r>
      <w:r>
        <w:rPr>
          <w:spacing w:val="63"/>
        </w:rPr>
      </w:r>
      <w:r>
        <w:rPr>
          <w:spacing w:val="-4"/>
        </w:rPr>
        <w:t>公司形成三大主要业务板块及以资本手段加强主营业务、培育新业务的对外投资部门的架构，据此公司以事业部的组织形式</w:t>
      </w:r>
      <w:r>
        <w:rPr>
          <w:spacing w:val="43"/>
        </w:rPr>
        <w:t> </w:t>
      </w:r>
      <w:r>
        <w:rPr>
          <w:spacing w:val="43"/>
        </w:rPr>
      </w:r>
      <w:r>
        <w:rPr>
          <w:spacing w:val="-4"/>
        </w:rPr>
        <w:t>划分主要包括企业通信服务事业部、国际通信服务事业部、北美互联网综合服务事业部和投资事业部。企业通信服务事业部</w:t>
      </w:r>
      <w:r>
        <w:rPr>
          <w:spacing w:val="43"/>
        </w:rPr>
        <w:t> </w:t>
      </w:r>
      <w:r>
        <w:rPr>
          <w:spacing w:val="43"/>
        </w:rPr>
      </w:r>
      <w:r>
        <w:rPr>
          <w:spacing w:val="-3"/>
        </w:rPr>
        <w:t>是借助公司在通信领域长期积累的技术、资源和客户服务等能力在企业通信和协同办公领域为国内各类企业客户提供视频、</w:t>
      </w:r>
      <w:r>
        <w:rPr>
          <w:spacing w:val="66"/>
        </w:rPr>
        <w:t> </w:t>
      </w:r>
      <w:r>
        <w:rPr>
          <w:spacing w:val="66"/>
        </w:rPr>
      </w:r>
      <w:r>
        <w:rPr>
          <w:spacing w:val="-4"/>
        </w:rPr>
        <w:t>语音和数据等企业级</w:t>
      </w:r>
      <w:r>
        <w:rPr>
          <w:rFonts w:ascii="Times New Roman" w:hAnsi="Times New Roman" w:cs="Times New Roman" w:eastAsia="Times New Roman" w:hint="default"/>
          <w:spacing w:val="-4"/>
        </w:rPr>
        <w:t>SaaS</w:t>
      </w:r>
      <w:r>
        <w:rPr>
          <w:spacing w:val="-4"/>
        </w:rPr>
        <w:t>服务，包括云视频（企业直播和视频会议）、云会议和云邮箱等服务。企业国际通信服务事业部是</w:t>
      </w:r>
      <w:r>
        <w:rPr>
          <w:spacing w:val="46"/>
        </w:rPr>
        <w:t> </w:t>
      </w:r>
      <w:r>
        <w:rPr>
          <w:spacing w:val="46"/>
        </w:rPr>
      </w:r>
      <w:r>
        <w:rPr>
          <w:spacing w:val="-4"/>
        </w:rPr>
        <w:t>借助国家</w:t>
      </w:r>
      <w:r>
        <w:rPr>
          <w:rFonts w:ascii="Times New Roman" w:hAnsi="Times New Roman" w:cs="Times New Roman" w:eastAsia="Times New Roman" w:hint="default"/>
          <w:spacing w:val="-4"/>
        </w:rPr>
        <w:t>“</w:t>
      </w:r>
      <w:r>
        <w:rPr>
          <w:spacing w:val="-4"/>
        </w:rPr>
        <w:t>一带一路</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走出去</w:t>
      </w:r>
      <w:r>
        <w:rPr>
          <w:rFonts w:ascii="Times New Roman" w:hAnsi="Times New Roman" w:cs="Times New Roman" w:eastAsia="Times New Roman" w:hint="default"/>
          <w:spacing w:val="-4"/>
        </w:rPr>
        <w:t>”</w:t>
      </w:r>
      <w:r>
        <w:rPr>
          <w:spacing w:val="-4"/>
        </w:rPr>
        <w:t>的战略开展跨境专网专线业务和境外本地通信服务业务并积极布局全球通信能力；同时，根</w:t>
      </w:r>
      <w:r>
        <w:rPr>
          <w:spacing w:val="2"/>
        </w:rPr>
        <w:t> </w:t>
      </w:r>
      <w:r>
        <w:rPr>
          <w:spacing w:val="2"/>
        </w:rPr>
      </w:r>
      <w:r>
        <w:rPr>
          <w:spacing w:val="-2"/>
        </w:rPr>
        <w:t>据国家</w:t>
      </w:r>
      <w:r>
        <w:rPr>
          <w:rFonts w:ascii="Times New Roman" w:hAnsi="Times New Roman" w:cs="Times New Roman" w:eastAsia="Times New Roman" w:hint="default"/>
          <w:spacing w:val="-2"/>
        </w:rPr>
        <w:t>“</w:t>
      </w:r>
      <w:r>
        <w:rPr>
          <w:spacing w:val="-2"/>
        </w:rPr>
        <w:t>引进来</w:t>
      </w:r>
      <w:r>
        <w:rPr>
          <w:rFonts w:ascii="Times New Roman" w:hAnsi="Times New Roman" w:cs="Times New Roman" w:eastAsia="Times New Roman" w:hint="default"/>
          <w:spacing w:val="-2"/>
        </w:rPr>
        <w:t>”</w:t>
      </w:r>
      <w:r>
        <w:rPr>
          <w:spacing w:val="-2"/>
        </w:rPr>
        <w:t>的战略与日本</w:t>
      </w:r>
      <w:r>
        <w:rPr>
          <w:rFonts w:ascii="Times New Roman" w:hAnsi="Times New Roman" w:cs="Times New Roman" w:eastAsia="Times New Roman" w:hint="default"/>
          <w:spacing w:val="-2"/>
        </w:rPr>
        <w:t>NTT</w:t>
      </w:r>
      <w:r>
        <w:rPr>
          <w:spacing w:val="-2"/>
        </w:rPr>
        <w:t>在国内共同投资设立互联网数据中心（</w:t>
      </w:r>
      <w:r>
        <w:rPr>
          <w:rFonts w:ascii="Times New Roman" w:hAnsi="Times New Roman" w:cs="Times New Roman" w:eastAsia="Times New Roman" w:hint="default"/>
          <w:spacing w:val="-2"/>
        </w:rPr>
        <w:t>IDC</w:t>
      </w:r>
      <w:r>
        <w:rPr>
          <w:spacing w:val="-2"/>
        </w:rPr>
        <w:t>）面向国内外中高端用户提供</w:t>
      </w:r>
      <w:r>
        <w:rPr>
          <w:rFonts w:ascii="Times New Roman" w:hAnsi="Times New Roman" w:cs="Times New Roman" w:eastAsia="Times New Roman" w:hint="default"/>
          <w:spacing w:val="-2"/>
        </w:rPr>
        <w:t>IDC</w:t>
      </w:r>
      <w:r>
        <w:rPr>
          <w:spacing w:val="-2"/>
        </w:rPr>
        <w:t>、专网等业</w:t>
      </w:r>
      <w:r>
        <w:rPr>
          <w:spacing w:val="66"/>
        </w:rPr>
        <w:t> </w:t>
      </w:r>
      <w:r>
        <w:rPr>
          <w:spacing w:val="5"/>
        </w:rPr>
        <w:t>务。北美互联网综合服务事业部秉承</w:t>
      </w:r>
      <w:r>
        <w:rPr>
          <w:rFonts w:ascii="Times New Roman" w:hAnsi="Times New Roman" w:cs="Times New Roman" w:eastAsia="Times New Roman" w:hint="default"/>
          <w:spacing w:val="5"/>
        </w:rPr>
        <w:t>“</w:t>
      </w:r>
      <w:r>
        <w:rPr>
          <w:spacing w:val="5"/>
        </w:rPr>
        <w:t>为海外华人带来更美好生活</w:t>
      </w:r>
      <w:r>
        <w:rPr>
          <w:rFonts w:ascii="Times New Roman" w:hAnsi="Times New Roman" w:cs="Times New Roman" w:eastAsia="Times New Roman" w:hint="default"/>
          <w:spacing w:val="5"/>
        </w:rPr>
        <w:t>”</w:t>
      </w:r>
      <w:r>
        <w:rPr>
          <w:spacing w:val="5"/>
        </w:rPr>
        <w:t>的理念主要向北美华人家庭用户提供家庭安防系统</w:t>
      </w:r>
    </w:p>
    <w:p>
      <w:pPr>
        <w:pStyle w:val="BodyText"/>
        <w:spacing w:line="312" w:lineRule="auto" w:before="5"/>
        <w:ind w:left="153" w:right="1124"/>
        <w:jc w:val="both"/>
      </w:pPr>
      <w:r>
        <w:rPr>
          <w:spacing w:val="-5"/>
        </w:rPr>
        <w:t>（</w:t>
      </w:r>
      <w:r>
        <w:rPr>
          <w:rFonts w:ascii="Times New Roman" w:hAnsi="Times New Roman" w:cs="Times New Roman" w:eastAsia="Times New Roman" w:hint="default"/>
          <w:spacing w:val="-5"/>
        </w:rPr>
        <w:t>AIjia</w:t>
      </w:r>
      <w:r>
        <w:rPr>
          <w:spacing w:val="-5"/>
        </w:rPr>
        <w:t>）、家庭电话（</w:t>
      </w:r>
      <w:r>
        <w:rPr>
          <w:rFonts w:ascii="Times New Roman" w:hAnsi="Times New Roman" w:cs="Times New Roman" w:eastAsia="Times New Roman" w:hint="default"/>
          <w:spacing w:val="-5"/>
        </w:rPr>
        <w:t>VoIP</w:t>
      </w:r>
      <w:r>
        <w:rPr>
          <w:spacing w:val="-5"/>
        </w:rPr>
        <w:t>）、多平台多终端的中文视频内容服务等互联网综合服务。投资事业部根据公司战略以资本手段</w:t>
      </w:r>
      <w:r>
        <w:rPr>
          <w:spacing w:val="79"/>
        </w:rPr>
        <w:t> </w:t>
      </w:r>
      <w:r>
        <w:rPr>
          <w:spacing w:val="79"/>
        </w:rPr>
      </w:r>
      <w:r>
        <w:rPr>
          <w:spacing w:val="-4"/>
        </w:rPr>
        <w:t>加强主营业务、培育新业务，通过收购兼并促进和拓展业务的发展，同时在满足战略投资的前提下兼顾财务投资以获得丰厚</w:t>
      </w:r>
      <w:r>
        <w:rPr>
          <w:spacing w:val="43"/>
        </w:rPr>
        <w:t> </w:t>
      </w:r>
      <w:r>
        <w:rPr>
          <w:spacing w:val="43"/>
        </w:rPr>
      </w:r>
      <w:r>
        <w:rPr/>
        <w:t>的投资收益。</w:t>
      </w:r>
    </w:p>
    <w:p>
      <w:pPr>
        <w:pStyle w:val="BodyText"/>
        <w:spacing w:line="314" w:lineRule="auto" w:before="61"/>
        <w:ind w:left="153" w:right="0" w:firstLine="360"/>
        <w:jc w:val="left"/>
      </w:pPr>
      <w:r>
        <w:rPr>
          <w:spacing w:val="-6"/>
          <w:w w:val="101"/>
        </w:rPr>
        <w:t>报告期内，公司云视频业务中的企业直播业务完成了基于稳定层面的应用创新的首要任务，满足了企业的不同层次需求，</w:t>
      </w:r>
      <w:r>
        <w:rPr>
          <w:w w:val="101"/>
        </w:rPr>
        <w:t> </w:t>
      </w:r>
      <w:r>
        <w:rPr>
          <w:spacing w:val="-4"/>
        </w:rPr>
        <w:t>为企业提供全球化、多终端、灵活接入、安全可靠、功能全面的直播和点播服务。同时，基于企业直播强大的音视频处理能</w:t>
      </w:r>
      <w:r>
        <w:rPr>
          <w:spacing w:val="40"/>
        </w:rPr>
        <w:t> </w:t>
      </w:r>
      <w:r>
        <w:rPr>
          <w:spacing w:val="40"/>
        </w:rPr>
      </w:r>
      <w:r>
        <w:rPr>
          <w:spacing w:val="-2"/>
        </w:rPr>
        <w:t>力和成熟的</w:t>
      </w:r>
      <w:r>
        <w:rPr>
          <w:rFonts w:ascii="Times New Roman" w:hAnsi="Times New Roman" w:cs="Times New Roman" w:eastAsia="Times New Roman" w:hint="default"/>
          <w:spacing w:val="-2"/>
        </w:rPr>
        <w:t>API</w:t>
      </w:r>
      <w:r>
        <w:rPr>
          <w:spacing w:val="-2"/>
        </w:rPr>
        <w:t>、</w:t>
      </w:r>
      <w:r>
        <w:rPr>
          <w:rFonts w:ascii="Times New Roman" w:hAnsi="Times New Roman" w:cs="Times New Roman" w:eastAsia="Times New Roman" w:hint="default"/>
          <w:spacing w:val="-2"/>
        </w:rPr>
        <w:t>SDK</w:t>
      </w:r>
      <w:r>
        <w:rPr>
          <w:spacing w:val="-2"/>
        </w:rPr>
        <w:t>能力，从接口、</w:t>
      </w:r>
      <w:r>
        <w:rPr>
          <w:rFonts w:ascii="Times New Roman" w:hAnsi="Times New Roman" w:cs="Times New Roman" w:eastAsia="Times New Roman" w:hint="default"/>
          <w:spacing w:val="-2"/>
        </w:rPr>
        <w:t>APP</w:t>
      </w:r>
      <w:r>
        <w:rPr>
          <w:spacing w:val="-2"/>
        </w:rPr>
        <w:t>、</w:t>
      </w:r>
      <w:r>
        <w:rPr>
          <w:rFonts w:ascii="Times New Roman" w:hAnsi="Times New Roman" w:cs="Times New Roman" w:eastAsia="Times New Roman" w:hint="default"/>
          <w:spacing w:val="-2"/>
        </w:rPr>
        <w:t>Web</w:t>
      </w:r>
      <w:r>
        <w:rPr>
          <w:spacing w:val="-2"/>
        </w:rPr>
        <w:t>等全方位完成与客户日常工具的深度融合，使企业可以专注于业务逻辑实</w:t>
      </w:r>
      <w:r>
        <w:rPr>
          <w:spacing w:val="58"/>
        </w:rPr>
        <w:t> </w:t>
      </w:r>
      <w:r>
        <w:rPr>
          <w:spacing w:val="58"/>
        </w:rPr>
      </w:r>
      <w:r>
        <w:rPr>
          <w:spacing w:val="-4"/>
        </w:rPr>
        <w:t>现及最终用户体验的提升，为企业提升效率、降低成本。服务依托于多年的经验积累，在音视频处理、高并发、大容量等技</w:t>
      </w:r>
      <w:r>
        <w:rPr>
          <w:spacing w:val="40"/>
        </w:rPr>
        <w:t> </w:t>
      </w:r>
      <w:r>
        <w:rPr>
          <w:spacing w:val="40"/>
        </w:rPr>
      </w:r>
      <w:r>
        <w:rPr>
          <w:spacing w:val="-4"/>
        </w:rPr>
        <w:t>术方面具有完全自主知识产权，为用户提供从接入到分发观看的一站式服务，保障用户体验到稳定流畅、低延时、高并发的</w:t>
      </w:r>
      <w:r>
        <w:rPr>
          <w:spacing w:val="40"/>
        </w:rPr>
        <w:t> </w:t>
      </w:r>
      <w:r>
        <w:rPr>
          <w:spacing w:val="40"/>
        </w:rPr>
      </w:r>
      <w:r>
        <w:rPr>
          <w:spacing w:val="-4"/>
        </w:rPr>
        <w:t>直播效果。在中国及海外部署了大规模服务器集群，为全球用户提供运营商级的专属互动直播服务，满足客户企业培训、在</w:t>
      </w:r>
      <w:r>
        <w:rPr>
          <w:spacing w:val="40"/>
        </w:rPr>
        <w:t> </w:t>
      </w:r>
      <w:r>
        <w:rPr>
          <w:spacing w:val="40"/>
        </w:rPr>
      </w:r>
      <w:r>
        <w:rPr>
          <w:spacing w:val="-5"/>
        </w:rPr>
        <w:t>线教育、互动直播等多种</w:t>
      </w:r>
      <w:r>
        <w:rPr>
          <w:rFonts w:ascii="Times New Roman" w:hAnsi="Times New Roman" w:cs="Times New Roman" w:eastAsia="Times New Roman" w:hint="default"/>
          <w:spacing w:val="-5"/>
        </w:rPr>
        <w:t>SaaS</w:t>
      </w:r>
      <w:r>
        <w:rPr>
          <w:spacing w:val="-5"/>
        </w:rPr>
        <w:t>服务需求，目前企业直播服务于全球</w:t>
      </w:r>
      <w:r>
        <w:rPr>
          <w:rFonts w:ascii="Times New Roman" w:hAnsi="Times New Roman" w:cs="Times New Roman" w:eastAsia="Times New Roman" w:hint="default"/>
          <w:spacing w:val="-5"/>
        </w:rPr>
        <w:t>5000</w:t>
      </w:r>
      <w:r>
        <w:rPr>
          <w:spacing w:val="-5"/>
        </w:rPr>
        <w:t>多家大中型企业及知名教育培训机构用户，成为</w:t>
      </w:r>
      <w:r>
        <w:rPr>
          <w:rFonts w:ascii="Times New Roman" w:hAnsi="Times New Roman" w:cs="Times New Roman" w:eastAsia="Times New Roman" w:hint="default"/>
          <w:spacing w:val="-5"/>
        </w:rPr>
        <w:t>IBM</w:t>
      </w:r>
      <w:r>
        <w:rPr>
          <w:spacing w:val="-5"/>
        </w:rPr>
        <w:t>、</w:t>
      </w:r>
      <w:r>
        <w:rPr>
          <w:spacing w:val="51"/>
        </w:rPr>
        <w:t> </w:t>
      </w:r>
      <w:r>
        <w:rPr>
          <w:spacing w:val="-3"/>
        </w:rPr>
        <w:t>阿里巴巴、国家电网、中国移动、中国联通、新东方、尚德、广汽本田、交通银行等众多知名企事业单位的合作伙伴。</w:t>
      </w:r>
    </w:p>
    <w:p>
      <w:pPr>
        <w:pStyle w:val="BodyText"/>
        <w:spacing w:line="240" w:lineRule="auto" w:before="54"/>
        <w:ind w:left="513" w:right="0"/>
        <w:jc w:val="left"/>
      </w:pPr>
      <w:r>
        <w:rPr>
          <w:w w:val="101"/>
        </w:rPr>
        <w:t>在</w:t>
      </w:r>
      <w:r>
        <w:rPr>
          <w:spacing w:val="-5"/>
          <w:w w:val="101"/>
        </w:rPr>
        <w:t>公</w:t>
      </w:r>
      <w:r>
        <w:rPr>
          <w:w w:val="101"/>
        </w:rPr>
        <w:t>司</w:t>
      </w:r>
      <w:r>
        <w:rPr>
          <w:spacing w:val="-5"/>
          <w:w w:val="101"/>
        </w:rPr>
        <w:t>云</w:t>
      </w:r>
      <w:r>
        <w:rPr>
          <w:w w:val="101"/>
        </w:rPr>
        <w:t>视</w:t>
      </w:r>
      <w:r>
        <w:rPr>
          <w:spacing w:val="-5"/>
          <w:w w:val="101"/>
        </w:rPr>
        <w:t>频</w:t>
      </w:r>
      <w:r>
        <w:rPr>
          <w:w w:val="101"/>
        </w:rPr>
        <w:t>业</w:t>
      </w:r>
      <w:r>
        <w:rPr>
          <w:spacing w:val="-5"/>
          <w:w w:val="101"/>
        </w:rPr>
        <w:t>务</w:t>
      </w:r>
      <w:r>
        <w:rPr>
          <w:w w:val="101"/>
        </w:rPr>
        <w:t>中</w:t>
      </w:r>
      <w:r>
        <w:rPr>
          <w:spacing w:val="-5"/>
          <w:w w:val="101"/>
        </w:rPr>
        <w:t>的</w:t>
      </w:r>
      <w:r>
        <w:rPr>
          <w:w w:val="101"/>
        </w:rPr>
        <w:t>视</w:t>
      </w:r>
      <w:r>
        <w:rPr>
          <w:spacing w:val="-5"/>
          <w:w w:val="101"/>
        </w:rPr>
        <w:t>频</w:t>
      </w:r>
      <w:r>
        <w:rPr>
          <w:w w:val="101"/>
        </w:rPr>
        <w:t>会</w:t>
      </w:r>
      <w:r>
        <w:rPr>
          <w:spacing w:val="-5"/>
          <w:w w:val="101"/>
        </w:rPr>
        <w:t>议</w:t>
      </w:r>
      <w:r>
        <w:rPr>
          <w:w w:val="101"/>
        </w:rPr>
        <w:t>业</w:t>
      </w:r>
      <w:r>
        <w:rPr>
          <w:spacing w:val="-5"/>
          <w:w w:val="101"/>
        </w:rPr>
        <w:t>务</w:t>
      </w:r>
      <w:r>
        <w:rPr>
          <w:w w:val="101"/>
        </w:rPr>
        <w:t>方面</w:t>
      </w:r>
      <w:r>
        <w:rPr>
          <w:spacing w:val="-87"/>
          <w:w w:val="101"/>
        </w:rPr>
        <w:t>，</w:t>
      </w:r>
      <w:r>
        <w:rPr>
          <w:spacing w:val="-5"/>
          <w:w w:val="101"/>
        </w:rPr>
        <w:t>报</w:t>
      </w:r>
      <w:r>
        <w:rPr>
          <w:w w:val="101"/>
        </w:rPr>
        <w:t>告</w:t>
      </w:r>
      <w:r>
        <w:rPr>
          <w:spacing w:val="-5"/>
          <w:w w:val="101"/>
        </w:rPr>
        <w:t>期</w:t>
      </w:r>
      <w:r>
        <w:rPr>
          <w:w w:val="101"/>
        </w:rPr>
        <w:t>内</w:t>
      </w:r>
      <w:r>
        <w:rPr>
          <w:spacing w:val="-5"/>
          <w:w w:val="101"/>
        </w:rPr>
        <w:t>公</w:t>
      </w:r>
      <w:r>
        <w:rPr>
          <w:w w:val="101"/>
        </w:rPr>
        <w:t>司</w:t>
      </w:r>
      <w:r>
        <w:rPr>
          <w:spacing w:val="-5"/>
          <w:w w:val="101"/>
        </w:rPr>
        <w:t>提出</w:t>
      </w:r>
      <w:r>
        <w:rPr>
          <w:spacing w:val="1"/>
          <w:w w:val="101"/>
        </w:rPr>
        <w:t>了</w:t>
      </w:r>
      <w:r>
        <w:rPr>
          <w:rFonts w:ascii="Times New Roman" w:hAnsi="Times New Roman" w:cs="Times New Roman" w:eastAsia="Times New Roman" w:hint="default"/>
          <w:w w:val="101"/>
        </w:rPr>
        <w:t>“</w:t>
      </w:r>
      <w:r>
        <w:rPr>
          <w:spacing w:val="-5"/>
          <w:w w:val="101"/>
        </w:rPr>
        <w:t>视</w:t>
      </w:r>
      <w:r>
        <w:rPr>
          <w:w w:val="101"/>
        </w:rPr>
        <w:t>频</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spacing w:val="-4"/>
          <w:w w:val="101"/>
        </w:rPr>
        <w:t>”</w:t>
      </w:r>
      <w:r>
        <w:rPr>
          <w:w w:val="101"/>
        </w:rPr>
        <w:t>战略</w:t>
      </w:r>
      <w:r>
        <w:rPr>
          <w:spacing w:val="-87"/>
          <w:w w:val="101"/>
        </w:rPr>
        <w:t>，</w:t>
      </w:r>
      <w:r>
        <w:rPr>
          <w:spacing w:val="-5"/>
          <w:w w:val="101"/>
        </w:rPr>
        <w:t>开</w:t>
      </w:r>
      <w:r>
        <w:rPr>
          <w:w w:val="101"/>
        </w:rPr>
        <w:t>始</w:t>
      </w:r>
      <w:r>
        <w:rPr>
          <w:spacing w:val="-5"/>
          <w:w w:val="101"/>
        </w:rPr>
        <w:t>全</w:t>
      </w:r>
      <w:r>
        <w:rPr>
          <w:w w:val="101"/>
        </w:rPr>
        <w:t>面</w:t>
      </w:r>
      <w:r>
        <w:rPr>
          <w:spacing w:val="-5"/>
          <w:w w:val="101"/>
        </w:rPr>
        <w:t>进</w:t>
      </w:r>
      <w:r>
        <w:rPr>
          <w:w w:val="101"/>
        </w:rPr>
        <w:t>入</w:t>
      </w:r>
      <w:r>
        <w:rPr>
          <w:spacing w:val="-5"/>
          <w:w w:val="101"/>
        </w:rPr>
        <w:t>云</w:t>
      </w:r>
      <w:r>
        <w:rPr>
          <w:w w:val="101"/>
        </w:rPr>
        <w:t>视</w:t>
      </w:r>
      <w:r>
        <w:rPr>
          <w:spacing w:val="-5"/>
          <w:w w:val="101"/>
        </w:rPr>
        <w:t>频</w:t>
      </w:r>
      <w:r>
        <w:rPr>
          <w:w w:val="101"/>
        </w:rPr>
        <w:t>会</w:t>
      </w:r>
      <w:r>
        <w:rPr>
          <w:spacing w:val="-5"/>
          <w:w w:val="101"/>
        </w:rPr>
        <w:t>议</w:t>
      </w:r>
      <w:r>
        <w:rPr>
          <w:w w:val="101"/>
        </w:rPr>
        <w:t>主</w:t>
      </w:r>
      <w:r>
        <w:rPr>
          <w:spacing w:val="-5"/>
          <w:w w:val="101"/>
        </w:rPr>
        <w:t>赛</w:t>
      </w:r>
      <w:r>
        <w:rPr>
          <w:w w:val="101"/>
        </w:rPr>
        <w:t>道</w:t>
      </w:r>
      <w:r>
        <w:rPr>
          <w:spacing w:val="-82"/>
          <w:w w:val="101"/>
        </w:rPr>
        <w:t>。</w:t>
      </w:r>
      <w:r>
        <w:rPr>
          <w:spacing w:val="-5"/>
          <w:w w:val="101"/>
        </w:rPr>
        <w:t>通</w:t>
      </w:r>
      <w:r>
        <w:rPr>
          <w:w w:val="101"/>
        </w:rPr>
        <w:t>过</w:t>
      </w:r>
      <w:r>
        <w:rPr>
          <w:rFonts w:ascii="Times New Roman" w:hAnsi="Times New Roman" w:cs="Times New Roman" w:eastAsia="Times New Roman" w:hint="default"/>
          <w:spacing w:val="-5"/>
          <w:w w:val="101"/>
        </w:rPr>
        <w:t>“</w:t>
      </w:r>
      <w:r>
        <w:rPr>
          <w:w w:val="101"/>
        </w:rPr>
        <w:t>云</w:t>
      </w:r>
      <w:r>
        <w:rPr/>
      </w:r>
    </w:p>
    <w:p>
      <w:pPr>
        <w:pStyle w:val="BodyText"/>
        <w:spacing w:line="312" w:lineRule="auto" w:before="63"/>
        <w:ind w:left="153" w:right="1122"/>
        <w:jc w:val="both"/>
      </w:pPr>
      <w:r>
        <w:rPr>
          <w:rFonts w:ascii="Times New Roman" w:hAnsi="Times New Roman" w:cs="Times New Roman" w:eastAsia="Times New Roman" w:hint="default"/>
          <w:spacing w:val="-4"/>
        </w:rPr>
        <w:t>+</w:t>
      </w:r>
      <w:r>
        <w:rPr>
          <w:spacing w:val="-4"/>
        </w:rPr>
        <w:t>端</w:t>
      </w:r>
      <w:r>
        <w:rPr>
          <w:rFonts w:ascii="Times New Roman" w:hAnsi="Times New Roman" w:cs="Times New Roman" w:eastAsia="Times New Roman" w:hint="default"/>
          <w:spacing w:val="-4"/>
        </w:rPr>
        <w:t>+</w:t>
      </w:r>
      <w:r>
        <w:rPr>
          <w:spacing w:val="-4"/>
        </w:rPr>
        <w:t>行业</w:t>
      </w:r>
      <w:r>
        <w:rPr>
          <w:rFonts w:ascii="Times New Roman" w:hAnsi="Times New Roman" w:cs="Times New Roman" w:eastAsia="Times New Roman" w:hint="default"/>
          <w:spacing w:val="-4"/>
        </w:rPr>
        <w:t>”</w:t>
      </w:r>
      <w:r>
        <w:rPr>
          <w:spacing w:val="-4"/>
        </w:rPr>
        <w:t>的模式</w:t>
      </w:r>
      <w:r>
        <w:rPr>
          <w:rFonts w:ascii="Times New Roman" w:hAnsi="Times New Roman" w:cs="Times New Roman" w:eastAsia="Times New Roman" w:hint="default"/>
          <w:spacing w:val="-4"/>
        </w:rPr>
        <w:t>,</w:t>
      </w:r>
      <w:r>
        <w:rPr>
          <w:spacing w:val="-4"/>
        </w:rPr>
        <w:t>以视频技术与企业内、外部深度融合，赋能行业及企业所处的上下游生态链。一方面，视频会议能解决国</w:t>
      </w:r>
      <w:r>
        <w:rPr>
          <w:spacing w:val="76"/>
        </w:rPr>
        <w:t> </w:t>
      </w:r>
      <w:r>
        <w:rPr>
          <w:spacing w:val="76"/>
        </w:rPr>
      </w:r>
      <w:r>
        <w:rPr>
          <w:spacing w:val="-4"/>
        </w:rPr>
        <w:t>内多运营商之间的南北互通问题，保障高清、流畅的视频通信质量，视频会议具有全面的兼容性，可与市面主流视频会议终</w:t>
      </w:r>
      <w:r>
        <w:rPr>
          <w:spacing w:val="40"/>
        </w:rPr>
        <w:t> </w:t>
      </w:r>
      <w:r>
        <w:rPr>
          <w:spacing w:val="40"/>
        </w:rPr>
      </w:r>
      <w:r>
        <w:rPr>
          <w:spacing w:val="-4"/>
        </w:rPr>
        <w:t>端互联互通且具备稳定、高清、易用等多重优势，成为现代企业面向互联网的必备赋能工具。另一方面，公司在低成本、低</w:t>
      </w:r>
      <w:r>
        <w:rPr>
          <w:spacing w:val="40"/>
        </w:rPr>
        <w:t> </w:t>
      </w:r>
      <w:r>
        <w:rPr>
          <w:spacing w:val="40"/>
        </w:rPr>
      </w:r>
      <w:r>
        <w:rPr>
          <w:spacing w:val="-3"/>
        </w:rPr>
        <w:t>功耗的硬件终端研发上进行大量资源投入，并推出几款全新的高性价比硬件终端，为客户提供</w:t>
      </w:r>
      <w:r>
        <w:rPr>
          <w:rFonts w:ascii="Times New Roman" w:hAnsi="Times New Roman" w:cs="Times New Roman" w:eastAsia="Times New Roman" w:hint="default"/>
          <w:spacing w:val="-3"/>
        </w:rPr>
        <w:t>“</w:t>
      </w:r>
      <w:r>
        <w:rPr>
          <w:spacing w:val="-3"/>
        </w:rPr>
        <w:t>云</w:t>
      </w:r>
      <w:r>
        <w:rPr>
          <w:rFonts w:ascii="Times New Roman" w:hAnsi="Times New Roman" w:cs="Times New Roman" w:eastAsia="Times New Roman" w:hint="default"/>
          <w:spacing w:val="-3"/>
        </w:rPr>
        <w:t>+</w:t>
      </w:r>
      <w:r>
        <w:rPr>
          <w:spacing w:val="-3"/>
        </w:rPr>
        <w:t>端</w:t>
      </w:r>
      <w:r>
        <w:rPr>
          <w:rFonts w:ascii="Times New Roman" w:hAnsi="Times New Roman" w:cs="Times New Roman" w:eastAsia="Times New Roman" w:hint="default"/>
          <w:spacing w:val="-3"/>
        </w:rPr>
        <w:t>”</w:t>
      </w:r>
      <w:r>
        <w:rPr>
          <w:spacing w:val="-3"/>
        </w:rPr>
        <w:t>完整解决方案，企业</w:t>
      </w:r>
      <w:r>
        <w:rPr>
          <w:spacing w:val="4"/>
        </w:rPr>
        <w:t> </w:t>
      </w:r>
      <w:r>
        <w:rPr>
          <w:spacing w:val="4"/>
        </w:rPr>
      </w:r>
      <w:r>
        <w:rPr>
          <w:spacing w:val="-4"/>
        </w:rPr>
        <w:t>通信产品线从纯软件</w:t>
      </w:r>
      <w:r>
        <w:rPr>
          <w:rFonts w:ascii="Times New Roman" w:hAnsi="Times New Roman" w:cs="Times New Roman" w:eastAsia="Times New Roman" w:hint="default"/>
          <w:spacing w:val="-4"/>
        </w:rPr>
        <w:t>SaaS</w:t>
      </w:r>
      <w:r>
        <w:rPr>
          <w:spacing w:val="-4"/>
        </w:rPr>
        <w:t>服务扩充了硬件</w:t>
      </w:r>
      <w:r>
        <w:rPr>
          <w:rFonts w:ascii="Times New Roman" w:hAnsi="Times New Roman" w:cs="Times New Roman" w:eastAsia="Times New Roman" w:hint="default"/>
          <w:spacing w:val="-4"/>
        </w:rPr>
        <w:t>“</w:t>
      </w:r>
      <w:r>
        <w:rPr>
          <w:spacing w:val="-4"/>
        </w:rPr>
        <w:t>端</w:t>
      </w:r>
      <w:r>
        <w:rPr>
          <w:rFonts w:ascii="Times New Roman" w:hAnsi="Times New Roman" w:cs="Times New Roman" w:eastAsia="Times New Roman" w:hint="default"/>
          <w:spacing w:val="-4"/>
        </w:rPr>
        <w:t>”</w:t>
      </w:r>
      <w:r>
        <w:rPr>
          <w:spacing w:val="-4"/>
        </w:rPr>
        <w:t>的能力。视频会议为企业提供了无需部署专线、无需昂贵设备、快速搭建专属</w:t>
      </w:r>
      <w:r>
        <w:rPr>
          <w:spacing w:val="71"/>
        </w:rPr>
        <w:t> </w:t>
      </w:r>
      <w:r>
        <w:rPr>
          <w:spacing w:val="71"/>
        </w:rPr>
      </w:r>
      <w:r>
        <w:rPr>
          <w:spacing w:val="-4"/>
        </w:rPr>
        <w:t>会议室的解决方案。适用于远程商务会议、教育行业、远程医疗、政府行政会议等各种应用场景，全面兼容各种硬件终端充</w:t>
      </w:r>
      <w:r>
        <w:rPr>
          <w:spacing w:val="41"/>
        </w:rPr>
        <w:t> </w:t>
      </w:r>
      <w:r>
        <w:rPr>
          <w:spacing w:val="41"/>
        </w:rPr>
      </w:r>
      <w:r>
        <w:rPr>
          <w:spacing w:val="-4"/>
        </w:rPr>
        <w:t>分利旧，为客户提供安全稳定、高效便捷的视频会议服务。同时，它与公司的电话会议和企业直播产品无缝整合，丰富了客</w:t>
      </w:r>
      <w:r>
        <w:rPr>
          <w:spacing w:val="40"/>
        </w:rPr>
        <w:t> </w:t>
      </w:r>
      <w:r>
        <w:rPr>
          <w:spacing w:val="40"/>
        </w:rPr>
      </w:r>
      <w:r>
        <w:rPr>
          <w:spacing w:val="-3"/>
        </w:rPr>
        <w:t>户的应用场景，也很好地突显了多产品融合的组合应用优势。</w:t>
      </w:r>
    </w:p>
    <w:p>
      <w:pPr>
        <w:spacing w:after="0" w:line="312" w:lineRule="auto"/>
        <w:jc w:val="both"/>
        <w:sectPr>
          <w:pgSz w:w="11910" w:h="16840"/>
          <w:pgMar w:header="784" w:footer="1022" w:top="1100" w:bottom="1220" w:left="980" w:right="0"/>
        </w:sectPr>
      </w:pPr>
    </w:p>
    <w:p>
      <w:pPr>
        <w:spacing w:line="240" w:lineRule="auto" w:before="10"/>
        <w:rPr>
          <w:rFonts w:ascii="宋体" w:hAnsi="宋体" w:cs="宋体" w:eastAsia="宋体" w:hint="default"/>
          <w:sz w:val="22"/>
          <w:szCs w:val="22"/>
        </w:rPr>
      </w:pPr>
    </w:p>
    <w:p>
      <w:pPr>
        <w:pStyle w:val="BodyText"/>
        <w:spacing w:line="307" w:lineRule="auto" w:before="46"/>
        <w:ind w:left="153" w:right="1029" w:firstLine="360"/>
        <w:jc w:val="left"/>
      </w:pPr>
      <w:r>
        <w:rPr>
          <w:spacing w:val="-4"/>
        </w:rPr>
        <w:t>报告期内，云会议业务稳步发展。</w:t>
      </w:r>
      <w:r>
        <w:rPr>
          <w:rFonts w:ascii="Times New Roman" w:hAnsi="Times New Roman" w:cs="Times New Roman" w:eastAsia="Times New Roman" w:hint="default"/>
          <w:spacing w:val="-4"/>
        </w:rPr>
        <w:t>263</w:t>
      </w:r>
      <w:r>
        <w:rPr>
          <w:spacing w:val="-4"/>
        </w:rPr>
        <w:t>电话会议使用业界最为先进专业的电话会议平台，提供覆盖全球</w:t>
      </w:r>
      <w:r>
        <w:rPr>
          <w:rFonts w:ascii="Times New Roman" w:hAnsi="Times New Roman" w:cs="Times New Roman" w:eastAsia="Times New Roman" w:hint="default"/>
          <w:spacing w:val="-4"/>
        </w:rPr>
        <w:t>100</w:t>
      </w:r>
      <w:r>
        <w:rPr>
          <w:spacing w:val="-4"/>
        </w:rPr>
        <w:t>多个国家和地</w:t>
      </w:r>
      <w:r>
        <w:rPr>
          <w:w w:val="101"/>
        </w:rPr>
        <w:t> </w:t>
      </w:r>
      <w:r>
        <w:rPr>
          <w:spacing w:val="-4"/>
        </w:rPr>
        <w:t>区的国际免费接入号及本地号接入能力，</w:t>
      </w:r>
      <w:r>
        <w:rPr>
          <w:rFonts w:ascii="Times New Roman" w:hAnsi="Times New Roman" w:cs="Times New Roman" w:eastAsia="Times New Roman" w:hint="default"/>
          <w:spacing w:val="-4"/>
        </w:rPr>
        <w:t>7*24</w:t>
      </w:r>
      <w:r>
        <w:rPr>
          <w:spacing w:val="-4"/>
        </w:rPr>
        <w:t>的专业客户服务，为企业客户提供成本可控的高质量电话会议服务。随着音视</w:t>
      </w:r>
      <w:r>
        <w:rPr>
          <w:spacing w:val="51"/>
        </w:rPr>
        <w:t> </w:t>
      </w:r>
      <w:r>
        <w:rPr>
          <w:spacing w:val="51"/>
        </w:rPr>
      </w:r>
      <w:r>
        <w:rPr>
          <w:spacing w:val="-4"/>
        </w:rPr>
        <w:t>频及网络环境的发展，对电话会议产品更是提出除平台稳定、产品易用、成本可控之外的更多场景应用需求。因此，电话会</w:t>
      </w:r>
      <w:r>
        <w:rPr>
          <w:spacing w:val="41"/>
        </w:rPr>
        <w:t> </w:t>
      </w:r>
      <w:r>
        <w:rPr>
          <w:spacing w:val="41"/>
        </w:rPr>
      </w:r>
      <w:r>
        <w:rPr>
          <w:spacing w:val="-4"/>
        </w:rPr>
        <w:t>议产品线除了在平台稳定上持续投入，并在音视频能力建设及硬件支撑方面加大了投入，快速推出新产品。公司通过深度分</w:t>
      </w:r>
      <w:r>
        <w:rPr>
          <w:spacing w:val="43"/>
        </w:rPr>
        <w:t> </w:t>
      </w:r>
      <w:r>
        <w:rPr>
          <w:spacing w:val="43"/>
        </w:rPr>
      </w:r>
      <w:r>
        <w:rPr>
          <w:spacing w:val="-3"/>
        </w:rPr>
        <w:t>析不同行业的使用场景，优化产品功能，推出的</w:t>
      </w:r>
      <w:r>
        <w:rPr>
          <w:rFonts w:ascii="Times New Roman" w:hAnsi="Times New Roman" w:cs="Times New Roman" w:eastAsia="Times New Roman" w:hint="default"/>
          <w:spacing w:val="-3"/>
        </w:rPr>
        <w:t>263</w:t>
      </w:r>
      <w:r>
        <w:rPr>
          <w:spacing w:val="-3"/>
        </w:rPr>
        <w:t>人工会议、</w:t>
      </w:r>
      <w:r>
        <w:rPr>
          <w:rFonts w:ascii="Times New Roman" w:hAnsi="Times New Roman" w:cs="Times New Roman" w:eastAsia="Times New Roman" w:hint="default"/>
          <w:spacing w:val="-3"/>
        </w:rPr>
        <w:t>263</w:t>
      </w:r>
      <w:r>
        <w:rPr>
          <w:spacing w:val="-3"/>
        </w:rPr>
        <w:t>畅听、</w:t>
      </w:r>
      <w:r>
        <w:rPr>
          <w:rFonts w:ascii="Times New Roman" w:hAnsi="Times New Roman" w:cs="Times New Roman" w:eastAsia="Times New Roman" w:hint="default"/>
          <w:spacing w:val="-3"/>
        </w:rPr>
        <w:t>263</w:t>
      </w:r>
      <w:r>
        <w:rPr>
          <w:spacing w:val="-3"/>
        </w:rPr>
        <w:t>大方数会议产品极大提高了用户对安全类、大</w:t>
      </w:r>
      <w:r>
        <w:rPr>
          <w:spacing w:val="-1"/>
        </w:rPr>
        <w:t> </w:t>
      </w:r>
      <w:r>
        <w:rPr>
          <w:spacing w:val="-1"/>
        </w:rPr>
      </w:r>
      <w:r>
        <w:rPr>
          <w:spacing w:val="-5"/>
          <w:w w:val="101"/>
        </w:rPr>
        <w:t>方数类电话会议的高端专业会议需求。</w:t>
      </w:r>
      <w:r>
        <w:rPr>
          <w:rFonts w:ascii="Times New Roman" w:hAnsi="Times New Roman" w:cs="Times New Roman" w:eastAsia="Times New Roman" w:hint="default"/>
          <w:spacing w:val="-5"/>
          <w:w w:val="101"/>
        </w:rPr>
        <w:t>“</w:t>
      </w:r>
      <w:r>
        <w:rPr>
          <w:spacing w:val="-5"/>
          <w:w w:val="101"/>
        </w:rPr>
        <w:t>移动</w:t>
      </w:r>
      <w:r>
        <w:rPr>
          <w:rFonts w:ascii="Times New Roman" w:hAnsi="Times New Roman" w:cs="Times New Roman" w:eastAsia="Times New Roman" w:hint="default"/>
          <w:spacing w:val="-5"/>
          <w:w w:val="101"/>
        </w:rPr>
        <w:t>”</w:t>
      </w:r>
      <w:r>
        <w:rPr>
          <w:spacing w:val="-5"/>
          <w:w w:val="101"/>
        </w:rPr>
        <w:t>化是产品发展的必然趋势，</w:t>
      </w:r>
      <w:r>
        <w:rPr>
          <w:rFonts w:ascii="Times New Roman" w:hAnsi="Times New Roman" w:cs="Times New Roman" w:eastAsia="Times New Roman" w:hint="default"/>
          <w:spacing w:val="-5"/>
          <w:w w:val="101"/>
        </w:rPr>
        <w:t>2019</w:t>
      </w:r>
      <w:r>
        <w:rPr>
          <w:spacing w:val="-5"/>
          <w:w w:val="101"/>
        </w:rPr>
        <w:t>年电话会议产品线持续在各移动终端完善功能，</w:t>
      </w:r>
      <w:r>
        <w:rPr>
          <w:w w:val="101"/>
        </w:rPr>
        <w:t> </w:t>
      </w:r>
      <w:r>
        <w:rPr>
          <w:spacing w:val="-4"/>
        </w:rPr>
        <w:t>优化使用体验，满足特殊应用场景的移动接入需求，尤其对于企业将视频服务应用于外部客户服务和营销的环节，从便利性</w:t>
      </w:r>
      <w:r>
        <w:rPr>
          <w:spacing w:val="43"/>
        </w:rPr>
        <w:t> </w:t>
      </w:r>
      <w:r>
        <w:rPr>
          <w:spacing w:val="43"/>
        </w:rPr>
      </w:r>
      <w:r>
        <w:rPr>
          <w:spacing w:val="-4"/>
        </w:rPr>
        <w:t>和用户体验方面进行提升。</w:t>
      </w:r>
      <w:r>
        <w:rPr>
          <w:rFonts w:ascii="Times New Roman" w:hAnsi="Times New Roman" w:cs="Times New Roman" w:eastAsia="Times New Roman" w:hint="default"/>
          <w:spacing w:val="-4"/>
        </w:rPr>
        <w:t>263</w:t>
      </w:r>
      <w:r>
        <w:rPr>
          <w:spacing w:val="-4"/>
        </w:rPr>
        <w:t>会议移动端（</w:t>
      </w:r>
      <w:r>
        <w:rPr>
          <w:rFonts w:ascii="Times New Roman" w:hAnsi="Times New Roman" w:cs="Times New Roman" w:eastAsia="Times New Roman" w:hint="default"/>
          <w:spacing w:val="-4"/>
        </w:rPr>
        <w:t>263 Meet</w:t>
      </w:r>
      <w:r>
        <w:rPr>
          <w:spacing w:val="-4"/>
        </w:rPr>
        <w:t>）作为会议产品的移动门户，可查看全部类型的会议，并且可以在</w:t>
      </w:r>
      <w:r>
        <w:rPr>
          <w:rFonts w:ascii="Times New Roman" w:hAnsi="Times New Roman" w:cs="Times New Roman" w:eastAsia="Times New Roman" w:hint="default"/>
          <w:spacing w:val="-4"/>
        </w:rPr>
        <w:t>App</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spacing w:val="-3"/>
        </w:rPr>
        <w:t>内一键入会包括电话、视频在内的各类会议，实现</w:t>
      </w:r>
      <w:r>
        <w:rPr>
          <w:rFonts w:ascii="Times New Roman" w:hAnsi="Times New Roman" w:cs="Times New Roman" w:eastAsia="Times New Roman" w:hint="default"/>
          <w:spacing w:val="-3"/>
        </w:rPr>
        <w:t>VOIP</w:t>
      </w:r>
      <w:r>
        <w:rPr>
          <w:spacing w:val="-3"/>
        </w:rPr>
        <w:t>与</w:t>
      </w:r>
      <w:r>
        <w:rPr>
          <w:rFonts w:ascii="Times New Roman" w:hAnsi="Times New Roman" w:cs="Times New Roman" w:eastAsia="Times New Roman" w:hint="default"/>
          <w:spacing w:val="-3"/>
        </w:rPr>
        <w:t>PSTN</w:t>
      </w:r>
      <w:r>
        <w:rPr>
          <w:spacing w:val="-3"/>
        </w:rPr>
        <w:t>的融合，视频与音频的融合共享。</w:t>
      </w:r>
    </w:p>
    <w:p>
      <w:pPr>
        <w:pStyle w:val="BodyText"/>
        <w:spacing w:line="312" w:lineRule="auto" w:before="41"/>
        <w:ind w:left="153" w:right="1122" w:firstLine="360"/>
        <w:jc w:val="both"/>
      </w:pPr>
      <w:r>
        <w:rPr>
          <w:spacing w:val="-4"/>
        </w:rPr>
        <w:t>报告期内，公司云邮箱业务进一步夯实并始终保持行业内第一梯队。作为深耕企业邮箱领域</w:t>
      </w:r>
      <w:r>
        <w:rPr>
          <w:rFonts w:ascii="Times New Roman" w:hAnsi="Times New Roman" w:cs="Times New Roman" w:eastAsia="Times New Roman" w:hint="default"/>
          <w:spacing w:val="-4"/>
        </w:rPr>
        <w:t>20</w:t>
      </w:r>
      <w:r>
        <w:rPr>
          <w:spacing w:val="-4"/>
        </w:rPr>
        <w:t>年的企业邮箱服务商，公</w:t>
      </w:r>
      <w:r>
        <w:rPr>
          <w:w w:val="101"/>
        </w:rPr>
        <w:t> </w:t>
      </w:r>
      <w:r>
        <w:rPr>
          <w:spacing w:val="-4"/>
        </w:rPr>
        <w:t>司企业邮箱业务从系统可用度、安全漏洞防范、灾备机制、专业服务、产品持续创新等各个维度，不仅保障了企业信息通信</w:t>
      </w:r>
      <w:r>
        <w:rPr>
          <w:spacing w:val="40"/>
        </w:rPr>
        <w:t> </w:t>
      </w:r>
      <w:r>
        <w:rPr>
          <w:spacing w:val="40"/>
        </w:rPr>
      </w:r>
      <w:r>
        <w:rPr>
          <w:spacing w:val="-3"/>
        </w:rPr>
        <w:t>的安全可靠，更是推陈出新地让这款</w:t>
      </w:r>
      <w:r>
        <w:rPr>
          <w:rFonts w:ascii="Times New Roman" w:hAnsi="Times New Roman" w:cs="Times New Roman" w:eastAsia="Times New Roman" w:hint="default"/>
          <w:spacing w:val="-3"/>
        </w:rPr>
        <w:t>“</w:t>
      </w:r>
      <w:r>
        <w:rPr>
          <w:spacing w:val="-3"/>
        </w:rPr>
        <w:t>老产品</w:t>
      </w:r>
      <w:r>
        <w:rPr>
          <w:rFonts w:ascii="Times New Roman" w:hAnsi="Times New Roman" w:cs="Times New Roman" w:eastAsia="Times New Roman" w:hint="default"/>
          <w:spacing w:val="-3"/>
        </w:rPr>
        <w:t>”</w:t>
      </w:r>
      <w:r>
        <w:rPr>
          <w:spacing w:val="-3"/>
        </w:rPr>
        <w:t>变得更易用，更与时俱进。</w:t>
      </w:r>
    </w:p>
    <w:p>
      <w:pPr>
        <w:pStyle w:val="BodyText"/>
        <w:spacing w:line="302" w:lineRule="auto" w:before="41"/>
        <w:ind w:left="153" w:right="0" w:firstLine="360"/>
        <w:jc w:val="left"/>
      </w:pPr>
      <w:r>
        <w:rPr>
          <w:spacing w:val="-4"/>
        </w:rPr>
        <w:t>报告期内，公司秉承</w:t>
      </w:r>
      <w:r>
        <w:rPr>
          <w:rFonts w:ascii="Times New Roman" w:hAnsi="Times New Roman" w:cs="Times New Roman" w:eastAsia="Times New Roman" w:hint="default"/>
          <w:spacing w:val="-4"/>
        </w:rPr>
        <w:t>“</w:t>
      </w:r>
      <w:r>
        <w:rPr>
          <w:spacing w:val="-4"/>
        </w:rPr>
        <w:t>一带一路</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走出去</w:t>
      </w:r>
      <w:r>
        <w:rPr>
          <w:rFonts w:ascii="Times New Roman" w:hAnsi="Times New Roman" w:cs="Times New Roman" w:eastAsia="Times New Roman" w:hint="default"/>
          <w:spacing w:val="-4"/>
        </w:rPr>
        <w:t>”</w:t>
      </w:r>
      <w:r>
        <w:rPr>
          <w:spacing w:val="-4"/>
        </w:rPr>
        <w:t>等国家战略积极布局、构建国际通信业务。公司在国际通信业务领域通过与</w:t>
      </w:r>
      <w:r>
        <w:rPr>
          <w:w w:val="101"/>
        </w:rPr>
        <w:t> </w:t>
      </w:r>
      <w:r>
        <w:rPr>
          <w:rFonts w:ascii="Times New Roman" w:hAnsi="Times New Roman" w:cs="Times New Roman" w:eastAsia="Times New Roman" w:hint="default"/>
          <w:spacing w:val="-4"/>
        </w:rPr>
        <w:t>NTT</w:t>
      </w:r>
      <w:r>
        <w:rPr>
          <w:spacing w:val="-4"/>
        </w:rPr>
        <w:t>的战略合作，不仅通过设立合资公司（公司控股</w:t>
      </w:r>
      <w:r>
        <w:rPr>
          <w:rFonts w:ascii="Times New Roman" w:hAnsi="Times New Roman" w:cs="Times New Roman" w:eastAsia="Times New Roman" w:hint="default"/>
          <w:spacing w:val="-4"/>
        </w:rPr>
        <w:t>51%</w:t>
      </w:r>
      <w:r>
        <w:rPr>
          <w:spacing w:val="-4"/>
        </w:rPr>
        <w:t>）开展</w:t>
      </w:r>
      <w:r>
        <w:rPr>
          <w:rFonts w:ascii="Times New Roman" w:hAnsi="Times New Roman" w:cs="Times New Roman" w:eastAsia="Times New Roman" w:hint="default"/>
          <w:spacing w:val="-4"/>
        </w:rPr>
        <w:t>IDC</w:t>
      </w:r>
      <w:r>
        <w:rPr>
          <w:spacing w:val="-4"/>
        </w:rPr>
        <w:t>、云计算等业务，同时公司充分利用</w:t>
      </w:r>
      <w:r>
        <w:rPr>
          <w:rFonts w:ascii="Times New Roman" w:hAnsi="Times New Roman" w:cs="Times New Roman" w:eastAsia="Times New Roman" w:hint="default"/>
          <w:spacing w:val="-4"/>
        </w:rPr>
        <w:t>NTT</w:t>
      </w:r>
      <w:r>
        <w:rPr>
          <w:spacing w:val="-4"/>
        </w:rPr>
        <w:t>的品牌影响力、</w:t>
      </w:r>
      <w:r>
        <w:rPr>
          <w:spacing w:val="68"/>
        </w:rPr>
        <w:t> </w:t>
      </w:r>
      <w:r>
        <w:rPr>
          <w:spacing w:val="68"/>
        </w:rPr>
      </w:r>
      <w:r>
        <w:rPr>
          <w:spacing w:val="-2"/>
        </w:rPr>
        <w:t>优质的客户资源及全球营销能力完成</w:t>
      </w:r>
      <w:r>
        <w:rPr>
          <w:rFonts w:ascii="Times New Roman" w:hAnsi="Times New Roman" w:cs="Times New Roman" w:eastAsia="Times New Roman" w:hint="default"/>
          <w:spacing w:val="-2"/>
        </w:rPr>
        <w:t>IDC+VPN</w:t>
      </w:r>
      <w:r>
        <w:rPr>
          <w:spacing w:val="-2"/>
        </w:rPr>
        <w:t>组网的产品及解决方案能力构建，放大公司自身业务规模。此外，公司通过</w:t>
      </w:r>
      <w:r>
        <w:rPr>
          <w:spacing w:val="64"/>
        </w:rPr>
        <w:t> </w:t>
      </w:r>
      <w:r>
        <w:rPr>
          <w:spacing w:val="64"/>
        </w:rPr>
      </w:r>
      <w:r>
        <w:rPr>
          <w:spacing w:val="-3"/>
        </w:rPr>
        <w:t>并购等方式导入国际和跨境业务能力，提高</w:t>
      </w:r>
      <w:r>
        <w:rPr>
          <w:rFonts w:ascii="Times New Roman" w:hAnsi="Times New Roman" w:cs="Times New Roman" w:eastAsia="Times New Roman" w:hint="default"/>
          <w:spacing w:val="-3"/>
        </w:rPr>
        <w:t>Inbound</w:t>
      </w:r>
      <w:r>
        <w:rPr>
          <w:spacing w:val="-3"/>
        </w:rPr>
        <w:t>业务营销能效，并逐步构建</w:t>
      </w:r>
      <w:r>
        <w:rPr>
          <w:rFonts w:ascii="Times New Roman" w:hAnsi="Times New Roman" w:cs="Times New Roman" w:eastAsia="Times New Roman" w:hint="default"/>
          <w:spacing w:val="-3"/>
        </w:rPr>
        <w:t>Outbound</w:t>
      </w:r>
      <w:r>
        <w:rPr>
          <w:spacing w:val="-3"/>
        </w:rPr>
        <w:t>业务能力。</w:t>
      </w:r>
    </w:p>
    <w:p>
      <w:pPr>
        <w:pStyle w:val="BodyText"/>
        <w:spacing w:line="321" w:lineRule="auto" w:before="44"/>
        <w:ind w:left="153" w:right="1124" w:firstLine="360"/>
        <w:jc w:val="both"/>
      </w:pPr>
      <w:r>
        <w:rPr>
          <w:spacing w:val="-4"/>
        </w:rPr>
        <w:t>报告期内，公司北美互联网综合服务业务在继续为北美华人提供家庭电话，中文电视等服务的同时还推出了中文电视新</w:t>
      </w:r>
      <w:r>
        <w:rPr>
          <w:w w:val="101"/>
        </w:rPr>
        <w:t> </w:t>
      </w:r>
      <w:r>
        <w:rPr>
          <w:spacing w:val="-3"/>
        </w:rPr>
        <w:t>平台和全新智能家庭安防服务，为海外华人提供更多更好的服务。</w:t>
      </w:r>
    </w:p>
    <w:p>
      <w:pPr>
        <w:pStyle w:val="BodyText"/>
        <w:spacing w:line="304" w:lineRule="auto" w:before="49"/>
        <w:ind w:left="153" w:right="1122" w:firstLine="360"/>
        <w:jc w:val="both"/>
      </w:pPr>
      <w:r>
        <w:rPr>
          <w:spacing w:val="-4"/>
        </w:rPr>
        <w:t>报告期内，公司旗下北美孙公司</w:t>
      </w:r>
      <w:r>
        <w:rPr>
          <w:rFonts w:ascii="Times New Roman" w:hAnsi="Times New Roman" w:cs="Times New Roman" w:eastAsia="Times New Roman" w:hint="default"/>
          <w:spacing w:val="-4"/>
        </w:rPr>
        <w:t>iTalkBB</w:t>
      </w:r>
      <w:r>
        <w:rPr>
          <w:spacing w:val="-4"/>
        </w:rPr>
        <w:t>和世界最著名女排金牌教练郎平签约，郎平成为</w:t>
      </w:r>
      <w:r>
        <w:rPr>
          <w:rFonts w:ascii="Times New Roman" w:hAnsi="Times New Roman" w:cs="Times New Roman" w:eastAsia="Times New Roman" w:hint="default"/>
          <w:spacing w:val="-4"/>
        </w:rPr>
        <w:t>iTalkBB</w:t>
      </w:r>
      <w:r>
        <w:rPr>
          <w:spacing w:val="-4"/>
        </w:rPr>
        <w:t>在美国和加拿大的品牌</w:t>
      </w:r>
      <w:r>
        <w:rPr>
          <w:w w:val="101"/>
        </w:rPr>
        <w:t> </w:t>
      </w:r>
      <w:r>
        <w:rPr>
          <w:spacing w:val="-3"/>
        </w:rPr>
        <w:t>代言及产品代言。借助着郎平的形象和产品代言，</w:t>
      </w:r>
      <w:r>
        <w:rPr>
          <w:rFonts w:ascii="Times New Roman" w:hAnsi="Times New Roman" w:cs="Times New Roman" w:eastAsia="Times New Roman" w:hint="default"/>
          <w:spacing w:val="-3"/>
        </w:rPr>
        <w:t>iTalkBB</w:t>
      </w:r>
      <w:r>
        <w:rPr>
          <w:spacing w:val="-3"/>
        </w:rPr>
        <w:t>的品牌在北美市场得到进一步的提升。</w:t>
      </w:r>
    </w:p>
    <w:p>
      <w:pPr>
        <w:pStyle w:val="BodyText"/>
        <w:spacing w:line="312" w:lineRule="auto" w:before="47"/>
        <w:ind w:left="153" w:right="1122" w:firstLine="360"/>
        <w:jc w:val="both"/>
      </w:pPr>
      <w:r>
        <w:rPr>
          <w:spacing w:val="-3"/>
        </w:rPr>
        <w:t>报告期末，</w:t>
      </w:r>
      <w:r>
        <w:rPr>
          <w:rFonts w:ascii="Times New Roman" w:hAnsi="Times New Roman" w:cs="Times New Roman" w:eastAsia="Times New Roman" w:hint="default"/>
          <w:spacing w:val="-3"/>
        </w:rPr>
        <w:t>iTalkBB</w:t>
      </w:r>
      <w:r>
        <w:rPr>
          <w:spacing w:val="-3"/>
        </w:rPr>
        <w:t>正式在美国市场推出了自己的全新家庭安防系统 </w:t>
      </w:r>
      <w:r>
        <w:rPr>
          <w:spacing w:val="-4"/>
        </w:rPr>
        <w:t>（</w:t>
      </w:r>
      <w:r>
        <w:rPr>
          <w:rFonts w:ascii="Times New Roman" w:hAnsi="Times New Roman" w:cs="Times New Roman" w:eastAsia="Times New Roman" w:hint="default"/>
          <w:spacing w:val="-4"/>
        </w:rPr>
        <w:t>iTalkBB</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3"/>
        </w:rPr>
        <w:t>AIjia</w:t>
      </w:r>
      <w:r>
        <w:rPr>
          <w:spacing w:val="-3"/>
        </w:rPr>
        <w:t>）。该服务针对北美华人家庭的独</w:t>
      </w:r>
      <w:r>
        <w:rPr>
          <w:w w:val="101"/>
        </w:rPr>
        <w:t> </w:t>
      </w:r>
      <w:r>
        <w:rPr>
          <w:spacing w:val="-4"/>
        </w:rPr>
        <w:t>特需求而打造的全新安防服务，为海外华人家居生活提供了更多的安全保障。该服务整合了智能人形识别技术、视频云存储</w:t>
      </w:r>
      <w:r>
        <w:rPr>
          <w:spacing w:val="43"/>
        </w:rPr>
        <w:t> </w:t>
      </w:r>
      <w:r>
        <w:rPr>
          <w:spacing w:val="43"/>
        </w:rPr>
      </w:r>
      <w:r>
        <w:rPr>
          <w:spacing w:val="-3"/>
        </w:rPr>
        <w:t>技术和一键防盗报警技术，在用户的住宅外边打造了一个隐形的智能安防围栏。此产品的推出受到了美国华人的喜爱。</w:t>
      </w:r>
    </w:p>
    <w:p>
      <w:pPr>
        <w:pStyle w:val="BodyText"/>
        <w:spacing w:line="302" w:lineRule="auto" w:before="56"/>
        <w:ind w:left="153" w:right="1122" w:firstLine="360"/>
        <w:jc w:val="both"/>
      </w:pPr>
      <w:r>
        <w:rPr>
          <w:spacing w:val="-3"/>
        </w:rPr>
        <w:t>报告期内，</w:t>
      </w:r>
      <w:r>
        <w:rPr>
          <w:rFonts w:ascii="Times New Roman" w:hAnsi="Times New Roman" w:cs="Times New Roman" w:eastAsia="Times New Roman" w:hint="default"/>
          <w:spacing w:val="-3"/>
        </w:rPr>
        <w:t>iTalkBB</w:t>
      </w:r>
      <w:r>
        <w:rPr>
          <w:spacing w:val="-3"/>
        </w:rPr>
        <w:t>在北美地区正式推出了中文电视新平台（</w:t>
      </w:r>
      <w:r>
        <w:rPr>
          <w:rFonts w:ascii="Times New Roman" w:hAnsi="Times New Roman" w:cs="Times New Roman" w:eastAsia="Times New Roman" w:hint="default"/>
          <w:spacing w:val="-3"/>
        </w:rPr>
        <w:t>iTalkBB</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3"/>
        </w:rPr>
        <w:t>TV</w:t>
      </w:r>
      <w:r>
        <w:rPr>
          <w:spacing w:val="-3"/>
        </w:rPr>
        <w:t>）。新的中文电视平台增加了手机</w:t>
      </w:r>
      <w:r>
        <w:rPr>
          <w:rFonts w:ascii="Times New Roman" w:hAnsi="Times New Roman" w:cs="Times New Roman" w:eastAsia="Times New Roman" w:hint="default"/>
          <w:spacing w:val="-3"/>
        </w:rPr>
        <w:t>APP</w:t>
      </w:r>
      <w:r>
        <w:rPr>
          <w:spacing w:val="-3"/>
        </w:rPr>
        <w:t>播放器</w:t>
      </w:r>
      <w:r>
        <w:rPr>
          <w:w w:val="101"/>
        </w:rPr>
        <w:t> </w:t>
      </w:r>
      <w:r>
        <w:rPr/>
        <w:t>和计算机</w:t>
      </w:r>
      <w:r>
        <w:rPr>
          <w:rFonts w:ascii="Times New Roman" w:hAnsi="Times New Roman" w:cs="Times New Roman" w:eastAsia="Times New Roman" w:hint="default"/>
        </w:rPr>
        <w:t>web </w:t>
      </w:r>
      <w:r>
        <w:rPr>
          <w:spacing w:val="-3"/>
        </w:rPr>
        <w:t>播放器，用户可以通过多种方式观看喜爱的中文电视节目。同时通过新平台的推出</w:t>
      </w:r>
      <w:r>
        <w:rPr>
          <w:rFonts w:ascii="Times New Roman" w:hAnsi="Times New Roman" w:cs="Times New Roman" w:eastAsia="Times New Roman" w:hint="default"/>
          <w:spacing w:val="-3"/>
        </w:rPr>
        <w:t>iTalkBB</w:t>
      </w:r>
      <w:r>
        <w:rPr>
          <w:spacing w:val="-3"/>
        </w:rPr>
        <w:t>也打造了一个多平</w:t>
      </w:r>
      <w:r>
        <w:rPr>
          <w:spacing w:val="-43"/>
        </w:rPr>
        <w:t> </w:t>
      </w:r>
      <w:r>
        <w:rPr>
          <w:spacing w:val="-43"/>
        </w:rPr>
      </w:r>
      <w:r>
        <w:rPr>
          <w:spacing w:val="-3"/>
        </w:rPr>
        <w:t>台数字广告系统，为</w:t>
      </w:r>
      <w:r>
        <w:rPr>
          <w:rFonts w:ascii="Times New Roman" w:hAnsi="Times New Roman" w:cs="Times New Roman" w:eastAsia="Times New Roman" w:hint="default"/>
          <w:spacing w:val="-3"/>
        </w:rPr>
        <w:t>iTalkBB</w:t>
      </w:r>
      <w:r>
        <w:rPr>
          <w:spacing w:val="-3"/>
        </w:rPr>
        <w:t>的广告业务建立了一个全新的广告平台。</w:t>
      </w:r>
    </w:p>
    <w:p>
      <w:pPr>
        <w:pStyle w:val="BodyText"/>
        <w:spacing w:line="321" w:lineRule="auto" w:before="44"/>
        <w:ind w:left="153" w:right="1124" w:firstLine="360"/>
        <w:jc w:val="both"/>
      </w:pPr>
      <w:r>
        <w:rPr>
          <w:spacing w:val="-4"/>
        </w:rPr>
        <w:t>报告期内，公司参股的致远互联公司成功登陆科创板，该公司的成功上市不仅为其自身发展壮大创造了更好的条件，也</w:t>
      </w:r>
      <w:r>
        <w:rPr>
          <w:w w:val="101"/>
        </w:rPr>
        <w:t> </w:t>
      </w:r>
      <w:r>
        <w:rPr>
          <w:spacing w:val="-3"/>
        </w:rPr>
        <w:t>在</w:t>
      </w:r>
      <w:r>
        <w:rPr>
          <w:rFonts w:ascii="Times New Roman" w:hAnsi="Times New Roman" w:cs="Times New Roman" w:eastAsia="Times New Roman" w:hint="default"/>
          <w:spacing w:val="-3"/>
        </w:rPr>
        <w:t>“</w:t>
      </w:r>
      <w:r>
        <w:rPr>
          <w:spacing w:val="-3"/>
        </w:rPr>
        <w:t>协同办公</w:t>
      </w:r>
      <w:r>
        <w:rPr>
          <w:rFonts w:ascii="Times New Roman" w:hAnsi="Times New Roman" w:cs="Times New Roman" w:eastAsia="Times New Roman" w:hint="default"/>
          <w:spacing w:val="-3"/>
        </w:rPr>
        <w:t>”</w:t>
      </w:r>
      <w:r>
        <w:rPr>
          <w:spacing w:val="-3"/>
        </w:rPr>
        <w:t>领域与公司现有业务产生更广阔的协同效应，同时公司也获得了丰厚的投资收益。</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left="153"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153" w:right="0"/>
        <w:jc w:val="left"/>
      </w:pPr>
      <w:r>
        <w:rPr>
          <w:spacing w:val="-3"/>
        </w:rPr>
        <w:t>参见</w:t>
      </w:r>
      <w:r>
        <w:rPr>
          <w:rFonts w:ascii="Times New Roman" w:hAnsi="Times New Roman" w:cs="Times New Roman" w:eastAsia="Times New Roman" w:hint="default"/>
          <w:spacing w:val="-3"/>
        </w:rPr>
        <w:t>“</w:t>
      </w:r>
      <w:r>
        <w:rPr>
          <w:spacing w:val="-3"/>
        </w:rPr>
        <w:t>经营情况讨论与分析</w:t>
      </w:r>
      <w:r>
        <w:rPr>
          <w:rFonts w:ascii="Times New Roman" w:hAnsi="Times New Roman" w:cs="Times New Roman" w:eastAsia="Times New Roman" w:hint="default"/>
          <w:spacing w:val="-3"/>
        </w:rPr>
        <w:t>”</w:t>
      </w:r>
      <w:r>
        <w:rPr>
          <w:spacing w:val="-3"/>
        </w:rPr>
        <w:t>中的</w:t>
      </w:r>
      <w:r>
        <w:rPr>
          <w:rFonts w:ascii="Times New Roman" w:hAnsi="Times New Roman" w:cs="Times New Roman" w:eastAsia="Times New Roman" w:hint="default"/>
          <w:spacing w:val="-3"/>
        </w:rPr>
        <w:t>“</w:t>
      </w:r>
      <w:r>
        <w:rPr>
          <w:spacing w:val="-3"/>
        </w:rPr>
        <w:t>一、概述</w:t>
      </w:r>
      <w:r>
        <w:rPr>
          <w:rFonts w:ascii="Times New Roman" w:hAnsi="Times New Roman" w:cs="Times New Roman" w:eastAsia="Times New Roman" w:hint="default"/>
          <w:spacing w:val="-3"/>
        </w:rPr>
        <w:t>”</w:t>
      </w:r>
      <w:r>
        <w:rPr>
          <w:spacing w:val="-3"/>
        </w:rPr>
        <w:t>相关内容。</w:t>
      </w:r>
    </w:p>
    <w:p>
      <w:pPr>
        <w:spacing w:after="0" w:line="240" w:lineRule="auto"/>
        <w:jc w:val="left"/>
        <w:sectPr>
          <w:pgSz w:w="11910" w:h="16840"/>
          <w:pgMar w:header="784" w:footer="1022" w:top="1100" w:bottom="122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4"/>
        <w:spacing w:line="240" w:lineRule="auto" w:before="36"/>
        <w:ind w:left="233" w:right="1161"/>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33" w:right="1161"/>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599"/>
        <w:gridCol w:w="1820"/>
        <w:gridCol w:w="1820"/>
        <w:gridCol w:w="1647"/>
        <w:gridCol w:w="1820"/>
        <w:gridCol w:w="1153"/>
      </w:tblGrid>
      <w:tr>
        <w:trPr>
          <w:trHeight w:val="403" w:hRule="exact"/>
        </w:trPr>
        <w:tc>
          <w:tcPr>
            <w:tcW w:w="1599" w:type="dxa"/>
            <w:vMerge w:val="restart"/>
            <w:tcBorders>
              <w:top w:val="single" w:sz="4" w:space="0" w:color="000000"/>
              <w:left w:val="single" w:sz="4" w:space="0" w:color="000000"/>
              <w:right w:val="single" w:sz="4" w:space="0" w:color="000000"/>
            </w:tcBorders>
            <w:shd w:val="clear" w:color="auto" w:fill="D2D2D2"/>
          </w:tcPr>
          <w:p>
            <w:pPr/>
          </w:p>
        </w:tc>
        <w:tc>
          <w:tcPr>
            <w:tcW w:w="36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4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15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1,013,565,798.16</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928,733,524.63</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100%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9.13%</w:t>
            </w:r>
          </w:p>
        </w:tc>
      </w:tr>
      <w:tr>
        <w:trPr>
          <w:trHeight w:val="398" w:hRule="exact"/>
        </w:trPr>
        <w:tc>
          <w:tcPr>
            <w:tcW w:w="985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1,013,565,798.16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928,733,524.63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9.13%</w:t>
            </w:r>
          </w:p>
        </w:tc>
      </w:tr>
      <w:tr>
        <w:trPr>
          <w:trHeight w:val="403" w:hRule="exact"/>
        </w:trPr>
        <w:tc>
          <w:tcPr>
            <w:tcW w:w="985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99"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企业业务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606,493,786.02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59.84%</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499,394,272.04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53.77%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21.45%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个人业务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393,611,412.20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38.83%</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411,049,502.57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44.26%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-4.24%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13,460,599.94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1.33%</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18,289,750.02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1.97%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-26.40%</w:t>
            </w:r>
          </w:p>
        </w:tc>
      </w:tr>
      <w:tr>
        <w:trPr>
          <w:trHeight w:val="403" w:hRule="exact"/>
        </w:trPr>
        <w:tc>
          <w:tcPr>
            <w:tcW w:w="985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9"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中国大陆内</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496,707,634.39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49.01%</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484,079,583.80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52.12%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2.61%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中国大陆外</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516,858,163.77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50.99%</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444,653,940.83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47.88%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16.24%</w:t>
            </w:r>
          </w:p>
        </w:tc>
      </w:tr>
    </w:tbl>
    <w:p>
      <w:pPr>
        <w:spacing w:line="240" w:lineRule="auto" w:before="3"/>
        <w:rPr>
          <w:rFonts w:ascii="宋体" w:hAnsi="宋体" w:cs="宋体" w:eastAsia="宋体" w:hint="default"/>
          <w:sz w:val="19"/>
          <w:szCs w:val="19"/>
        </w:rPr>
      </w:pPr>
    </w:p>
    <w:p>
      <w:pPr>
        <w:pStyle w:val="Heading4"/>
        <w:spacing w:line="240" w:lineRule="auto" w:before="36"/>
        <w:ind w:left="233" w:right="1161"/>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233" w:right="116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228" w:type="dxa"/>
        <w:tblLayout w:type="fixed"/>
        <w:tblCellMar>
          <w:top w:w="0" w:type="dxa"/>
          <w:left w:w="0" w:type="dxa"/>
          <w:bottom w:w="0" w:type="dxa"/>
          <w:right w:w="0" w:type="dxa"/>
        </w:tblCellMar>
        <w:tblLook w:val="01E0"/>
      </w:tblPr>
      <w:tblGrid>
        <w:gridCol w:w="1225"/>
        <w:gridCol w:w="1508"/>
        <w:gridCol w:w="1369"/>
        <w:gridCol w:w="1368"/>
        <w:gridCol w:w="1368"/>
        <w:gridCol w:w="1364"/>
        <w:gridCol w:w="1373"/>
      </w:tblGrid>
      <w:tr>
        <w:trPr>
          <w:trHeight w:val="715" w:hRule="exact"/>
        </w:trPr>
        <w:tc>
          <w:tcPr>
            <w:tcW w:w="12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5" w:right="137" w:hanging="92"/>
              <w:jc w:val="left"/>
              <w:rPr>
                <w:rFonts w:ascii="宋体" w:hAnsi="宋体" w:cs="宋体" w:eastAsia="宋体" w:hint="default"/>
                <w:sz w:val="18"/>
                <w:szCs w:val="18"/>
              </w:rPr>
            </w:pPr>
            <w:r>
              <w:rPr>
                <w:rFonts w:ascii="宋体" w:hAnsi="宋体" w:cs="宋体" w:eastAsia="宋体" w:hint="default"/>
                <w:spacing w:val="-2"/>
                <w:sz w:val="18"/>
                <w:szCs w:val="18"/>
              </w:rPr>
              <w:t>营业收入比上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年同期增减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6" w:right="132" w:hanging="92"/>
              <w:jc w:val="left"/>
              <w:rPr>
                <w:rFonts w:ascii="宋体" w:hAnsi="宋体" w:cs="宋体" w:eastAsia="宋体" w:hint="default"/>
                <w:sz w:val="18"/>
                <w:szCs w:val="18"/>
              </w:rPr>
            </w:pPr>
            <w:r>
              <w:rPr>
                <w:rFonts w:ascii="宋体" w:hAnsi="宋体" w:cs="宋体" w:eastAsia="宋体" w:hint="default"/>
                <w:spacing w:val="-2"/>
                <w:sz w:val="18"/>
                <w:szCs w:val="18"/>
              </w:rPr>
              <w:t>营业成本比上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年同期增减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1" w:right="132" w:hanging="178"/>
              <w:jc w:val="left"/>
              <w:rPr>
                <w:rFonts w:ascii="宋体" w:hAnsi="宋体" w:cs="宋体" w:eastAsia="宋体" w:hint="default"/>
                <w:sz w:val="18"/>
                <w:szCs w:val="18"/>
              </w:rPr>
            </w:pPr>
            <w:r>
              <w:rPr>
                <w:rFonts w:ascii="宋体" w:hAnsi="宋体" w:cs="宋体" w:eastAsia="宋体" w:hint="default"/>
                <w:spacing w:val="-2"/>
                <w:sz w:val="18"/>
                <w:szCs w:val="18"/>
              </w:rPr>
              <w:t>毛利率比上年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同期增减</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99"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2"/>
                <w:sz w:val="18"/>
              </w:rPr>
              <w:t>1,013,565,798.16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 w:right="0"/>
              <w:jc w:val="center"/>
              <w:rPr>
                <w:rFonts w:ascii="Times New Roman" w:hAnsi="Times New Roman" w:cs="Times New Roman" w:eastAsia="Times New Roman" w:hint="default"/>
                <w:sz w:val="18"/>
                <w:szCs w:val="18"/>
              </w:rPr>
            </w:pPr>
            <w:r>
              <w:rPr>
                <w:rFonts w:ascii="Times New Roman"/>
                <w:sz w:val="18"/>
              </w:rPr>
              <w:t>445,169,991.08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9.13%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16.35%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-2.72%</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企业业务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606,493,786.02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301,280,686.79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21.45%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24.50%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-1.22%</w:t>
            </w:r>
          </w:p>
        </w:tc>
      </w:tr>
      <w:tr>
        <w:trPr>
          <w:trHeight w:val="403"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个人业务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2"/>
                <w:sz w:val="18"/>
              </w:rPr>
              <w:t>393,611,412.20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 w:right="0"/>
              <w:jc w:val="center"/>
              <w:rPr>
                <w:rFonts w:ascii="Times New Roman" w:hAnsi="Times New Roman" w:cs="Times New Roman" w:eastAsia="Times New Roman" w:hint="default"/>
                <w:sz w:val="18"/>
                <w:szCs w:val="18"/>
              </w:rPr>
            </w:pPr>
            <w:r>
              <w:rPr>
                <w:rFonts w:ascii="Times New Roman"/>
                <w:sz w:val="18"/>
              </w:rPr>
              <w:t>138,586,908.27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64.79%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-4.24%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3.75%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-2.71%</w:t>
            </w:r>
          </w:p>
        </w:tc>
      </w:tr>
      <w:tr>
        <w:trPr>
          <w:trHeight w:val="399"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中国大陆内</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496,707,634.39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 w:right="0"/>
              <w:jc w:val="center"/>
              <w:rPr>
                <w:rFonts w:ascii="Times New Roman" w:hAnsi="Times New Roman" w:cs="Times New Roman" w:eastAsia="Times New Roman" w:hint="default"/>
                <w:sz w:val="18"/>
                <w:szCs w:val="18"/>
              </w:rPr>
            </w:pPr>
            <w:r>
              <w:rPr>
                <w:rFonts w:ascii="Times New Roman"/>
                <w:sz w:val="18"/>
              </w:rPr>
              <w:t>240,263,496.15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51.63%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2.61%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-0.17%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1.35%</w:t>
            </w:r>
          </w:p>
        </w:tc>
      </w:tr>
      <w:tr>
        <w:trPr>
          <w:trHeight w:val="403"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中国大陆外</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516,858,163.77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 w:right="0"/>
              <w:jc w:val="center"/>
              <w:rPr>
                <w:rFonts w:ascii="Times New Roman" w:hAnsi="Times New Roman" w:cs="Times New Roman" w:eastAsia="Times New Roman" w:hint="default"/>
                <w:sz w:val="18"/>
                <w:szCs w:val="18"/>
              </w:rPr>
            </w:pPr>
            <w:r>
              <w:rPr>
                <w:rFonts w:ascii="Times New Roman"/>
                <w:sz w:val="18"/>
              </w:rPr>
              <w:t>204,906,494.93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16.24%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44.34%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-7.71%</w:t>
            </w:r>
          </w:p>
        </w:tc>
      </w:tr>
    </w:tbl>
    <w:p>
      <w:pPr>
        <w:pStyle w:val="BodyText"/>
        <w:spacing w:line="240" w:lineRule="auto" w:before="53"/>
        <w:ind w:left="233" w:right="1161"/>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spacing w:val="-3"/>
        </w:rPr>
        <w:t>年按报告期末口径调整后的主营业务数据</w:t>
      </w:r>
    </w:p>
    <w:p>
      <w:pPr>
        <w:pStyle w:val="BodyText"/>
        <w:spacing w:line="240" w:lineRule="auto" w:before="106"/>
        <w:ind w:left="233" w:right="116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84" w:footer="1022" w:top="1100" w:bottom="1220" w:left="900" w:right="0"/>
        </w:sectPr>
      </w:pPr>
    </w:p>
    <w:p>
      <w:pPr>
        <w:spacing w:line="240" w:lineRule="auto" w:before="8"/>
        <w:rPr>
          <w:rFonts w:ascii="宋体" w:hAnsi="宋体" w:cs="宋体" w:eastAsia="宋体" w:hint="default"/>
          <w:sz w:val="21"/>
          <w:szCs w:val="21"/>
        </w:rPr>
      </w:pPr>
    </w:p>
    <w:p>
      <w:pPr>
        <w:pStyle w:val="Heading4"/>
        <w:spacing w:line="240" w:lineRule="auto" w:before="36"/>
        <w:ind w:left="153"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25"/>
          <w:szCs w:val="25"/>
        </w:rPr>
      </w:pPr>
    </w:p>
    <w:p>
      <w:pPr>
        <w:pStyle w:val="Heading4"/>
        <w:spacing w:line="240" w:lineRule="auto"/>
        <w:ind w:left="153"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left="153"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153" w:right="0"/>
        <w:jc w:val="left"/>
      </w:pPr>
      <w:r>
        <w:rPr>
          <w:spacing w:val="-3"/>
        </w:rPr>
        <w:t>行业和产品分类</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1"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590" w:right="132" w:hanging="452"/>
              <w:jc w:val="left"/>
              <w:rPr>
                <w:rFonts w:ascii="宋体" w:hAnsi="宋体" w:cs="宋体" w:eastAsia="宋体" w:hint="default"/>
                <w:sz w:val="18"/>
                <w:szCs w:val="18"/>
              </w:rPr>
            </w:pPr>
            <w:r>
              <w:rPr>
                <w:rFonts w:ascii="宋体" w:hAnsi="宋体" w:cs="宋体" w:eastAsia="宋体" w:hint="default"/>
                <w:spacing w:val="-2"/>
                <w:sz w:val="18"/>
                <w:szCs w:val="18"/>
              </w:rPr>
              <w:t>占营业成本比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591" w:right="132" w:hanging="452"/>
              <w:jc w:val="left"/>
              <w:rPr>
                <w:rFonts w:ascii="宋体" w:hAnsi="宋体" w:cs="宋体" w:eastAsia="宋体" w:hint="default"/>
                <w:sz w:val="18"/>
                <w:szCs w:val="18"/>
              </w:rPr>
            </w:pPr>
            <w:r>
              <w:rPr>
                <w:rFonts w:ascii="宋体" w:hAnsi="宋体" w:cs="宋体" w:eastAsia="宋体" w:hint="default"/>
                <w:spacing w:val="-2"/>
                <w:sz w:val="18"/>
                <w:szCs w:val="18"/>
              </w:rPr>
              <w:t>占营业成本比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 w:right="0"/>
              <w:jc w:val="center"/>
              <w:rPr>
                <w:rFonts w:ascii="Times New Roman" w:hAnsi="Times New Roman" w:cs="Times New Roman" w:eastAsia="Times New Roman" w:hint="default"/>
                <w:sz w:val="18"/>
                <w:szCs w:val="18"/>
              </w:rPr>
            </w:pPr>
            <w:r>
              <w:rPr>
                <w:rFonts w:ascii="Times New Roman"/>
                <w:sz w:val="18"/>
              </w:rPr>
              <w:t>445,169,991.08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14" w:right="0"/>
              <w:jc w:val="left"/>
              <w:rPr>
                <w:rFonts w:ascii="Times New Roman" w:hAnsi="Times New Roman" w:cs="Times New Roman" w:eastAsia="Times New Roman" w:hint="default"/>
                <w:sz w:val="18"/>
                <w:szCs w:val="18"/>
              </w:rPr>
            </w:pPr>
            <w:r>
              <w:rPr>
                <w:rFonts w:ascii="Times New Roman"/>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 w:right="0"/>
              <w:jc w:val="center"/>
              <w:rPr>
                <w:rFonts w:ascii="Times New Roman" w:hAnsi="Times New Roman" w:cs="Times New Roman" w:eastAsia="Times New Roman" w:hint="default"/>
                <w:sz w:val="18"/>
                <w:szCs w:val="18"/>
              </w:rPr>
            </w:pPr>
            <w:r>
              <w:rPr>
                <w:rFonts w:ascii="Times New Roman"/>
                <w:sz w:val="18"/>
              </w:rPr>
              <w:t>382,623,418.98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15" w:right="0"/>
              <w:jc w:val="left"/>
              <w:rPr>
                <w:rFonts w:ascii="Times New Roman" w:hAnsi="Times New Roman" w:cs="Times New Roman" w:eastAsia="Times New Roman" w:hint="default"/>
                <w:sz w:val="18"/>
                <w:szCs w:val="18"/>
              </w:rPr>
            </w:pPr>
            <w:r>
              <w:rPr>
                <w:rFonts w:ascii="Times New Roman"/>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01" w:right="0"/>
              <w:jc w:val="left"/>
              <w:rPr>
                <w:rFonts w:ascii="Times New Roman" w:hAnsi="Times New Roman" w:cs="Times New Roman" w:eastAsia="Times New Roman" w:hint="default"/>
                <w:sz w:val="18"/>
                <w:szCs w:val="18"/>
              </w:rPr>
            </w:pPr>
            <w:r>
              <w:rPr>
                <w:rFonts w:ascii="Times New Roman"/>
                <w:sz w:val="18"/>
              </w:rPr>
              <w:t>16.35%</w:t>
            </w:r>
          </w:p>
        </w:tc>
      </w:tr>
    </w:tbl>
    <w:p>
      <w:pPr>
        <w:pStyle w:val="BodyText"/>
        <w:spacing w:line="240" w:lineRule="auto" w:before="53"/>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1"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590" w:right="132" w:hanging="452"/>
              <w:jc w:val="left"/>
              <w:rPr>
                <w:rFonts w:ascii="宋体" w:hAnsi="宋体" w:cs="宋体" w:eastAsia="宋体" w:hint="default"/>
                <w:sz w:val="18"/>
                <w:szCs w:val="18"/>
              </w:rPr>
            </w:pPr>
            <w:r>
              <w:rPr>
                <w:rFonts w:ascii="宋体" w:hAnsi="宋体" w:cs="宋体" w:eastAsia="宋体" w:hint="default"/>
                <w:spacing w:val="-2"/>
                <w:sz w:val="18"/>
                <w:szCs w:val="18"/>
              </w:rPr>
              <w:t>占营业成本比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591" w:right="132" w:hanging="452"/>
              <w:jc w:val="left"/>
              <w:rPr>
                <w:rFonts w:ascii="宋体" w:hAnsi="宋体" w:cs="宋体" w:eastAsia="宋体" w:hint="default"/>
                <w:sz w:val="18"/>
                <w:szCs w:val="18"/>
              </w:rPr>
            </w:pPr>
            <w:r>
              <w:rPr>
                <w:rFonts w:ascii="宋体" w:hAnsi="宋体" w:cs="宋体" w:eastAsia="宋体" w:hint="default"/>
                <w:spacing w:val="-2"/>
                <w:sz w:val="18"/>
                <w:szCs w:val="18"/>
              </w:rPr>
              <w:t>占营业成本比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企业业务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企业业务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301,280,686.79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67.68%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242,002,108.87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63.25%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24.50%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个人业务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个人业务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138,586,908.27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31.13%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133,582,363.35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34.91%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3.75%</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5,302,396.02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1.19%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7,038,946.76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-24.67%</w:t>
            </w:r>
          </w:p>
        </w:tc>
      </w:tr>
    </w:tbl>
    <w:p>
      <w:pPr>
        <w:spacing w:line="240" w:lineRule="auto" w:before="3"/>
        <w:rPr>
          <w:rFonts w:ascii="宋体" w:hAnsi="宋体" w:cs="宋体" w:eastAsia="宋体" w:hint="default"/>
          <w:sz w:val="19"/>
          <w:szCs w:val="19"/>
        </w:rPr>
      </w:pPr>
    </w:p>
    <w:p>
      <w:pPr>
        <w:pStyle w:val="Heading4"/>
        <w:spacing w:line="240" w:lineRule="auto" w:before="36"/>
        <w:ind w:left="153"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240" w:lineRule="auto" w:before="102"/>
        <w:ind w:left="153" w:right="0"/>
        <w:jc w:val="left"/>
      </w:pPr>
      <w:r>
        <w:rPr/>
        <w:t>展动科技</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有限公司已于</w:t>
      </w:r>
      <w:r>
        <w:rPr>
          <w:spacing w:val="-2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t>年</w:t>
      </w:r>
      <w:r>
        <w:rPr>
          <w:spacing w:val="-36"/>
        </w:rPr>
        <w:t>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spacing w:val="-3"/>
        </w:rPr>
        <w:t>月被北京展视互动科技有限公司吸收合并。</w:t>
      </w:r>
    </w:p>
    <w:p>
      <w:pPr>
        <w:spacing w:line="240" w:lineRule="auto" w:before="8"/>
        <w:rPr>
          <w:rFonts w:ascii="宋体" w:hAnsi="宋体" w:cs="宋体" w:eastAsia="宋体" w:hint="default"/>
          <w:sz w:val="25"/>
          <w:szCs w:val="25"/>
        </w:rPr>
      </w:pPr>
    </w:p>
    <w:p>
      <w:pPr>
        <w:pStyle w:val="Heading4"/>
        <w:spacing w:line="240" w:lineRule="auto"/>
        <w:ind w:left="153"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84" w:footer="1022" w:top="1100" w:bottom="122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4"/>
        <w:spacing w:line="240" w:lineRule="auto" w:before="36"/>
        <w:ind w:left="153"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153" w:right="0"/>
        <w:jc w:val="left"/>
      </w:pPr>
      <w:r>
        <w:rPr/>
        <w:t>公司主要销售客户情况</w:t>
      </w:r>
    </w:p>
    <w:p>
      <w:pPr>
        <w:spacing w:line="240" w:lineRule="auto" w:before="8"/>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6408"/>
        <w:gridCol w:w="3208"/>
      </w:tblGrid>
      <w:tr>
        <w:trPr>
          <w:trHeight w:val="403" w:hRule="exact"/>
        </w:trPr>
        <w:tc>
          <w:tcPr>
            <w:tcW w:w="6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176,839,895.60</w:t>
            </w:r>
          </w:p>
        </w:tc>
      </w:tr>
      <w:tr>
        <w:trPr>
          <w:trHeight w:val="403" w:hRule="exact"/>
        </w:trPr>
        <w:tc>
          <w:tcPr>
            <w:tcW w:w="6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17.45%</w:t>
            </w:r>
          </w:p>
        </w:tc>
      </w:tr>
      <w:tr>
        <w:trPr>
          <w:trHeight w:val="403" w:hRule="exact"/>
        </w:trPr>
        <w:tc>
          <w:tcPr>
            <w:tcW w:w="6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前五名客户销售额中关联方销售额占年度销售总额比例</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left="153" w:right="0"/>
        <w:jc w:val="left"/>
      </w:pPr>
      <w:r>
        <w:rPr/>
        <w:t>公司前</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大客户资料</w:t>
      </w:r>
    </w:p>
    <w:p>
      <w:pPr>
        <w:spacing w:line="240" w:lineRule="auto" w:before="8"/>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4"/>
        <w:gridCol w:w="3140"/>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65,679,119.32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6.48%</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35,207,480.25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3.47%</w:t>
            </w:r>
          </w:p>
        </w:tc>
      </w:tr>
      <w:tr>
        <w:trPr>
          <w:trHeight w:val="398"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26,629,219.90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2.63%</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25,837,450.12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2.55%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23,486,626.01</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2.32%</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176,839,895.60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17.45%</w:t>
            </w:r>
          </w:p>
        </w:tc>
      </w:tr>
    </w:tbl>
    <w:p>
      <w:pPr>
        <w:pStyle w:val="BodyText"/>
        <w:spacing w:line="240" w:lineRule="auto" w:before="53"/>
        <w:ind w:left="153" w:right="0"/>
        <w:jc w:val="left"/>
      </w:pPr>
      <w:r>
        <w:rPr/>
        <w:t>主要客户其他情况说明</w:t>
      </w:r>
    </w:p>
    <w:p>
      <w:pPr>
        <w:pStyle w:val="BodyText"/>
        <w:spacing w:line="343" w:lineRule="auto" w:before="115"/>
        <w:ind w:left="153"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公司主要供应商情况</w:t>
      </w:r>
    </w:p>
    <w:tbl>
      <w:tblPr>
        <w:tblW w:w="0" w:type="auto"/>
        <w:jc w:val="left"/>
        <w:tblInd w:w="150" w:type="dxa"/>
        <w:tblLayout w:type="fixed"/>
        <w:tblCellMar>
          <w:top w:w="0" w:type="dxa"/>
          <w:left w:w="0" w:type="dxa"/>
          <w:bottom w:w="0" w:type="dxa"/>
          <w:right w:w="0" w:type="dxa"/>
        </w:tblCellMar>
        <w:tblLook w:val="01E0"/>
      </w:tblPr>
      <w:tblGrid>
        <w:gridCol w:w="6408"/>
        <w:gridCol w:w="3164"/>
      </w:tblGrid>
      <w:tr>
        <w:trPr>
          <w:trHeight w:val="403" w:hRule="exact"/>
        </w:trPr>
        <w:tc>
          <w:tcPr>
            <w:tcW w:w="6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65,397,334.67</w:t>
            </w:r>
          </w:p>
        </w:tc>
      </w:tr>
      <w:tr>
        <w:trPr>
          <w:trHeight w:val="401" w:hRule="exact"/>
        </w:trPr>
        <w:tc>
          <w:tcPr>
            <w:tcW w:w="6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17.43%</w:t>
            </w:r>
          </w:p>
        </w:tc>
      </w:tr>
      <w:tr>
        <w:trPr>
          <w:trHeight w:val="401" w:hRule="exact"/>
        </w:trPr>
        <w:tc>
          <w:tcPr>
            <w:tcW w:w="6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前五名供应商采购额中关联方采购额占年度采购总额比例</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5"/>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76"/>
        <w:ind w:left="153" w:right="0"/>
        <w:jc w:val="left"/>
      </w:pPr>
      <w:r>
        <w:rPr/>
        <w:t>公司前</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37"/>
        <w:gridCol w:w="3169"/>
        <w:gridCol w:w="2324"/>
        <w:gridCol w:w="3140"/>
      </w:tblGrid>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398"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17,860,603.64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4.76%</w:t>
            </w:r>
          </w:p>
        </w:tc>
      </w:tr>
      <w:tr>
        <w:trPr>
          <w:trHeight w:val="404"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14,274,545.47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3.81%</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11,865,351.53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3.16%</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10,895,142.38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2.90%</w:t>
            </w:r>
          </w:p>
        </w:tc>
      </w:tr>
      <w:tr>
        <w:trPr>
          <w:trHeight w:val="398"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10,501,691.64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2.80%</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65,397,334.67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17.43%</w:t>
            </w:r>
          </w:p>
        </w:tc>
      </w:tr>
    </w:tbl>
    <w:p>
      <w:pPr>
        <w:pStyle w:val="BodyText"/>
        <w:spacing w:line="240" w:lineRule="auto" w:before="53"/>
        <w:ind w:left="153" w:right="0"/>
        <w:jc w:val="left"/>
      </w:pPr>
      <w:r>
        <w:rPr>
          <w:spacing w:val="-3"/>
        </w:rPr>
        <w:t>主要供应商其他情况说明</w:t>
      </w:r>
    </w:p>
    <w:p>
      <w:pPr>
        <w:pStyle w:val="BodyText"/>
        <w:spacing w:line="240" w:lineRule="auto" w:before="119"/>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84" w:footer="1022" w:top="1100" w:bottom="122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4"/>
        <w:spacing w:line="240" w:lineRule="auto" w:before="36"/>
        <w:ind w:left="233" w:right="1161"/>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647"/>
        <w:gridCol w:w="1565"/>
        <w:gridCol w:w="1724"/>
        <w:gridCol w:w="1402"/>
        <w:gridCol w:w="3520"/>
      </w:tblGrid>
      <w:tr>
        <w:trPr>
          <w:trHeight w:val="403"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176,741,431.04</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177,903,581.98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-0.65%</w:t>
            </w:r>
          </w:p>
        </w:tc>
        <w:tc>
          <w:tcPr>
            <w:tcW w:w="35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176,692,381.52</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161,162,499.40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9.64%</w:t>
            </w:r>
          </w:p>
        </w:tc>
        <w:tc>
          <w:tcPr>
            <w:tcW w:w="352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-9,669,411.47</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-16,432,247.47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41.16%</w:t>
            </w:r>
          </w:p>
        </w:tc>
        <w:tc>
          <w:tcPr>
            <w:tcW w:w="35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57"/>
              <w:jc w:val="left"/>
              <w:rPr>
                <w:rFonts w:ascii="宋体" w:hAnsi="宋体" w:cs="宋体" w:eastAsia="宋体" w:hint="default"/>
                <w:sz w:val="18"/>
                <w:szCs w:val="18"/>
              </w:rPr>
            </w:pPr>
            <w:r>
              <w:rPr>
                <w:rFonts w:ascii="宋体" w:hAnsi="宋体" w:cs="宋体" w:eastAsia="宋体" w:hint="default"/>
                <w:spacing w:val="-3"/>
                <w:sz w:val="18"/>
                <w:szCs w:val="18"/>
              </w:rPr>
              <w:t>主要系本年购买固定利息结构性存款比上</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年减少导致利息收入减少所致。</w:t>
            </w:r>
          </w:p>
        </w:tc>
      </w:tr>
      <w:tr>
        <w:trPr>
          <w:trHeight w:val="715"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117,903,664.82</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135,265,671.88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-12.84%</w:t>
            </w:r>
          </w:p>
        </w:tc>
        <w:tc>
          <w:tcPr>
            <w:tcW w:w="352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57"/>
              <w:jc w:val="left"/>
              <w:rPr>
                <w:rFonts w:ascii="宋体" w:hAnsi="宋体" w:cs="宋体" w:eastAsia="宋体" w:hint="default"/>
                <w:sz w:val="18"/>
                <w:szCs w:val="18"/>
              </w:rPr>
            </w:pPr>
            <w:r>
              <w:rPr>
                <w:rFonts w:ascii="宋体" w:hAnsi="宋体" w:cs="宋体" w:eastAsia="宋体" w:hint="default"/>
                <w:spacing w:val="-3"/>
                <w:sz w:val="18"/>
                <w:szCs w:val="18"/>
              </w:rPr>
              <w:t>主要系原并购展动科技（北京）有限公司</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时确认的自研软件于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年摊销完毕。</w:t>
            </w:r>
          </w:p>
        </w:tc>
      </w:tr>
    </w:tbl>
    <w:p>
      <w:pPr>
        <w:spacing w:line="240" w:lineRule="auto" w:before="3"/>
        <w:rPr>
          <w:rFonts w:ascii="宋体" w:hAnsi="宋体" w:cs="宋体" w:eastAsia="宋体" w:hint="default"/>
          <w:sz w:val="19"/>
          <w:szCs w:val="19"/>
        </w:rPr>
      </w:pPr>
    </w:p>
    <w:p>
      <w:pPr>
        <w:pStyle w:val="Heading4"/>
        <w:spacing w:line="240" w:lineRule="auto" w:before="36"/>
        <w:ind w:left="233" w:right="1161"/>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10"/>
        <w:rPr>
          <w:rFonts w:ascii="宋体" w:hAnsi="宋体" w:cs="宋体" w:eastAsia="宋体" w:hint="default"/>
          <w:b/>
          <w:bCs/>
          <w:sz w:val="26"/>
          <w:szCs w:val="26"/>
        </w:rPr>
      </w:pPr>
    </w:p>
    <w:p>
      <w:pPr>
        <w:pStyle w:val="BodyText"/>
        <w:spacing w:line="328" w:lineRule="auto"/>
        <w:ind w:left="233" w:right="116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4"/>
        </w:rPr>
        <w:t>本公司注重技术研发、不断积累提升通信业务技术能力。报告期内公司结合业务发展目标，整体减员增效的同时，保持研发</w:t>
      </w:r>
      <w:r>
        <w:rPr>
          <w:spacing w:val="40"/>
        </w:rPr>
        <w:t> </w:t>
      </w:r>
      <w:r>
        <w:rPr>
          <w:spacing w:val="40"/>
        </w:rPr>
      </w:r>
      <w:r>
        <w:rPr>
          <w:spacing w:val="-3"/>
        </w:rPr>
        <w:t>上一定规模的投入，主要投入到网络直播、海外</w:t>
      </w:r>
      <w:r>
        <w:rPr>
          <w:rFonts w:ascii="Times New Roman" w:hAnsi="Times New Roman" w:cs="Times New Roman" w:eastAsia="Times New Roman" w:hint="default"/>
          <w:spacing w:val="-3"/>
        </w:rPr>
        <w:t>MVNO</w:t>
      </w:r>
      <w:r>
        <w:rPr>
          <w:spacing w:val="-3"/>
        </w:rPr>
        <w:t>、企业手机、物联网等方面。</w:t>
      </w:r>
    </w:p>
    <w:p>
      <w:pPr>
        <w:pStyle w:val="BodyText"/>
        <w:spacing w:line="240" w:lineRule="auto" w:before="32"/>
        <w:ind w:left="233" w:right="1161"/>
        <w:jc w:val="left"/>
      </w:pPr>
      <w:r>
        <w:rPr/>
        <w:t>公司研发投入情况</w:t>
      </w:r>
    </w:p>
    <w:p>
      <w:pPr>
        <w:spacing w:line="240" w:lineRule="auto" w:before="8"/>
        <w:rPr>
          <w:rFonts w:ascii="宋体" w:hAnsi="宋体" w:cs="宋体" w:eastAsia="宋体" w:hint="default"/>
          <w:sz w:val="7"/>
          <w:szCs w:val="7"/>
        </w:rPr>
      </w:pPr>
    </w:p>
    <w:tbl>
      <w:tblPr>
        <w:tblW w:w="0" w:type="auto"/>
        <w:jc w:val="left"/>
        <w:tblInd w:w="22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595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601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56.13%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53.09%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3.04%</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125,406,066.57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137,091,118.29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-8.52%</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12.37%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14.76%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-2.39%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投</w:t>
            </w:r>
            <w:r>
              <w:rPr>
                <w:rFonts w:ascii="宋体" w:hAnsi="宋体" w:cs="宋体" w:eastAsia="宋体" w:hint="default"/>
                <w:spacing w:val="-5"/>
                <w:w w:val="101"/>
                <w:sz w:val="18"/>
                <w:szCs w:val="18"/>
              </w:rPr>
              <w:t>入</w:t>
            </w:r>
            <w:r>
              <w:rPr>
                <w:rFonts w:ascii="宋体" w:hAnsi="宋体" w:cs="宋体" w:eastAsia="宋体" w:hint="default"/>
                <w:w w:val="101"/>
                <w:sz w:val="18"/>
                <w:szCs w:val="18"/>
              </w:rPr>
              <w:t>资</w:t>
            </w:r>
            <w:r>
              <w:rPr>
                <w:rFonts w:ascii="宋体" w:hAnsi="宋体" w:cs="宋体" w:eastAsia="宋体" w:hint="default"/>
                <w:spacing w:val="-5"/>
                <w:w w:val="101"/>
                <w:sz w:val="18"/>
                <w:szCs w:val="18"/>
              </w:rPr>
              <w:t>本</w:t>
            </w:r>
            <w:r>
              <w:rPr>
                <w:rFonts w:ascii="宋体" w:hAnsi="宋体" w:cs="宋体" w:eastAsia="宋体" w:hint="default"/>
                <w:w w:val="101"/>
                <w:sz w:val="18"/>
                <w:szCs w:val="18"/>
              </w:rPr>
              <w:t>化</w:t>
            </w:r>
            <w:r>
              <w:rPr>
                <w:rFonts w:ascii="宋体" w:hAnsi="宋体" w:cs="宋体" w:eastAsia="宋体" w:hint="default"/>
                <w:spacing w:val="-5"/>
                <w:w w:val="101"/>
                <w:sz w:val="18"/>
                <w:szCs w:val="18"/>
              </w:rPr>
              <w:t>的</w:t>
            </w:r>
            <w:r>
              <w:rPr>
                <w:rFonts w:ascii="宋体" w:hAnsi="宋体" w:cs="宋体" w:eastAsia="宋体" w:hint="default"/>
                <w:w w:val="101"/>
                <w:sz w:val="18"/>
                <w:szCs w:val="18"/>
              </w:rPr>
              <w:t>金</w:t>
            </w:r>
            <w:r>
              <w:rPr>
                <w:rFonts w:ascii="宋体" w:hAnsi="宋体" w:cs="宋体" w:eastAsia="宋体" w:hint="default"/>
                <w:spacing w:val="-77"/>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9,170,768.88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1,825,446.41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402.38%</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资本化研发投入占研发投入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5.98%</w:t>
            </w:r>
          </w:p>
        </w:tc>
      </w:tr>
    </w:tbl>
    <w:p>
      <w:pPr>
        <w:pStyle w:val="BodyText"/>
        <w:spacing w:line="240" w:lineRule="auto" w:before="54"/>
        <w:ind w:left="233" w:right="1161"/>
        <w:jc w:val="left"/>
      </w:pPr>
      <w:r>
        <w:rPr>
          <w:spacing w:val="-3"/>
        </w:rPr>
        <w:t>研发投入总额占营业收入的比重较上年发生显著变化的原因</w:t>
      </w:r>
    </w:p>
    <w:p>
      <w:pPr>
        <w:pStyle w:val="BodyText"/>
        <w:spacing w:line="343" w:lineRule="auto" w:before="115"/>
        <w:ind w:left="233" w:right="561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研发投入资本化率大幅变动的原因及其合理性说明</w:t>
      </w:r>
    </w:p>
    <w:p>
      <w:pPr>
        <w:pStyle w:val="BodyText"/>
        <w:spacing w:line="240" w:lineRule="auto" w:before="37"/>
        <w:ind w:left="233" w:right="116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left="233" w:right="1161"/>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22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1,048,583,626.99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976,868,305.77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7.34%</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902,340,014.25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849,372,635.85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6.24%</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146,243,612.74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127,495,669.92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14.70%</w:t>
            </w:r>
          </w:p>
        </w:tc>
      </w:tr>
    </w:tbl>
    <w:p>
      <w:pPr>
        <w:spacing w:after="0" w:line="240" w:lineRule="auto"/>
        <w:jc w:val="right"/>
        <w:rPr>
          <w:rFonts w:ascii="Times New Roman" w:hAnsi="Times New Roman" w:cs="Times New Roman" w:eastAsia="Times New Roman" w:hint="default"/>
          <w:sz w:val="18"/>
          <w:szCs w:val="18"/>
        </w:rPr>
        <w:sectPr>
          <w:pgSz w:w="11910" w:h="16840"/>
          <w:pgMar w:header="784" w:footer="1022" w:top="1100" w:bottom="1220" w:left="900" w:right="0"/>
        </w:sectPr>
      </w:pPr>
    </w:p>
    <w:p>
      <w:pPr>
        <w:spacing w:line="240" w:lineRule="auto" w:before="7"/>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869,153,942.93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812,251,095.55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7.01%</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1,276,085,194.26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1,079,757,571.39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18.18%</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-406,931,251.33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-267,506,475.84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-52.12%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10,799,745.95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19,380,000.00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-44.27%</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79,598,921.60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20,154,114.17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294.95%</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05" w:right="109"/>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-68,799,175.65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-774,114.17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-8,787.47%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-326,857,214.67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-135,281,046.23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-141.61%</w:t>
            </w:r>
          </w:p>
        </w:tc>
      </w:tr>
    </w:tbl>
    <w:p>
      <w:pPr>
        <w:pStyle w:val="BodyText"/>
        <w:spacing w:line="240" w:lineRule="auto" w:before="53"/>
        <w:ind w:left="153" w:right="0"/>
        <w:jc w:val="left"/>
      </w:pPr>
      <w:r>
        <w:rPr>
          <w:spacing w:val="-3"/>
        </w:rPr>
        <w:t>相关数据同比发生重大变动的主要影响因素说明</w:t>
      </w:r>
    </w:p>
    <w:p>
      <w:pPr>
        <w:pStyle w:val="BodyText"/>
        <w:spacing w:line="240" w:lineRule="auto" w:before="120"/>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96"/>
        <w:ind w:left="153" w:right="0"/>
        <w:jc w:val="left"/>
      </w:pPr>
      <w:r>
        <w:rPr>
          <w:rFonts w:ascii="Times New Roman" w:hAnsi="Times New Roman" w:cs="Times New Roman" w:eastAsia="Times New Roman" w:hint="default"/>
          <w:spacing w:val="-3"/>
        </w:rPr>
        <w:t>1)</w:t>
      </w:r>
      <w:r>
        <w:rPr>
          <w:spacing w:val="-3"/>
        </w:rPr>
        <w:t>投资活动产生的现金流量净额减少的主要原因为：购买理财产品比上年同期增加所致。</w:t>
      </w:r>
    </w:p>
    <w:p>
      <w:pPr>
        <w:pStyle w:val="BodyText"/>
        <w:spacing w:line="343" w:lineRule="auto" w:before="63"/>
        <w:ind w:left="153" w:right="0"/>
        <w:jc w:val="left"/>
      </w:pPr>
      <w:r>
        <w:rPr>
          <w:rFonts w:ascii="Times New Roman" w:hAnsi="Times New Roman" w:cs="Times New Roman" w:eastAsia="Times New Roman" w:hint="default"/>
          <w:spacing w:val="-3"/>
        </w:rPr>
        <w:t>2)</w:t>
      </w:r>
      <w:r>
        <w:rPr>
          <w:spacing w:val="-3"/>
        </w:rPr>
        <w:t>筹资活动产生的现金流量净额减少的主要原因为：</w:t>
      </w:r>
      <w:r>
        <w:rPr>
          <w:rFonts w:ascii="Times New Roman" w:hAnsi="Times New Roman" w:cs="Times New Roman" w:eastAsia="Times New Roman" w:hint="default"/>
          <w:spacing w:val="-3"/>
        </w:rPr>
        <w:t>1</w:t>
      </w:r>
      <w:r>
        <w:rPr>
          <w:spacing w:val="-3"/>
        </w:rPr>
        <w:t>、本期支付股利</w:t>
      </w:r>
      <w:r>
        <w:rPr>
          <w:rFonts w:ascii="Times New Roman" w:hAnsi="Times New Roman" w:cs="Times New Roman" w:eastAsia="Times New Roman" w:hint="default"/>
          <w:spacing w:val="-3"/>
        </w:rPr>
        <w:t>7,959.89</w:t>
      </w:r>
      <w:r>
        <w:rPr>
          <w:spacing w:val="-3"/>
        </w:rPr>
        <w:t>万元；</w:t>
      </w:r>
      <w:r>
        <w:rPr>
          <w:rFonts w:ascii="Times New Roman" w:hAnsi="Times New Roman" w:cs="Times New Roman" w:eastAsia="Times New Roman" w:hint="default"/>
          <w:spacing w:val="-3"/>
        </w:rPr>
        <w:t>2.</w:t>
      </w:r>
      <w:r>
        <w:rPr>
          <w:spacing w:val="-3"/>
        </w:rPr>
        <w:t>上期偿还贷款</w:t>
      </w:r>
      <w:r>
        <w:rPr>
          <w:rFonts w:ascii="Times New Roman" w:hAnsi="Times New Roman" w:cs="Times New Roman" w:eastAsia="Times New Roman" w:hint="default"/>
          <w:spacing w:val="-3"/>
        </w:rPr>
        <w:t>1,980.00</w:t>
      </w:r>
      <w:r>
        <w:rPr>
          <w:spacing w:val="-3"/>
        </w:rPr>
        <w:t>万元。</w:t>
      </w:r>
      <w:r>
        <w:rPr/>
        <w:t> </w:t>
      </w:r>
      <w:r>
        <w:rPr/>
      </w:r>
      <w:r>
        <w:rPr>
          <w:spacing w:val="-3"/>
        </w:rPr>
        <w:t>报告期内公司经营活动产生的现金净流量与本年度净利润存在重大差异的原因说明</w:t>
      </w:r>
    </w:p>
    <w:p>
      <w:pPr>
        <w:pStyle w:val="BodyText"/>
        <w:spacing w:line="240" w:lineRule="auto" w:before="42"/>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0" w:lineRule="auto" w:before="97"/>
        <w:ind w:left="153" w:right="0"/>
        <w:jc w:val="left"/>
      </w:pPr>
      <w:r>
        <w:rPr>
          <w:spacing w:val="-3"/>
        </w:rPr>
        <w:t>报告期内本公司实现净利润</w:t>
      </w:r>
      <w:r>
        <w:rPr>
          <w:spacing w:val="32"/>
        </w:rPr>
        <w:t> </w:t>
      </w:r>
      <w:r>
        <w:rPr>
          <w:rFonts w:ascii="Times New Roman" w:hAnsi="Times New Roman" w:cs="Times New Roman" w:eastAsia="Times New Roman" w:hint="default"/>
          <w:spacing w:val="-3"/>
        </w:rPr>
        <w:t>18,271.01</w:t>
      </w:r>
      <w:r>
        <w:rPr>
          <w:spacing w:val="-3"/>
        </w:rPr>
        <w:t>万元，经营性活动产生的现金流量净额为</w:t>
      </w:r>
      <w:r>
        <w:rPr>
          <w:spacing w:val="32"/>
        </w:rPr>
        <w:t> </w:t>
      </w:r>
      <w:r>
        <w:rPr>
          <w:rFonts w:ascii="Times New Roman" w:hAnsi="Times New Roman" w:cs="Times New Roman" w:eastAsia="Times New Roman" w:hint="default"/>
        </w:rPr>
        <w:t>14,624.36</w:t>
      </w:r>
      <w:r>
        <w:rPr>
          <w:rFonts w:ascii="Times New Roman" w:hAnsi="Times New Roman" w:cs="Times New Roman" w:eastAsia="Times New Roman" w:hint="default"/>
          <w:spacing w:val="25"/>
        </w:rPr>
        <w:t> </w:t>
      </w:r>
      <w:r>
        <w:rPr>
          <w:spacing w:val="-3"/>
        </w:rPr>
        <w:t>万元，主要差异原因：公允价值</w:t>
      </w:r>
      <w:r>
        <w:rPr>
          <w:spacing w:val="-78"/>
        </w:rPr>
        <w:t> </w:t>
      </w:r>
      <w:r>
        <w:rPr>
          <w:spacing w:val="-78"/>
        </w:rPr>
      </w:r>
      <w:r>
        <w:rPr/>
        <w:t>上升</w:t>
      </w:r>
      <w:r>
        <w:rPr>
          <w:rFonts w:ascii="Times New Roman" w:hAnsi="Times New Roman" w:cs="Times New Roman" w:eastAsia="Times New Roman" w:hint="default"/>
        </w:rPr>
        <w:t>17,775.40</w:t>
      </w:r>
      <w:r>
        <w:rPr/>
        <w:t>万元，资产减值损失和信用减值损失计提</w:t>
      </w:r>
      <w:r>
        <w:rPr>
          <w:rFonts w:ascii="Times New Roman" w:hAnsi="Times New Roman" w:cs="Times New Roman" w:eastAsia="Times New Roman" w:hint="default"/>
        </w:rPr>
        <w:t>8,174.06</w:t>
      </w:r>
      <w:r>
        <w:rPr/>
        <w:t>万元。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6"/>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80"/>
        <w:gridCol w:w="1340"/>
        <w:gridCol w:w="1436"/>
        <w:gridCol w:w="3923"/>
        <w:gridCol w:w="1431"/>
      </w:tblGrid>
      <w:tr>
        <w:trPr>
          <w:trHeight w:val="715"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24" w:right="166" w:hanging="452"/>
              <w:jc w:val="left"/>
              <w:rPr>
                <w:rFonts w:ascii="宋体" w:hAnsi="宋体" w:cs="宋体" w:eastAsia="宋体" w:hint="default"/>
                <w:sz w:val="18"/>
                <w:szCs w:val="18"/>
              </w:rPr>
            </w:pPr>
            <w:r>
              <w:rPr>
                <w:rFonts w:ascii="宋体" w:hAnsi="宋体" w:cs="宋体" w:eastAsia="宋体" w:hint="default"/>
                <w:spacing w:val="-2"/>
                <w:sz w:val="18"/>
                <w:szCs w:val="18"/>
              </w:rPr>
              <w:t>占利润总额比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例</w:t>
            </w:r>
          </w:p>
        </w:tc>
        <w:tc>
          <w:tcPr>
            <w:tcW w:w="3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33" w:right="161" w:hanging="360"/>
              <w:jc w:val="left"/>
              <w:rPr>
                <w:rFonts w:ascii="宋体" w:hAnsi="宋体" w:cs="宋体" w:eastAsia="宋体" w:hint="default"/>
                <w:sz w:val="18"/>
                <w:szCs w:val="18"/>
              </w:rPr>
            </w:pPr>
            <w:r>
              <w:rPr>
                <w:rFonts w:ascii="宋体" w:hAnsi="宋体" w:cs="宋体" w:eastAsia="宋体" w:hint="default"/>
                <w:spacing w:val="-2"/>
                <w:sz w:val="18"/>
                <w:szCs w:val="18"/>
              </w:rPr>
              <w:t>是否具有可持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续性</w:t>
            </w:r>
          </w:p>
        </w:tc>
      </w:tr>
      <w:tr>
        <w:trPr>
          <w:trHeight w:val="404"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5,590,668.66</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2.77%</w:t>
            </w:r>
          </w:p>
        </w:tc>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主要系购买理财产品取得的收益 </w:t>
            </w:r>
            <w:r>
              <w:rPr>
                <w:rFonts w:ascii="Times New Roman" w:hAnsi="Times New Roman" w:cs="Times New Roman" w:eastAsia="Times New Roman" w:hint="default"/>
                <w:sz w:val="18"/>
                <w:szCs w:val="18"/>
              </w:rPr>
              <w:t>573.29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99"/>
              <w:jc w:val="left"/>
              <w:rPr>
                <w:rFonts w:ascii="宋体" w:hAnsi="宋体" w:cs="宋体" w:eastAsia="宋体" w:hint="default"/>
                <w:sz w:val="18"/>
                <w:szCs w:val="18"/>
              </w:rPr>
            </w:pPr>
            <w:r>
              <w:rPr>
                <w:rFonts w:ascii="宋体" w:hAnsi="宋体" w:cs="宋体" w:eastAsia="宋体" w:hint="default"/>
                <w:spacing w:val="-3"/>
                <w:sz w:val="18"/>
                <w:szCs w:val="18"/>
              </w:rPr>
              <w:t>公允价值变动损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177,753,998.54</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88.05%</w:t>
            </w:r>
          </w:p>
        </w:tc>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主要系其他非流动金融资产公允价值变动所致</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-74,521,989.52</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-36.91%</w:t>
            </w:r>
          </w:p>
        </w:tc>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主要系计提了商誉减值损失 </w:t>
            </w:r>
            <w:r>
              <w:rPr>
                <w:rFonts w:ascii="Times New Roman" w:hAnsi="Times New Roman" w:cs="Times New Roman" w:eastAsia="Times New Roman" w:hint="default"/>
                <w:sz w:val="18"/>
                <w:szCs w:val="18"/>
              </w:rPr>
              <w:t>7,452.20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869,649.46</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0.43%</w:t>
            </w:r>
          </w:p>
        </w:tc>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95"/>
              <w:jc w:val="left"/>
              <w:rPr>
                <w:rFonts w:ascii="宋体" w:hAnsi="宋体" w:cs="宋体" w:eastAsia="宋体" w:hint="default"/>
                <w:sz w:val="18"/>
                <w:szCs w:val="18"/>
              </w:rPr>
            </w:pPr>
            <w:r>
              <w:rPr>
                <w:rFonts w:ascii="宋体" w:hAnsi="宋体" w:cs="宋体" w:eastAsia="宋体" w:hint="default"/>
                <w:spacing w:val="-3"/>
                <w:sz w:val="18"/>
                <w:szCs w:val="18"/>
              </w:rPr>
              <w:t>主要系收到与日常经营无关的政府补助</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82.66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80"/>
                <w:sz w:val="18"/>
                <w:szCs w:val="18"/>
              </w:rPr>
              <w:t> </w:t>
            </w:r>
            <w:r>
              <w:rPr>
                <w:rFonts w:ascii="宋体" w:hAnsi="宋体" w:cs="宋体" w:eastAsia="宋体" w:hint="default"/>
                <w:sz w:val="18"/>
                <w:szCs w:val="18"/>
              </w:rPr>
              <w:t>元</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6,765,622.66</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3.35%</w:t>
            </w:r>
          </w:p>
        </w:tc>
        <w:tc>
          <w:tcPr>
            <w:tcW w:w="3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主要系预计的</w:t>
            </w:r>
            <w:r>
              <w:rPr>
                <w:rFonts w:ascii="宋体" w:hAnsi="宋体" w:cs="宋体" w:eastAsia="宋体" w:hint="default"/>
                <w:spacing w:val="-38"/>
                <w:sz w:val="18"/>
                <w:szCs w:val="18"/>
              </w:rPr>
              <w:t> </w:t>
            </w:r>
            <w:r>
              <w:rPr>
                <w:rFonts w:ascii="Times New Roman" w:hAnsi="Times New Roman" w:cs="Times New Roman" w:eastAsia="Times New Roman" w:hint="default"/>
                <w:spacing w:val="-4"/>
                <w:sz w:val="18"/>
                <w:szCs w:val="18"/>
              </w:rPr>
              <w:t>IQIYI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案诉讼赔偿</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616.97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84" w:footer="1022" w:top="1100" w:bottom="122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2"/>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53"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4" w:footer="1022" w:top="1100" w:bottom="1220" w:left="980" w:right="0"/>
        </w:sectPr>
      </w:pPr>
    </w:p>
    <w:p>
      <w:pPr>
        <w:pStyle w:val="BodyText"/>
        <w:spacing w:line="240" w:lineRule="auto" w:before="46"/>
        <w:ind w:left="153" w:right="-14"/>
        <w:jc w:val="left"/>
      </w:pPr>
      <w:r>
        <w:rPr/>
        <w:t>公司 </w:t>
      </w:r>
      <w:r>
        <w:rPr>
          <w:rFonts w:ascii="Times New Roman" w:hAnsi="Times New Roman" w:cs="Times New Roman" w:eastAsia="Times New Roman" w:hint="default"/>
        </w:rPr>
        <w:t>2019 </w:t>
      </w:r>
      <w:r>
        <w:rPr>
          <w:rFonts w:ascii="Times New Roman" w:hAnsi="Times New Roman" w:cs="Times New Roman" w:eastAsia="Times New Roman" w:hint="default"/>
          <w:spacing w:val="37"/>
        </w:rPr>
        <w:t> </w:t>
      </w:r>
      <w:r>
        <w:rPr>
          <w:spacing w:val="-3"/>
        </w:rPr>
        <w:t>年起首次执行新金融工具准则、新收入准则或新租赁准则且调整执行当年年初财务报表相关项目</w:t>
      </w:r>
    </w:p>
    <w:p>
      <w:pPr>
        <w:pStyle w:val="BodyText"/>
        <w:spacing w:line="240" w:lineRule="auto" w:before="101"/>
        <w:ind w:left="153" w:right="-1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100" w:bottom="1220" w:left="980" w:right="0"/>
          <w:cols w:num="2" w:equalWidth="0">
            <w:col w:w="8531" w:space="390"/>
            <w:col w:w="200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522"/>
        <w:gridCol w:w="1013"/>
        <w:gridCol w:w="1359"/>
        <w:gridCol w:w="888"/>
        <w:gridCol w:w="787"/>
        <w:gridCol w:w="2906"/>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
        </w:tc>
        <w:tc>
          <w:tcPr>
            <w:tcW w:w="25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2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302" w:right="113" w:hanging="183"/>
              <w:jc w:val="left"/>
              <w:rPr>
                <w:rFonts w:ascii="宋体" w:hAnsi="宋体" w:cs="宋体" w:eastAsia="宋体" w:hint="default"/>
                <w:sz w:val="18"/>
                <w:szCs w:val="18"/>
              </w:rPr>
            </w:pPr>
            <w:r>
              <w:rPr>
                <w:rFonts w:ascii="宋体" w:hAnsi="宋体" w:cs="宋体" w:eastAsia="宋体" w:hint="default"/>
                <w:sz w:val="18"/>
                <w:szCs w:val="18"/>
              </w:rPr>
              <w:t>比重增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w:t>
            </w:r>
          </w:p>
        </w:tc>
        <w:tc>
          <w:tcPr>
            <w:tcW w:w="29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0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6" w:right="137" w:hanging="178"/>
              <w:jc w:val="lef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72" w:right="161"/>
              <w:jc w:val="left"/>
              <w:rPr>
                <w:rFonts w:ascii="宋体" w:hAnsi="宋体" w:cs="宋体" w:eastAsia="宋体" w:hint="default"/>
                <w:sz w:val="18"/>
                <w:szCs w:val="18"/>
              </w:rPr>
            </w:pPr>
            <w:r>
              <w:rPr>
                <w:rFonts w:ascii="宋体" w:hAnsi="宋体" w:cs="宋体" w:eastAsia="宋体" w:hint="default"/>
                <w:sz w:val="18"/>
                <w:szCs w:val="18"/>
              </w:rPr>
              <w:t>占总资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产比例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2906" w:type="dxa"/>
            <w:vMerge/>
            <w:tcBorders>
              <w:left w:val="single" w:sz="4" w:space="0" w:color="000000"/>
              <w:bottom w:val="single" w:sz="4" w:space="0" w:color="000000"/>
              <w:right w:val="single" w:sz="4" w:space="0" w:color="000000"/>
            </w:tcBorders>
            <w:shd w:val="clear" w:color="auto" w:fill="D2D2D2"/>
          </w:tcPr>
          <w:p>
            <w:pPr/>
          </w:p>
        </w:tc>
      </w:tr>
      <w:tr>
        <w:trPr>
          <w:trHeight w:val="102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288,867,732.39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10.66%</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615,713,457.25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23.74%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-13.08</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105" w:right="99"/>
              <w:jc w:val="left"/>
              <w:rPr>
                <w:rFonts w:ascii="宋体" w:hAnsi="宋体" w:cs="宋体" w:eastAsia="宋体" w:hint="default"/>
                <w:sz w:val="18"/>
                <w:szCs w:val="18"/>
              </w:rPr>
            </w:pPr>
            <w:r>
              <w:rPr>
                <w:rFonts w:ascii="宋体" w:hAnsi="宋体" w:cs="宋体" w:eastAsia="宋体" w:hint="default"/>
                <w:sz w:val="18"/>
                <w:szCs w:val="18"/>
              </w:rPr>
              <w:t>主要系：</w:t>
            </w:r>
            <w:r>
              <w:rPr>
                <w:rFonts w:ascii="Times New Roman" w:hAnsi="Times New Roman" w:cs="Times New Roman" w:eastAsia="Times New Roman" w:hint="default"/>
                <w:sz w:val="18"/>
                <w:szCs w:val="18"/>
              </w:rPr>
              <w:t>1</w:t>
            </w:r>
            <w:r>
              <w:rPr>
                <w:rFonts w:ascii="宋体" w:hAnsi="宋体" w:cs="宋体" w:eastAsia="宋体" w:hint="default"/>
                <w:sz w:val="18"/>
                <w:szCs w:val="18"/>
              </w:rPr>
              <w:t>、本报告期购买银行理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财增加 </w:t>
            </w:r>
            <w:r>
              <w:rPr>
                <w:rFonts w:ascii="Times New Roman" w:hAnsi="Times New Roman" w:cs="Times New Roman" w:eastAsia="Times New Roman" w:hint="default"/>
                <w:sz w:val="18"/>
                <w:szCs w:val="18"/>
              </w:rPr>
              <w:t>27,953.49</w:t>
            </w:r>
            <w:r>
              <w:rPr>
                <w:rFonts w:ascii="Times New Roman" w:hAnsi="Times New Roman" w:cs="Times New Roman" w:eastAsia="Times New Roman" w:hint="default"/>
                <w:spacing w:val="-21"/>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、本报告</w:t>
            </w:r>
          </w:p>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期支付股利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7,959.89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140,033,208.59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5.17%</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130,017,641.14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5.01%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0.16%</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未发生重大变化</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5,170,929.45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0.19%</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3,974,402.28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0.15%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0.04%</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未发生重大变化</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39,264,186.50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1.45%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39,387,802.33</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1.52%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-0.07%</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未发生重大变化</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35,930,426.95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1.33%</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22,597,655.24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0.87%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0.46%</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未发生重大变化</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138,560,499.70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5.12%</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152,689,452.45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5.89%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-0.77%</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未发生重大变化</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1,428,072.55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617,683.78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0.02%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0.03%</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未发生重大变化</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2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359"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0.00%</w:t>
            </w:r>
          </w:p>
        </w:tc>
        <w:tc>
          <w:tcPr>
            <w:tcW w:w="290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22"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359"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0.00%</w:t>
            </w:r>
          </w:p>
        </w:tc>
        <w:tc>
          <w:tcPr>
            <w:tcW w:w="29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交易性金融资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产</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402,244,369.44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122,709,424.85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4.73%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10.12%</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63"/>
              <w:jc w:val="left"/>
              <w:rPr>
                <w:rFonts w:ascii="宋体" w:hAnsi="宋体" w:cs="宋体" w:eastAsia="宋体" w:hint="default"/>
                <w:sz w:val="18"/>
                <w:szCs w:val="18"/>
              </w:rPr>
            </w:pPr>
            <w:r>
              <w:rPr>
                <w:rFonts w:ascii="宋体" w:hAnsi="宋体" w:cs="宋体" w:eastAsia="宋体" w:hint="default"/>
                <w:spacing w:val="-3"/>
                <w:sz w:val="18"/>
                <w:szCs w:val="18"/>
              </w:rPr>
              <w:t>主要系本报告期购买银行理财增</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27,953.49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万元所致。</w:t>
            </w:r>
          </w:p>
        </w:tc>
      </w:tr>
      <w:tr>
        <w:trPr>
          <w:trHeight w:val="165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105" w:right="166"/>
              <w:jc w:val="left"/>
              <w:rPr>
                <w:rFonts w:ascii="宋体" w:hAnsi="宋体" w:cs="宋体" w:eastAsia="宋体" w:hint="default"/>
                <w:sz w:val="18"/>
                <w:szCs w:val="18"/>
              </w:rPr>
            </w:pPr>
            <w:r>
              <w:rPr>
                <w:rFonts w:ascii="宋体" w:hAnsi="宋体" w:cs="宋体" w:eastAsia="宋体" w:hint="default"/>
                <w:spacing w:val="-2"/>
                <w:sz w:val="18"/>
                <w:szCs w:val="18"/>
              </w:rPr>
              <w:t>其他非流动金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融资产</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406,952,801.34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15.02%</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190,349,359.20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7.34%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7.68%</w:t>
            </w:r>
          </w:p>
        </w:tc>
        <w:tc>
          <w:tcPr>
            <w:tcW w:w="290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5" w:right="99"/>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27"/>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、本报告期对飞书数字新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增投资</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、本报告期北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京致远互联公允价值变动增加</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Times New Roman" w:hAnsi="Times New Roman" w:cs="Times New Roman" w:eastAsia="Times New Roman" w:hint="default"/>
                <w:sz w:val="18"/>
                <w:szCs w:val="18"/>
              </w:rPr>
              <w:t>13,069.77</w:t>
            </w:r>
            <w:r>
              <w:rPr>
                <w:rFonts w:ascii="Times New Roman" w:hAnsi="Times New Roman" w:cs="Times New Roman" w:eastAsia="Times New Roman" w:hint="default"/>
                <w:spacing w:val="29"/>
                <w:sz w:val="18"/>
                <w:szCs w:val="18"/>
              </w:rPr>
              <w:t> </w:t>
            </w:r>
            <w:r>
              <w:rPr>
                <w:rFonts w:ascii="宋体" w:hAnsi="宋体" w:cs="宋体" w:eastAsia="宋体" w:hint="default"/>
                <w:spacing w:val="-8"/>
                <w:sz w:val="18"/>
                <w:szCs w:val="18"/>
              </w:rPr>
              <w:t>万元，北京首都在线公允</w:t>
            </w:r>
          </w:p>
          <w:p>
            <w:pPr>
              <w:pStyle w:val="TableParagraph"/>
              <w:spacing w:line="240" w:lineRule="auto" w:before="14"/>
              <w:ind w:left="105" w:right="0"/>
              <w:jc w:val="left"/>
              <w:rPr>
                <w:rFonts w:ascii="宋体" w:hAnsi="宋体" w:cs="宋体" w:eastAsia="宋体" w:hint="default"/>
                <w:sz w:val="18"/>
                <w:szCs w:val="18"/>
              </w:rPr>
            </w:pPr>
            <w:r>
              <w:rPr>
                <w:rFonts w:ascii="宋体" w:hAnsi="宋体" w:cs="宋体" w:eastAsia="宋体" w:hint="default"/>
                <w:sz w:val="18"/>
                <w:szCs w:val="18"/>
              </w:rPr>
              <w:t>价值变动增加 </w:t>
            </w:r>
            <w:r>
              <w:rPr>
                <w:rFonts w:ascii="Times New Roman" w:hAnsi="Times New Roman" w:cs="Times New Roman" w:eastAsia="Times New Roman" w:hint="default"/>
                <w:sz w:val="18"/>
                <w:szCs w:val="18"/>
              </w:rPr>
              <w:t>3,353.10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type w:val="continuous"/>
          <w:pgSz w:w="11910" w:h="16840"/>
          <w:pgMar w:top="1100" w:bottom="1220" w:left="980" w:right="0"/>
        </w:sect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1.5pt;height:.5pt;mso-position-horizontal-relative:char;mso-position-vertical-relative:line" coordorigin="0,0" coordsize="14030,10">
            <v:group style="position:absolute;left:5;top:5;width:14020;height:2" coordorigin="5,5" coordsize="14020,2">
              <v:shape style="position:absolute;left:5;top:5;width:14020;height:2" coordorigin="5,5" coordsize="14020,0" path="m5,5l14025,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140"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140"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6"/>
        <w:ind w:left="0" w:right="328"/>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2506"/>
        <w:gridCol w:w="1341"/>
        <w:gridCol w:w="1804"/>
        <w:gridCol w:w="2165"/>
        <w:gridCol w:w="1176"/>
        <w:gridCol w:w="1474"/>
        <w:gridCol w:w="1344"/>
        <w:gridCol w:w="1027"/>
        <w:gridCol w:w="1340"/>
      </w:tblGrid>
      <w:tr>
        <w:trPr>
          <w:trHeight w:val="716" w:hRule="exact"/>
        </w:trPr>
        <w:tc>
          <w:tcPr>
            <w:tcW w:w="2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14" w:right="171" w:hanging="539"/>
              <w:jc w:val="left"/>
              <w:rPr>
                <w:rFonts w:ascii="宋体" w:hAnsi="宋体" w:cs="宋体" w:eastAsia="宋体" w:hint="default"/>
                <w:sz w:val="18"/>
                <w:szCs w:val="18"/>
              </w:rPr>
            </w:pPr>
            <w:r>
              <w:rPr>
                <w:rFonts w:ascii="宋体" w:hAnsi="宋体" w:cs="宋体" w:eastAsia="宋体" w:hint="default"/>
                <w:spacing w:val="-2"/>
                <w:sz w:val="18"/>
                <w:szCs w:val="18"/>
              </w:rPr>
              <w:t>本期公允价值变动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损益</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806" w:right="170" w:hanging="630"/>
              <w:jc w:val="left"/>
              <w:rPr>
                <w:rFonts w:ascii="宋体" w:hAnsi="宋体" w:cs="宋体" w:eastAsia="宋体" w:hint="default"/>
                <w:sz w:val="18"/>
                <w:szCs w:val="18"/>
              </w:rPr>
            </w:pPr>
            <w:r>
              <w:rPr>
                <w:rFonts w:ascii="宋体" w:hAnsi="宋体" w:cs="宋体" w:eastAsia="宋体" w:hint="default"/>
                <w:spacing w:val="-2"/>
                <w:sz w:val="18"/>
                <w:szCs w:val="18"/>
              </w:rPr>
              <w:t>计入权益的累计公允价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值变动</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03" w:right="127" w:hanging="269"/>
              <w:jc w:val="left"/>
              <w:rPr>
                <w:rFonts w:ascii="宋体" w:hAnsi="宋体" w:cs="宋体" w:eastAsia="宋体" w:hint="default"/>
                <w:sz w:val="18"/>
                <w:szCs w:val="18"/>
              </w:rPr>
            </w:pPr>
            <w:r>
              <w:rPr>
                <w:rFonts w:ascii="宋体" w:hAnsi="宋体" w:cs="宋体" w:eastAsia="宋体" w:hint="default"/>
                <w:spacing w:val="-2"/>
                <w:sz w:val="18"/>
                <w:szCs w:val="18"/>
              </w:rPr>
              <w:t>本期计提的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减值</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3"/>
              <w:jc w:val="right"/>
              <w:rPr>
                <w:rFonts w:ascii="宋体" w:hAnsi="宋体" w:cs="宋体" w:eastAsia="宋体" w:hint="default"/>
                <w:sz w:val="18"/>
                <w:szCs w:val="18"/>
              </w:rPr>
            </w:pPr>
            <w:r>
              <w:rPr>
                <w:rFonts w:ascii="宋体" w:hAnsi="宋体" w:cs="宋体" w:eastAsia="宋体" w:hint="default"/>
                <w:spacing w:val="-2"/>
                <w:sz w:val="18"/>
                <w:szCs w:val="18"/>
              </w:rPr>
              <w:t>本期出售金额</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46"/>
              <w:jc w:val="right"/>
              <w:rPr>
                <w:rFonts w:ascii="宋体" w:hAnsi="宋体" w:cs="宋体" w:eastAsia="宋体" w:hint="default"/>
                <w:sz w:val="18"/>
                <w:szCs w:val="18"/>
              </w:rPr>
            </w:pPr>
            <w:r>
              <w:rPr>
                <w:rFonts w:ascii="宋体" w:hAnsi="宋体" w:cs="宋体" w:eastAsia="宋体" w:hint="default"/>
                <w:spacing w:val="-2"/>
                <w:sz w:val="18"/>
                <w:szCs w:val="18"/>
              </w:rPr>
              <w:t>其他变动</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1672"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0" w:hRule="exact"/>
        </w:trPr>
        <w:tc>
          <w:tcPr>
            <w:tcW w:w="2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0" w:right="9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交易性金融资产（不含衍生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金融资产）</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313,058,784.05</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177,753,998.54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261,981,206.60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1,279,249,500.00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961,029,500.00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593,813.04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809,626,595.63</w:t>
            </w:r>
          </w:p>
        </w:tc>
      </w:tr>
      <w:tr>
        <w:trPr>
          <w:trHeight w:val="404" w:hRule="exact"/>
        </w:trPr>
        <w:tc>
          <w:tcPr>
            <w:tcW w:w="2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其他权益工具投资</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31,571,406.32</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-17,841,574.72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-15,095,587.81</w:t>
            </w:r>
          </w:p>
        </w:tc>
        <w:tc>
          <w:tcPr>
            <w:tcW w:w="1176"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226,056.50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13,955,888.10</w:t>
            </w:r>
          </w:p>
        </w:tc>
      </w:tr>
      <w:tr>
        <w:trPr>
          <w:trHeight w:val="403" w:hRule="exact"/>
        </w:trPr>
        <w:tc>
          <w:tcPr>
            <w:tcW w:w="2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344,630,190.37</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159,912,423.82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246,885,618.79</w:t>
            </w:r>
          </w:p>
        </w:tc>
        <w:tc>
          <w:tcPr>
            <w:tcW w:w="1176"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1,279,249,500.00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961,029,500.00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819,869.54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823,582,483.73</w:t>
            </w:r>
          </w:p>
        </w:tc>
      </w:tr>
      <w:tr>
        <w:trPr>
          <w:trHeight w:val="403" w:hRule="exact"/>
        </w:trPr>
        <w:tc>
          <w:tcPr>
            <w:tcW w:w="2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344,630,190.37</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159,912,423.82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246,885,618.79</w:t>
            </w:r>
          </w:p>
        </w:tc>
        <w:tc>
          <w:tcPr>
            <w:tcW w:w="1176"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1,279,249,500.00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961,029,500.00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819,869.54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823,582,483.73</w:t>
            </w:r>
          </w:p>
        </w:tc>
      </w:tr>
      <w:tr>
        <w:trPr>
          <w:trHeight w:val="399" w:hRule="exact"/>
        </w:trPr>
        <w:tc>
          <w:tcPr>
            <w:tcW w:w="2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0.00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8" w:right="0"/>
              <w:jc w:val="left"/>
              <w:rPr>
                <w:rFonts w:ascii="Times New Roman" w:hAnsi="Times New Roman" w:cs="Times New Roman" w:eastAsia="Times New Roman" w:hint="default"/>
                <w:sz w:val="18"/>
                <w:szCs w:val="18"/>
              </w:rPr>
            </w:pPr>
            <w:r>
              <w:rPr>
                <w:rFonts w:ascii="Times New Roman"/>
                <w:sz w:val="18"/>
              </w:rPr>
              <w:t>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3"/>
        <w:ind w:left="140" w:right="12899"/>
        <w:jc w:val="left"/>
      </w:pPr>
      <w:r>
        <w:rPr>
          <w:spacing w:val="-3"/>
        </w:rPr>
        <w:t>其他变动的内容</w:t>
      </w:r>
      <w:r>
        <w:rPr>
          <w:spacing w:val="-68"/>
        </w:rPr>
        <w:t> </w:t>
      </w:r>
      <w:r>
        <w:rPr>
          <w:spacing w:val="-68"/>
        </w:rPr>
      </w:r>
      <w:r>
        <w:rPr/>
        <w:t>无</w:t>
      </w:r>
    </w:p>
    <w:p>
      <w:pPr>
        <w:pStyle w:val="BodyText"/>
        <w:spacing w:line="240" w:lineRule="auto" w:before="31"/>
        <w:ind w:left="140" w:right="0"/>
        <w:jc w:val="left"/>
      </w:pPr>
      <w:r>
        <w:rPr>
          <w:spacing w:val="-3"/>
        </w:rPr>
        <w:t>报告期内公司主要资产计量属性是否发生重大变化</w:t>
      </w:r>
    </w:p>
    <w:p>
      <w:pPr>
        <w:pStyle w:val="BodyText"/>
        <w:spacing w:line="240" w:lineRule="auto" w:before="120"/>
        <w:ind w:left="140"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4"/>
        <w:spacing w:line="240" w:lineRule="auto"/>
        <w:ind w:left="140"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20"/>
          <w:szCs w:val="20"/>
        </w:rPr>
      </w:pPr>
      <w:r>
        <w:rPr>
          <w:rFonts w:ascii="宋体" w:hAnsi="宋体" w:cs="宋体" w:eastAsia="宋体" w:hint="default"/>
          <w:sz w:val="20"/>
          <w:szCs w:val="20"/>
        </w:rPr>
        <w:t>截止本报告期末，货币资金余额中含各项保证金合计</w:t>
      </w:r>
      <w:r>
        <w:rPr>
          <w:rFonts w:ascii="Times New Roman" w:hAnsi="Times New Roman" w:cs="Times New Roman" w:eastAsia="Times New Roman" w:hint="default"/>
          <w:sz w:val="20"/>
          <w:szCs w:val="20"/>
        </w:rPr>
        <w:t>30.01</w:t>
      </w:r>
      <w:r>
        <w:rPr>
          <w:rFonts w:ascii="宋体" w:hAnsi="宋体" w:cs="宋体" w:eastAsia="宋体" w:hint="default"/>
          <w:sz w:val="20"/>
          <w:szCs w:val="20"/>
        </w:rPr>
        <w:t>万元，使用受到限制。</w:t>
      </w:r>
    </w:p>
    <w:p>
      <w:pPr>
        <w:spacing w:after="0"/>
        <w:jc w:val="left"/>
        <w:rPr>
          <w:rFonts w:ascii="宋体" w:hAnsi="宋体" w:cs="宋体" w:eastAsia="宋体" w:hint="default"/>
          <w:sz w:val="20"/>
          <w:szCs w:val="20"/>
        </w:rPr>
        <w:sectPr>
          <w:headerReference w:type="default" r:id="rId12"/>
          <w:footerReference w:type="default" r:id="rId13"/>
          <w:pgSz w:w="16840" w:h="11910" w:orient="landscape"/>
          <w:pgMar w:header="906" w:footer="1018" w:top="1100" w:bottom="1200" w:left="1300" w:right="1100"/>
          <w:pgNumType w:start="20"/>
        </w:sect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701.5pt;height:.5pt;mso-position-horizontal-relative:char;mso-position-vertical-relative:line" coordorigin="0,0" coordsize="14030,10">
            <v:group style="position:absolute;left:5;top:5;width:14020;height:2" coordorigin="5,5" coordsize="14020,2">
              <v:shape style="position:absolute;left:5;top:5;width:14020;height:2" coordorigin="5,5" coordsize="14020,0" path="m5,5l14025,5e" filled="false" stroked="true" strokeweight=".48pt" strokecolor="#000000">
                <v:path arrowok="t"/>
              </v:shape>
            </v:group>
          </v:group>
        </w:pict>
      </w:r>
      <w:r>
        <w:rPr>
          <w:rFonts w:ascii="宋体" w:hAnsi="宋体" w:cs="宋体" w:eastAsia="宋体" w:hint="default"/>
          <w:sz w:val="2"/>
          <w:szCs w:val="2"/>
        </w:rPr>
      </w:r>
    </w:p>
    <w:p>
      <w:pPr>
        <w:pStyle w:val="Heading2"/>
        <w:spacing w:line="240" w:lineRule="auto" w:before="5"/>
        <w:ind w:left="480"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480"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480"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2"/>
        <w:rPr>
          <w:rFonts w:ascii="宋体" w:hAnsi="宋体" w:cs="宋体" w:eastAsia="宋体" w:hint="default"/>
          <w:sz w:val="6"/>
          <w:szCs w:val="6"/>
        </w:rPr>
      </w:pPr>
    </w:p>
    <w:tbl>
      <w:tblPr>
        <w:tblW w:w="0" w:type="auto"/>
        <w:jc w:val="left"/>
        <w:tblInd w:w="475"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77"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14" w:right="0"/>
              <w:jc w:val="left"/>
              <w:rPr>
                <w:rFonts w:ascii="Times New Roman" w:hAnsi="Times New Roman" w:cs="Times New Roman" w:eastAsia="Times New Roman" w:hint="default"/>
                <w:sz w:val="18"/>
                <w:szCs w:val="18"/>
              </w:rPr>
            </w:pPr>
            <w:r>
              <w:rPr>
                <w:rFonts w:ascii="Times New Roman"/>
                <w:sz w:val="18"/>
              </w:rPr>
              <w:t>1,246,551,273.70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24" w:right="0"/>
              <w:jc w:val="left"/>
              <w:rPr>
                <w:rFonts w:ascii="Times New Roman" w:hAnsi="Times New Roman" w:cs="Times New Roman" w:eastAsia="Times New Roman" w:hint="default"/>
                <w:sz w:val="18"/>
                <w:szCs w:val="18"/>
              </w:rPr>
            </w:pPr>
            <w:r>
              <w:rPr>
                <w:rFonts w:ascii="Times New Roman"/>
                <w:sz w:val="18"/>
              </w:rPr>
              <w:t>1,079,757,571.39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15.45%</w:t>
            </w:r>
          </w:p>
        </w:tc>
      </w:tr>
    </w:tbl>
    <w:p>
      <w:pPr>
        <w:spacing w:line="240" w:lineRule="auto" w:before="3"/>
        <w:rPr>
          <w:rFonts w:ascii="宋体" w:hAnsi="宋体" w:cs="宋体" w:eastAsia="宋体" w:hint="default"/>
          <w:sz w:val="19"/>
          <w:szCs w:val="19"/>
        </w:rPr>
      </w:pPr>
    </w:p>
    <w:p>
      <w:pPr>
        <w:pStyle w:val="Heading4"/>
        <w:spacing w:line="240" w:lineRule="auto" w:before="36"/>
        <w:ind w:left="480"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480"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6"/>
        <w:ind w:left="0" w:right="208"/>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176"/>
        <w:gridCol w:w="740"/>
        <w:gridCol w:w="514"/>
        <w:gridCol w:w="1426"/>
        <w:gridCol w:w="802"/>
        <w:gridCol w:w="639"/>
        <w:gridCol w:w="878"/>
        <w:gridCol w:w="605"/>
        <w:gridCol w:w="499"/>
        <w:gridCol w:w="1325"/>
        <w:gridCol w:w="610"/>
        <w:gridCol w:w="1234"/>
        <w:gridCol w:w="499"/>
        <w:gridCol w:w="788"/>
        <w:gridCol w:w="2708"/>
      </w:tblGrid>
      <w:tr>
        <w:trPr>
          <w:trHeight w:val="1340"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403" w:right="127" w:hanging="269"/>
              <w:jc w:val="left"/>
              <w:rPr>
                <w:rFonts w:ascii="宋体" w:hAnsi="宋体" w:cs="宋体" w:eastAsia="宋体" w:hint="default"/>
                <w:sz w:val="18"/>
                <w:szCs w:val="18"/>
              </w:rPr>
            </w:pPr>
            <w:r>
              <w:rPr>
                <w:rFonts w:ascii="宋体" w:hAnsi="宋体" w:cs="宋体" w:eastAsia="宋体" w:hint="default"/>
                <w:spacing w:val="-2"/>
                <w:sz w:val="18"/>
                <w:szCs w:val="18"/>
              </w:rPr>
              <w:t>被投资公司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名称</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87" w:right="176"/>
              <w:jc w:val="left"/>
              <w:rPr>
                <w:rFonts w:ascii="宋体" w:hAnsi="宋体" w:cs="宋体" w:eastAsia="宋体" w:hint="default"/>
                <w:sz w:val="18"/>
                <w:szCs w:val="18"/>
              </w:rPr>
            </w:pPr>
            <w:r>
              <w:rPr>
                <w:rFonts w:ascii="宋体" w:hAnsi="宋体" w:cs="宋体" w:eastAsia="宋体" w:hint="default"/>
                <w:sz w:val="18"/>
                <w:szCs w:val="18"/>
              </w:rPr>
              <w:t>主要</w:t>
            </w:r>
            <w:r>
              <w:rPr>
                <w:rFonts w:ascii="宋体" w:hAnsi="宋体" w:cs="宋体" w:eastAsia="宋体" w:hint="default"/>
                <w:spacing w:val="-86"/>
                <w:sz w:val="18"/>
                <w:szCs w:val="18"/>
              </w:rPr>
              <w:t> </w:t>
            </w:r>
            <w:r>
              <w:rPr>
                <w:rFonts w:ascii="宋体" w:hAnsi="宋体" w:cs="宋体" w:eastAsia="宋体" w:hint="default"/>
                <w:sz w:val="18"/>
                <w:szCs w:val="18"/>
              </w:rPr>
              <w:t>业务</w:t>
            </w:r>
          </w:p>
        </w:tc>
        <w:tc>
          <w:tcPr>
            <w:tcW w:w="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58" w:right="161"/>
              <w:jc w:val="both"/>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r>
              <w:rPr>
                <w:rFonts w:ascii="宋体" w:hAnsi="宋体" w:cs="宋体" w:eastAsia="宋体" w:hint="default"/>
                <w:spacing w:val="-88"/>
                <w:sz w:val="18"/>
                <w:szCs w:val="18"/>
              </w:rPr>
              <w:t> </w:t>
            </w:r>
            <w:r>
              <w:rPr>
                <w:rFonts w:ascii="宋体" w:hAnsi="宋体" w:cs="宋体" w:eastAsia="宋体" w:hint="default"/>
                <w:sz w:val="18"/>
                <w:szCs w:val="18"/>
              </w:rPr>
              <w:t>方</w:t>
            </w:r>
            <w:r>
              <w:rPr>
                <w:rFonts w:ascii="宋体" w:hAnsi="宋体" w:cs="宋体" w:eastAsia="宋体" w:hint="default"/>
                <w:spacing w:val="-88"/>
                <w:sz w:val="18"/>
                <w:szCs w:val="18"/>
              </w:rPr>
              <w:t> </w:t>
            </w:r>
            <w:r>
              <w:rPr>
                <w:rFonts w:ascii="宋体" w:hAnsi="宋体" w:cs="宋体" w:eastAsia="宋体" w:hint="default"/>
                <w:sz w:val="18"/>
                <w:szCs w:val="18"/>
              </w:rPr>
              <w:t>式</w:t>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07" w:right="117" w:hanging="178"/>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34" w:right="128"/>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来源</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9" w:right="108"/>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pacing w:val="-86"/>
                <w:sz w:val="18"/>
                <w:szCs w:val="18"/>
              </w:rPr>
              <w:t> </w:t>
            </w:r>
            <w:r>
              <w:rPr>
                <w:rFonts w:ascii="宋体" w:hAnsi="宋体" w:cs="宋体" w:eastAsia="宋体" w:hint="default"/>
                <w:sz w:val="18"/>
                <w:szCs w:val="18"/>
              </w:rPr>
              <w:t>期限</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58" w:right="146"/>
              <w:jc w:val="both"/>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88"/>
                <w:sz w:val="18"/>
                <w:szCs w:val="18"/>
              </w:rPr>
              <w:t> </w:t>
            </w:r>
            <w:r>
              <w:rPr>
                <w:rFonts w:ascii="宋体" w:hAnsi="宋体" w:cs="宋体" w:eastAsia="宋体" w:hint="default"/>
                <w:sz w:val="18"/>
                <w:szCs w:val="18"/>
              </w:rPr>
              <w:t>品</w:t>
            </w:r>
            <w:r>
              <w:rPr>
                <w:rFonts w:ascii="宋体" w:hAnsi="宋体" w:cs="宋体" w:eastAsia="宋体" w:hint="default"/>
                <w:spacing w:val="-88"/>
                <w:sz w:val="18"/>
                <w:szCs w:val="18"/>
              </w:rPr>
              <w:t> </w:t>
            </w:r>
            <w:r>
              <w:rPr>
                <w:rFonts w:ascii="宋体" w:hAnsi="宋体" w:cs="宋体" w:eastAsia="宋体" w:hint="default"/>
                <w:sz w:val="18"/>
                <w:szCs w:val="18"/>
              </w:rPr>
              <w:t>类</w:t>
            </w:r>
            <w:r>
              <w:rPr>
                <w:rFonts w:ascii="宋体" w:hAnsi="宋体" w:cs="宋体" w:eastAsia="宋体" w:hint="default"/>
                <w:spacing w:val="-88"/>
                <w:sz w:val="18"/>
                <w:szCs w:val="18"/>
              </w:rPr>
              <w:t> </w:t>
            </w:r>
            <w:r>
              <w:rPr>
                <w:rFonts w:ascii="宋体" w:hAnsi="宋体" w:cs="宋体" w:eastAsia="宋体" w:hint="default"/>
                <w:sz w:val="18"/>
                <w:szCs w:val="18"/>
              </w:rPr>
              <w:t>型</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15" w:right="113"/>
              <w:jc w:val="center"/>
              <w:rPr>
                <w:rFonts w:ascii="宋体" w:hAnsi="宋体" w:cs="宋体" w:eastAsia="宋体" w:hint="default"/>
                <w:sz w:val="18"/>
                <w:szCs w:val="18"/>
              </w:rPr>
            </w:pPr>
            <w:r>
              <w:rPr>
                <w:rFonts w:ascii="宋体" w:hAnsi="宋体" w:cs="宋体" w:eastAsia="宋体" w:hint="default"/>
                <w:spacing w:val="-2"/>
                <w:sz w:val="18"/>
                <w:szCs w:val="18"/>
              </w:rPr>
              <w:t>截至资产负债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表日的进展情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况</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9" w:right="113"/>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518" w:right="161" w:hanging="360"/>
              <w:jc w:val="left"/>
              <w:rPr>
                <w:rFonts w:ascii="宋体" w:hAnsi="宋体" w:cs="宋体" w:eastAsia="宋体" w:hint="default"/>
                <w:sz w:val="18"/>
                <w:szCs w:val="18"/>
              </w:rPr>
            </w:pPr>
            <w:r>
              <w:rPr>
                <w:rFonts w:ascii="宋体" w:hAnsi="宋体" w:cs="宋体" w:eastAsia="宋体" w:hint="default"/>
                <w:spacing w:val="-2"/>
                <w:sz w:val="18"/>
                <w:szCs w:val="18"/>
              </w:rPr>
              <w:t>本期投资盈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亏</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58" w:right="146"/>
              <w:jc w:val="both"/>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88"/>
                <w:sz w:val="18"/>
                <w:szCs w:val="18"/>
              </w:rPr>
              <w:t> </w:t>
            </w:r>
            <w:r>
              <w:rPr>
                <w:rFonts w:ascii="宋体" w:hAnsi="宋体" w:cs="宋体" w:eastAsia="宋体" w:hint="default"/>
                <w:sz w:val="18"/>
                <w:szCs w:val="18"/>
              </w:rPr>
              <w:t>否</w:t>
            </w:r>
            <w:r>
              <w:rPr>
                <w:rFonts w:ascii="宋体" w:hAnsi="宋体" w:cs="宋体" w:eastAsia="宋体" w:hint="default"/>
                <w:spacing w:val="-88"/>
                <w:sz w:val="18"/>
                <w:szCs w:val="18"/>
              </w:rPr>
              <w:t> </w:t>
            </w:r>
            <w:r>
              <w:rPr>
                <w:rFonts w:ascii="宋体" w:hAnsi="宋体" w:cs="宋体" w:eastAsia="宋体" w:hint="default"/>
                <w:sz w:val="18"/>
                <w:szCs w:val="18"/>
              </w:rPr>
              <w:t>涉</w:t>
            </w:r>
            <w:r>
              <w:rPr>
                <w:rFonts w:ascii="宋体" w:hAnsi="宋体" w:cs="宋体" w:eastAsia="宋体" w:hint="default"/>
                <w:spacing w:val="-88"/>
                <w:sz w:val="18"/>
                <w:szCs w:val="18"/>
              </w:rPr>
              <w:t> </w:t>
            </w:r>
            <w:r>
              <w:rPr>
                <w:rFonts w:ascii="宋体" w:hAnsi="宋体" w:cs="宋体" w:eastAsia="宋体" w:hint="default"/>
                <w:sz w:val="18"/>
                <w:szCs w:val="18"/>
              </w:rPr>
              <w:t>诉</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20" w:right="113"/>
              <w:jc w:val="both"/>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c>
          <w:tcPr>
            <w:tcW w:w="2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1652"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156"/>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苏州龙遨泛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人工智能高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科技投资中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w:t>
            </w:r>
            <w:r>
              <w:rPr>
                <w:rFonts w:ascii="宋体" w:hAnsi="宋体" w:cs="宋体" w:eastAsia="宋体" w:hint="default"/>
                <w:w w:val="101"/>
                <w:sz w:val="18"/>
                <w:szCs w:val="18"/>
              </w:rPr>
              <w:t> </w:t>
            </w:r>
            <w:r>
              <w:rPr>
                <w:rFonts w:ascii="宋体" w:hAnsi="宋体" w:cs="宋体" w:eastAsia="宋体" w:hint="default"/>
                <w:sz w:val="18"/>
                <w:szCs w:val="18"/>
              </w:rPr>
              <w:t>伙</w:t>
            </w:r>
            <w:r>
              <w:rPr>
                <w:rFonts w:ascii="Times New Roman" w:hAnsi="Times New Roman" w:cs="Times New Roman" w:eastAsia="Times New Roman" w:hint="default"/>
                <w:sz w:val="18"/>
                <w:szCs w:val="18"/>
              </w:rPr>
              <w:t>)</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投资</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100" w:right="218"/>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88"/>
                <w:sz w:val="18"/>
                <w:szCs w:val="18"/>
              </w:rPr>
              <w:t> </w:t>
            </w:r>
            <w:r>
              <w:rPr>
                <w:rFonts w:ascii="宋体" w:hAnsi="宋体" w:cs="宋体" w:eastAsia="宋体" w:hint="default"/>
                <w:sz w:val="18"/>
                <w:szCs w:val="18"/>
              </w:rPr>
              <w:t>资</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150,000,000.00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105" w:right="158"/>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05" w:right="218"/>
              <w:jc w:val="both"/>
              <w:rPr>
                <w:rFonts w:ascii="宋体" w:hAnsi="宋体" w:cs="宋体" w:eastAsia="宋体" w:hint="default"/>
                <w:sz w:val="18"/>
                <w:szCs w:val="18"/>
              </w:rPr>
            </w:pPr>
            <w:r>
              <w:rPr>
                <w:rFonts w:ascii="宋体" w:hAnsi="宋体" w:cs="宋体" w:eastAsia="宋体" w:hint="default"/>
                <w:sz w:val="18"/>
                <w:szCs w:val="18"/>
              </w:rPr>
              <w:t>法人股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东及合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伙企业</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4"/>
              <w:jc w:val="right"/>
              <w:rPr>
                <w:rFonts w:ascii="Times New Roman" w:hAnsi="Times New Roman" w:cs="Times New Roman" w:eastAsia="Times New Roman" w:hint="default"/>
                <w:sz w:val="18"/>
                <w:szCs w:val="18"/>
              </w:rPr>
            </w:pPr>
            <w:r>
              <w:rPr>
                <w:rFonts w:ascii="Times New Roman"/>
                <w:spacing w:val="-1"/>
                <w:sz w:val="18"/>
              </w:rPr>
              <w:t>N/A</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105" w:right="199"/>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0" w:right="99"/>
              <w:jc w:val="both"/>
              <w:rPr>
                <w:rFonts w:ascii="宋体" w:hAnsi="宋体" w:cs="宋体" w:eastAsia="宋体" w:hint="default"/>
                <w:sz w:val="18"/>
                <w:szCs w:val="18"/>
              </w:rPr>
            </w:pPr>
            <w:r>
              <w:rPr>
                <w:rFonts w:ascii="宋体" w:hAnsi="宋体" w:cs="宋体" w:eastAsia="宋体" w:hint="default"/>
                <w:sz w:val="18"/>
                <w:szCs w:val="18"/>
              </w:rPr>
              <w:t>权益份额已登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记，上年实缴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5"/>
                <w:sz w:val="18"/>
                <w:szCs w:val="18"/>
              </w:rPr>
              <w:t> </w:t>
            </w:r>
            <w:r>
              <w:rPr>
                <w:rFonts w:ascii="宋体" w:hAnsi="宋体" w:cs="宋体" w:eastAsia="宋体" w:hint="default"/>
                <w:spacing w:val="-7"/>
                <w:sz w:val="18"/>
                <w:szCs w:val="18"/>
              </w:rPr>
              <w:t>万，本年</w:t>
            </w:r>
          </w:p>
          <w:p>
            <w:pPr>
              <w:pStyle w:val="TableParagraph"/>
              <w:spacing w:line="240" w:lineRule="auto" w:before="4"/>
              <w:ind w:left="100" w:right="0"/>
              <w:jc w:val="both"/>
              <w:rPr>
                <w:rFonts w:ascii="宋体" w:hAnsi="宋体" w:cs="宋体" w:eastAsia="宋体" w:hint="default"/>
                <w:sz w:val="18"/>
                <w:szCs w:val="18"/>
              </w:rPr>
            </w:pPr>
            <w:r>
              <w:rPr>
                <w:rFonts w:ascii="宋体" w:hAnsi="宋体" w:cs="宋体" w:eastAsia="宋体" w:hint="default"/>
                <w:sz w:val="18"/>
                <w:szCs w:val="18"/>
              </w:rPr>
              <w:t>实缴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211" w:right="113" w:hanging="9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-2,798,517.38</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5" w:right="3"/>
              <w:jc w:val="left"/>
              <w:rPr>
                <w:rFonts w:ascii="宋体" w:hAnsi="宋体" w:cs="宋体" w:eastAsia="宋体" w:hint="default"/>
                <w:sz w:val="18"/>
                <w:szCs w:val="18"/>
              </w:rPr>
            </w:pPr>
            <w:r>
              <w:rPr>
                <w:rFonts w:ascii="宋体" w:hAnsi="宋体" w:cs="宋体" w:eastAsia="宋体" w:hint="default"/>
                <w:spacing w:val="-5"/>
                <w:sz w:val="18"/>
                <w:szCs w:val="18"/>
              </w:rPr>
              <w:t>刊登于巨潮资讯网上《关于增资</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3"/>
                <w:sz w:val="18"/>
                <w:szCs w:val="18"/>
              </w:rPr>
              <w:t>苏州龙遨泛人工智能高科技投</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1"/>
                <w:sz w:val="18"/>
                <w:szCs w:val="18"/>
              </w:rPr>
              <w:t>资中心（有限合伙）的进展公告》</w:t>
            </w:r>
          </w:p>
          <w:p>
            <w:pPr>
              <w:pStyle w:val="TableParagraph"/>
              <w:spacing w:line="240" w:lineRule="auto" w:before="23"/>
              <w:ind w:left="105"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2019-005</w:t>
            </w:r>
            <w:r>
              <w:rPr>
                <w:rFonts w:ascii="宋体" w:hAnsi="宋体" w:cs="宋体" w:eastAsia="宋体" w:hint="default"/>
                <w:sz w:val="18"/>
                <w:szCs w:val="18"/>
              </w:rPr>
              <w:t>）</w:t>
            </w:r>
          </w:p>
        </w:tc>
      </w:tr>
      <w:tr>
        <w:trPr>
          <w:trHeight w:val="1647"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312" w:lineRule="auto"/>
              <w:ind w:left="105" w:right="156"/>
              <w:jc w:val="both"/>
              <w:rPr>
                <w:rFonts w:ascii="宋体" w:hAnsi="宋体" w:cs="宋体" w:eastAsia="宋体" w:hint="default"/>
                <w:sz w:val="18"/>
                <w:szCs w:val="18"/>
              </w:rPr>
            </w:pPr>
            <w:r>
              <w:rPr>
                <w:rFonts w:ascii="宋体" w:hAnsi="宋体" w:cs="宋体" w:eastAsia="宋体" w:hint="default"/>
                <w:spacing w:val="-2"/>
                <w:sz w:val="18"/>
                <w:szCs w:val="18"/>
              </w:rPr>
              <w:t>飞书数字科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05" w:right="257"/>
              <w:jc w:val="both"/>
              <w:rPr>
                <w:rFonts w:ascii="宋体" w:hAnsi="宋体" w:cs="宋体" w:eastAsia="宋体" w:hint="default"/>
                <w:sz w:val="18"/>
                <w:szCs w:val="18"/>
              </w:rPr>
            </w:pPr>
            <w:r>
              <w:rPr>
                <w:rFonts w:ascii="宋体" w:hAnsi="宋体" w:cs="宋体" w:eastAsia="宋体" w:hint="default"/>
                <w:sz w:val="18"/>
                <w:szCs w:val="18"/>
              </w:rPr>
              <w:t>海外</w:t>
            </w:r>
            <w:r>
              <w:rPr>
                <w:rFonts w:ascii="宋体" w:hAnsi="宋体" w:cs="宋体" w:eastAsia="宋体" w:hint="default"/>
                <w:spacing w:val="-86"/>
                <w:sz w:val="18"/>
                <w:szCs w:val="18"/>
              </w:rPr>
              <w:t> </w:t>
            </w:r>
            <w:r>
              <w:rPr>
                <w:rFonts w:ascii="宋体" w:hAnsi="宋体" w:cs="宋体" w:eastAsia="宋体" w:hint="default"/>
                <w:sz w:val="18"/>
                <w:szCs w:val="18"/>
              </w:rPr>
              <w:t>数字</w:t>
            </w:r>
            <w:r>
              <w:rPr>
                <w:rFonts w:ascii="宋体" w:hAnsi="宋体" w:cs="宋体" w:eastAsia="宋体" w:hint="default"/>
                <w:spacing w:val="-86"/>
                <w:sz w:val="18"/>
                <w:szCs w:val="18"/>
              </w:rPr>
              <w:t> </w:t>
            </w:r>
            <w:r>
              <w:rPr>
                <w:rFonts w:ascii="宋体" w:hAnsi="宋体" w:cs="宋体" w:eastAsia="宋体" w:hint="default"/>
                <w:sz w:val="18"/>
                <w:szCs w:val="18"/>
              </w:rPr>
              <w:t>营销</w:t>
            </w:r>
            <w:r>
              <w:rPr>
                <w:rFonts w:ascii="宋体" w:hAnsi="宋体" w:cs="宋体" w:eastAsia="宋体" w:hint="default"/>
                <w:spacing w:val="-86"/>
                <w:sz w:val="18"/>
                <w:szCs w:val="18"/>
              </w:rPr>
              <w:t> </w:t>
            </w:r>
            <w:r>
              <w:rPr>
                <w:rFonts w:ascii="宋体" w:hAnsi="宋体" w:cs="宋体" w:eastAsia="宋体" w:hint="default"/>
                <w:sz w:val="18"/>
                <w:szCs w:val="18"/>
              </w:rPr>
              <w:t>推广</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0" w:right="218"/>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1" w:right="0"/>
              <w:jc w:val="center"/>
              <w:rPr>
                <w:rFonts w:ascii="Times New Roman" w:hAnsi="Times New Roman" w:cs="Times New Roman" w:eastAsia="Times New Roman" w:hint="default"/>
                <w:sz w:val="18"/>
                <w:szCs w:val="18"/>
              </w:rPr>
            </w:pPr>
            <w:r>
              <w:rPr>
                <w:rFonts w:ascii="Times New Roman"/>
                <w:sz w:val="18"/>
              </w:rPr>
              <w:t>40,000,000.00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2.50%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5" w:right="158"/>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5" w:right="95"/>
              <w:jc w:val="left"/>
              <w:rPr>
                <w:rFonts w:ascii="宋体" w:hAnsi="宋体" w:cs="宋体" w:eastAsia="宋体" w:hint="default"/>
                <w:sz w:val="18"/>
                <w:szCs w:val="18"/>
              </w:rPr>
            </w:pPr>
            <w:r>
              <w:rPr>
                <w:rFonts w:ascii="宋体" w:hAnsi="宋体" w:cs="宋体" w:eastAsia="宋体" w:hint="default"/>
                <w:sz w:val="18"/>
                <w:szCs w:val="18"/>
              </w:rPr>
              <w:t>法人股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6"/>
                <w:sz w:val="18"/>
                <w:szCs w:val="18"/>
              </w:rPr>
              <w:t>东、自然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人股东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及合伙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4"/>
              <w:jc w:val="right"/>
              <w:rPr>
                <w:rFonts w:ascii="Times New Roman" w:hAnsi="Times New Roman" w:cs="Times New Roman" w:eastAsia="Times New Roman" w:hint="default"/>
                <w:sz w:val="18"/>
                <w:szCs w:val="18"/>
              </w:rPr>
            </w:pPr>
            <w:r>
              <w:rPr>
                <w:rFonts w:ascii="Times New Roman"/>
                <w:spacing w:val="-1"/>
                <w:sz w:val="18"/>
              </w:rPr>
              <w:t>N/A</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5" w:right="199"/>
              <w:jc w:val="left"/>
              <w:rPr>
                <w:rFonts w:ascii="宋体" w:hAnsi="宋体" w:cs="宋体" w:eastAsia="宋体" w:hint="default"/>
                <w:sz w:val="18"/>
                <w:szCs w:val="18"/>
              </w:rPr>
            </w:pPr>
            <w:r>
              <w:rPr>
                <w:rFonts w:ascii="宋体" w:hAnsi="宋体" w:cs="宋体" w:eastAsia="宋体" w:hint="default"/>
                <w:sz w:val="18"/>
                <w:szCs w:val="18"/>
              </w:rPr>
              <w:t>服</w:t>
            </w:r>
            <w:r>
              <w:rPr>
                <w:rFonts w:ascii="宋体" w:hAnsi="宋体" w:cs="宋体" w:eastAsia="宋体" w:hint="default"/>
                <w:spacing w:val="-88"/>
                <w:sz w:val="18"/>
                <w:szCs w:val="18"/>
              </w:rPr>
              <w:t> </w:t>
            </w:r>
            <w:r>
              <w:rPr>
                <w:rFonts w:ascii="宋体" w:hAnsi="宋体" w:cs="宋体" w:eastAsia="宋体" w:hint="default"/>
                <w:sz w:val="18"/>
                <w:szCs w:val="18"/>
              </w:rPr>
              <w:t>务</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100" w:right="127"/>
              <w:jc w:val="both"/>
              <w:rPr>
                <w:rFonts w:ascii="宋体" w:hAnsi="宋体" w:cs="宋体" w:eastAsia="宋体" w:hint="default"/>
                <w:sz w:val="18"/>
                <w:szCs w:val="18"/>
              </w:rPr>
            </w:pPr>
            <w:r>
              <w:rPr>
                <w:rFonts w:ascii="宋体" w:hAnsi="宋体" w:cs="宋体" w:eastAsia="宋体" w:hint="default"/>
                <w:spacing w:val="-2"/>
                <w:sz w:val="18"/>
                <w:szCs w:val="18"/>
              </w:rPr>
              <w:t>股权已过户，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对价已全部支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付</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11" w:right="113" w:hanging="9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105" w:right="2"/>
              <w:jc w:val="left"/>
              <w:rPr>
                <w:rFonts w:ascii="宋体" w:hAnsi="宋体" w:cs="宋体" w:eastAsia="宋体" w:hint="default"/>
                <w:sz w:val="18"/>
                <w:szCs w:val="18"/>
              </w:rPr>
            </w:pPr>
            <w:r>
              <w:rPr>
                <w:rFonts w:ascii="宋体" w:hAnsi="宋体" w:cs="宋体" w:eastAsia="宋体" w:hint="default"/>
                <w:spacing w:val="-5"/>
                <w:sz w:val="18"/>
                <w:szCs w:val="18"/>
              </w:rPr>
              <w:t>刊登于巨潮资讯网上《关于对外</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3"/>
                <w:sz w:val="18"/>
                <w:szCs w:val="18"/>
              </w:rPr>
              <w:t>投资暨受让飞书数字部分股权</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7"/>
                <w:sz w:val="18"/>
                <w:szCs w:val="18"/>
              </w:rPr>
              <w:t>的公告》（公告编号：</w:t>
            </w:r>
            <w:r>
              <w:rPr>
                <w:rFonts w:ascii="Times New Roman" w:hAnsi="Times New Roman" w:cs="Times New Roman" w:eastAsia="Times New Roman" w:hint="default"/>
                <w:spacing w:val="-7"/>
                <w:sz w:val="18"/>
                <w:szCs w:val="18"/>
              </w:rPr>
              <w:t>2019-083</w:t>
            </w:r>
            <w:r>
              <w:rPr>
                <w:rFonts w:ascii="宋体" w:hAnsi="宋体" w:cs="宋体" w:eastAsia="宋体" w:hint="default"/>
                <w:spacing w:val="-7"/>
                <w:sz w:val="18"/>
                <w:szCs w:val="18"/>
              </w:rPr>
              <w:t>）</w:t>
            </w:r>
          </w:p>
        </w:tc>
      </w:tr>
      <w:tr>
        <w:trPr>
          <w:trHeight w:val="403"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0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center"/>
              <w:rPr>
                <w:rFonts w:ascii="Times New Roman" w:hAnsi="Times New Roman" w:cs="Times New Roman" w:eastAsia="Times New Roman" w:hint="default"/>
                <w:sz w:val="18"/>
                <w:szCs w:val="18"/>
              </w:rPr>
            </w:pPr>
            <w:r>
              <w:rPr>
                <w:rFonts w:ascii="Times New Roman"/>
                <w:sz w:val="18"/>
              </w:rPr>
              <w:t>190,000,000.00</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38"/>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1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-2,798,517.38</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8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906" w:footer="1018" w:top="1100" w:bottom="1200" w:left="960" w:right="1220"/>
        </w:sectPr>
      </w:pPr>
    </w:p>
    <w:p>
      <w:pPr>
        <w:spacing w:line="20" w:lineRule="exact"/>
        <w:ind w:left="186" w:right="0" w:firstLine="0"/>
        <w:rPr>
          <w:rFonts w:ascii="宋体" w:hAnsi="宋体" w:cs="宋体" w:eastAsia="宋体" w:hint="default"/>
          <w:sz w:val="2"/>
          <w:szCs w:val="2"/>
        </w:rPr>
      </w:pPr>
      <w:r>
        <w:rPr>
          <w:rFonts w:ascii="宋体" w:hAnsi="宋体" w:cs="宋体" w:eastAsia="宋体" w:hint="default"/>
          <w:sz w:val="2"/>
          <w:szCs w:val="2"/>
        </w:rPr>
        <w:pict>
          <v:group style="width:701.5pt;height:.5pt;mso-position-horizontal-relative:char;mso-position-vertical-relative:line" coordorigin="0,0" coordsize="14030,10">
            <v:group style="position:absolute;left:5;top:5;width:14020;height:2" coordorigin="5,5" coordsize="14020,2">
              <v:shape style="position:absolute;left:5;top:5;width:14020;height:2" coordorigin="5,5" coordsize="14020,0" path="m5,5l14025,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220"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220"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left="220"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220"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1"/>
        <w:ind w:left="0" w:right="208"/>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941"/>
        <w:gridCol w:w="2003"/>
        <w:gridCol w:w="1825"/>
        <w:gridCol w:w="1839"/>
        <w:gridCol w:w="1839"/>
        <w:gridCol w:w="1345"/>
        <w:gridCol w:w="1680"/>
        <w:gridCol w:w="1714"/>
        <w:gridCol w:w="994"/>
      </w:tblGrid>
      <w:tr>
        <w:trPr>
          <w:trHeight w:val="716" w:hRule="exact"/>
        </w:trPr>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24" w:right="180" w:hanging="538"/>
              <w:jc w:val="left"/>
              <w:rPr>
                <w:rFonts w:ascii="宋体" w:hAnsi="宋体" w:cs="宋体" w:eastAsia="宋体" w:hint="default"/>
                <w:sz w:val="18"/>
                <w:szCs w:val="18"/>
              </w:rPr>
            </w:pPr>
            <w:r>
              <w:rPr>
                <w:rFonts w:ascii="宋体" w:hAnsi="宋体" w:cs="宋体" w:eastAsia="宋体" w:hint="default"/>
                <w:spacing w:val="-2"/>
                <w:sz w:val="18"/>
                <w:szCs w:val="18"/>
              </w:rPr>
              <w:t>本期公允价值变动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损益</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51" w:right="103" w:hanging="452"/>
              <w:jc w:val="left"/>
              <w:rPr>
                <w:rFonts w:ascii="宋体" w:hAnsi="宋体" w:cs="宋体" w:eastAsia="宋体" w:hint="default"/>
                <w:sz w:val="18"/>
                <w:szCs w:val="18"/>
              </w:rPr>
            </w:pPr>
            <w:r>
              <w:rPr>
                <w:rFonts w:ascii="宋体" w:hAnsi="宋体" w:cs="宋体" w:eastAsia="宋体" w:hint="default"/>
                <w:spacing w:val="-3"/>
                <w:sz w:val="18"/>
                <w:szCs w:val="18"/>
              </w:rPr>
              <w:t>计入权益的累计公允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价值变动</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报告期内购入金额</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84" w:right="123" w:hanging="360"/>
              <w:jc w:val="left"/>
              <w:rPr>
                <w:rFonts w:ascii="宋体" w:hAnsi="宋体" w:cs="宋体" w:eastAsia="宋体" w:hint="default"/>
                <w:sz w:val="18"/>
                <w:szCs w:val="18"/>
              </w:rPr>
            </w:pPr>
            <w:r>
              <w:rPr>
                <w:rFonts w:ascii="宋体" w:hAnsi="宋体" w:cs="宋体" w:eastAsia="宋体" w:hint="default"/>
                <w:spacing w:val="-2"/>
                <w:sz w:val="18"/>
                <w:szCs w:val="18"/>
              </w:rPr>
              <w:t>报告期内售出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金额</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累计投资收益</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3" w:hRule="exact"/>
        </w:trPr>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174,947,570.55</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158,168,054.38</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245,141,249.35</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40,000,000.00</w:t>
            </w:r>
          </w:p>
        </w:tc>
        <w:tc>
          <w:tcPr>
            <w:tcW w:w="1345"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7,339,262.42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9" w:right="0"/>
              <w:jc w:val="left"/>
              <w:rPr>
                <w:rFonts w:ascii="Times New Roman" w:hAnsi="Times New Roman" w:cs="Times New Roman" w:eastAsia="Times New Roman" w:hint="default"/>
                <w:sz w:val="18"/>
                <w:szCs w:val="18"/>
              </w:rPr>
            </w:pPr>
            <w:r>
              <w:rPr>
                <w:rFonts w:ascii="Times New Roman"/>
                <w:sz w:val="18"/>
              </w:rPr>
              <w:t>420,908,689.44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5"/>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754" w:hRule="exact"/>
        </w:trPr>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105" w:right="98"/>
              <w:jc w:val="left"/>
              <w:rPr>
                <w:rFonts w:ascii="宋体" w:hAnsi="宋体" w:cs="宋体" w:eastAsia="宋体" w:hint="default"/>
                <w:sz w:val="18"/>
                <w:szCs w:val="18"/>
              </w:rPr>
            </w:pPr>
            <w:r>
              <w:rPr>
                <w:rFonts w:ascii="宋体" w:hAnsi="宋体" w:cs="宋体" w:eastAsia="宋体" w:hint="default"/>
                <w:sz w:val="18"/>
                <w:szCs w:val="18"/>
              </w:rPr>
              <w:t>其他（银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行理财）</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1,361,529,500.00</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1,744,369.44</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1,744,369.44</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1,239,249,500.00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961,029,500.00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402,244,369.44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3"/>
              <w:ind w:left="105" w:right="151"/>
              <w:jc w:val="left"/>
              <w:rPr>
                <w:rFonts w:ascii="宋体" w:hAnsi="宋体" w:cs="宋体" w:eastAsia="宋体" w:hint="default"/>
                <w:sz w:val="18"/>
                <w:szCs w:val="18"/>
              </w:rPr>
            </w:pPr>
            <w:r>
              <w:rPr>
                <w:rFonts w:ascii="宋体" w:hAnsi="宋体" w:cs="宋体" w:eastAsia="宋体" w:hint="default"/>
                <w:sz w:val="18"/>
                <w:szCs w:val="18"/>
              </w:rPr>
              <w:t>自有资金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募集资金</w:t>
            </w:r>
          </w:p>
        </w:tc>
      </w:tr>
      <w:tr>
        <w:trPr>
          <w:trHeight w:val="404" w:hRule="exact"/>
        </w:trPr>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1,536,477,070.55</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159,912,423.82</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246,885,618.79</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1,279,249,500.00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961,029,500.00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7,339,262.42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9" w:right="0"/>
              <w:jc w:val="left"/>
              <w:rPr>
                <w:rFonts w:ascii="Times New Roman" w:hAnsi="Times New Roman" w:cs="Times New Roman" w:eastAsia="Times New Roman" w:hint="default"/>
                <w:sz w:val="18"/>
                <w:szCs w:val="18"/>
              </w:rPr>
            </w:pPr>
            <w:r>
              <w:rPr>
                <w:rFonts w:ascii="Times New Roman"/>
                <w:sz w:val="18"/>
              </w:rPr>
              <w:t>823,153,058.88</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906" w:footer="1018" w:top="1100" w:bottom="1200" w:left="1220" w:right="1220"/>
        </w:sect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1.5pt;height:.5pt;mso-position-horizontal-relative:char;mso-position-vertical-relative:line" coordorigin="0,0" coordsize="14030,10">
            <v:group style="position:absolute;left:5;top:5;width:14020;height:2" coordorigin="5,5" coordsize="14020,2">
              <v:shape style="position:absolute;left:5;top:5;width:14020;height:2" coordorigin="5,5" coordsize="14020,0" path="m5,5l14025,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140"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8"/>
        <w:rPr>
          <w:rFonts w:ascii="宋体" w:hAnsi="宋体" w:cs="宋体" w:eastAsia="宋体" w:hint="default"/>
          <w:sz w:val="25"/>
          <w:szCs w:val="25"/>
        </w:rPr>
      </w:pPr>
    </w:p>
    <w:p>
      <w:pPr>
        <w:pStyle w:val="Heading4"/>
        <w:spacing w:line="240" w:lineRule="auto"/>
        <w:ind w:left="140" w:right="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140"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1"/>
        <w:ind w:left="0" w:right="328"/>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701"/>
        <w:gridCol w:w="586"/>
        <w:gridCol w:w="1061"/>
        <w:gridCol w:w="1320"/>
        <w:gridCol w:w="1378"/>
        <w:gridCol w:w="1479"/>
        <w:gridCol w:w="1354"/>
        <w:gridCol w:w="1522"/>
        <w:gridCol w:w="1316"/>
        <w:gridCol w:w="2021"/>
        <w:gridCol w:w="1441"/>
      </w:tblGrid>
      <w:tr>
        <w:trPr>
          <w:trHeight w:val="1028" w:hRule="exact"/>
        </w:trPr>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63" w:right="161"/>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年份</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10" w:right="99"/>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方式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345" w:right="156" w:hanging="178"/>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06" w:right="108" w:hanging="92"/>
              <w:jc w:val="left"/>
              <w:rPr>
                <w:rFonts w:ascii="宋体" w:hAnsi="宋体" w:cs="宋体" w:eastAsia="宋体" w:hint="default"/>
                <w:sz w:val="18"/>
                <w:szCs w:val="18"/>
              </w:rPr>
            </w:pPr>
            <w:r>
              <w:rPr>
                <w:rFonts w:ascii="宋体" w:hAnsi="宋体" w:cs="宋体" w:eastAsia="宋体" w:hint="default"/>
                <w:spacing w:val="-2"/>
                <w:sz w:val="18"/>
                <w:szCs w:val="18"/>
              </w:rPr>
              <w:t>本期已使用募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集资金总额</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0" w:right="142" w:hanging="92"/>
              <w:jc w:val="left"/>
              <w:rPr>
                <w:rFonts w:ascii="宋体" w:hAnsi="宋体" w:cs="宋体" w:eastAsia="宋体" w:hint="default"/>
                <w:sz w:val="18"/>
                <w:szCs w:val="18"/>
              </w:rPr>
            </w:pPr>
            <w:r>
              <w:rPr>
                <w:rFonts w:ascii="宋体" w:hAnsi="宋体" w:cs="宋体" w:eastAsia="宋体" w:hint="default"/>
                <w:spacing w:val="-2"/>
                <w:sz w:val="18"/>
                <w:szCs w:val="18"/>
              </w:rPr>
              <w:t>已累计使用募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集资金总额</w:t>
            </w:r>
          </w:p>
        </w:tc>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9"/>
              <w:jc w:val="center"/>
              <w:rPr>
                <w:rFonts w:ascii="宋体" w:hAnsi="宋体" w:cs="宋体" w:eastAsia="宋体" w:hint="default"/>
                <w:sz w:val="18"/>
                <w:szCs w:val="18"/>
              </w:rPr>
            </w:pPr>
            <w:r>
              <w:rPr>
                <w:rFonts w:ascii="宋体" w:hAnsi="宋体" w:cs="宋体" w:eastAsia="宋体" w:hint="default"/>
                <w:spacing w:val="-3"/>
                <w:sz w:val="18"/>
                <w:szCs w:val="18"/>
              </w:rPr>
              <w:t>报告期内变更用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途的募集资金总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额</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34" w:right="123"/>
              <w:jc w:val="center"/>
              <w:rPr>
                <w:rFonts w:ascii="宋体" w:hAnsi="宋体" w:cs="宋体" w:eastAsia="宋体" w:hint="default"/>
                <w:sz w:val="18"/>
                <w:szCs w:val="18"/>
              </w:rPr>
            </w:pPr>
            <w:r>
              <w:rPr>
                <w:rFonts w:ascii="宋体" w:hAnsi="宋体" w:cs="宋体" w:eastAsia="宋体" w:hint="default"/>
                <w:spacing w:val="-2"/>
                <w:sz w:val="18"/>
                <w:szCs w:val="18"/>
              </w:rPr>
              <w:t>累计变更用途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的募集资金总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9" w:right="117"/>
              <w:jc w:val="center"/>
              <w:rPr>
                <w:rFonts w:ascii="宋体" w:hAnsi="宋体" w:cs="宋体" w:eastAsia="宋体" w:hint="default"/>
                <w:sz w:val="18"/>
                <w:szCs w:val="18"/>
              </w:rPr>
            </w:pPr>
            <w:r>
              <w:rPr>
                <w:rFonts w:ascii="宋体" w:hAnsi="宋体" w:cs="宋体" w:eastAsia="宋体" w:hint="default"/>
                <w:spacing w:val="-3"/>
                <w:sz w:val="18"/>
                <w:szCs w:val="18"/>
              </w:rPr>
              <w:t>累计变更用途的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募集资金总额比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例</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93" w:right="103" w:hanging="178"/>
              <w:jc w:val="left"/>
              <w:rPr>
                <w:rFonts w:ascii="宋体" w:hAnsi="宋体" w:cs="宋体" w:eastAsia="宋体" w:hint="default"/>
                <w:sz w:val="18"/>
                <w:szCs w:val="18"/>
              </w:rPr>
            </w:pPr>
            <w:r>
              <w:rPr>
                <w:rFonts w:ascii="宋体" w:hAnsi="宋体" w:cs="宋体" w:eastAsia="宋体" w:hint="default"/>
                <w:spacing w:val="-2"/>
                <w:sz w:val="18"/>
                <w:szCs w:val="18"/>
              </w:rPr>
              <w:t>尚未使用募集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资金总额</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734" w:right="103" w:hanging="634"/>
              <w:jc w:val="left"/>
              <w:rPr>
                <w:rFonts w:ascii="宋体" w:hAnsi="宋体" w:cs="宋体" w:eastAsia="宋体" w:hint="default"/>
                <w:sz w:val="18"/>
                <w:szCs w:val="18"/>
              </w:rPr>
            </w:pPr>
            <w:r>
              <w:rPr>
                <w:rFonts w:ascii="宋体" w:hAnsi="宋体" w:cs="宋体" w:eastAsia="宋体" w:hint="default"/>
                <w:spacing w:val="-2"/>
                <w:sz w:val="18"/>
                <w:szCs w:val="18"/>
              </w:rPr>
              <w:t>尚未使用募集资金用途</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及去向</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73" w:right="170"/>
              <w:jc w:val="left"/>
              <w:rPr>
                <w:rFonts w:ascii="宋体" w:hAnsi="宋体" w:cs="宋体" w:eastAsia="宋体" w:hint="default"/>
                <w:sz w:val="18"/>
                <w:szCs w:val="18"/>
              </w:rPr>
            </w:pPr>
            <w:r>
              <w:rPr>
                <w:rFonts w:ascii="宋体" w:hAnsi="宋体" w:cs="宋体" w:eastAsia="宋体" w:hint="default"/>
                <w:spacing w:val="-2"/>
                <w:sz w:val="18"/>
                <w:szCs w:val="18"/>
              </w:rPr>
              <w:t>闲置两年以上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募集资金金额</w:t>
            </w:r>
          </w:p>
        </w:tc>
      </w:tr>
      <w:tr>
        <w:trPr>
          <w:trHeight w:val="1028"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年</w:t>
            </w:r>
            <w:r>
              <w:rPr>
                <w:rFonts w:ascii="宋体" w:hAnsi="宋体" w:cs="宋体" w:eastAsia="宋体" w:hint="default"/>
                <w:sz w:val="18"/>
                <w:szCs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04"/>
              <w:jc w:val="left"/>
              <w:rPr>
                <w:rFonts w:ascii="宋体" w:hAnsi="宋体" w:cs="宋体" w:eastAsia="宋体" w:hint="default"/>
                <w:sz w:val="18"/>
                <w:szCs w:val="18"/>
              </w:rPr>
            </w:pPr>
            <w:r>
              <w:rPr>
                <w:rFonts w:ascii="宋体" w:hAnsi="宋体" w:cs="宋体" w:eastAsia="宋体" w:hint="default"/>
                <w:sz w:val="18"/>
                <w:szCs w:val="18"/>
              </w:rPr>
              <w:t>公开</w:t>
            </w:r>
            <w:r>
              <w:rPr>
                <w:rFonts w:ascii="宋体" w:hAnsi="宋体" w:cs="宋体" w:eastAsia="宋体" w:hint="default"/>
                <w:spacing w:val="-86"/>
                <w:sz w:val="18"/>
                <w:szCs w:val="18"/>
              </w:rPr>
              <w:t> </w:t>
            </w:r>
            <w:r>
              <w:rPr>
                <w:rFonts w:ascii="宋体" w:hAnsi="宋体" w:cs="宋体" w:eastAsia="宋体" w:hint="default"/>
                <w:sz w:val="18"/>
                <w:szCs w:val="18"/>
              </w:rPr>
              <w:t>发行</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76,523.31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2,848.29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44,544.17</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12,572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52,572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68.70%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39,929.44</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103"/>
              <w:jc w:val="both"/>
              <w:rPr>
                <w:rFonts w:ascii="宋体" w:hAnsi="宋体" w:cs="宋体" w:eastAsia="宋体" w:hint="default"/>
                <w:sz w:val="18"/>
                <w:szCs w:val="18"/>
              </w:rPr>
            </w:pPr>
            <w:r>
              <w:rPr>
                <w:rFonts w:ascii="宋体" w:hAnsi="宋体" w:cs="宋体" w:eastAsia="宋体" w:hint="default"/>
                <w:spacing w:val="-2"/>
                <w:sz w:val="18"/>
                <w:szCs w:val="18"/>
              </w:rPr>
              <w:t>银行专户活期存储、购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买银行结构性存款及银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行理财产品</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12,630.13</w:t>
            </w:r>
          </w:p>
        </w:tc>
      </w:tr>
      <w:tr>
        <w:trPr>
          <w:trHeight w:val="403" w:hRule="exact"/>
        </w:trPr>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76,523.31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2,848.29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44,544.17</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12,572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52,572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68.70%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39,929.44</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12,630.13</w:t>
            </w:r>
          </w:p>
        </w:tc>
      </w:tr>
      <w:tr>
        <w:trPr>
          <w:trHeight w:val="398" w:hRule="exact"/>
        </w:trPr>
        <w:tc>
          <w:tcPr>
            <w:tcW w:w="1417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404" w:hRule="exact"/>
        </w:trPr>
        <w:tc>
          <w:tcPr>
            <w:tcW w:w="1417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截止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pacing w:val="-3"/>
                <w:sz w:val="18"/>
                <w:szCs w:val="18"/>
              </w:rPr>
              <w:t>31  </w:t>
            </w:r>
            <w:r>
              <w:rPr>
                <w:rFonts w:ascii="宋体" w:hAnsi="宋体" w:cs="宋体" w:eastAsia="宋体" w:hint="default"/>
                <w:spacing w:val="-3"/>
                <w:sz w:val="18"/>
                <w:szCs w:val="18"/>
              </w:rPr>
              <w:t>日，报告期投入募集资金为 </w:t>
            </w:r>
            <w:r>
              <w:rPr>
                <w:rFonts w:ascii="Times New Roman" w:hAnsi="Times New Roman" w:cs="Times New Roman" w:eastAsia="Times New Roman" w:hint="default"/>
                <w:sz w:val="18"/>
                <w:szCs w:val="18"/>
              </w:rPr>
              <w:t>2,848.29 </w:t>
            </w:r>
            <w:r>
              <w:rPr>
                <w:rFonts w:ascii="宋体" w:hAnsi="宋体" w:cs="宋体" w:eastAsia="宋体" w:hint="default"/>
                <w:spacing w:val="-3"/>
                <w:sz w:val="18"/>
                <w:szCs w:val="18"/>
              </w:rPr>
              <w:t>万元，已累计投入金额为 </w:t>
            </w:r>
            <w:r>
              <w:rPr>
                <w:rFonts w:ascii="Times New Roman" w:hAnsi="Times New Roman" w:cs="Times New Roman" w:eastAsia="Times New Roman" w:hint="default"/>
                <w:sz w:val="18"/>
                <w:szCs w:val="18"/>
              </w:rPr>
              <w:t>44,544.17 </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6840" w:h="11910" w:orient="landscape"/>
          <w:pgMar w:header="906" w:footer="1018" w:top="1100" w:bottom="1200" w:left="1300" w:right="1100"/>
        </w:sectPr>
      </w:pPr>
    </w:p>
    <w:p>
      <w:pPr>
        <w:spacing w:line="240" w:lineRule="auto" w:before="3"/>
        <w:rPr>
          <w:rFonts w:ascii="宋体" w:hAnsi="宋体" w:cs="宋体" w:eastAsia="宋体" w:hint="default"/>
          <w:sz w:val="19"/>
          <w:szCs w:val="19"/>
        </w:rPr>
      </w:pPr>
    </w:p>
    <w:p>
      <w:pPr>
        <w:pStyle w:val="Heading4"/>
        <w:spacing w:line="240" w:lineRule="auto" w:before="36"/>
        <w:ind w:left="413" w:right="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41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2"/>
        <w:ind w:left="0" w:right="1122"/>
        <w:jc w:val="right"/>
      </w:pPr>
      <w:r>
        <w:rPr>
          <w:spacing w:val="-2"/>
        </w:rPr>
        <w:t>单位：万元</w:t>
      </w:r>
    </w:p>
    <w:p>
      <w:pPr>
        <w:spacing w:line="240" w:lineRule="auto" w:before="10"/>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1407"/>
        <w:gridCol w:w="802"/>
        <w:gridCol w:w="927"/>
        <w:gridCol w:w="937"/>
        <w:gridCol w:w="927"/>
        <w:gridCol w:w="974"/>
        <w:gridCol w:w="989"/>
        <w:gridCol w:w="836"/>
        <w:gridCol w:w="904"/>
        <w:gridCol w:w="724"/>
        <w:gridCol w:w="812"/>
      </w:tblGrid>
      <w:tr>
        <w:trPr>
          <w:trHeight w:val="1649"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158" w:right="152"/>
              <w:jc w:val="center"/>
              <w:rPr>
                <w:rFonts w:ascii="宋体" w:hAnsi="宋体" w:cs="宋体" w:eastAsia="宋体" w:hint="default"/>
                <w:sz w:val="18"/>
                <w:szCs w:val="18"/>
              </w:rPr>
            </w:pPr>
            <w:r>
              <w:rPr>
                <w:rFonts w:ascii="宋体" w:hAnsi="宋体" w:cs="宋体" w:eastAsia="宋体" w:hint="default"/>
                <w:spacing w:val="-2"/>
                <w:sz w:val="18"/>
                <w:szCs w:val="18"/>
              </w:rPr>
              <w:t>承诺投资项目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和超募资金投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向</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6"/>
              <w:ind w:left="129" w:right="1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是否已</w:t>
            </w:r>
            <w:r>
              <w:rPr>
                <w:rFonts w:ascii="宋体" w:hAnsi="宋体" w:cs="宋体" w:eastAsia="宋体" w:hint="default"/>
                <w:w w:val="101"/>
                <w:sz w:val="18"/>
                <w:szCs w:val="18"/>
              </w:rPr>
              <w:t> </w:t>
            </w:r>
            <w:r>
              <w:rPr>
                <w:rFonts w:ascii="宋体" w:hAnsi="宋体" w:cs="宋体" w:eastAsia="宋体" w:hint="default"/>
                <w:spacing w:val="-2"/>
                <w:sz w:val="18"/>
                <w:szCs w:val="18"/>
              </w:rPr>
              <w:t>变更项</w:t>
            </w:r>
            <w:r>
              <w:rPr>
                <w:rFonts w:ascii="宋体" w:hAnsi="宋体" w:cs="宋体" w:eastAsia="宋体" w:hint="default"/>
                <w:w w:val="101"/>
                <w:sz w:val="18"/>
                <w:szCs w:val="18"/>
              </w:rPr>
              <w:t> </w:t>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w w:val="101"/>
                <w:sz w:val="18"/>
                <w:szCs w:val="18"/>
              </w:rPr>
              <w:t> </w:t>
            </w:r>
            <w:r>
              <w:rPr>
                <w:rFonts w:ascii="宋体" w:hAnsi="宋体" w:cs="宋体" w:eastAsia="宋体" w:hint="default"/>
                <w:spacing w:val="-2"/>
                <w:sz w:val="18"/>
                <w:szCs w:val="18"/>
              </w:rPr>
              <w:t>部分变</w:t>
            </w:r>
            <w:r>
              <w:rPr>
                <w:rFonts w:ascii="宋体" w:hAnsi="宋体" w:cs="宋体" w:eastAsia="宋体" w:hint="default"/>
                <w:w w:val="101"/>
                <w:sz w:val="18"/>
                <w:szCs w:val="18"/>
              </w:rPr>
              <w:t> </w:t>
            </w:r>
            <w:r>
              <w:rPr>
                <w:rFonts w:ascii="宋体" w:hAnsi="宋体" w:cs="宋体" w:eastAsia="宋体" w:hint="default"/>
                <w:sz w:val="18"/>
                <w:szCs w:val="18"/>
              </w:rPr>
              <w:t>更</w:t>
            </w:r>
            <w:r>
              <w:rPr>
                <w:rFonts w:ascii="Times New Roman" w:hAnsi="Times New Roman" w:cs="Times New Roman" w:eastAsia="Times New Roman" w:hint="default"/>
                <w:sz w:val="18"/>
                <w:szCs w:val="18"/>
              </w:rPr>
              <w:t>)</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192" w:right="180"/>
              <w:jc w:val="center"/>
              <w:rPr>
                <w:rFonts w:ascii="宋体" w:hAnsi="宋体" w:cs="宋体" w:eastAsia="宋体" w:hint="default"/>
                <w:sz w:val="18"/>
                <w:szCs w:val="18"/>
              </w:rPr>
            </w:pPr>
            <w:r>
              <w:rPr>
                <w:rFonts w:ascii="宋体" w:hAnsi="宋体" w:cs="宋体" w:eastAsia="宋体" w:hint="default"/>
                <w:spacing w:val="-2"/>
                <w:sz w:val="18"/>
                <w:szCs w:val="18"/>
              </w:rPr>
              <w:t>募集资</w:t>
            </w:r>
            <w:r>
              <w:rPr>
                <w:rFonts w:ascii="宋体" w:hAnsi="宋体" w:cs="宋体" w:eastAsia="宋体" w:hint="default"/>
                <w:w w:val="101"/>
                <w:sz w:val="18"/>
                <w:szCs w:val="18"/>
              </w:rPr>
              <w:t> </w:t>
            </w:r>
            <w:r>
              <w:rPr>
                <w:rFonts w:ascii="宋体" w:hAnsi="宋体" w:cs="宋体" w:eastAsia="宋体" w:hint="default"/>
                <w:spacing w:val="-2"/>
                <w:sz w:val="18"/>
                <w:szCs w:val="18"/>
              </w:rPr>
              <w:t>金承诺</w:t>
            </w:r>
            <w:r>
              <w:rPr>
                <w:rFonts w:ascii="宋体" w:hAnsi="宋体" w:cs="宋体" w:eastAsia="宋体" w:hint="default"/>
                <w:w w:val="101"/>
                <w:sz w:val="18"/>
                <w:szCs w:val="18"/>
              </w:rPr>
              <w:t> </w:t>
            </w:r>
            <w:r>
              <w:rPr>
                <w:rFonts w:ascii="宋体" w:hAnsi="宋体" w:cs="宋体" w:eastAsia="宋体" w:hint="default"/>
                <w:spacing w:val="-2"/>
                <w:sz w:val="18"/>
                <w:szCs w:val="18"/>
              </w:rPr>
              <w:t>投资总</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32"/>
              <w:ind w:left="105" w:right="94"/>
              <w:jc w:val="center"/>
              <w:rPr>
                <w:rFonts w:ascii="宋体" w:hAnsi="宋体" w:cs="宋体" w:eastAsia="宋体" w:hint="default"/>
                <w:sz w:val="18"/>
                <w:szCs w:val="18"/>
              </w:rPr>
            </w:pPr>
            <w:r>
              <w:rPr>
                <w:rFonts w:ascii="宋体" w:hAnsi="宋体" w:cs="宋体" w:eastAsia="宋体" w:hint="default"/>
                <w:spacing w:val="-2"/>
                <w:sz w:val="18"/>
                <w:szCs w:val="18"/>
              </w:rPr>
              <w:t>调整后投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资总额</w:t>
            </w:r>
          </w:p>
          <w:p>
            <w:pPr>
              <w:pStyle w:val="TableParagraph"/>
              <w:spacing w:line="240" w:lineRule="auto" w:before="69"/>
              <w:ind w:left="7" w:right="0"/>
              <w:jc w:val="center"/>
              <w:rPr>
                <w:rFonts w:ascii="Times New Roman" w:hAnsi="Times New Roman" w:cs="Times New Roman" w:eastAsia="Times New Roman" w:hint="default"/>
                <w:sz w:val="18"/>
                <w:szCs w:val="18"/>
              </w:rPr>
            </w:pPr>
            <w:r>
              <w:rPr>
                <w:rFonts w:ascii="Times New Roman"/>
                <w:sz w:val="18"/>
              </w:rPr>
              <w:t>(1)</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191" w:right="180"/>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124"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累计投入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26" w:lineRule="auto"/>
              <w:ind w:left="130" w:right="122" w:hanging="1"/>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投资进度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(2)/(1)</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43" w:right="137"/>
              <w:jc w:val="center"/>
              <w:rPr>
                <w:rFonts w:ascii="宋体" w:hAnsi="宋体" w:cs="宋体" w:eastAsia="宋体" w:hint="default"/>
                <w:sz w:val="18"/>
                <w:szCs w:val="18"/>
              </w:rPr>
            </w:pPr>
            <w:r>
              <w:rPr>
                <w:rFonts w:ascii="宋体" w:hAnsi="宋体" w:cs="宋体" w:eastAsia="宋体" w:hint="default"/>
                <w:spacing w:val="-2"/>
                <w:sz w:val="18"/>
                <w:szCs w:val="18"/>
              </w:rPr>
              <w:t>项目达</w:t>
            </w:r>
            <w:r>
              <w:rPr>
                <w:rFonts w:ascii="宋体" w:hAnsi="宋体" w:cs="宋体" w:eastAsia="宋体" w:hint="default"/>
                <w:w w:val="101"/>
                <w:sz w:val="18"/>
                <w:szCs w:val="18"/>
              </w:rPr>
              <w:t> </w:t>
            </w:r>
            <w:r>
              <w:rPr>
                <w:rFonts w:ascii="宋体" w:hAnsi="宋体" w:cs="宋体" w:eastAsia="宋体" w:hint="default"/>
                <w:spacing w:val="-2"/>
                <w:sz w:val="18"/>
                <w:szCs w:val="18"/>
              </w:rPr>
              <w:t>到预定</w:t>
            </w:r>
            <w:r>
              <w:rPr>
                <w:rFonts w:ascii="宋体" w:hAnsi="宋体" w:cs="宋体" w:eastAsia="宋体" w:hint="default"/>
                <w:w w:val="101"/>
                <w:sz w:val="18"/>
                <w:szCs w:val="18"/>
              </w:rPr>
              <w:t> </w:t>
            </w:r>
            <w:r>
              <w:rPr>
                <w:rFonts w:ascii="宋体" w:hAnsi="宋体" w:cs="宋体" w:eastAsia="宋体" w:hint="default"/>
                <w:spacing w:val="-2"/>
                <w:sz w:val="18"/>
                <w:szCs w:val="18"/>
              </w:rPr>
              <w:t>可使用</w:t>
            </w:r>
            <w:r>
              <w:rPr>
                <w:rFonts w:ascii="宋体" w:hAnsi="宋体" w:cs="宋体" w:eastAsia="宋体" w:hint="default"/>
                <w:w w:val="101"/>
                <w:sz w:val="18"/>
                <w:szCs w:val="18"/>
              </w:rPr>
              <w:t> </w:t>
            </w:r>
            <w:r>
              <w:rPr>
                <w:rFonts w:ascii="宋体" w:hAnsi="宋体" w:cs="宋体" w:eastAsia="宋体" w:hint="default"/>
                <w:spacing w:val="-2"/>
                <w:sz w:val="18"/>
                <w:szCs w:val="18"/>
              </w:rPr>
              <w:t>状态日</w:t>
            </w:r>
            <w:r>
              <w:rPr>
                <w:rFonts w:ascii="宋体" w:hAnsi="宋体" w:cs="宋体" w:eastAsia="宋体" w:hint="default"/>
                <w:w w:val="101"/>
                <w:sz w:val="18"/>
                <w:szCs w:val="18"/>
              </w:rPr>
              <w:t> </w:t>
            </w:r>
            <w:r>
              <w:rPr>
                <w:rFonts w:ascii="宋体" w:hAnsi="宋体" w:cs="宋体" w:eastAsia="宋体" w:hint="default"/>
                <w:sz w:val="18"/>
                <w:szCs w:val="18"/>
              </w:rPr>
              <w:t>期</w:t>
            </w:r>
          </w:p>
        </w:tc>
        <w:tc>
          <w:tcPr>
            <w:tcW w:w="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177" w:right="171"/>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期实现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的效益</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176" w:right="170"/>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达到</w:t>
            </w:r>
            <w:r>
              <w:rPr>
                <w:rFonts w:ascii="宋体" w:hAnsi="宋体" w:cs="宋体" w:eastAsia="宋体" w:hint="default"/>
                <w:spacing w:val="-86"/>
                <w:sz w:val="18"/>
                <w:szCs w:val="18"/>
              </w:rPr>
              <w:t> </w:t>
            </w:r>
            <w:r>
              <w:rPr>
                <w:rFonts w:ascii="宋体" w:hAnsi="宋体" w:cs="宋体" w:eastAsia="宋体" w:hint="default"/>
                <w:sz w:val="18"/>
                <w:szCs w:val="18"/>
              </w:rPr>
              <w:t>预计</w:t>
            </w:r>
            <w:r>
              <w:rPr>
                <w:rFonts w:ascii="宋体" w:hAnsi="宋体" w:cs="宋体" w:eastAsia="宋体" w:hint="default"/>
                <w:spacing w:val="-86"/>
                <w:sz w:val="18"/>
                <w:szCs w:val="18"/>
              </w:rPr>
              <w:t> </w:t>
            </w:r>
            <w:r>
              <w:rPr>
                <w:rFonts w:ascii="宋体" w:hAnsi="宋体" w:cs="宋体" w:eastAsia="宋体" w:hint="default"/>
                <w:sz w:val="18"/>
                <w:szCs w:val="18"/>
              </w:rPr>
              <w:t>效益</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34" w:right="123"/>
              <w:jc w:val="center"/>
              <w:rPr>
                <w:rFonts w:ascii="宋体" w:hAnsi="宋体" w:cs="宋体" w:eastAsia="宋体" w:hint="default"/>
                <w:sz w:val="18"/>
                <w:szCs w:val="18"/>
              </w:rPr>
            </w:pPr>
            <w:r>
              <w:rPr>
                <w:rFonts w:ascii="宋体" w:hAnsi="宋体" w:cs="宋体" w:eastAsia="宋体" w:hint="default"/>
                <w:spacing w:val="-2"/>
                <w:sz w:val="18"/>
                <w:szCs w:val="18"/>
              </w:rPr>
              <w:t>项目可</w:t>
            </w:r>
            <w:r>
              <w:rPr>
                <w:rFonts w:ascii="宋体" w:hAnsi="宋体" w:cs="宋体" w:eastAsia="宋体" w:hint="default"/>
                <w:w w:val="101"/>
                <w:sz w:val="18"/>
                <w:szCs w:val="18"/>
              </w:rPr>
              <w:t> </w:t>
            </w:r>
            <w:r>
              <w:rPr>
                <w:rFonts w:ascii="宋体" w:hAnsi="宋体" w:cs="宋体" w:eastAsia="宋体" w:hint="default"/>
                <w:spacing w:val="-2"/>
                <w:sz w:val="18"/>
                <w:szCs w:val="18"/>
              </w:rPr>
              <w:t>行性是</w:t>
            </w:r>
            <w:r>
              <w:rPr>
                <w:rFonts w:ascii="宋体" w:hAnsi="宋体" w:cs="宋体" w:eastAsia="宋体" w:hint="default"/>
                <w:w w:val="101"/>
                <w:sz w:val="18"/>
                <w:szCs w:val="18"/>
              </w:rPr>
              <w:t> </w:t>
            </w:r>
            <w:r>
              <w:rPr>
                <w:rFonts w:ascii="宋体" w:hAnsi="宋体" w:cs="宋体" w:eastAsia="宋体" w:hint="default"/>
                <w:spacing w:val="-2"/>
                <w:sz w:val="18"/>
                <w:szCs w:val="18"/>
              </w:rPr>
              <w:t>否发生</w:t>
            </w:r>
            <w:r>
              <w:rPr>
                <w:rFonts w:ascii="宋体" w:hAnsi="宋体" w:cs="宋体" w:eastAsia="宋体" w:hint="default"/>
                <w:w w:val="101"/>
                <w:sz w:val="18"/>
                <w:szCs w:val="18"/>
              </w:rPr>
              <w:t> </w:t>
            </w:r>
            <w:r>
              <w:rPr>
                <w:rFonts w:ascii="宋体" w:hAnsi="宋体" w:cs="宋体" w:eastAsia="宋体" w:hint="default"/>
                <w:spacing w:val="-2"/>
                <w:sz w:val="18"/>
                <w:szCs w:val="18"/>
              </w:rPr>
              <w:t>重大变</w:t>
            </w:r>
            <w:r>
              <w:rPr>
                <w:rFonts w:ascii="宋体" w:hAnsi="宋体" w:cs="宋体" w:eastAsia="宋体" w:hint="default"/>
                <w:w w:val="101"/>
                <w:sz w:val="18"/>
                <w:szCs w:val="18"/>
              </w:rPr>
              <w:t> </w:t>
            </w:r>
            <w:r>
              <w:rPr>
                <w:rFonts w:ascii="宋体" w:hAnsi="宋体" w:cs="宋体" w:eastAsia="宋体" w:hint="default"/>
                <w:sz w:val="18"/>
                <w:szCs w:val="18"/>
              </w:rPr>
              <w:t>化</w:t>
            </w:r>
          </w:p>
        </w:tc>
      </w:tr>
      <w:tr>
        <w:trPr>
          <w:trHeight w:val="403" w:hRule="exact"/>
        </w:trPr>
        <w:tc>
          <w:tcPr>
            <w:tcW w:w="1023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100" w:right="2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企业云统一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通信</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34,000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10,696.39</w:t>
            </w:r>
          </w:p>
        </w:tc>
        <w:tc>
          <w:tcPr>
            <w:tcW w:w="92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10,696.39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4" w:right="24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3"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4" w:lineRule="auto"/>
              <w:ind w:left="100" w:right="2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全球华人移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动通信业务</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42,500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4,949.49</w:t>
            </w:r>
          </w:p>
        </w:tc>
        <w:tc>
          <w:tcPr>
            <w:tcW w:w="92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4,949.49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104" w:right="24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340"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8"/>
              <w:ind w:left="100" w:right="195"/>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收购上海奈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盛通信科技有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51%</w:t>
            </w:r>
            <w:r>
              <w:rPr>
                <w:rFonts w:ascii="宋体" w:hAnsi="宋体" w:cs="宋体" w:eastAsia="宋体" w:hint="default"/>
                <w:spacing w:val="-3"/>
                <w:sz w:val="18"/>
                <w:szCs w:val="18"/>
              </w:rPr>
              <w:t>股</w:t>
            </w:r>
            <w:r>
              <w:rPr>
                <w:rFonts w:ascii="宋体" w:hAnsi="宋体" w:cs="宋体" w:eastAsia="宋体" w:hint="default"/>
                <w:spacing w:val="-86"/>
                <w:sz w:val="18"/>
                <w:szCs w:val="18"/>
              </w:rPr>
              <w:t> </w:t>
            </w:r>
            <w:r>
              <w:rPr>
                <w:rFonts w:ascii="宋体" w:hAnsi="宋体" w:cs="宋体" w:eastAsia="宋体" w:hint="default"/>
                <w:sz w:val="18"/>
                <w:szCs w:val="18"/>
              </w:rPr>
              <w:t>权项目</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9,000</w:t>
            </w:r>
          </w:p>
        </w:tc>
        <w:tc>
          <w:tcPr>
            <w:tcW w:w="92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843.27</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652"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53"/>
              <w:ind w:left="100" w:right="39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收购香港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3"/>
                <w:sz w:val="18"/>
                <w:szCs w:val="18"/>
              </w:rPr>
              <w:t>I-ACCESS</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28"/>
                <w:sz w:val="18"/>
                <w:szCs w:val="18"/>
              </w:rPr>
            </w:r>
            <w:r>
              <w:rPr>
                <w:rFonts w:ascii="Times New Roman" w:hAnsi="Times New Roman" w:cs="Times New Roman" w:eastAsia="Times New Roman" w:hint="default"/>
                <w:spacing w:val="-3"/>
                <w:sz w:val="18"/>
                <w:szCs w:val="18"/>
              </w:rPr>
              <w:t>NETWORK</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28"/>
                <w:sz w:val="18"/>
                <w:szCs w:val="18"/>
              </w:rPr>
            </w:r>
            <w:r>
              <w:rPr>
                <w:rFonts w:ascii="Times New Roman" w:hAnsi="Times New Roman" w:cs="Times New Roman" w:eastAsia="Times New Roman" w:hint="default"/>
                <w:spacing w:val="-3"/>
                <w:sz w:val="18"/>
                <w:szCs w:val="18"/>
              </w:rPr>
              <w:t>LIMITED</w:t>
            </w:r>
          </w:p>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股权项目</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31,000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2,710.41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19,760.41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63.74%</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4,306.63</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100" w:right="252"/>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云视频服务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项目</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7,572</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137.88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137.88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1.82%</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-20.74</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335"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SDN-SR</w:t>
            </w:r>
          </w:p>
          <w:p>
            <w:pPr>
              <w:pStyle w:val="TableParagraph"/>
              <w:spacing w:line="319" w:lineRule="auto" w:before="58"/>
              <w:ind w:left="100" w:right="209"/>
              <w:jc w:val="both"/>
              <w:rPr>
                <w:rFonts w:ascii="宋体" w:hAnsi="宋体" w:cs="宋体" w:eastAsia="宋体" w:hint="default"/>
                <w:sz w:val="18"/>
                <w:szCs w:val="18"/>
              </w:rPr>
            </w:pPr>
            <w:r>
              <w:rPr>
                <w:rFonts w:ascii="宋体" w:hAnsi="宋体" w:cs="宋体" w:eastAsia="宋体" w:hint="default"/>
                <w:spacing w:val="-2"/>
                <w:sz w:val="18"/>
                <w:szCs w:val="18"/>
              </w:rPr>
              <w:t>技术的企业全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球数据专网服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务项目</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27"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5,000</w:t>
            </w:r>
          </w:p>
        </w:tc>
        <w:tc>
          <w:tcPr>
            <w:tcW w:w="92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0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104" w:right="242"/>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20"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00" w:right="209"/>
              <w:jc w:val="left"/>
              <w:rPr>
                <w:rFonts w:ascii="宋体" w:hAnsi="宋体" w:cs="宋体" w:eastAsia="宋体" w:hint="default"/>
                <w:sz w:val="18"/>
                <w:szCs w:val="18"/>
              </w:rPr>
            </w:pPr>
            <w:r>
              <w:rPr>
                <w:rFonts w:ascii="宋体" w:hAnsi="宋体" w:cs="宋体" w:eastAsia="宋体" w:hint="default"/>
                <w:spacing w:val="-2"/>
                <w:sz w:val="18"/>
                <w:szCs w:val="18"/>
              </w:rPr>
              <w:t>承诺投资项目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小计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38"/>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76,500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68,217.88</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2,848.29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44,544.17</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5,129.16</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4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1023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0" w:right="209"/>
              <w:jc w:val="left"/>
              <w:rPr>
                <w:rFonts w:ascii="宋体" w:hAnsi="宋体" w:cs="宋体" w:eastAsia="宋体" w:hint="default"/>
                <w:sz w:val="18"/>
                <w:szCs w:val="18"/>
              </w:rPr>
            </w:pPr>
            <w:r>
              <w:rPr>
                <w:rFonts w:ascii="宋体" w:hAnsi="宋体" w:cs="宋体" w:eastAsia="宋体" w:hint="default"/>
                <w:spacing w:val="-2"/>
                <w:sz w:val="18"/>
                <w:szCs w:val="18"/>
              </w:rPr>
              <w:t>超募资金投向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小计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38"/>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4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38"/>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76,500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68,217.88</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2,848.29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44,544.17</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5,129.16</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0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4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14"/>
          <w:footerReference w:type="default" r:id="rId15"/>
          <w:pgSz w:w="11910" w:h="16840"/>
          <w:pgMar w:header="914" w:footer="1022" w:top="1120" w:bottom="1220" w:left="720" w:right="0"/>
          <w:pgNumType w:start="24"/>
        </w:sectPr>
      </w:pPr>
    </w:p>
    <w:p>
      <w:pPr>
        <w:spacing w:line="240" w:lineRule="auto" w:before="3"/>
        <w:rPr>
          <w:rFonts w:ascii="Times New Roman" w:hAnsi="Times New Roman" w:cs="Times New Roman" w:eastAsia="Times New Roman"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1407"/>
        <w:gridCol w:w="8831"/>
      </w:tblGrid>
      <w:tr>
        <w:trPr>
          <w:trHeight w:val="3683"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6" w:lineRule="auto"/>
              <w:ind w:left="100" w:right="209"/>
              <w:jc w:val="both"/>
              <w:rPr>
                <w:rFonts w:ascii="宋体" w:hAnsi="宋体" w:cs="宋体" w:eastAsia="宋体" w:hint="default"/>
                <w:sz w:val="18"/>
                <w:szCs w:val="18"/>
              </w:rPr>
            </w:pPr>
            <w:r>
              <w:rPr>
                <w:rFonts w:ascii="宋体" w:hAnsi="宋体" w:cs="宋体" w:eastAsia="宋体" w:hint="default"/>
                <w:spacing w:val="-2"/>
                <w:sz w:val="18"/>
                <w:szCs w:val="18"/>
              </w:rPr>
              <w:t>未达到计划进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度或预计收益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的情况和原因</w:t>
            </w:r>
          </w:p>
          <w:p>
            <w:pPr>
              <w:pStyle w:val="TableParagraph"/>
              <w:spacing w:line="240" w:lineRule="auto" w:before="23"/>
              <w:ind w:left="100" w:right="0"/>
              <w:jc w:val="both"/>
              <w:rPr>
                <w:rFonts w:ascii="宋体" w:hAnsi="宋体" w:cs="宋体" w:eastAsia="宋体" w:hint="default"/>
                <w:sz w:val="18"/>
                <w:szCs w:val="18"/>
              </w:rPr>
            </w:pPr>
            <w:r>
              <w:rPr>
                <w:rFonts w:ascii="宋体" w:hAnsi="宋体" w:cs="宋体" w:eastAsia="宋体" w:hint="default"/>
                <w:sz w:val="18"/>
                <w:szCs w:val="18"/>
              </w:rPr>
              <w:t>（分具体项目）</w:t>
            </w:r>
          </w:p>
        </w:tc>
        <w:tc>
          <w:tcPr>
            <w:tcW w:w="883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、收购上海奈盛通信科技有限公司</w:t>
            </w:r>
            <w:r>
              <w:rPr>
                <w:rFonts w:ascii="宋体" w:hAnsi="宋体" w:cs="宋体" w:eastAsia="宋体" w:hint="default"/>
                <w:spacing w:val="8"/>
                <w:sz w:val="18"/>
                <w:szCs w:val="18"/>
              </w:rPr>
              <w:t> </w:t>
            </w:r>
            <w:r>
              <w:rPr>
                <w:rFonts w:ascii="Times New Roman" w:hAnsi="Times New Roman" w:cs="Times New Roman" w:eastAsia="Times New Roman" w:hint="default"/>
                <w:spacing w:val="-6"/>
                <w:sz w:val="18"/>
                <w:szCs w:val="18"/>
              </w:rPr>
              <w:t>51%</w:t>
            </w:r>
            <w:r>
              <w:rPr>
                <w:rFonts w:ascii="宋体" w:hAnsi="宋体" w:cs="宋体" w:eastAsia="宋体" w:hint="default"/>
                <w:spacing w:val="-6"/>
                <w:sz w:val="18"/>
                <w:szCs w:val="18"/>
              </w:rPr>
              <w:t>股权项目：截至</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12"/>
                <w:sz w:val="18"/>
                <w:szCs w:val="18"/>
              </w:rPr>
              <w:t> </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日，累计投资损失为</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1,400.91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w:t>
            </w:r>
            <w:r>
              <w:rPr>
                <w:rFonts w:ascii="宋体" w:hAnsi="宋体" w:cs="宋体" w:eastAsia="宋体" w:hint="default"/>
                <w:spacing w:val="-87"/>
                <w:sz w:val="18"/>
                <w:szCs w:val="18"/>
              </w:rPr>
              <w:t> </w:t>
            </w:r>
            <w:r>
              <w:rPr>
                <w:rFonts w:ascii="宋体" w:hAnsi="宋体" w:cs="宋体" w:eastAsia="宋体" w:hint="default"/>
                <w:spacing w:val="-3"/>
                <w:sz w:val="18"/>
                <w:szCs w:val="18"/>
              </w:rPr>
              <w:t>元，项目效益较预期差的原因如下：</w:t>
            </w:r>
          </w:p>
          <w:p>
            <w:pPr>
              <w:pStyle w:val="TableParagraph"/>
              <w:spacing w:line="302" w:lineRule="auto" w:before="70"/>
              <w:ind w:left="105" w:right="94"/>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由于行业主管部门对于申请主体中有外资成分的情况审核较为严苛，原计划</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年底获得</w:t>
            </w:r>
            <w:r>
              <w:rPr>
                <w:rFonts w:ascii="宋体" w:hAnsi="宋体" w:cs="宋体" w:eastAsia="宋体" w:hint="default"/>
                <w:spacing w:val="22"/>
                <w:sz w:val="18"/>
                <w:szCs w:val="18"/>
              </w:rPr>
              <w:t> </w:t>
            </w:r>
            <w:r>
              <w:rPr>
                <w:rFonts w:ascii="Times New Roman" w:hAnsi="Times New Roman" w:cs="Times New Roman" w:eastAsia="Times New Roman" w:hint="default"/>
                <w:spacing w:val="-4"/>
                <w:sz w:val="18"/>
                <w:szCs w:val="18"/>
              </w:rPr>
              <w:t>IDC</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牌照的设</w:t>
            </w:r>
            <w:r>
              <w:rPr>
                <w:rFonts w:ascii="宋体" w:hAnsi="宋体" w:cs="宋体" w:eastAsia="宋体" w:hint="default"/>
                <w:spacing w:val="-84"/>
                <w:sz w:val="18"/>
                <w:szCs w:val="18"/>
              </w:rPr>
              <w:t> </w:t>
            </w:r>
            <w:r>
              <w:rPr>
                <w:rFonts w:ascii="宋体" w:hAnsi="宋体" w:cs="宋体" w:eastAsia="宋体" w:hint="default"/>
                <w:spacing w:val="-5"/>
                <w:sz w:val="18"/>
                <w:szCs w:val="18"/>
              </w:rPr>
              <w:t>想未能实现。直至</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pacing w:val="-4"/>
                <w:sz w:val="18"/>
                <w:szCs w:val="18"/>
              </w:rPr>
              <w:t>月下旬，上海奈盛公司才获得</w:t>
            </w:r>
            <w:r>
              <w:rPr>
                <w:rFonts w:ascii="宋体" w:hAnsi="宋体" w:cs="宋体" w:eastAsia="宋体" w:hint="default"/>
                <w:spacing w:val="21"/>
                <w:sz w:val="18"/>
                <w:szCs w:val="18"/>
              </w:rPr>
              <w:t> </w:t>
            </w:r>
            <w:r>
              <w:rPr>
                <w:rFonts w:ascii="Times New Roman" w:hAnsi="Times New Roman" w:cs="Times New Roman" w:eastAsia="Times New Roman" w:hint="default"/>
                <w:spacing w:val="-4"/>
                <w:sz w:val="18"/>
                <w:szCs w:val="18"/>
              </w:rPr>
              <w:t>IDC</w:t>
            </w:r>
            <w:r>
              <w:rPr>
                <w:rFonts w:ascii="Times New Roman" w:hAnsi="Times New Roman" w:cs="Times New Roman" w:eastAsia="Times New Roman" w:hint="default"/>
                <w:spacing w:val="22"/>
                <w:sz w:val="18"/>
                <w:szCs w:val="18"/>
              </w:rPr>
              <w:t> </w:t>
            </w:r>
            <w:r>
              <w:rPr>
                <w:rFonts w:ascii="宋体" w:hAnsi="宋体" w:cs="宋体" w:eastAsia="宋体" w:hint="default"/>
                <w:spacing w:val="-5"/>
                <w:sz w:val="18"/>
                <w:szCs w:val="18"/>
              </w:rPr>
              <w:t>牌照，比预计迟延了半年的时间，造成上海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奈盛公司正式开展业务时间的延后，使得投资效益未达到预期。</w:t>
            </w:r>
          </w:p>
          <w:p>
            <w:pPr>
              <w:pStyle w:val="TableParagraph"/>
              <w:spacing w:line="304" w:lineRule="auto" w:before="63"/>
              <w:ind w:left="105" w:right="229"/>
              <w:jc w:val="left"/>
              <w:rPr>
                <w:rFonts w:ascii="宋体" w:hAnsi="宋体" w:cs="宋体" w:eastAsia="宋体" w:hint="default"/>
                <w:sz w:val="18"/>
                <w:szCs w:val="18"/>
              </w:rPr>
            </w:pPr>
            <w:r>
              <w:rPr>
                <w:rFonts w:ascii="Times New Roman" w:hAnsi="Times New Roman" w:cs="Times New Roman" w:eastAsia="Times New Roman" w:hint="default"/>
                <w:sz w:val="18"/>
                <w:szCs w:val="18"/>
              </w:rPr>
              <w:t>(2)IDC</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业务特点决定了其固定成本高占比的成本构成，且公司</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业务定位于向高端跨国企业客户提供服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务，因此存在签约及入驻周期较长的特点。</w:t>
            </w:r>
          </w:p>
          <w:p>
            <w:pPr>
              <w:pStyle w:val="TableParagraph"/>
              <w:spacing w:line="312" w:lineRule="auto" w:before="61"/>
              <w:ind w:left="105"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、云视频服务项目：截至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日，累计确认投资损失为人民币</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20.74</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万元，项目效益较预期差的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原因是：由于参与项目的人员较计划增加，因此按人数分摊的房租及水电费用增加，使得项目投资支出高于原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效益预测。</w:t>
            </w:r>
          </w:p>
        </w:tc>
      </w:tr>
      <w:tr>
        <w:trPr>
          <w:trHeight w:val="1028"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0" w:right="209"/>
              <w:jc w:val="both"/>
              <w:rPr>
                <w:rFonts w:ascii="宋体" w:hAnsi="宋体" w:cs="宋体" w:eastAsia="宋体" w:hint="default"/>
                <w:sz w:val="18"/>
                <w:szCs w:val="18"/>
              </w:rPr>
            </w:pPr>
            <w:r>
              <w:rPr>
                <w:rFonts w:ascii="宋体" w:hAnsi="宋体" w:cs="宋体" w:eastAsia="宋体" w:hint="default"/>
                <w:spacing w:val="-2"/>
                <w:sz w:val="18"/>
                <w:szCs w:val="18"/>
              </w:rPr>
              <w:t>项目可行性发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生重大变化的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情况说明</w:t>
            </w:r>
          </w:p>
        </w:tc>
        <w:tc>
          <w:tcPr>
            <w:tcW w:w="8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0" w:right="94"/>
              <w:jc w:val="left"/>
              <w:rPr>
                <w:rFonts w:ascii="宋体" w:hAnsi="宋体" w:cs="宋体" w:eastAsia="宋体" w:hint="default"/>
                <w:sz w:val="18"/>
                <w:szCs w:val="18"/>
              </w:rPr>
            </w:pPr>
            <w:r>
              <w:rPr>
                <w:rFonts w:ascii="宋体" w:hAnsi="宋体" w:cs="宋体" w:eastAsia="宋体" w:hint="default"/>
                <w:sz w:val="18"/>
                <w:szCs w:val="18"/>
              </w:rPr>
              <w:t>超募资金的金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额、用途及使用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进展情况</w:t>
            </w:r>
          </w:p>
        </w:tc>
        <w:tc>
          <w:tcPr>
            <w:tcW w:w="8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9" w:hRule="exact"/>
        </w:trPr>
        <w:tc>
          <w:tcPr>
            <w:tcW w:w="14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100" w:right="209"/>
              <w:jc w:val="both"/>
              <w:rPr>
                <w:rFonts w:ascii="宋体" w:hAnsi="宋体" w:cs="宋体" w:eastAsia="宋体" w:hint="default"/>
                <w:sz w:val="18"/>
                <w:szCs w:val="18"/>
              </w:rPr>
            </w:pPr>
            <w:r>
              <w:rPr>
                <w:rFonts w:ascii="宋体" w:hAnsi="宋体" w:cs="宋体" w:eastAsia="宋体" w:hint="default"/>
                <w:spacing w:val="-2"/>
                <w:sz w:val="18"/>
                <w:szCs w:val="18"/>
              </w:rPr>
              <w:t>募集资金投资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项目实施地点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变更情况</w:t>
            </w:r>
          </w:p>
        </w:tc>
        <w:tc>
          <w:tcPr>
            <w:tcW w:w="8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407" w:type="dxa"/>
            <w:vMerge/>
            <w:tcBorders>
              <w:left w:val="single" w:sz="4" w:space="0" w:color="000000"/>
              <w:right w:val="single" w:sz="4" w:space="0" w:color="000000"/>
            </w:tcBorders>
            <w:shd w:val="clear" w:color="auto" w:fill="D2D2D2"/>
          </w:tcPr>
          <w:p>
            <w:pPr/>
          </w:p>
        </w:tc>
        <w:tc>
          <w:tcPr>
            <w:tcW w:w="8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715" w:hRule="exact"/>
        </w:trPr>
        <w:tc>
          <w:tcPr>
            <w:tcW w:w="1407" w:type="dxa"/>
            <w:vMerge/>
            <w:tcBorders>
              <w:left w:val="single" w:sz="4" w:space="0" w:color="000000"/>
              <w:bottom w:val="single" w:sz="4" w:space="0" w:color="000000"/>
              <w:right w:val="single" w:sz="4" w:space="0" w:color="000000"/>
            </w:tcBorders>
            <w:shd w:val="clear" w:color="auto" w:fill="D2D2D2"/>
          </w:tcPr>
          <w:p>
            <w:pPr/>
          </w:p>
        </w:tc>
        <w:tc>
          <w:tcPr>
            <w:tcW w:w="883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158"/>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20"/>
                <w:sz w:val="18"/>
                <w:szCs w:val="18"/>
              </w:rPr>
              <w:t> </w:t>
            </w:r>
            <w:r>
              <w:rPr>
                <w:rFonts w:ascii="Times New Roman" w:hAnsi="Times New Roman" w:cs="Times New Roman" w:eastAsia="Times New Roman" w:hint="default"/>
                <w:spacing w:val="-3"/>
                <w:sz w:val="18"/>
                <w:szCs w:val="18"/>
              </w:rPr>
              <w:t>18</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日，本公司发布了关于公司募集资金投资项目增加实施主体的公告，将上海二六三通信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有限公司增加为企业云统一通信项目的实施主体，因此增加了上海为募集资金投资项目实施地点。</w:t>
            </w:r>
          </w:p>
        </w:tc>
      </w:tr>
      <w:tr>
        <w:trPr>
          <w:trHeight w:val="1157"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16"/>
              <w:ind w:left="100" w:right="209"/>
              <w:jc w:val="both"/>
              <w:rPr>
                <w:rFonts w:ascii="宋体" w:hAnsi="宋体" w:cs="宋体" w:eastAsia="宋体" w:hint="default"/>
                <w:sz w:val="18"/>
                <w:szCs w:val="18"/>
              </w:rPr>
            </w:pPr>
            <w:r>
              <w:rPr>
                <w:rFonts w:ascii="宋体" w:hAnsi="宋体" w:cs="宋体" w:eastAsia="宋体" w:hint="default"/>
                <w:spacing w:val="-2"/>
                <w:sz w:val="18"/>
                <w:szCs w:val="18"/>
              </w:rPr>
              <w:t>募集资金投资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项目实施方式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调整情况</w:t>
            </w:r>
          </w:p>
        </w:tc>
        <w:tc>
          <w:tcPr>
            <w:tcW w:w="8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8" w:hRule="exact"/>
        </w:trPr>
        <w:tc>
          <w:tcPr>
            <w:tcW w:w="14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0" w:right="209"/>
              <w:jc w:val="both"/>
              <w:rPr>
                <w:rFonts w:ascii="宋体" w:hAnsi="宋体" w:cs="宋体" w:eastAsia="宋体" w:hint="default"/>
                <w:sz w:val="18"/>
                <w:szCs w:val="18"/>
              </w:rPr>
            </w:pPr>
            <w:r>
              <w:rPr>
                <w:rFonts w:ascii="宋体" w:hAnsi="宋体" w:cs="宋体" w:eastAsia="宋体" w:hint="default"/>
                <w:spacing w:val="-2"/>
                <w:sz w:val="18"/>
                <w:szCs w:val="18"/>
              </w:rPr>
              <w:t>募集资金投资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项目先期投入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及置换情况</w:t>
            </w:r>
          </w:p>
        </w:tc>
        <w:tc>
          <w:tcPr>
            <w:tcW w:w="8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8" w:hRule="exact"/>
        </w:trPr>
        <w:tc>
          <w:tcPr>
            <w:tcW w:w="1407" w:type="dxa"/>
            <w:vMerge/>
            <w:tcBorders>
              <w:left w:val="single" w:sz="4" w:space="0" w:color="000000"/>
              <w:bottom w:val="single" w:sz="4" w:space="0" w:color="000000"/>
              <w:right w:val="single" w:sz="4" w:space="0" w:color="000000"/>
            </w:tcBorders>
            <w:shd w:val="clear" w:color="auto" w:fill="D2D2D2"/>
          </w:tcPr>
          <w:p>
            <w:pPr/>
          </w:p>
        </w:tc>
        <w:tc>
          <w:tcPr>
            <w:tcW w:w="883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105" w:right="100"/>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16"/>
                <w:sz w:val="18"/>
                <w:szCs w:val="18"/>
              </w:rPr>
              <w:t> </w:t>
            </w:r>
            <w:r>
              <w:rPr>
                <w:rFonts w:ascii="Times New Roman" w:hAnsi="Times New Roman" w:cs="Times New Roman" w:eastAsia="Times New Roman" w:hint="default"/>
                <w:spacing w:val="-3"/>
                <w:sz w:val="18"/>
                <w:szCs w:val="18"/>
              </w:rPr>
              <w:t>19</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日第四届董事会第二十九次会议决议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公告编号：</w:t>
            </w:r>
            <w:r>
              <w:rPr>
                <w:rFonts w:ascii="Times New Roman" w:hAnsi="Times New Roman" w:cs="Times New Roman" w:eastAsia="Times New Roman" w:hint="default"/>
                <w:spacing w:val="-3"/>
                <w:sz w:val="18"/>
                <w:szCs w:val="18"/>
              </w:rPr>
              <w:t>2015-022)</w:t>
            </w:r>
            <w:r>
              <w:rPr>
                <w:rFonts w:ascii="宋体" w:hAnsi="宋体" w:cs="宋体" w:eastAsia="宋体" w:hint="default"/>
                <w:spacing w:val="-3"/>
                <w:sz w:val="18"/>
                <w:szCs w:val="18"/>
              </w:rPr>
              <w:t>：在非公开发行</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股股</w:t>
            </w:r>
            <w:r>
              <w:rPr>
                <w:rFonts w:ascii="宋体" w:hAnsi="宋体" w:cs="宋体" w:eastAsia="宋体" w:hint="default"/>
                <w:spacing w:val="-82"/>
                <w:sz w:val="18"/>
                <w:szCs w:val="18"/>
              </w:rPr>
              <w:t> </w:t>
            </w:r>
            <w:r>
              <w:rPr>
                <w:rFonts w:ascii="宋体" w:hAnsi="宋体" w:cs="宋体" w:eastAsia="宋体" w:hint="default"/>
                <w:spacing w:val="-4"/>
                <w:sz w:val="18"/>
                <w:szCs w:val="18"/>
              </w:rPr>
              <w:t>票募集资金到位前，公司将根据项目进度的实际需要以自筹资金先行投入，并在募集资金到位之后按照相关法</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规规定的程序予以置换。其中：（</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01  </w:t>
            </w:r>
            <w:r>
              <w:rPr>
                <w:rFonts w:ascii="宋体" w:hAnsi="宋体" w:cs="宋体" w:eastAsia="宋体" w:hint="default"/>
                <w:sz w:val="18"/>
                <w:szCs w:val="18"/>
              </w:rPr>
              <w:t>月 </w:t>
            </w:r>
            <w:r>
              <w:rPr>
                <w:rFonts w:ascii="Times New Roman" w:hAnsi="Times New Roman" w:cs="Times New Roman" w:eastAsia="Times New Roman" w:hint="default"/>
                <w:spacing w:val="-3"/>
                <w:sz w:val="18"/>
                <w:szCs w:val="18"/>
              </w:rPr>
              <w:t>31    </w:t>
            </w:r>
            <w:r>
              <w:rPr>
                <w:rFonts w:ascii="宋体" w:hAnsi="宋体" w:cs="宋体" w:eastAsia="宋体" w:hint="default"/>
                <w:spacing w:val="-3"/>
                <w:sz w:val="18"/>
                <w:szCs w:val="18"/>
              </w:rPr>
              <w:t>日，全球华人移动通信业务以自有资金先行投</w:t>
            </w:r>
          </w:p>
          <w:p>
            <w:pPr>
              <w:pStyle w:val="TableParagraph"/>
              <w:spacing w:line="240" w:lineRule="auto" w:before="5"/>
              <w:ind w:left="105" w:right="0"/>
              <w:jc w:val="both"/>
              <w:rPr>
                <w:rFonts w:ascii="宋体" w:hAnsi="宋体" w:cs="宋体" w:eastAsia="宋体" w:hint="default"/>
                <w:sz w:val="18"/>
                <w:szCs w:val="18"/>
              </w:rPr>
            </w:pPr>
            <w:r>
              <w:rPr>
                <w:rFonts w:ascii="宋体" w:hAnsi="宋体" w:cs="宋体" w:eastAsia="宋体" w:hint="default"/>
                <w:sz w:val="18"/>
                <w:szCs w:val="18"/>
              </w:rPr>
              <w:t>入的金额为人民币 </w:t>
            </w:r>
            <w:r>
              <w:rPr>
                <w:rFonts w:ascii="Times New Roman" w:hAnsi="Times New Roman" w:cs="Times New Roman" w:eastAsia="Times New Roman" w:hint="default"/>
                <w:sz w:val="18"/>
                <w:szCs w:val="18"/>
              </w:rPr>
              <w:t>1,021.44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）截至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01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32"/>
                <w:sz w:val="18"/>
                <w:szCs w:val="18"/>
              </w:rPr>
              <w:t> </w:t>
            </w:r>
            <w:r>
              <w:rPr>
                <w:rFonts w:ascii="宋体" w:hAnsi="宋体" w:cs="宋体" w:eastAsia="宋体" w:hint="default"/>
                <w:spacing w:val="-3"/>
                <w:sz w:val="18"/>
                <w:szCs w:val="18"/>
              </w:rPr>
              <w:t>日，企业云统一通信以自有资金先行投入的</w:t>
            </w:r>
          </w:p>
          <w:p>
            <w:pPr>
              <w:pStyle w:val="TableParagraph"/>
              <w:spacing w:line="240" w:lineRule="auto" w:before="63"/>
              <w:ind w:left="105" w:right="0"/>
              <w:jc w:val="both"/>
              <w:rPr>
                <w:rFonts w:ascii="宋体" w:hAnsi="宋体" w:cs="宋体" w:eastAsia="宋体" w:hint="default"/>
                <w:sz w:val="18"/>
                <w:szCs w:val="18"/>
              </w:rPr>
            </w:pPr>
            <w:r>
              <w:rPr>
                <w:rFonts w:ascii="宋体" w:hAnsi="宋体" w:cs="宋体" w:eastAsia="宋体" w:hint="default"/>
                <w:sz w:val="18"/>
                <w:szCs w:val="18"/>
              </w:rPr>
              <w:t>金额为人民币 </w:t>
            </w:r>
            <w:r>
              <w:rPr>
                <w:rFonts w:ascii="Times New Roman" w:hAnsi="Times New Roman" w:cs="Times New Roman" w:eastAsia="Times New Roman" w:hint="default"/>
                <w:sz w:val="18"/>
                <w:szCs w:val="18"/>
              </w:rPr>
              <w:t>2,238.47  </w:t>
            </w:r>
            <w:r>
              <w:rPr>
                <w:rFonts w:ascii="宋体" w:hAnsi="宋体" w:cs="宋体" w:eastAsia="宋体" w:hint="default"/>
                <w:spacing w:val="-5"/>
                <w:sz w:val="18"/>
                <w:szCs w:val="18"/>
              </w:rPr>
              <w:t>万元；经公司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pacing w:val="-3"/>
                <w:sz w:val="18"/>
                <w:szCs w:val="18"/>
              </w:rPr>
              <w:t>29   </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日第五届董事会第二十次会议批准，上述项目投入的</w:t>
            </w:r>
          </w:p>
          <w:p>
            <w:pPr>
              <w:pStyle w:val="TableParagraph"/>
              <w:spacing w:line="302" w:lineRule="auto" w:before="63"/>
              <w:ind w:left="105" w:right="99"/>
              <w:jc w:val="both"/>
              <w:rPr>
                <w:rFonts w:ascii="宋体" w:hAnsi="宋体" w:cs="宋体" w:eastAsia="宋体" w:hint="default"/>
                <w:sz w:val="18"/>
                <w:szCs w:val="18"/>
              </w:rPr>
            </w:pPr>
            <w:r>
              <w:rPr>
                <w:rFonts w:ascii="宋体" w:hAnsi="宋体" w:cs="宋体" w:eastAsia="宋体" w:hint="default"/>
                <w:spacing w:val="-5"/>
                <w:sz w:val="18"/>
                <w:szCs w:val="18"/>
              </w:rPr>
              <w:t>自有资金用募集资金予以置换；该事项已经大华会计师事务所</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特殊普通合伙</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于</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日出具的大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华核字</w:t>
            </w:r>
            <w:r>
              <w:rPr>
                <w:rFonts w:ascii="Times New Roman" w:hAnsi="Times New Roman" w:cs="Times New Roman" w:eastAsia="Times New Roman" w:hint="default"/>
                <w:sz w:val="18"/>
                <w:szCs w:val="18"/>
              </w:rPr>
              <w:t>[2016]001271 </w:t>
            </w:r>
            <w:r>
              <w:rPr>
                <w:rFonts w:ascii="宋体" w:hAnsi="宋体" w:cs="宋体" w:eastAsia="宋体" w:hint="default"/>
                <w:spacing w:val="-5"/>
                <w:sz w:val="18"/>
                <w:szCs w:val="18"/>
              </w:rPr>
              <w:t>号《二六三网络通信股份有限公司以自筹资金先投入募集资金投资项目的鉴证报告》予以</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鉴证。</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日，上述累计支出已经置换入自有资金账户。</w:t>
            </w:r>
          </w:p>
        </w:tc>
      </w:tr>
      <w:tr>
        <w:trPr>
          <w:trHeight w:val="1027"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0" w:right="209"/>
              <w:jc w:val="both"/>
              <w:rPr>
                <w:rFonts w:ascii="宋体" w:hAnsi="宋体" w:cs="宋体" w:eastAsia="宋体" w:hint="default"/>
                <w:sz w:val="18"/>
                <w:szCs w:val="18"/>
              </w:rPr>
            </w:pPr>
            <w:r>
              <w:rPr>
                <w:rFonts w:ascii="宋体" w:hAnsi="宋体" w:cs="宋体" w:eastAsia="宋体" w:hint="default"/>
                <w:spacing w:val="-2"/>
                <w:sz w:val="18"/>
                <w:szCs w:val="18"/>
              </w:rPr>
              <w:t>用闲置募集资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金暂时补充流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动资金情况</w:t>
            </w:r>
          </w:p>
        </w:tc>
        <w:tc>
          <w:tcPr>
            <w:tcW w:w="8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8"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0" w:right="209"/>
              <w:jc w:val="both"/>
              <w:rPr>
                <w:rFonts w:ascii="宋体" w:hAnsi="宋体" w:cs="宋体" w:eastAsia="宋体" w:hint="default"/>
                <w:sz w:val="18"/>
                <w:szCs w:val="18"/>
              </w:rPr>
            </w:pPr>
            <w:r>
              <w:rPr>
                <w:rFonts w:ascii="宋体" w:hAnsi="宋体" w:cs="宋体" w:eastAsia="宋体" w:hint="default"/>
                <w:spacing w:val="-2"/>
                <w:sz w:val="18"/>
                <w:szCs w:val="18"/>
              </w:rPr>
              <w:t>项目实施出现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募集资金结余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的金额及原因</w:t>
            </w:r>
          </w:p>
        </w:tc>
        <w:tc>
          <w:tcPr>
            <w:tcW w:w="8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14" w:footer="1022" w:top="1120" w:bottom="1220" w:left="72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1407"/>
        <w:gridCol w:w="8831"/>
      </w:tblGrid>
      <w:tr>
        <w:trPr>
          <w:trHeight w:val="4778"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9" w:lineRule="auto"/>
              <w:ind w:left="100" w:right="209"/>
              <w:jc w:val="both"/>
              <w:rPr>
                <w:rFonts w:ascii="宋体" w:hAnsi="宋体" w:cs="宋体" w:eastAsia="宋体" w:hint="default"/>
                <w:sz w:val="18"/>
                <w:szCs w:val="18"/>
              </w:rPr>
            </w:pPr>
            <w:r>
              <w:rPr>
                <w:rFonts w:ascii="宋体" w:hAnsi="宋体" w:cs="宋体" w:eastAsia="宋体" w:hint="default"/>
                <w:spacing w:val="-2"/>
                <w:sz w:val="18"/>
                <w:szCs w:val="18"/>
              </w:rPr>
              <w:t>尚未使用的募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集资金用途及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去向</w:t>
            </w:r>
          </w:p>
        </w:tc>
        <w:tc>
          <w:tcPr>
            <w:tcW w:w="8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尚未使用的募集资金主要用于以下用途：</w:t>
            </w:r>
          </w:p>
          <w:p>
            <w:pPr>
              <w:pStyle w:val="TableParagraph"/>
              <w:spacing w:line="240" w:lineRule="auto" w:before="119"/>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）人民币 </w:t>
            </w:r>
            <w:r>
              <w:rPr>
                <w:rFonts w:ascii="Times New Roman" w:hAnsi="Times New Roman" w:cs="Times New Roman" w:eastAsia="Times New Roman" w:hint="default"/>
                <w:sz w:val="18"/>
                <w:szCs w:val="18"/>
              </w:rPr>
              <w:t>37,550.00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万元用于购买结构性存款，具体包括：</w:t>
            </w:r>
          </w:p>
          <w:p>
            <w:pPr>
              <w:pStyle w:val="TableParagraph"/>
              <w:spacing w:line="240" w:lineRule="auto" w:before="96"/>
              <w:ind w:left="47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18 </w:t>
            </w:r>
            <w:r>
              <w:rPr>
                <w:rFonts w:ascii="宋体" w:hAnsi="宋体" w:cs="宋体" w:eastAsia="宋体" w:hint="default"/>
                <w:spacing w:val="-3"/>
                <w:sz w:val="18"/>
                <w:szCs w:val="18"/>
              </w:rPr>
              <w:t>日，公司使用闲置募集资金向上海浦东发展银行股份有限公司认购共计人民币</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10,000.00</w:t>
            </w:r>
          </w:p>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万元的结构性存款，预期收益率为</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3.85%</w:t>
            </w:r>
            <w:r>
              <w:rPr>
                <w:rFonts w:ascii="宋体" w:hAnsi="宋体" w:cs="宋体" w:eastAsia="宋体" w:hint="default"/>
                <w:spacing w:val="-3"/>
                <w:sz w:val="18"/>
                <w:szCs w:val="18"/>
              </w:rPr>
              <w:t>，到期日为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p>
            <w:pPr>
              <w:pStyle w:val="TableParagraph"/>
              <w:spacing w:line="240" w:lineRule="auto" w:before="96"/>
              <w:ind w:left="470" w:right="0"/>
              <w:jc w:val="left"/>
              <w:rPr>
                <w:rFonts w:ascii="宋体" w:hAnsi="宋体" w:cs="宋体" w:eastAsia="宋体" w:hint="default"/>
                <w:sz w:val="18"/>
                <w:szCs w:val="18"/>
              </w:rPr>
            </w:pP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spacing w:val="-73"/>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闲</w:t>
            </w:r>
            <w:r>
              <w:rPr>
                <w:rFonts w:ascii="宋体" w:hAnsi="宋体" w:cs="宋体" w:eastAsia="宋体" w:hint="default"/>
                <w:spacing w:val="-5"/>
                <w:w w:val="101"/>
                <w:sz w:val="18"/>
                <w:szCs w:val="18"/>
              </w:rPr>
              <w:t>置</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向</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民</w:t>
            </w:r>
            <w:r>
              <w:rPr>
                <w:rFonts w:ascii="宋体" w:hAnsi="宋体" w:cs="宋体" w:eastAsia="宋体" w:hint="default"/>
                <w:w w:val="101"/>
                <w:sz w:val="18"/>
                <w:szCs w:val="18"/>
              </w:rPr>
              <w:t>生</w:t>
            </w:r>
            <w:r>
              <w:rPr>
                <w:rFonts w:ascii="宋体" w:hAnsi="宋体" w:cs="宋体" w:eastAsia="宋体" w:hint="default"/>
                <w:spacing w:val="-5"/>
                <w:w w:val="101"/>
                <w:sz w:val="18"/>
                <w:szCs w:val="18"/>
              </w:rPr>
              <w:t>银</w:t>
            </w:r>
            <w:r>
              <w:rPr>
                <w:rFonts w:ascii="宋体" w:hAnsi="宋体" w:cs="宋体" w:eastAsia="宋体" w:hint="default"/>
                <w:w w:val="101"/>
                <w:sz w:val="18"/>
                <w:szCs w:val="18"/>
              </w:rPr>
              <w:t>行</w:t>
            </w:r>
            <w:r>
              <w:rPr>
                <w:rFonts w:ascii="宋体" w:hAnsi="宋体" w:cs="宋体" w:eastAsia="宋体" w:hint="default"/>
                <w:spacing w:val="-5"/>
                <w:w w:val="101"/>
                <w:sz w:val="18"/>
                <w:szCs w:val="18"/>
              </w:rPr>
              <w:t>股</w:t>
            </w:r>
            <w:r>
              <w:rPr>
                <w:rFonts w:ascii="宋体" w:hAnsi="宋体" w:cs="宋体" w:eastAsia="宋体" w:hint="default"/>
                <w:w w:val="101"/>
                <w:sz w:val="18"/>
                <w:szCs w:val="18"/>
              </w:rPr>
              <w:t>份</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认</w:t>
            </w:r>
            <w:r>
              <w:rPr>
                <w:rFonts w:ascii="宋体" w:hAnsi="宋体" w:cs="宋体" w:eastAsia="宋体" w:hint="default"/>
                <w:w w:val="101"/>
                <w:sz w:val="18"/>
                <w:szCs w:val="18"/>
              </w:rPr>
              <w:t>购</w:t>
            </w:r>
            <w:r>
              <w:rPr>
                <w:rFonts w:ascii="宋体" w:hAnsi="宋体" w:cs="宋体" w:eastAsia="宋体" w:hint="default"/>
                <w:spacing w:val="-5"/>
                <w:w w:val="101"/>
                <w:sz w:val="18"/>
                <w:szCs w:val="18"/>
              </w:rPr>
              <w:t>共</w:t>
            </w:r>
            <w:r>
              <w:rPr>
                <w:rFonts w:ascii="宋体" w:hAnsi="宋体" w:cs="宋体" w:eastAsia="宋体" w:hint="default"/>
                <w:w w:val="101"/>
                <w:sz w:val="18"/>
                <w:szCs w:val="18"/>
              </w:rPr>
              <w:t>计</w:t>
            </w:r>
            <w:r>
              <w:rPr>
                <w:rFonts w:ascii="宋体" w:hAnsi="宋体" w:cs="宋体" w:eastAsia="宋体" w:hint="default"/>
                <w:spacing w:val="-5"/>
                <w:w w:val="101"/>
                <w:sz w:val="18"/>
                <w:szCs w:val="18"/>
              </w:rPr>
              <w:t>人</w:t>
            </w:r>
            <w:r>
              <w:rPr>
                <w:rFonts w:ascii="宋体" w:hAnsi="宋体" w:cs="宋体" w:eastAsia="宋体" w:hint="default"/>
                <w:w w:val="101"/>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05</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w w:val="101"/>
                <w:sz w:val="18"/>
                <w:szCs w:val="18"/>
              </w:rPr>
              <w:t>的</w:t>
            </w:r>
            <w:r>
              <w:rPr>
                <w:rFonts w:ascii="宋体" w:hAnsi="宋体" w:cs="宋体" w:eastAsia="宋体"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pacing w:val="-3"/>
                <w:sz w:val="18"/>
                <w:szCs w:val="18"/>
              </w:rPr>
              <w:t>结构性存款，预期收益率为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3.80%</w:t>
            </w:r>
            <w:r>
              <w:rPr>
                <w:rFonts w:ascii="宋体" w:hAnsi="宋体" w:cs="宋体" w:eastAsia="宋体" w:hint="default"/>
                <w:sz w:val="18"/>
                <w:szCs w:val="18"/>
              </w:rPr>
              <w:t>，到期日为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p>
            <w:pPr>
              <w:pStyle w:val="TableParagraph"/>
              <w:spacing w:line="240" w:lineRule="auto" w:before="101"/>
              <w:ind w:left="470" w:right="0"/>
              <w:jc w:val="left"/>
              <w:rPr>
                <w:rFonts w:ascii="宋体" w:hAnsi="宋体" w:cs="宋体" w:eastAsia="宋体" w:hint="default"/>
                <w:sz w:val="18"/>
                <w:szCs w:val="18"/>
              </w:rPr>
            </w:pP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spacing w:val="-73"/>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闲</w:t>
            </w:r>
            <w:r>
              <w:rPr>
                <w:rFonts w:ascii="宋体" w:hAnsi="宋体" w:cs="宋体" w:eastAsia="宋体" w:hint="default"/>
                <w:spacing w:val="-5"/>
                <w:w w:val="101"/>
                <w:sz w:val="18"/>
                <w:szCs w:val="18"/>
              </w:rPr>
              <w:t>置</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向</w:t>
            </w:r>
            <w:r>
              <w:rPr>
                <w:rFonts w:ascii="宋体" w:hAnsi="宋体" w:cs="宋体" w:eastAsia="宋体" w:hint="default"/>
                <w:spacing w:val="-5"/>
                <w:w w:val="101"/>
                <w:sz w:val="18"/>
                <w:szCs w:val="18"/>
              </w:rPr>
              <w:t>宁</w:t>
            </w:r>
            <w:r>
              <w:rPr>
                <w:rFonts w:ascii="宋体" w:hAnsi="宋体" w:cs="宋体" w:eastAsia="宋体" w:hint="default"/>
                <w:w w:val="101"/>
                <w:sz w:val="18"/>
                <w:szCs w:val="18"/>
              </w:rPr>
              <w:t>波</w:t>
            </w:r>
            <w:r>
              <w:rPr>
                <w:rFonts w:ascii="宋体" w:hAnsi="宋体" w:cs="宋体" w:eastAsia="宋体" w:hint="default"/>
                <w:spacing w:val="-5"/>
                <w:w w:val="101"/>
                <w:sz w:val="18"/>
                <w:szCs w:val="18"/>
              </w:rPr>
              <w:t>银</w:t>
            </w:r>
            <w:r>
              <w:rPr>
                <w:rFonts w:ascii="宋体" w:hAnsi="宋体" w:cs="宋体" w:eastAsia="宋体" w:hint="default"/>
                <w:w w:val="101"/>
                <w:sz w:val="18"/>
                <w:szCs w:val="18"/>
              </w:rPr>
              <w:t>行</w:t>
            </w:r>
            <w:r>
              <w:rPr>
                <w:rFonts w:ascii="宋体" w:hAnsi="宋体" w:cs="宋体" w:eastAsia="宋体" w:hint="default"/>
                <w:spacing w:val="-5"/>
                <w:w w:val="101"/>
                <w:sz w:val="18"/>
                <w:szCs w:val="18"/>
              </w:rPr>
              <w:t>股</w:t>
            </w:r>
            <w:r>
              <w:rPr>
                <w:rFonts w:ascii="宋体" w:hAnsi="宋体" w:cs="宋体" w:eastAsia="宋体" w:hint="default"/>
                <w:w w:val="101"/>
                <w:sz w:val="18"/>
                <w:szCs w:val="18"/>
              </w:rPr>
              <w:t>份</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认</w:t>
            </w:r>
            <w:r>
              <w:rPr>
                <w:rFonts w:ascii="宋体" w:hAnsi="宋体" w:cs="宋体" w:eastAsia="宋体" w:hint="default"/>
                <w:w w:val="101"/>
                <w:sz w:val="18"/>
                <w:szCs w:val="18"/>
              </w:rPr>
              <w:t>购</w:t>
            </w:r>
            <w:r>
              <w:rPr>
                <w:rFonts w:ascii="宋体" w:hAnsi="宋体" w:cs="宋体" w:eastAsia="宋体" w:hint="default"/>
                <w:spacing w:val="-5"/>
                <w:w w:val="101"/>
                <w:sz w:val="18"/>
                <w:szCs w:val="18"/>
              </w:rPr>
              <w:t>共</w:t>
            </w:r>
            <w:r>
              <w:rPr>
                <w:rFonts w:ascii="宋体" w:hAnsi="宋体" w:cs="宋体" w:eastAsia="宋体" w:hint="default"/>
                <w:w w:val="101"/>
                <w:sz w:val="18"/>
                <w:szCs w:val="18"/>
              </w:rPr>
              <w:t>计</w:t>
            </w:r>
            <w:r>
              <w:rPr>
                <w:rFonts w:ascii="宋体" w:hAnsi="宋体" w:cs="宋体" w:eastAsia="宋体" w:hint="default"/>
                <w:spacing w:val="-5"/>
                <w:w w:val="101"/>
                <w:sz w:val="18"/>
                <w:szCs w:val="18"/>
              </w:rPr>
              <w:t>人</w:t>
            </w:r>
            <w:r>
              <w:rPr>
                <w:rFonts w:ascii="宋体" w:hAnsi="宋体" w:cs="宋体" w:eastAsia="宋体" w:hint="default"/>
                <w:w w:val="101"/>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w w:val="101"/>
                <w:sz w:val="18"/>
                <w:szCs w:val="18"/>
              </w:rPr>
              <w:t>的</w:t>
            </w:r>
            <w:r>
              <w:rPr>
                <w:rFonts w:ascii="宋体" w:hAnsi="宋体" w:cs="宋体" w:eastAsia="宋体" w:hint="default"/>
                <w:spacing w:val="-5"/>
                <w:w w:val="101"/>
                <w:sz w:val="18"/>
                <w:szCs w:val="18"/>
              </w:rPr>
              <w:t>结</w:t>
            </w:r>
            <w:r>
              <w:rPr>
                <w:rFonts w:ascii="宋体" w:hAnsi="宋体" w:cs="宋体" w:eastAsia="宋体" w:hint="default"/>
                <w:w w:val="101"/>
                <w:sz w:val="18"/>
                <w:szCs w:val="18"/>
              </w:rPr>
              <w:t>构</w:t>
            </w:r>
            <w:r>
              <w:rPr>
                <w:rFonts w:ascii="宋体" w:hAnsi="宋体" w:cs="宋体" w:eastAsia="宋体"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性存款，预期收益率为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3.30%</w:t>
            </w:r>
            <w:r>
              <w:rPr>
                <w:rFonts w:ascii="宋体" w:hAnsi="宋体" w:cs="宋体" w:eastAsia="宋体" w:hint="default"/>
                <w:sz w:val="18"/>
                <w:szCs w:val="18"/>
              </w:rPr>
              <w:t>，到期日为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p>
            <w:pPr>
              <w:pStyle w:val="TableParagraph"/>
              <w:spacing w:line="240" w:lineRule="auto" w:before="97"/>
              <w:ind w:left="470" w:right="0"/>
              <w:jc w:val="left"/>
              <w:rPr>
                <w:rFonts w:ascii="宋体" w:hAnsi="宋体" w:cs="宋体" w:eastAsia="宋体" w:hint="default"/>
                <w:sz w:val="18"/>
                <w:szCs w:val="18"/>
              </w:rPr>
            </w:pP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spacing w:val="-73"/>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闲</w:t>
            </w:r>
            <w:r>
              <w:rPr>
                <w:rFonts w:ascii="宋体" w:hAnsi="宋体" w:cs="宋体" w:eastAsia="宋体" w:hint="default"/>
                <w:spacing w:val="-5"/>
                <w:w w:val="101"/>
                <w:sz w:val="18"/>
                <w:szCs w:val="18"/>
              </w:rPr>
              <w:t>置</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向</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民</w:t>
            </w:r>
            <w:r>
              <w:rPr>
                <w:rFonts w:ascii="宋体" w:hAnsi="宋体" w:cs="宋体" w:eastAsia="宋体" w:hint="default"/>
                <w:w w:val="101"/>
                <w:sz w:val="18"/>
                <w:szCs w:val="18"/>
              </w:rPr>
              <w:t>生</w:t>
            </w:r>
            <w:r>
              <w:rPr>
                <w:rFonts w:ascii="宋体" w:hAnsi="宋体" w:cs="宋体" w:eastAsia="宋体" w:hint="default"/>
                <w:spacing w:val="-5"/>
                <w:w w:val="101"/>
                <w:sz w:val="18"/>
                <w:szCs w:val="18"/>
              </w:rPr>
              <w:t>银</w:t>
            </w:r>
            <w:r>
              <w:rPr>
                <w:rFonts w:ascii="宋体" w:hAnsi="宋体" w:cs="宋体" w:eastAsia="宋体" w:hint="default"/>
                <w:w w:val="101"/>
                <w:sz w:val="18"/>
                <w:szCs w:val="18"/>
              </w:rPr>
              <w:t>行</w:t>
            </w:r>
            <w:r>
              <w:rPr>
                <w:rFonts w:ascii="宋体" w:hAnsi="宋体" w:cs="宋体" w:eastAsia="宋体" w:hint="default"/>
                <w:spacing w:val="-5"/>
                <w:w w:val="101"/>
                <w:sz w:val="18"/>
                <w:szCs w:val="18"/>
              </w:rPr>
              <w:t>股</w:t>
            </w:r>
            <w:r>
              <w:rPr>
                <w:rFonts w:ascii="宋体" w:hAnsi="宋体" w:cs="宋体" w:eastAsia="宋体" w:hint="default"/>
                <w:w w:val="101"/>
                <w:sz w:val="18"/>
                <w:szCs w:val="18"/>
              </w:rPr>
              <w:t>份</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认</w:t>
            </w:r>
            <w:r>
              <w:rPr>
                <w:rFonts w:ascii="宋体" w:hAnsi="宋体" w:cs="宋体" w:eastAsia="宋体" w:hint="default"/>
                <w:w w:val="101"/>
                <w:sz w:val="18"/>
                <w:szCs w:val="18"/>
              </w:rPr>
              <w:t>购</w:t>
            </w:r>
            <w:r>
              <w:rPr>
                <w:rFonts w:ascii="宋体" w:hAnsi="宋体" w:cs="宋体" w:eastAsia="宋体" w:hint="default"/>
                <w:spacing w:val="-5"/>
                <w:w w:val="101"/>
                <w:sz w:val="18"/>
                <w:szCs w:val="18"/>
              </w:rPr>
              <w:t>共</w:t>
            </w:r>
            <w:r>
              <w:rPr>
                <w:rFonts w:ascii="宋体" w:hAnsi="宋体" w:cs="宋体" w:eastAsia="宋体" w:hint="default"/>
                <w:w w:val="101"/>
                <w:sz w:val="18"/>
                <w:szCs w:val="18"/>
              </w:rPr>
              <w:t>计</w:t>
            </w:r>
            <w:r>
              <w:rPr>
                <w:rFonts w:ascii="宋体" w:hAnsi="宋体" w:cs="宋体" w:eastAsia="宋体" w:hint="default"/>
                <w:spacing w:val="-5"/>
                <w:w w:val="101"/>
                <w:sz w:val="18"/>
                <w:szCs w:val="18"/>
              </w:rPr>
              <w:t>人</w:t>
            </w:r>
            <w:r>
              <w:rPr>
                <w:rFonts w:ascii="宋体" w:hAnsi="宋体" w:cs="宋体" w:eastAsia="宋体" w:hint="default"/>
                <w:w w:val="101"/>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w w:val="101"/>
                <w:sz w:val="18"/>
                <w:szCs w:val="18"/>
              </w:rPr>
              <w:t>的</w:t>
            </w:r>
            <w:r>
              <w:rPr>
                <w:rFonts w:ascii="宋体" w:hAnsi="宋体" w:cs="宋体" w:eastAsia="宋体"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pacing w:val="-3"/>
                <w:sz w:val="18"/>
                <w:szCs w:val="18"/>
              </w:rPr>
              <w:t>结构性存款，预期收益率为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3.80%</w:t>
            </w:r>
            <w:r>
              <w:rPr>
                <w:rFonts w:ascii="宋体" w:hAnsi="宋体" w:cs="宋体" w:eastAsia="宋体" w:hint="default"/>
                <w:sz w:val="18"/>
                <w:szCs w:val="18"/>
              </w:rPr>
              <w:t>，到期日为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p>
            <w:pPr>
              <w:pStyle w:val="TableParagraph"/>
              <w:spacing w:line="240" w:lineRule="auto" w:before="96"/>
              <w:ind w:left="47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pacing w:val="-3"/>
                <w:sz w:val="18"/>
                <w:szCs w:val="18"/>
              </w:rPr>
              <w:t>11 </w:t>
            </w:r>
            <w:r>
              <w:rPr>
                <w:rFonts w:ascii="宋体" w:hAnsi="宋体" w:cs="宋体" w:eastAsia="宋体" w:hint="default"/>
                <w:spacing w:val="-3"/>
                <w:sz w:val="18"/>
                <w:szCs w:val="18"/>
              </w:rPr>
              <w:t>日，公司使用闲置募集资金向上海浦东发展银行股份有限公司认购共计人民币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19,500.00</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万元的结构性存款，预期收益率为</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3.80%</w:t>
            </w:r>
            <w:r>
              <w:rPr>
                <w:rFonts w:ascii="宋体" w:hAnsi="宋体" w:cs="宋体" w:eastAsia="宋体" w:hint="default"/>
                <w:spacing w:val="-3"/>
                <w:sz w:val="18"/>
                <w:szCs w:val="18"/>
              </w:rPr>
              <w:t>，到期日为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03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）其余未使用的募集资金人民币 </w:t>
            </w:r>
            <w:r>
              <w:rPr>
                <w:rFonts w:ascii="Times New Roman" w:hAnsi="Times New Roman" w:cs="Times New Roman" w:eastAsia="Times New Roman" w:hint="default"/>
                <w:sz w:val="18"/>
                <w:szCs w:val="18"/>
              </w:rPr>
              <w:t>23,794,423.12 </w:t>
            </w:r>
            <w:r>
              <w:rPr>
                <w:rFonts w:ascii="宋体" w:hAnsi="宋体" w:cs="宋体" w:eastAsia="宋体" w:hint="default"/>
                <w:spacing w:val="-3"/>
                <w:sz w:val="18"/>
                <w:szCs w:val="18"/>
              </w:rPr>
              <w:t>元存放于公司的募集资金专户中。</w:t>
            </w:r>
          </w:p>
        </w:tc>
      </w:tr>
      <w:tr>
        <w:trPr>
          <w:trHeight w:val="1339"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0" w:right="209"/>
              <w:jc w:val="both"/>
              <w:rPr>
                <w:rFonts w:ascii="宋体" w:hAnsi="宋体" w:cs="宋体" w:eastAsia="宋体" w:hint="default"/>
                <w:sz w:val="18"/>
                <w:szCs w:val="18"/>
              </w:rPr>
            </w:pPr>
            <w:r>
              <w:rPr>
                <w:rFonts w:ascii="宋体" w:hAnsi="宋体" w:cs="宋体" w:eastAsia="宋体" w:hint="default"/>
                <w:spacing w:val="-2"/>
                <w:sz w:val="18"/>
                <w:szCs w:val="18"/>
              </w:rPr>
              <w:t>募集资金使用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及披露中存在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的问题或其他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情况</w:t>
            </w:r>
          </w:p>
        </w:tc>
        <w:tc>
          <w:tcPr>
            <w:tcW w:w="8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14" w:footer="1022" w:top="1120" w:bottom="1220" w:left="720" w:right="0"/>
        </w:sectPr>
      </w:pPr>
    </w:p>
    <w:p>
      <w:pPr>
        <w:spacing w:line="240" w:lineRule="auto" w:before="10"/>
        <w:rPr>
          <w:rFonts w:ascii="Times New Roman" w:hAnsi="Times New Roman" w:cs="Times New Roman" w:eastAsia="Times New Roman" w:hint="default"/>
          <w:sz w:val="21"/>
          <w:szCs w:val="21"/>
        </w:rPr>
      </w:pPr>
    </w:p>
    <w:p>
      <w:pPr>
        <w:pStyle w:val="Heading4"/>
        <w:spacing w:line="240" w:lineRule="auto" w:before="36"/>
        <w:ind w:left="453" w:right="3662"/>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453" w:right="366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2"/>
        <w:ind w:left="0" w:right="1122"/>
        <w:jc w:val="right"/>
      </w:pPr>
      <w:r>
        <w:rPr>
          <w:spacing w:val="-2"/>
        </w:rPr>
        <w:t>单位：万元</w:t>
      </w:r>
    </w:p>
    <w:p>
      <w:pPr>
        <w:spacing w:line="240" w:lineRule="auto" w:before="10"/>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1383"/>
        <w:gridCol w:w="1104"/>
        <w:gridCol w:w="864"/>
        <w:gridCol w:w="927"/>
        <w:gridCol w:w="1047"/>
        <w:gridCol w:w="1128"/>
        <w:gridCol w:w="1076"/>
        <w:gridCol w:w="859"/>
        <w:gridCol w:w="850"/>
        <w:gridCol w:w="1061"/>
      </w:tblGrid>
      <w:tr>
        <w:trPr>
          <w:trHeight w:val="1649" w:hRule="exact"/>
        </w:trPr>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182" w:right="185"/>
              <w:jc w:val="left"/>
              <w:rPr>
                <w:rFonts w:ascii="宋体" w:hAnsi="宋体" w:cs="宋体" w:eastAsia="宋体" w:hint="default"/>
                <w:sz w:val="18"/>
                <w:szCs w:val="18"/>
              </w:rPr>
            </w:pPr>
            <w:r>
              <w:rPr>
                <w:rFonts w:ascii="宋体" w:hAnsi="宋体" w:cs="宋体" w:eastAsia="宋体" w:hint="default"/>
                <w:sz w:val="18"/>
                <w:szCs w:val="18"/>
              </w:rPr>
              <w:t>对应的原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承诺项目</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43" w:right="134"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w:t>
            </w:r>
            <w:r>
              <w:rPr>
                <w:rFonts w:ascii="宋体" w:hAnsi="宋体" w:cs="宋体" w:eastAsia="宋体" w:hint="default"/>
                <w:w w:val="101"/>
                <w:sz w:val="18"/>
                <w:szCs w:val="18"/>
              </w:rPr>
              <w:t> </w:t>
            </w:r>
            <w:r>
              <w:rPr>
                <w:rFonts w:ascii="宋体" w:hAnsi="宋体" w:cs="宋体" w:eastAsia="宋体" w:hint="default"/>
                <w:sz w:val="18"/>
                <w:szCs w:val="18"/>
              </w:rPr>
              <w:t>项目拟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投入募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总额</w:t>
            </w:r>
            <w:r>
              <w:rPr>
                <w:rFonts w:ascii="Times New Roman" w:hAnsi="Times New Roman" w:cs="Times New Roman" w:eastAsia="Times New Roman" w:hint="default"/>
                <w:sz w:val="18"/>
                <w:szCs w:val="18"/>
              </w:rPr>
              <w:t>(1)</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191" w:right="180"/>
              <w:jc w:val="center"/>
              <w:rPr>
                <w:rFonts w:ascii="宋体" w:hAnsi="宋体" w:cs="宋体" w:eastAsia="宋体" w:hint="default"/>
                <w:sz w:val="18"/>
                <w:szCs w:val="18"/>
              </w:rPr>
            </w:pPr>
            <w:r>
              <w:rPr>
                <w:rFonts w:ascii="宋体" w:hAnsi="宋体" w:cs="宋体" w:eastAsia="宋体" w:hint="default"/>
                <w:spacing w:val="-2"/>
                <w:sz w:val="18"/>
                <w:szCs w:val="18"/>
              </w:rPr>
              <w:t>本报告</w:t>
            </w:r>
            <w:r>
              <w:rPr>
                <w:rFonts w:ascii="宋体" w:hAnsi="宋体" w:cs="宋体" w:eastAsia="宋体" w:hint="default"/>
                <w:w w:val="101"/>
                <w:sz w:val="18"/>
                <w:szCs w:val="18"/>
              </w:rPr>
              <w:t> </w:t>
            </w:r>
            <w:r>
              <w:rPr>
                <w:rFonts w:ascii="宋体" w:hAnsi="宋体" w:cs="宋体" w:eastAsia="宋体" w:hint="default"/>
                <w:spacing w:val="-2"/>
                <w:sz w:val="18"/>
                <w:szCs w:val="18"/>
              </w:rPr>
              <w:t>期实际</w:t>
            </w:r>
            <w:r>
              <w:rPr>
                <w:rFonts w:ascii="宋体" w:hAnsi="宋体" w:cs="宋体" w:eastAsia="宋体" w:hint="default"/>
                <w:w w:val="101"/>
                <w:sz w:val="18"/>
                <w:szCs w:val="18"/>
              </w:rPr>
              <w:t> </w:t>
            </w:r>
            <w:r>
              <w:rPr>
                <w:rFonts w:ascii="宋体" w:hAnsi="宋体" w:cs="宋体" w:eastAsia="宋体" w:hint="default"/>
                <w:spacing w:val="-2"/>
                <w:sz w:val="18"/>
                <w:szCs w:val="18"/>
              </w:rPr>
              <w:t>投入金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158" w:right="151"/>
              <w:jc w:val="center"/>
              <w:rPr>
                <w:rFonts w:ascii="宋体" w:hAnsi="宋体" w:cs="宋体" w:eastAsia="宋体" w:hint="default"/>
                <w:sz w:val="18"/>
                <w:szCs w:val="18"/>
              </w:rPr>
            </w:pPr>
            <w:r>
              <w:rPr>
                <w:rFonts w:ascii="宋体" w:hAnsi="宋体" w:cs="宋体" w:eastAsia="宋体" w:hint="default"/>
                <w:spacing w:val="-2"/>
                <w:sz w:val="18"/>
                <w:szCs w:val="18"/>
              </w:rPr>
              <w:t>截至期末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实际累计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投入金额</w:t>
            </w:r>
          </w:p>
          <w:p>
            <w:pPr>
              <w:pStyle w:val="TableParagraph"/>
              <w:spacing w:line="240" w:lineRule="auto" w:before="67"/>
              <w:ind w:left="2" w:right="0"/>
              <w:jc w:val="center"/>
              <w:rPr>
                <w:rFonts w:ascii="Times New Roman" w:hAnsi="Times New Roman" w:cs="Times New Roman" w:eastAsia="Times New Roman" w:hint="default"/>
                <w:sz w:val="18"/>
                <w:szCs w:val="18"/>
              </w:rPr>
            </w:pPr>
            <w:r>
              <w:rPr>
                <w:rFonts w:ascii="Times New Roman"/>
                <w:sz w:val="18"/>
              </w:rPr>
              <w:t>(2)</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32"/>
              <w:ind w:left="110" w:right="103"/>
              <w:jc w:val="center"/>
              <w:rPr>
                <w:rFonts w:ascii="宋体" w:hAnsi="宋体" w:cs="宋体" w:eastAsia="宋体" w:hint="default"/>
                <w:sz w:val="18"/>
                <w:szCs w:val="18"/>
              </w:rPr>
            </w:pPr>
            <w:r>
              <w:rPr>
                <w:rFonts w:ascii="宋体" w:hAnsi="宋体" w:cs="宋体" w:eastAsia="宋体" w:hint="default"/>
                <w:spacing w:val="-2"/>
                <w:sz w:val="18"/>
                <w:szCs w:val="18"/>
              </w:rPr>
              <w:t>截至期末投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资进度</w:t>
            </w:r>
          </w:p>
          <w:p>
            <w:pPr>
              <w:pStyle w:val="TableParagraph"/>
              <w:spacing w:line="240" w:lineRule="auto" w:before="69"/>
              <w:ind w:left="1" w:right="0"/>
              <w:jc w:val="center"/>
              <w:rPr>
                <w:rFonts w:ascii="Times New Roman" w:hAnsi="Times New Roman" w:cs="Times New Roman" w:eastAsia="Times New Roman" w:hint="default"/>
                <w:sz w:val="18"/>
                <w:szCs w:val="18"/>
              </w:rPr>
            </w:pPr>
            <w:r>
              <w:rPr>
                <w:rFonts w:ascii="Times New Roman"/>
                <w:sz w:val="18"/>
              </w:rPr>
              <w:t>(3)=(2)/(1)</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172" w:right="166"/>
              <w:jc w:val="center"/>
              <w:rPr>
                <w:rFonts w:ascii="宋体" w:hAnsi="宋体" w:cs="宋体" w:eastAsia="宋体" w:hint="default"/>
                <w:sz w:val="18"/>
                <w:szCs w:val="18"/>
              </w:rPr>
            </w:pPr>
            <w:r>
              <w:rPr>
                <w:rFonts w:ascii="宋体" w:hAnsi="宋体" w:cs="宋体" w:eastAsia="宋体" w:hint="default"/>
                <w:spacing w:val="-2"/>
                <w:sz w:val="18"/>
                <w:szCs w:val="18"/>
              </w:rPr>
              <w:t>项目达到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预定可使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用状态日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期</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153" w:right="151"/>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期实现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的效益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153" w:right="142"/>
              <w:jc w:val="both"/>
              <w:rPr>
                <w:rFonts w:ascii="宋体" w:hAnsi="宋体" w:cs="宋体" w:eastAsia="宋体" w:hint="default"/>
                <w:sz w:val="18"/>
                <w:szCs w:val="18"/>
              </w:rPr>
            </w:pPr>
            <w:r>
              <w:rPr>
                <w:rFonts w:ascii="宋体" w:hAnsi="宋体" w:cs="宋体" w:eastAsia="宋体" w:hint="default"/>
                <w:sz w:val="18"/>
                <w:szCs w:val="18"/>
              </w:rPr>
              <w:t>是否达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到预计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效益</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67" w:right="156"/>
              <w:jc w:val="center"/>
              <w:rPr>
                <w:rFonts w:ascii="宋体" w:hAnsi="宋体" w:cs="宋体" w:eastAsia="宋体" w:hint="default"/>
                <w:sz w:val="18"/>
                <w:szCs w:val="18"/>
              </w:rPr>
            </w:pPr>
            <w:r>
              <w:rPr>
                <w:rFonts w:ascii="宋体" w:hAnsi="宋体" w:cs="宋体" w:eastAsia="宋体" w:hint="default"/>
                <w:spacing w:val="-2"/>
                <w:sz w:val="18"/>
                <w:szCs w:val="18"/>
              </w:rPr>
              <w:t>变更后的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项目可行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性是否发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生重大变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化</w:t>
            </w:r>
          </w:p>
        </w:tc>
      </w:tr>
      <w:tr>
        <w:trPr>
          <w:trHeight w:val="1339"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171"/>
              <w:jc w:val="both"/>
              <w:rPr>
                <w:rFonts w:ascii="宋体" w:hAnsi="宋体" w:cs="宋体" w:eastAsia="宋体" w:hint="default"/>
                <w:sz w:val="18"/>
                <w:szCs w:val="18"/>
              </w:rPr>
            </w:pPr>
            <w:r>
              <w:rPr>
                <w:rFonts w:ascii="宋体" w:hAnsi="宋体" w:cs="宋体" w:eastAsia="宋体" w:hint="default"/>
                <w:sz w:val="18"/>
                <w:szCs w:val="18"/>
              </w:rPr>
              <w:t>收购上海奈盛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通信科技有限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51%</w:t>
            </w:r>
            <w:r>
              <w:rPr>
                <w:rFonts w:ascii="宋体" w:hAnsi="宋体" w:cs="宋体" w:eastAsia="宋体" w:hint="default"/>
                <w:spacing w:val="-3"/>
                <w:sz w:val="18"/>
                <w:szCs w:val="18"/>
              </w:rPr>
              <w:t>股权</w:t>
            </w:r>
            <w:r>
              <w:rPr>
                <w:rFonts w:ascii="宋体" w:hAnsi="宋体" w:cs="宋体" w:eastAsia="宋体" w:hint="default"/>
                <w:spacing w:val="-87"/>
                <w:sz w:val="18"/>
                <w:szCs w:val="18"/>
              </w:rPr>
              <w:t> </w:t>
            </w:r>
            <w:r>
              <w:rPr>
                <w:rFonts w:ascii="宋体" w:hAnsi="宋体" w:cs="宋体" w:eastAsia="宋体" w:hint="default"/>
                <w:sz w:val="18"/>
                <w:szCs w:val="18"/>
              </w:rPr>
              <w:t>项目</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100" w:right="267"/>
              <w:jc w:val="left"/>
              <w:rPr>
                <w:rFonts w:ascii="宋体" w:hAnsi="宋体" w:cs="宋体" w:eastAsia="宋体" w:hint="default"/>
                <w:sz w:val="18"/>
                <w:szCs w:val="18"/>
              </w:rPr>
            </w:pPr>
            <w:r>
              <w:rPr>
                <w:rFonts w:ascii="宋体" w:hAnsi="宋体" w:cs="宋体" w:eastAsia="宋体" w:hint="default"/>
                <w:sz w:val="18"/>
                <w:szCs w:val="18"/>
              </w:rPr>
              <w:t>企业云统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一通信</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9,000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843.27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652"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收购香港</w:t>
            </w:r>
          </w:p>
          <w:p>
            <w:pPr>
              <w:pStyle w:val="TableParagraph"/>
              <w:spacing w:line="362" w:lineRule="auto" w:before="114"/>
              <w:ind w:left="105" w:right="365"/>
              <w:jc w:val="left"/>
              <w:rPr>
                <w:rFonts w:ascii="Times New Roman" w:hAnsi="Times New Roman" w:cs="Times New Roman" w:eastAsia="Times New Roman" w:hint="default"/>
                <w:sz w:val="18"/>
                <w:szCs w:val="18"/>
              </w:rPr>
            </w:pPr>
            <w:r>
              <w:rPr>
                <w:rFonts w:ascii="Times New Roman"/>
                <w:spacing w:val="-3"/>
                <w:sz w:val="18"/>
              </w:rPr>
              <w:t>I-ACCESS</w:t>
            </w:r>
            <w:r>
              <w:rPr>
                <w:rFonts w:ascii="Times New Roman"/>
                <w:spacing w:val="-28"/>
                <w:sz w:val="18"/>
              </w:rPr>
              <w:t> </w:t>
            </w:r>
            <w:r>
              <w:rPr>
                <w:rFonts w:ascii="Times New Roman"/>
                <w:spacing w:val="-28"/>
                <w:sz w:val="18"/>
              </w:rPr>
            </w:r>
            <w:r>
              <w:rPr>
                <w:rFonts w:ascii="Times New Roman"/>
                <w:spacing w:val="-3"/>
                <w:sz w:val="18"/>
              </w:rPr>
              <w:t>NETWORK</w:t>
            </w:r>
            <w:r>
              <w:rPr>
                <w:rFonts w:ascii="Times New Roman"/>
                <w:spacing w:val="-28"/>
                <w:sz w:val="18"/>
              </w:rPr>
              <w:t> </w:t>
            </w:r>
            <w:r>
              <w:rPr>
                <w:rFonts w:ascii="Times New Roman"/>
                <w:spacing w:val="-28"/>
                <w:sz w:val="18"/>
              </w:rPr>
            </w:r>
            <w:r>
              <w:rPr>
                <w:rFonts w:ascii="Times New Roman"/>
                <w:spacing w:val="-3"/>
                <w:sz w:val="18"/>
              </w:rPr>
              <w:t>LIMITED</w:t>
            </w:r>
          </w:p>
          <w:p>
            <w:pPr>
              <w:pStyle w:val="TableParagraph"/>
              <w:spacing w:line="215"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股权项目</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100" w:right="219"/>
              <w:jc w:val="both"/>
              <w:rPr>
                <w:rFonts w:ascii="宋体" w:hAnsi="宋体" w:cs="宋体" w:eastAsia="宋体" w:hint="default"/>
                <w:sz w:val="18"/>
                <w:szCs w:val="18"/>
              </w:rPr>
            </w:pPr>
            <w:r>
              <w:rPr>
                <w:rFonts w:ascii="宋体" w:hAnsi="宋体" w:cs="宋体" w:eastAsia="宋体" w:hint="default"/>
                <w:sz w:val="18"/>
                <w:szCs w:val="18"/>
              </w:rPr>
              <w:t>企业云统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一通信</w:t>
            </w:r>
            <w:r>
              <w:rPr>
                <w:rFonts w:ascii="Times New Roman" w:hAnsi="Times New Roman" w:cs="Times New Roman" w:eastAsia="Times New Roman" w:hint="default"/>
                <w:sz w:val="18"/>
                <w:szCs w:val="18"/>
              </w:rPr>
              <w:t>/</w:t>
            </w:r>
            <w:r>
              <w:rPr>
                <w:rFonts w:ascii="宋体" w:hAnsi="宋体" w:cs="宋体" w:eastAsia="宋体" w:hint="default"/>
                <w:sz w:val="18"/>
                <w:szCs w:val="18"/>
              </w:rPr>
              <w:t>全</w:t>
            </w:r>
            <w:r>
              <w:rPr>
                <w:rFonts w:ascii="宋体" w:hAnsi="宋体" w:cs="宋体" w:eastAsia="宋体" w:hint="default"/>
                <w:w w:val="101"/>
                <w:sz w:val="18"/>
                <w:szCs w:val="18"/>
              </w:rPr>
              <w:t> </w:t>
            </w:r>
            <w:r>
              <w:rPr>
                <w:rFonts w:ascii="宋体" w:hAnsi="宋体" w:cs="宋体" w:eastAsia="宋体" w:hint="default"/>
                <w:sz w:val="18"/>
                <w:szCs w:val="18"/>
              </w:rPr>
              <w:t>球华人移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动通信业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31,000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2,710.41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19,760.41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63.74%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4,306.63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3"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05" w:right="180"/>
              <w:jc w:val="left"/>
              <w:rPr>
                <w:rFonts w:ascii="宋体" w:hAnsi="宋体" w:cs="宋体" w:eastAsia="宋体" w:hint="default"/>
                <w:sz w:val="18"/>
                <w:szCs w:val="18"/>
              </w:rPr>
            </w:pPr>
            <w:r>
              <w:rPr>
                <w:rFonts w:ascii="宋体" w:hAnsi="宋体" w:cs="宋体" w:eastAsia="宋体" w:hint="default"/>
                <w:spacing w:val="-2"/>
                <w:sz w:val="18"/>
                <w:szCs w:val="18"/>
              </w:rPr>
              <w:t>云视频服务项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目</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0" w:right="267"/>
              <w:jc w:val="both"/>
              <w:rPr>
                <w:rFonts w:ascii="宋体" w:hAnsi="宋体" w:cs="宋体" w:eastAsia="宋体" w:hint="default"/>
                <w:sz w:val="18"/>
                <w:szCs w:val="18"/>
              </w:rPr>
            </w:pPr>
            <w:r>
              <w:rPr>
                <w:rFonts w:ascii="宋体" w:hAnsi="宋体" w:cs="宋体" w:eastAsia="宋体" w:hint="default"/>
                <w:sz w:val="18"/>
                <w:szCs w:val="18"/>
              </w:rPr>
              <w:t>全球华人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移动通信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业务</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7,572</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137.88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137.88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340"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SDN-SR</w:t>
            </w:r>
          </w:p>
          <w:p>
            <w:pPr>
              <w:pStyle w:val="TableParagraph"/>
              <w:spacing w:line="321" w:lineRule="auto" w:before="58"/>
              <w:ind w:left="105" w:right="180"/>
              <w:jc w:val="both"/>
              <w:rPr>
                <w:rFonts w:ascii="宋体" w:hAnsi="宋体" w:cs="宋体" w:eastAsia="宋体" w:hint="default"/>
                <w:sz w:val="18"/>
                <w:szCs w:val="18"/>
              </w:rPr>
            </w:pPr>
            <w:r>
              <w:rPr>
                <w:rFonts w:ascii="宋体" w:hAnsi="宋体" w:cs="宋体" w:eastAsia="宋体" w:hint="default"/>
                <w:spacing w:val="-2"/>
                <w:sz w:val="18"/>
                <w:szCs w:val="18"/>
              </w:rPr>
              <w:t>技术的企业全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球数据专网服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务项目</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00" w:right="267"/>
              <w:jc w:val="both"/>
              <w:rPr>
                <w:rFonts w:ascii="宋体" w:hAnsi="宋体" w:cs="宋体" w:eastAsia="宋体" w:hint="default"/>
                <w:sz w:val="18"/>
                <w:szCs w:val="18"/>
              </w:rPr>
            </w:pPr>
            <w:r>
              <w:rPr>
                <w:rFonts w:ascii="宋体" w:hAnsi="宋体" w:cs="宋体" w:eastAsia="宋体" w:hint="default"/>
                <w:sz w:val="18"/>
                <w:szCs w:val="18"/>
              </w:rPr>
              <w:t>全球华人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移动通信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业务</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5,000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52,572</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2,848.29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28,898.29</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5,129.16</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14" w:footer="1022" w:top="1120" w:bottom="1220" w:left="6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2871"/>
        <w:gridCol w:w="7616"/>
      </w:tblGrid>
      <w:tr>
        <w:trPr>
          <w:trHeight w:val="13823" w:hRule="exact"/>
        </w:trPr>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6" w:lineRule="auto"/>
              <w:ind w:left="105" w:right="94"/>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变更原因、决策程序及信息披露情</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761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105" w:right="9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为提高募集资金使用效率和投资回报，考虑到客户需求变化、技术方案调整，以及公司并购</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4"/>
                <w:sz w:val="18"/>
                <w:szCs w:val="18"/>
              </w:rPr>
              <w:t>进展等因素，公司将原募投项目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企业云统一通信</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投资金额由总计人民币 </w:t>
            </w:r>
            <w:r>
              <w:rPr>
                <w:rFonts w:ascii="Times New Roman" w:hAnsi="Times New Roman" w:cs="Times New Roman" w:eastAsia="Times New Roman" w:hint="default"/>
                <w:sz w:val="18"/>
                <w:szCs w:val="18"/>
              </w:rPr>
              <w:t>34,000.00</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万元变更为</w:t>
            </w:r>
          </w:p>
          <w:p>
            <w:pPr>
              <w:pStyle w:val="TableParagraph"/>
              <w:spacing w:line="307" w:lineRule="auto" w:before="17"/>
              <w:ind w:left="105" w:right="41"/>
              <w:jc w:val="left"/>
              <w:rPr>
                <w:rFonts w:ascii="宋体" w:hAnsi="宋体" w:cs="宋体" w:eastAsia="宋体" w:hint="default"/>
                <w:sz w:val="18"/>
                <w:szCs w:val="18"/>
              </w:rPr>
            </w:pPr>
            <w:r>
              <w:rPr>
                <w:rFonts w:ascii="宋体" w:hAnsi="宋体" w:cs="宋体" w:eastAsia="宋体" w:hint="default"/>
                <w:sz w:val="18"/>
                <w:szCs w:val="18"/>
              </w:rPr>
              <w:t>总计人民币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25,000.00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万元。变更的募集资金人民币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万元拟用于收购上海奈盛</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w:t>
            </w:r>
            <w:r>
              <w:rPr>
                <w:rFonts w:ascii="宋体" w:hAnsi="宋体" w:cs="宋体" w:eastAsia="宋体" w:hint="default"/>
                <w:spacing w:val="-69"/>
                <w:sz w:val="18"/>
                <w:szCs w:val="18"/>
              </w:rPr>
              <w:t> </w:t>
            </w:r>
            <w:r>
              <w:rPr>
                <w:rFonts w:ascii="宋体" w:hAnsi="宋体" w:cs="宋体" w:eastAsia="宋体" w:hint="default"/>
                <w:sz w:val="18"/>
                <w:szCs w:val="18"/>
              </w:rPr>
              <w:t>权，从而与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NTT COM</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Asia</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合资成立中外合资公司，收购价格为人民币</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9,125.00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计划使用募集资金人民币 </w:t>
            </w:r>
            <w:r>
              <w:rPr>
                <w:rFonts w:ascii="Times New Roman" w:hAnsi="Times New Roman" w:cs="Times New Roman" w:eastAsia="Times New Roman" w:hint="default"/>
                <w:sz w:val="18"/>
                <w:szCs w:val="18"/>
              </w:rPr>
              <w:t>9,000.00 </w:t>
            </w:r>
            <w:r>
              <w:rPr>
                <w:rFonts w:ascii="宋体" w:hAnsi="宋体" w:cs="宋体" w:eastAsia="宋体" w:hint="default"/>
                <w:spacing w:val="-3"/>
                <w:sz w:val="18"/>
                <w:szCs w:val="18"/>
              </w:rPr>
              <w:t>万元，其余资金拟由公司以自有资金支付。通过收购上海奈</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盛 </w:t>
            </w:r>
            <w:r>
              <w:rPr>
                <w:rFonts w:ascii="Times New Roman" w:hAnsi="Times New Roman" w:cs="Times New Roman" w:eastAsia="Times New Roman" w:hint="default"/>
                <w:spacing w:val="-4"/>
                <w:sz w:val="18"/>
                <w:szCs w:val="18"/>
              </w:rPr>
              <w:t>51%</w:t>
            </w:r>
            <w:r>
              <w:rPr>
                <w:rFonts w:ascii="宋体" w:hAnsi="宋体" w:cs="宋体" w:eastAsia="宋体" w:hint="default"/>
                <w:spacing w:val="-4"/>
                <w:sz w:val="18"/>
                <w:szCs w:val="18"/>
              </w:rPr>
              <w:t>股权成立合资公司，公司可进入 </w:t>
            </w:r>
            <w:r>
              <w:rPr>
                <w:rFonts w:ascii="Times New Roman" w:hAnsi="Times New Roman" w:cs="Times New Roman" w:eastAsia="Times New Roman" w:hint="default"/>
                <w:spacing w:val="-4"/>
                <w:sz w:val="18"/>
                <w:szCs w:val="18"/>
              </w:rPr>
              <w:t>IDC </w:t>
            </w:r>
            <w:r>
              <w:rPr>
                <w:rFonts w:ascii="宋体" w:hAnsi="宋体" w:cs="宋体" w:eastAsia="宋体" w:hint="default"/>
                <w:spacing w:val="-4"/>
                <w:sz w:val="18"/>
                <w:szCs w:val="18"/>
              </w:rPr>
              <w:t>云计算服务领域，有利于公司在企业通信领域的整</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体布局和增加公司企业通信业务对全球大客户开发的广度和深度，同时为公司与 </w:t>
            </w:r>
            <w:r>
              <w:rPr>
                <w:rFonts w:ascii="Times New Roman" w:hAnsi="Times New Roman" w:cs="Times New Roman" w:eastAsia="Times New Roman" w:hint="default"/>
                <w:sz w:val="18"/>
                <w:szCs w:val="18"/>
              </w:rPr>
              <w:t>NTT </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pacing w:val="-3"/>
                <w:sz w:val="18"/>
                <w:szCs w:val="18"/>
              </w:rPr>
              <w:t>COM</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z w:val="18"/>
                <w:szCs w:val="18"/>
              </w:rPr>
              <w:t>Asia Limited </w:t>
            </w:r>
            <w:r>
              <w:rPr>
                <w:rFonts w:ascii="宋体" w:hAnsi="宋体" w:cs="宋体" w:eastAsia="宋体" w:hint="default"/>
                <w:sz w:val="18"/>
                <w:szCs w:val="18"/>
              </w:rPr>
              <w:t>所在的 </w:t>
            </w:r>
            <w:r>
              <w:rPr>
                <w:rFonts w:ascii="Times New Roman" w:hAnsi="Times New Roman" w:cs="Times New Roman" w:eastAsia="Times New Roman" w:hint="default"/>
                <w:sz w:val="18"/>
                <w:szCs w:val="18"/>
              </w:rPr>
              <w:t>NTT </w:t>
            </w:r>
            <w:r>
              <w:rPr>
                <w:rFonts w:ascii="宋体" w:hAnsi="宋体" w:cs="宋体" w:eastAsia="宋体" w:hint="default"/>
                <w:spacing w:val="-3"/>
                <w:sz w:val="18"/>
                <w:szCs w:val="18"/>
              </w:rPr>
              <w:t>集团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日本电报电话公司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在其他通信业务领域开展进一步的战略合作</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打下基础。 </w:t>
            </w:r>
            <w:r>
              <w:rPr>
                <w:rFonts w:ascii="宋体" w:hAnsi="宋体" w:cs="宋体" w:eastAsia="宋体" w:hint="default"/>
                <w:spacing w:val="-3"/>
                <w:sz w:val="18"/>
                <w:szCs w:val="18"/>
              </w:rPr>
              <w:t>本次募投项目变更事项已经公司第五届董事会第十五次会议、第五届监事会第十</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3"/>
                <w:sz w:val="18"/>
                <w:szCs w:val="18"/>
              </w:rPr>
              <w:t>次会议、</w:t>
            </w:r>
            <w:r>
              <w:rPr>
                <w:rFonts w:ascii="Times New Roman" w:hAnsi="Times New Roman" w:cs="Times New Roman" w:eastAsia="Times New Roman" w:hint="default"/>
                <w:spacing w:val="-3"/>
                <w:sz w:val="18"/>
                <w:szCs w:val="18"/>
              </w:rPr>
              <w:t>2016 </w:t>
            </w:r>
            <w:r>
              <w:rPr>
                <w:rFonts w:ascii="宋体" w:hAnsi="宋体" w:cs="宋体" w:eastAsia="宋体" w:hint="default"/>
                <w:spacing w:val="-4"/>
                <w:sz w:val="18"/>
                <w:szCs w:val="18"/>
              </w:rPr>
              <w:t>年第二次临时股东大会审议通过，履行了必要的审批程序，符合中国证券监督管</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理委员会、深圳证券交易所关于上市公司募集资金使用的有关规定。同时，保荐机构亦对本次</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变更募投项目事项发表了意见，认为本次变更募投项目是公司根据市场形势的变化和未来发展</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战略需要而做出的调整，有利于提高公司募集资金使用效率，提高公司长期效益，符合公司和</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全体股东利益，不存在损害公司和中小股东合法利益的情况，保荐机构对公司就本次变更募投</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项目的事项无异议。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为了完善整体战略布局和业务线、与既有业务产生协同效应，公司将原</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4"/>
                <w:sz w:val="18"/>
                <w:szCs w:val="18"/>
              </w:rPr>
              <w:t>募投项目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企业云统一通信</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全球华人移动通信业务</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终止后结余资金中的 </w:t>
            </w:r>
            <w:r>
              <w:rPr>
                <w:rFonts w:ascii="Times New Roman" w:hAnsi="Times New Roman" w:cs="Times New Roman" w:eastAsia="Times New Roman" w:hint="default"/>
                <w:sz w:val="18"/>
                <w:szCs w:val="18"/>
              </w:rPr>
              <w:t>31,000.00 </w:t>
            </w:r>
            <w:r>
              <w:rPr>
                <w:rFonts w:ascii="宋体" w:hAnsi="宋体" w:cs="宋体" w:eastAsia="宋体" w:hint="default"/>
                <w:sz w:val="18"/>
                <w:szCs w:val="18"/>
              </w:rPr>
              <w:t>万元用于</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收购香港 </w:t>
            </w:r>
            <w:r>
              <w:rPr>
                <w:rFonts w:ascii="Times New Roman" w:hAnsi="Times New Roman" w:cs="Times New Roman" w:eastAsia="Times New Roman" w:hint="default"/>
                <w:spacing w:val="-3"/>
                <w:sz w:val="18"/>
                <w:szCs w:val="18"/>
              </w:rPr>
              <w:t>I-ACCESS NETWORK LIMITED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股权，收购价格为人民币 </w:t>
            </w:r>
            <w:r>
              <w:rPr>
                <w:rFonts w:ascii="Times New Roman" w:hAnsi="Times New Roman" w:cs="Times New Roman" w:eastAsia="Times New Roman" w:hint="default"/>
                <w:sz w:val="18"/>
                <w:szCs w:val="18"/>
              </w:rPr>
              <w:t>31,000.00 </w:t>
            </w:r>
            <w:r>
              <w:rPr>
                <w:rFonts w:ascii="宋体" w:hAnsi="宋体" w:cs="宋体" w:eastAsia="宋体" w:hint="default"/>
                <w:spacing w:val="-8"/>
                <w:sz w:val="18"/>
                <w:szCs w:val="18"/>
              </w:rPr>
              <w:t>万元，计划</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使用募集资金人民币</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万元。截至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日，公司已支付</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55%</w:t>
            </w:r>
            <w:r>
              <w:rPr>
                <w:rFonts w:ascii="宋体" w:hAnsi="宋体" w:cs="宋体" w:eastAsia="宋体" w:hint="default"/>
                <w:spacing w:val="-3"/>
                <w:sz w:val="18"/>
                <w:szCs w:val="18"/>
              </w:rPr>
              <w:t>的股权转让款</w:t>
            </w:r>
          </w:p>
          <w:p>
            <w:pPr>
              <w:pStyle w:val="TableParagraph"/>
              <w:spacing w:line="309" w:lineRule="auto" w:before="7"/>
              <w:ind w:left="105" w:right="7"/>
              <w:jc w:val="left"/>
              <w:rPr>
                <w:rFonts w:ascii="宋体" w:hAnsi="宋体" w:cs="宋体" w:eastAsia="宋体" w:hint="default"/>
                <w:sz w:val="18"/>
                <w:szCs w:val="18"/>
              </w:rPr>
            </w:pPr>
            <w:r>
              <w:rPr>
                <w:rFonts w:ascii="宋体" w:hAnsi="宋体" w:cs="宋体" w:eastAsia="宋体" w:hint="default"/>
                <w:sz w:val="18"/>
                <w:szCs w:val="18"/>
              </w:rPr>
              <w:t>人民币 </w:t>
            </w:r>
            <w:r>
              <w:rPr>
                <w:rFonts w:ascii="Times New Roman" w:hAnsi="Times New Roman" w:cs="Times New Roman" w:eastAsia="Times New Roman" w:hint="default"/>
                <w:sz w:val="18"/>
                <w:szCs w:val="18"/>
              </w:rPr>
              <w:t>19,760.41 </w:t>
            </w:r>
            <w:r>
              <w:rPr>
                <w:rFonts w:ascii="宋体" w:hAnsi="宋体" w:cs="宋体" w:eastAsia="宋体" w:hint="default"/>
                <w:spacing w:val="-5"/>
                <w:sz w:val="18"/>
                <w:szCs w:val="18"/>
              </w:rPr>
              <w:t>万元。本次募投变更事项已经公司第五届董事会第三十七次会议、第五届监事</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会第二十六次会议、</w:t>
            </w:r>
            <w:r>
              <w:rPr>
                <w:rFonts w:ascii="Times New Roman" w:hAnsi="Times New Roman" w:cs="Times New Roman" w:eastAsia="Times New Roman" w:hint="default"/>
                <w:spacing w:val="-3"/>
                <w:sz w:val="18"/>
                <w:szCs w:val="18"/>
              </w:rPr>
              <w:t>2018 </w:t>
            </w:r>
            <w:r>
              <w:rPr>
                <w:rFonts w:ascii="宋体" w:hAnsi="宋体" w:cs="宋体" w:eastAsia="宋体" w:hint="default"/>
                <w:spacing w:val="-4"/>
                <w:sz w:val="18"/>
                <w:szCs w:val="18"/>
              </w:rPr>
              <w:t>年第二次临时股东大会审议通过，履行了必要的审批程序，符合中国 </w:t>
            </w:r>
            <w:r>
              <w:rPr>
                <w:rFonts w:ascii="宋体" w:hAnsi="宋体" w:cs="宋体" w:eastAsia="宋体" w:hint="default"/>
                <w:spacing w:val="-3"/>
                <w:sz w:val="18"/>
                <w:szCs w:val="18"/>
              </w:rPr>
              <w:t>证券监督管理委员会、深圳证券交易所关于上市公司募集资金使用的有关规定。同时，保荐机</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构亦对本次变更募投项目事项发表了意见，认为本次变更募投项目是公司根据市场形势的变化</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和未来发展战略需要而做出的调整，有利于提高公司募集资金使用效率，提高公司长期效益，</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符合公司和全体股东利益，不存在损害公司和中小股东合法利益的情况，保荐机构对公司就本</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次变更募投项目的事项无异议。 </w:t>
            </w:r>
            <w:r>
              <w:rPr>
                <w:rFonts w:ascii="Times New Roman" w:hAnsi="Times New Roman" w:cs="Times New Roman" w:eastAsia="Times New Roman" w:hint="default"/>
                <w:spacing w:val="-3"/>
                <w:sz w:val="18"/>
                <w:szCs w:val="18"/>
              </w:rPr>
              <w:t>3. </w:t>
            </w:r>
            <w:r>
              <w:rPr>
                <w:rFonts w:ascii="宋体" w:hAnsi="宋体" w:cs="宋体" w:eastAsia="宋体" w:hint="default"/>
                <w:spacing w:val="-3"/>
                <w:sz w:val="18"/>
                <w:szCs w:val="18"/>
              </w:rPr>
              <w:t>为了强化企业通信战略布局，加强云视频核心技术平台构</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建能力和教育行业产品研发能力，以逐步实现业务升级，公司将原募投项目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企业云统一通信</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spacing w:val="25"/>
                <w:sz w:val="18"/>
                <w:szCs w:val="18"/>
              </w:rPr>
              <w:t>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全球华人移动通信业务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终止后结余资金中的人民币 </w:t>
            </w:r>
            <w:r>
              <w:rPr>
                <w:rFonts w:ascii="Times New Roman" w:hAnsi="Times New Roman" w:cs="Times New Roman" w:eastAsia="Times New Roman" w:hint="default"/>
                <w:sz w:val="18"/>
                <w:szCs w:val="18"/>
              </w:rPr>
              <w:t>7,572.00 </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万元用于新募集资金投资项目</w:t>
            </w:r>
          </w:p>
          <w:p>
            <w:pPr>
              <w:pStyle w:val="TableParagraph"/>
              <w:spacing w:line="309" w:lineRule="auto" w:before="5"/>
              <w:ind w:left="105" w:right="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云视频服务项目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，新募集资金投资项目占本次募集资金总金额的比例为 </w:t>
            </w:r>
            <w:r>
              <w:rPr>
                <w:rFonts w:ascii="Times New Roman" w:hAnsi="Times New Roman" w:cs="Times New Roman" w:eastAsia="Times New Roman" w:hint="default"/>
                <w:sz w:val="18"/>
                <w:szCs w:val="18"/>
              </w:rPr>
              <w:t>9.90%</w:t>
            </w:r>
            <w:r>
              <w:rPr>
                <w:rFonts w:ascii="宋体" w:hAnsi="宋体" w:cs="宋体" w:eastAsia="宋体" w:hint="default"/>
                <w:sz w:val="18"/>
                <w:szCs w:val="18"/>
              </w:rPr>
              <w:t>。本次募投</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4"/>
                <w:sz w:val="18"/>
                <w:szCs w:val="18"/>
              </w:rPr>
              <w:t>变更事项已经公司第六届董事会第十次会议、第六届监事会第八次会议、</w:t>
            </w:r>
            <w:r>
              <w:rPr>
                <w:rFonts w:ascii="Times New Roman" w:hAnsi="Times New Roman" w:cs="Times New Roman" w:eastAsia="Times New Roman" w:hint="default"/>
                <w:spacing w:val="-4"/>
                <w:sz w:val="18"/>
                <w:szCs w:val="18"/>
              </w:rPr>
              <w:t>2019 </w:t>
            </w:r>
            <w:r>
              <w:rPr>
                <w:rFonts w:ascii="宋体" w:hAnsi="宋体" w:cs="宋体" w:eastAsia="宋体" w:hint="default"/>
                <w:spacing w:val="-3"/>
                <w:sz w:val="18"/>
                <w:szCs w:val="18"/>
              </w:rPr>
              <w:t>年第二次临时股</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东大会审议通过，履行了必要的审批程序，符合中国证券监督管理委员会、深圳证券交易所关</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于上市公司募集资金使用的有关规定。同时，保荐机构亦对本次变更募投项目事项发表了意见，</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认为本次变更募投项目是公司根据市场形势的变化和未来发展战略需要而做出的调整，有利于</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提高公司募集资金使用效率，提高公司长期效益，符合公司和全体股东利益，不存在损害公司</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和中小股东合法利益的情况，保荐机构对公司就本次变更募投项目的事项无异议。 </w:t>
            </w:r>
            <w:r>
              <w:rPr>
                <w:rFonts w:ascii="Times New Roman" w:hAnsi="Times New Roman" w:cs="Times New Roman" w:eastAsia="Times New Roman" w:hint="default"/>
                <w:sz w:val="18"/>
                <w:szCs w:val="18"/>
              </w:rPr>
              <w:t>4. </w:t>
            </w:r>
            <w:r>
              <w:rPr>
                <w:rFonts w:ascii="宋体" w:hAnsi="宋体" w:cs="宋体" w:eastAsia="宋体" w:hint="default"/>
                <w:sz w:val="18"/>
                <w:szCs w:val="18"/>
              </w:rPr>
              <w:t>为了强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化公司全球战略布局，参与全球企业通信服务市场，将公司的企业数据通信业务拓展到新一代</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w w:val="101"/>
                <w:sz w:val="18"/>
                <w:szCs w:val="18"/>
              </w:rPr>
              <w:t>基于</w:t>
            </w:r>
            <w:r>
              <w:rPr>
                <w:rFonts w:ascii="宋体" w:hAnsi="宋体" w:cs="宋体" w:eastAsia="宋体" w:hint="default"/>
                <w:spacing w:val="-44"/>
                <w:w w:val="101"/>
                <w:sz w:val="18"/>
                <w:szCs w:val="18"/>
              </w:rPr>
              <w:t> </w:t>
            </w:r>
            <w:r>
              <w:rPr>
                <w:rFonts w:ascii="Times New Roman" w:hAnsi="Times New Roman" w:cs="Times New Roman" w:eastAsia="Times New Roman" w:hint="default"/>
                <w:spacing w:val="-1"/>
                <w:w w:val="101"/>
                <w:sz w:val="18"/>
                <w:szCs w:val="18"/>
              </w:rPr>
              <w:t>SR</w:t>
            </w:r>
            <w:r>
              <w:rPr>
                <w:rFonts w:ascii="Times New Roman" w:hAnsi="Times New Roman" w:cs="Times New Roman" w:eastAsia="Times New Roman" w:hint="default"/>
                <w:w w:val="101"/>
                <w:sz w:val="18"/>
                <w:szCs w:val="18"/>
              </w:rPr>
              <w:t> </w:t>
            </w:r>
            <w:r>
              <w:rPr>
                <w:rFonts w:ascii="宋体" w:hAnsi="宋体" w:cs="宋体" w:eastAsia="宋体" w:hint="default"/>
                <w:spacing w:val="-2"/>
                <w:w w:val="101"/>
                <w:sz w:val="18"/>
                <w:szCs w:val="18"/>
              </w:rPr>
              <w:t>技术的</w:t>
            </w:r>
            <w:r>
              <w:rPr>
                <w:rFonts w:ascii="宋体" w:hAnsi="宋体" w:cs="宋体" w:eastAsia="宋体" w:hint="default"/>
                <w:spacing w:val="-44"/>
                <w:w w:val="101"/>
                <w:sz w:val="18"/>
                <w:szCs w:val="18"/>
              </w:rPr>
              <w:t> </w:t>
            </w:r>
            <w:r>
              <w:rPr>
                <w:rFonts w:ascii="Times New Roman" w:hAnsi="Times New Roman" w:cs="Times New Roman" w:eastAsia="Times New Roman" w:hint="default"/>
                <w:spacing w:val="-1"/>
                <w:w w:val="101"/>
                <w:sz w:val="18"/>
                <w:szCs w:val="18"/>
              </w:rPr>
              <w:t>SDN </w:t>
            </w:r>
            <w:r>
              <w:rPr>
                <w:rFonts w:ascii="宋体" w:hAnsi="宋体" w:cs="宋体" w:eastAsia="宋体" w:hint="default"/>
                <w:spacing w:val="-8"/>
                <w:w w:val="101"/>
                <w:sz w:val="18"/>
                <w:szCs w:val="18"/>
              </w:rPr>
              <w:t>服务领域，公司将原募投项目</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企业云统一通信</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w:t>
            </w:r>
            <w:r>
              <w:rPr>
                <w:rFonts w:ascii="Times New Roman" w:hAnsi="Times New Roman" w:cs="Times New Roman" w:eastAsia="Times New Roman" w:hint="default"/>
                <w:spacing w:val="-8"/>
                <w:w w:val="101"/>
                <w:sz w:val="18"/>
                <w:szCs w:val="18"/>
              </w:rPr>
              <w:t>“</w:t>
            </w:r>
            <w:r>
              <w:rPr>
                <w:rFonts w:ascii="宋体" w:hAnsi="宋体" w:cs="宋体" w:eastAsia="宋体" w:hint="default"/>
                <w:spacing w:val="-8"/>
                <w:w w:val="101"/>
                <w:sz w:val="18"/>
                <w:szCs w:val="18"/>
              </w:rPr>
              <w:t>全球华人移动通信业务</w:t>
            </w:r>
            <w:r>
              <w:rPr>
                <w:rFonts w:ascii="Times New Roman" w:hAnsi="Times New Roman" w:cs="Times New Roman" w:eastAsia="Times New Roman" w:hint="default"/>
                <w:spacing w:val="-8"/>
                <w:w w:val="101"/>
                <w:sz w:val="18"/>
                <w:szCs w:val="18"/>
              </w:rPr>
              <w:t>”</w:t>
            </w:r>
            <w:r>
              <w:rPr>
                <w:rFonts w:ascii="Times New Roman" w:hAnsi="Times New Roman" w:cs="Times New Roman" w:eastAsia="Times New Roman" w:hint="default"/>
                <w:spacing w:val="-32"/>
                <w:w w:val="101"/>
                <w:sz w:val="18"/>
                <w:szCs w:val="18"/>
              </w:rPr>
              <w:t> </w:t>
            </w:r>
            <w:r>
              <w:rPr>
                <w:rFonts w:ascii="宋体" w:hAnsi="宋体" w:cs="宋体" w:eastAsia="宋体" w:hint="default"/>
                <w:spacing w:val="-3"/>
                <w:sz w:val="18"/>
                <w:szCs w:val="18"/>
              </w:rPr>
              <w:t>终止后结余资金中的人民币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万元用于新募集资金投资项目</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基于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SDN-SR</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技术的企业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4"/>
                <w:sz w:val="18"/>
                <w:szCs w:val="18"/>
              </w:rPr>
              <w:t>全球数据专网服务项目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，新募集资金投资项目占本次募集资金总金额的比例为 </w:t>
            </w:r>
            <w:r>
              <w:rPr>
                <w:rFonts w:ascii="Times New Roman" w:hAnsi="Times New Roman" w:cs="Times New Roman" w:eastAsia="Times New Roman" w:hint="default"/>
                <w:spacing w:val="-7"/>
                <w:sz w:val="18"/>
                <w:szCs w:val="18"/>
              </w:rPr>
              <w:t>6.53%</w:t>
            </w:r>
            <w:r>
              <w:rPr>
                <w:rFonts w:ascii="宋体" w:hAnsi="宋体" w:cs="宋体" w:eastAsia="宋体" w:hint="default"/>
                <w:spacing w:val="-7"/>
                <w:sz w:val="18"/>
                <w:szCs w:val="18"/>
              </w:rPr>
              <w:t>。本次募</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4"/>
                <w:sz w:val="18"/>
                <w:szCs w:val="18"/>
              </w:rPr>
              <w:t>投变更事项已经公司第六届董事会第十三次会议、第六届监事会第十次会议、</w:t>
            </w:r>
            <w:r>
              <w:rPr>
                <w:rFonts w:ascii="Times New Roman" w:hAnsi="Times New Roman" w:cs="Times New Roman" w:eastAsia="Times New Roman" w:hint="default"/>
                <w:spacing w:val="-4"/>
                <w:sz w:val="18"/>
                <w:szCs w:val="18"/>
              </w:rPr>
              <w:t>2020 </w:t>
            </w:r>
            <w:r>
              <w:rPr>
                <w:rFonts w:ascii="宋体" w:hAnsi="宋体" w:cs="宋体" w:eastAsia="宋体" w:hint="default"/>
                <w:sz w:val="18"/>
                <w:szCs w:val="18"/>
              </w:rPr>
              <w:t>年第一次临</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3"/>
                <w:sz w:val="18"/>
                <w:szCs w:val="18"/>
              </w:rPr>
              <w:t>时股东大会审议通过，履行了必要的审批程序，符合中国证券监督管理委员会、深圳证券交易</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所关于上市公司募集资金使用的有关规定。同时，保荐机构亦对本次变更募投项目事项发表了</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意见，认为本次变更募投项目是公司根据市场形势的变化和未来发展战略需要而做出的调整，</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有利于提高公司募集资金使用效率，提高公司长期效益，符合公司和全体股东利益，不存在损</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害公司和中小股东合法利益的情况，保荐机构对公司就本次变更募投项目的事项无异议。</w:t>
            </w:r>
          </w:p>
        </w:tc>
      </w:tr>
    </w:tbl>
    <w:p>
      <w:pPr>
        <w:spacing w:after="0" w:line="309" w:lineRule="auto"/>
        <w:jc w:val="left"/>
        <w:rPr>
          <w:rFonts w:ascii="宋体" w:hAnsi="宋体" w:cs="宋体" w:eastAsia="宋体" w:hint="default"/>
          <w:sz w:val="18"/>
          <w:szCs w:val="18"/>
        </w:rPr>
        <w:sectPr>
          <w:pgSz w:w="11910" w:h="16840"/>
          <w:pgMar w:header="914" w:footer="1022" w:top="1120" w:bottom="1220" w:left="60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3347"/>
        <w:gridCol w:w="7054"/>
      </w:tblGrid>
      <w:tr>
        <w:trPr>
          <w:trHeight w:val="3332" w:hRule="exact"/>
        </w:trPr>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3"/>
              <w:ind w:left="105" w:right="166"/>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未达到计划进度或预计收益的情况和原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7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收购上海奈盛通信科技有限公司</w:t>
            </w:r>
            <w:r>
              <w:rPr>
                <w:rFonts w:ascii="宋体" w:hAnsi="宋体" w:cs="宋体" w:eastAsia="宋体" w:hint="default"/>
                <w:spacing w:val="-32"/>
                <w:sz w:val="18"/>
                <w:szCs w:val="18"/>
              </w:rPr>
              <w:t> </w:t>
            </w:r>
            <w:r>
              <w:rPr>
                <w:rFonts w:ascii="Times New Roman" w:hAnsi="Times New Roman" w:cs="Times New Roman" w:eastAsia="Times New Roman" w:hint="default"/>
                <w:spacing w:val="-6"/>
                <w:sz w:val="18"/>
                <w:szCs w:val="18"/>
              </w:rPr>
              <w:t>51%</w:t>
            </w:r>
            <w:r>
              <w:rPr>
                <w:rFonts w:ascii="宋体" w:hAnsi="宋体" w:cs="宋体" w:eastAsia="宋体" w:hint="default"/>
                <w:spacing w:val="-6"/>
                <w:sz w:val="18"/>
                <w:szCs w:val="18"/>
              </w:rPr>
              <w:t>股权项目：截至</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3"/>
                <w:sz w:val="18"/>
                <w:szCs w:val="18"/>
              </w:rPr>
              <w:t> </w:t>
            </w:r>
            <w:r>
              <w:rPr>
                <w:rFonts w:ascii="宋体" w:hAnsi="宋体" w:cs="宋体" w:eastAsia="宋体" w:hint="default"/>
                <w:spacing w:val="-7"/>
                <w:sz w:val="18"/>
                <w:szCs w:val="18"/>
              </w:rPr>
              <w:t>日，累计确认投</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资损失为人民币 </w:t>
            </w:r>
            <w:r>
              <w:rPr>
                <w:rFonts w:ascii="Times New Roman" w:hAnsi="Times New Roman" w:cs="Times New Roman" w:eastAsia="Times New Roman" w:hint="default"/>
                <w:sz w:val="18"/>
                <w:szCs w:val="18"/>
              </w:rPr>
              <w:t>1,400.91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万元，项目效益较预期差的原因如下：</w:t>
            </w:r>
          </w:p>
          <w:p>
            <w:pPr>
              <w:pStyle w:val="TableParagraph"/>
              <w:spacing w:line="307" w:lineRule="auto" w:before="101"/>
              <w:ind w:left="105" w:right="8"/>
              <w:jc w:val="left"/>
              <w:rPr>
                <w:rFonts w:ascii="宋体" w:hAnsi="宋体" w:cs="宋体" w:eastAsia="宋体" w:hint="default"/>
                <w:sz w:val="18"/>
                <w:szCs w:val="18"/>
              </w:rPr>
            </w:pPr>
            <w:r>
              <w:rPr>
                <w:rFonts w:ascii="宋体" w:hAnsi="宋体" w:cs="宋体" w:eastAsia="宋体" w:hint="default"/>
                <w:spacing w:val="-3"/>
                <w:sz w:val="18"/>
                <w:szCs w:val="18"/>
              </w:rPr>
              <w:t>由于行业主管部门对于申请主体中有外资成分的情况审核较为严苛，原计划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年底</w:t>
            </w:r>
            <w:r>
              <w:rPr>
                <w:rFonts w:ascii="宋体" w:hAnsi="宋体" w:cs="宋体" w:eastAsia="宋体" w:hint="default"/>
                <w:spacing w:val="-33"/>
                <w:sz w:val="18"/>
                <w:szCs w:val="18"/>
              </w:rPr>
              <w:t> </w:t>
            </w:r>
            <w:r>
              <w:rPr>
                <w:rFonts w:ascii="宋体" w:hAnsi="宋体" w:cs="宋体" w:eastAsia="宋体" w:hint="default"/>
                <w:sz w:val="18"/>
                <w:szCs w:val="18"/>
              </w:rPr>
              <w:t>获得</w:t>
            </w:r>
            <w:r>
              <w:rPr>
                <w:rFonts w:ascii="宋体" w:hAnsi="宋体" w:cs="宋体" w:eastAsia="宋体" w:hint="default"/>
                <w:spacing w:val="-35"/>
                <w:sz w:val="18"/>
                <w:szCs w:val="18"/>
              </w:rPr>
              <w:t> </w:t>
            </w:r>
            <w:r>
              <w:rPr>
                <w:rFonts w:ascii="Times New Roman" w:hAnsi="Times New Roman" w:cs="Times New Roman" w:eastAsia="Times New Roman" w:hint="default"/>
                <w:spacing w:val="-4"/>
                <w:sz w:val="18"/>
                <w:szCs w:val="18"/>
              </w:rPr>
              <w:t>IDC</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牌照的设想未能实现。直至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月下旬，上海奈盛公司才获得</w:t>
            </w:r>
            <w:r>
              <w:rPr>
                <w:rFonts w:ascii="宋体" w:hAnsi="宋体" w:cs="宋体" w:eastAsia="宋体" w:hint="default"/>
                <w:spacing w:val="-35"/>
                <w:sz w:val="18"/>
                <w:szCs w:val="18"/>
              </w:rPr>
              <w:t> </w:t>
            </w:r>
            <w:r>
              <w:rPr>
                <w:rFonts w:ascii="Times New Roman" w:hAnsi="Times New Roman" w:cs="Times New Roman" w:eastAsia="Times New Roman" w:hint="default"/>
                <w:spacing w:val="-4"/>
                <w:sz w:val="18"/>
                <w:szCs w:val="18"/>
              </w:rPr>
              <w:t>IDC</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牌照，</w:t>
            </w:r>
            <w:r>
              <w:rPr>
                <w:rFonts w:ascii="宋体" w:hAnsi="宋体" w:cs="宋体" w:eastAsia="宋体" w:hint="default"/>
                <w:spacing w:val="-84"/>
                <w:sz w:val="18"/>
                <w:szCs w:val="18"/>
              </w:rPr>
              <w:t> </w:t>
            </w:r>
            <w:r>
              <w:rPr>
                <w:rFonts w:ascii="宋体" w:hAnsi="宋体" w:cs="宋体" w:eastAsia="宋体" w:hint="default"/>
                <w:spacing w:val="-3"/>
                <w:sz w:val="18"/>
                <w:szCs w:val="18"/>
              </w:rPr>
              <w:t>比预计迟延了半年的时间，造成上海奈盛公司正式开展业务时间的延后，使得投资效益</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未达到预期。</w:t>
            </w:r>
          </w:p>
          <w:p>
            <w:pPr>
              <w:pStyle w:val="TableParagraph"/>
              <w:spacing w:line="304" w:lineRule="auto" w:before="59"/>
              <w:ind w:left="105"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云视频服务项目：截至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日，累计确认投资损失为人民币</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20.74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项目效益较预期差的原因是：</w:t>
            </w:r>
          </w:p>
          <w:p>
            <w:pPr>
              <w:pStyle w:val="TableParagraph"/>
              <w:spacing w:line="321" w:lineRule="auto" w:before="62"/>
              <w:ind w:left="105" w:right="95"/>
              <w:jc w:val="left"/>
              <w:rPr>
                <w:rFonts w:ascii="宋体" w:hAnsi="宋体" w:cs="宋体" w:eastAsia="宋体" w:hint="default"/>
                <w:sz w:val="18"/>
                <w:szCs w:val="18"/>
              </w:rPr>
            </w:pPr>
            <w:r>
              <w:rPr>
                <w:rFonts w:ascii="宋体" w:hAnsi="宋体" w:cs="宋体" w:eastAsia="宋体" w:hint="default"/>
                <w:spacing w:val="-3"/>
                <w:sz w:val="18"/>
                <w:szCs w:val="18"/>
              </w:rPr>
              <w:t>由于参与项目的人员较计划增加，因此按人数分摊的房租及水电费用增加，使得投资支</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出高于原效益预测。</w:t>
            </w:r>
          </w:p>
        </w:tc>
      </w:tr>
      <w:tr>
        <w:trPr>
          <w:trHeight w:val="715" w:hRule="exact"/>
        </w:trPr>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3"/>
                <w:sz w:val="18"/>
                <w:szCs w:val="18"/>
              </w:rPr>
              <w:t>变更后的项目可行性发生重大变化的情</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况说明</w:t>
            </w:r>
          </w:p>
        </w:tc>
        <w:tc>
          <w:tcPr>
            <w:tcW w:w="7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Times New Roman" w:hAnsi="Times New Roman" w:cs="Times New Roman" w:eastAsia="Times New Roman" w:hint="default"/>
          <w:sz w:val="20"/>
          <w:szCs w:val="20"/>
        </w:rPr>
      </w:pPr>
    </w:p>
    <w:p>
      <w:pPr>
        <w:pStyle w:val="Heading2"/>
        <w:spacing w:line="240" w:lineRule="auto" w:before="26"/>
        <w:ind w:left="493" w:right="7211"/>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493" w:right="7211"/>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left="493" w:right="721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公司报告期未出售重大资产。</w:t>
      </w:r>
    </w:p>
    <w:p>
      <w:pPr>
        <w:spacing w:line="240" w:lineRule="auto" w:before="8"/>
        <w:rPr>
          <w:rFonts w:ascii="宋体" w:hAnsi="宋体" w:cs="宋体" w:eastAsia="宋体" w:hint="default"/>
          <w:sz w:val="20"/>
          <w:szCs w:val="20"/>
        </w:rPr>
      </w:pPr>
    </w:p>
    <w:p>
      <w:pPr>
        <w:pStyle w:val="Heading4"/>
        <w:spacing w:line="240" w:lineRule="auto"/>
        <w:ind w:left="493" w:right="7211"/>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493" w:right="721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914" w:footer="1022" w:top="1120" w:bottom="1220" w:left="640" w:right="0"/>
        </w:sectPr>
      </w:pPr>
    </w:p>
    <w:p>
      <w:pPr>
        <w:spacing w:line="240" w:lineRule="auto" w:before="9"/>
        <w:rPr>
          <w:rFonts w:ascii="宋体" w:hAnsi="宋体" w:cs="宋体" w:eastAsia="宋体" w:hint="default"/>
          <w:sz w:val="17"/>
          <w:szCs w:val="17"/>
        </w:rPr>
      </w:pPr>
    </w:p>
    <w:p>
      <w:pPr>
        <w:pStyle w:val="Heading2"/>
        <w:spacing w:line="240" w:lineRule="auto" w:before="26"/>
        <w:ind w:left="273" w:right="1131"/>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914" w:footer="1022" w:top="1120" w:bottom="1220" w:left="860" w:right="0"/>
        </w:sectPr>
      </w:pPr>
    </w:p>
    <w:p>
      <w:pPr>
        <w:pStyle w:val="BodyText"/>
        <w:spacing w:line="240" w:lineRule="auto" w:before="46"/>
        <w:ind w:left="273" w:right="-1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2"/>
        <w:ind w:left="273" w:right="-16"/>
        <w:jc w:val="left"/>
      </w:pPr>
      <w:r>
        <w:rPr/>
        <w:t>主要子公司及对公司净利润影响达</w:t>
      </w:r>
      <w:r>
        <w:rPr>
          <w:spacing w:val="-8"/>
        </w:rPr>
        <w:t> </w:t>
      </w:r>
      <w:r>
        <w:rPr>
          <w:rFonts w:ascii="Times New Roman" w:hAnsi="Times New Roman" w:cs="Times New Roman" w:eastAsia="Times New Roman" w:hint="default"/>
          <w:spacing w:val="-3"/>
        </w:rPr>
        <w:t>10%</w:t>
      </w:r>
      <w:r>
        <w:rPr>
          <w:spacing w:val="-3"/>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273" w:right="0"/>
        <w:jc w:val="left"/>
      </w:pPr>
      <w:r>
        <w:rPr/>
        <w:t>单位：元</w:t>
      </w:r>
    </w:p>
    <w:p>
      <w:pPr>
        <w:spacing w:after="0" w:line="240" w:lineRule="auto"/>
        <w:jc w:val="left"/>
        <w:sectPr>
          <w:type w:val="continuous"/>
          <w:pgSz w:w="11910" w:h="16840"/>
          <w:pgMar w:top="1100" w:bottom="1220" w:left="860" w:right="0"/>
          <w:cols w:num="2" w:equalWidth="0">
            <w:col w:w="4974" w:space="3948"/>
            <w:col w:w="2128"/>
          </w:cols>
        </w:sectPr>
      </w:pPr>
    </w:p>
    <w:p>
      <w:pPr>
        <w:spacing w:line="240" w:lineRule="auto" w:before="13"/>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917"/>
        <w:gridCol w:w="663"/>
        <w:gridCol w:w="826"/>
        <w:gridCol w:w="720"/>
        <w:gridCol w:w="1349"/>
        <w:gridCol w:w="1397"/>
        <w:gridCol w:w="1364"/>
        <w:gridCol w:w="1383"/>
        <w:gridCol w:w="1354"/>
      </w:tblGrid>
      <w:tr>
        <w:trPr>
          <w:trHeight w:val="715" w:hRule="exact"/>
        </w:trPr>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64" w:right="175" w:hanging="178"/>
              <w:jc w:val="left"/>
              <w:rPr>
                <w:rFonts w:ascii="宋体" w:hAnsi="宋体" w:cs="宋体" w:eastAsia="宋体" w:hint="default"/>
                <w:sz w:val="18"/>
                <w:szCs w:val="18"/>
              </w:rPr>
            </w:pPr>
            <w:r>
              <w:rPr>
                <w:rFonts w:ascii="宋体" w:hAnsi="宋体" w:cs="宋体" w:eastAsia="宋体" w:hint="default"/>
                <w:sz w:val="18"/>
                <w:szCs w:val="18"/>
              </w:rPr>
              <w:t>公司名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44" w:right="143"/>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类型</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1" w:right="132" w:hanging="183"/>
              <w:jc w:val="left"/>
              <w:rPr>
                <w:rFonts w:ascii="宋体" w:hAnsi="宋体" w:cs="宋体" w:eastAsia="宋体" w:hint="default"/>
                <w:sz w:val="18"/>
                <w:szCs w:val="18"/>
              </w:rPr>
            </w:pPr>
            <w:r>
              <w:rPr>
                <w:rFonts w:ascii="宋体" w:hAnsi="宋体" w:cs="宋体" w:eastAsia="宋体" w:hint="default"/>
                <w:sz w:val="18"/>
                <w:szCs w:val="18"/>
              </w:rPr>
              <w:t>主要业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77" w:right="167"/>
              <w:jc w:val="left"/>
              <w:rPr>
                <w:rFonts w:ascii="宋体" w:hAnsi="宋体" w:cs="宋体" w:eastAsia="宋体" w:hint="default"/>
                <w:sz w:val="18"/>
                <w:szCs w:val="18"/>
              </w:rPr>
            </w:pPr>
            <w:r>
              <w:rPr>
                <w:rFonts w:ascii="宋体" w:hAnsi="宋体" w:cs="宋体" w:eastAsia="宋体" w:hint="default"/>
                <w:sz w:val="18"/>
                <w:szCs w:val="18"/>
              </w:rPr>
              <w:t>注册</w:t>
            </w:r>
            <w:r>
              <w:rPr>
                <w:rFonts w:ascii="宋体" w:hAnsi="宋体" w:cs="宋体" w:eastAsia="宋体" w:hint="default"/>
                <w:spacing w:val="-86"/>
                <w:sz w:val="18"/>
                <w:szCs w:val="18"/>
              </w:rPr>
              <w:t> </w:t>
            </w:r>
            <w:r>
              <w:rPr>
                <w:rFonts w:ascii="宋体" w:hAnsi="宋体" w:cs="宋体" w:eastAsia="宋体" w:hint="default"/>
                <w:sz w:val="18"/>
                <w:szCs w:val="18"/>
              </w:rPr>
              <w:t>资本</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647"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57"/>
              <w:jc w:val="both"/>
              <w:rPr>
                <w:rFonts w:ascii="宋体" w:hAnsi="宋体" w:cs="宋体" w:eastAsia="宋体" w:hint="default"/>
                <w:sz w:val="18"/>
                <w:szCs w:val="18"/>
              </w:rPr>
            </w:pPr>
            <w:r>
              <w:rPr>
                <w:rFonts w:ascii="宋体" w:hAnsi="宋体" w:cs="宋体" w:eastAsia="宋体" w:hint="default"/>
                <w:sz w:val="18"/>
                <w:szCs w:val="18"/>
              </w:rPr>
              <w:t>北京二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六三企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业通信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6" w:right="180"/>
              <w:jc w:val="left"/>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云</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通信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681,327,308.90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440,352,070.12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279,273,001.87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53,715,506.11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51,042,150.55</w:t>
            </w:r>
          </w:p>
        </w:tc>
      </w:tr>
      <w:tr>
        <w:trPr>
          <w:trHeight w:val="1652"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57"/>
              <w:jc w:val="both"/>
              <w:rPr>
                <w:rFonts w:ascii="宋体" w:hAnsi="宋体" w:cs="宋体" w:eastAsia="宋体" w:hint="default"/>
                <w:sz w:val="18"/>
                <w:szCs w:val="18"/>
              </w:rPr>
            </w:pPr>
            <w:r>
              <w:rPr>
                <w:rFonts w:ascii="宋体" w:hAnsi="宋体" w:cs="宋体" w:eastAsia="宋体" w:hint="default"/>
                <w:sz w:val="18"/>
                <w:szCs w:val="18"/>
              </w:rPr>
              <w:t>北京二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六三网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络科技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06" w:right="180"/>
              <w:jc w:val="left"/>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40" w:lineRule="auto"/>
              <w:ind w:left="105" w:right="17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VoIP</w:t>
            </w:r>
            <w:r>
              <w:rPr>
                <w:rFonts w:ascii="宋体" w:hAnsi="宋体" w:cs="宋体" w:eastAsia="宋体" w:hint="default"/>
                <w:spacing w:val="-8"/>
                <w:sz w:val="18"/>
                <w:szCs w:val="18"/>
              </w:rPr>
              <w:t>、</w:t>
            </w:r>
            <w:r>
              <w:rPr>
                <w:rFonts w:ascii="宋体" w:hAnsi="宋体" w:cs="宋体" w:eastAsia="宋体" w:hint="default"/>
                <w:spacing w:val="-80"/>
                <w:sz w:val="18"/>
                <w:szCs w:val="18"/>
              </w:rPr>
              <w:t> </w:t>
            </w:r>
            <w:r>
              <w:rPr>
                <w:rFonts w:ascii="Times New Roman" w:hAnsi="Times New Roman" w:cs="Times New Roman" w:eastAsia="Times New Roman" w:hint="default"/>
                <w:spacing w:val="-3"/>
                <w:sz w:val="18"/>
                <w:szCs w:val="18"/>
              </w:rPr>
              <w:t>IPTV</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21,000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859,049,482.08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737,754,884.44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371,360,893.41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15,234,349.46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13,162,824.25</w:t>
            </w:r>
          </w:p>
        </w:tc>
      </w:tr>
      <w:tr>
        <w:trPr>
          <w:trHeight w:val="1340"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57"/>
              <w:jc w:val="both"/>
              <w:rPr>
                <w:rFonts w:ascii="宋体" w:hAnsi="宋体" w:cs="宋体" w:eastAsia="宋体" w:hint="default"/>
                <w:sz w:val="18"/>
                <w:szCs w:val="18"/>
              </w:rPr>
            </w:pPr>
            <w:r>
              <w:rPr>
                <w:rFonts w:ascii="宋体" w:hAnsi="宋体" w:cs="宋体" w:eastAsia="宋体" w:hint="default"/>
                <w:sz w:val="18"/>
                <w:szCs w:val="18"/>
              </w:rPr>
              <w:t>上海二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六三通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06" w:right="180"/>
              <w:jc w:val="left"/>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VPN</w:t>
            </w:r>
            <w:r>
              <w:rPr>
                <w:rFonts w:ascii="宋体" w:hAnsi="宋体" w:cs="宋体" w:eastAsia="宋体" w:hint="default"/>
                <w:sz w:val="18"/>
                <w:szCs w:val="18"/>
              </w:rPr>
              <w:t>、</w:t>
            </w:r>
          </w:p>
          <w:p>
            <w:pPr>
              <w:pStyle w:val="TableParagraph"/>
              <w:spacing w:line="304" w:lineRule="auto" w:before="58"/>
              <w:ind w:left="105" w:right="161"/>
              <w:jc w:val="left"/>
              <w:rPr>
                <w:rFonts w:ascii="宋体" w:hAnsi="宋体" w:cs="宋体" w:eastAsia="宋体" w:hint="default"/>
                <w:sz w:val="18"/>
                <w:szCs w:val="18"/>
              </w:rPr>
            </w:pPr>
            <w:r>
              <w:rPr>
                <w:rFonts w:ascii="Times New Roman" w:hAnsi="Times New Roman" w:cs="Times New Roman" w:eastAsia="Times New Roman" w:hint="default"/>
                <w:spacing w:val="-27"/>
                <w:sz w:val="18"/>
                <w:szCs w:val="18"/>
              </w:rPr>
              <w:t>IDC</w:t>
            </w:r>
            <w:r>
              <w:rPr>
                <w:rFonts w:ascii="宋体" w:hAnsi="宋体" w:cs="宋体" w:eastAsia="宋体" w:hint="default"/>
                <w:spacing w:val="-27"/>
                <w:sz w:val="18"/>
                <w:szCs w:val="18"/>
              </w:rPr>
              <w:t>、增</w:t>
            </w:r>
            <w:r>
              <w:rPr>
                <w:rFonts w:ascii="宋体" w:hAnsi="宋体" w:cs="宋体" w:eastAsia="宋体" w:hint="default"/>
                <w:spacing w:val="-81"/>
                <w:sz w:val="18"/>
                <w:szCs w:val="18"/>
              </w:rPr>
              <w:t> </w:t>
            </w:r>
            <w:r>
              <w:rPr>
                <w:rFonts w:ascii="宋体" w:hAnsi="宋体" w:cs="宋体" w:eastAsia="宋体" w:hint="default"/>
                <w:sz w:val="18"/>
                <w:szCs w:val="18"/>
              </w:rPr>
              <w:t>值通信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680,541,084.89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466,032,886.88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329,374,074.98</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37,010,744.03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2"/>
                <w:sz w:val="18"/>
              </w:rPr>
              <w:t>48,571,011.73</w:t>
            </w:r>
          </w:p>
        </w:tc>
      </w:tr>
      <w:tr>
        <w:trPr>
          <w:trHeight w:val="1652" w:hRule="exact"/>
        </w:trPr>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57"/>
              <w:jc w:val="both"/>
              <w:rPr>
                <w:rFonts w:ascii="宋体" w:hAnsi="宋体" w:cs="宋体" w:eastAsia="宋体" w:hint="default"/>
                <w:sz w:val="18"/>
                <w:szCs w:val="18"/>
              </w:rPr>
            </w:pPr>
            <w:r>
              <w:rPr>
                <w:rFonts w:ascii="宋体" w:hAnsi="宋体" w:cs="宋体" w:eastAsia="宋体" w:hint="default"/>
                <w:sz w:val="18"/>
                <w:szCs w:val="18"/>
              </w:rPr>
              <w:t>广州二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六三移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动通信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4" w:lineRule="auto"/>
              <w:ind w:left="106" w:right="180"/>
              <w:jc w:val="left"/>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MVNO</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114,229,055.51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64,424,363.19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59,394,991.81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-71,964,383.52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-71,612,559.00</w:t>
            </w:r>
          </w:p>
        </w:tc>
      </w:tr>
    </w:tbl>
    <w:p>
      <w:pPr>
        <w:pStyle w:val="BodyText"/>
        <w:spacing w:line="240" w:lineRule="auto" w:before="53"/>
        <w:ind w:left="273" w:right="1131"/>
        <w:jc w:val="left"/>
      </w:pPr>
      <w:r>
        <w:rPr>
          <w:spacing w:val="-3"/>
        </w:rPr>
        <w:t>报告期内取得和处置子公司的情况</w:t>
      </w:r>
    </w:p>
    <w:p>
      <w:pPr>
        <w:pStyle w:val="BodyText"/>
        <w:spacing w:line="240" w:lineRule="auto" w:before="115"/>
        <w:ind w:left="273" w:right="113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287" w:type="dxa"/>
        <w:tblLayout w:type="fixed"/>
        <w:tblCellMar>
          <w:top w:w="0" w:type="dxa"/>
          <w:left w:w="0" w:type="dxa"/>
          <w:bottom w:w="0" w:type="dxa"/>
          <w:right w:w="0" w:type="dxa"/>
        </w:tblCellMar>
        <w:tblLook w:val="01E0"/>
      </w:tblPr>
      <w:tblGrid>
        <w:gridCol w:w="3150"/>
        <w:gridCol w:w="3280"/>
        <w:gridCol w:w="3280"/>
      </w:tblGrid>
      <w:tr>
        <w:trPr>
          <w:trHeight w:val="399" w:hRule="exact"/>
        </w:trPr>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0"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r>
        <w:trPr>
          <w:trHeight w:val="403"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展动科技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pacing w:val="-3"/>
                <w:sz w:val="18"/>
                <w:szCs w:val="18"/>
              </w:rPr>
              <w:t>被北京展视互动科技有限公司吸收合并</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pStyle w:val="BodyText"/>
        <w:spacing w:line="240" w:lineRule="auto" w:before="53"/>
        <w:ind w:left="273" w:right="1131"/>
        <w:jc w:val="left"/>
      </w:pPr>
      <w:r>
        <w:rPr>
          <w:spacing w:val="-3"/>
        </w:rPr>
        <w:t>主要控股参股公司情况说明</w:t>
      </w:r>
    </w:p>
    <w:p>
      <w:pPr>
        <w:pStyle w:val="BodyText"/>
        <w:spacing w:line="304" w:lineRule="auto" w:before="115"/>
        <w:ind w:left="273" w:right="1131"/>
        <w:jc w:val="left"/>
      </w:pPr>
      <w:r>
        <w:rPr>
          <w:spacing w:val="-4"/>
          <w:w w:val="101"/>
        </w:rPr>
        <w:t>北京二六三网络科技有限公司本年净利润较上年减少</w:t>
      </w:r>
      <w:r>
        <w:rPr>
          <w:rFonts w:ascii="Times New Roman" w:hAnsi="Times New Roman" w:cs="Times New Roman" w:eastAsia="Times New Roman" w:hint="default"/>
          <w:spacing w:val="-4"/>
          <w:w w:val="101"/>
        </w:rPr>
        <w:t>74.23%</w:t>
      </w:r>
      <w:r>
        <w:rPr>
          <w:spacing w:val="-4"/>
          <w:w w:val="101"/>
        </w:rPr>
        <w:t>，主要系本报告期预计</w:t>
      </w:r>
      <w:r>
        <w:rPr>
          <w:rFonts w:ascii="Times New Roman" w:hAnsi="Times New Roman" w:cs="Times New Roman" w:eastAsia="Times New Roman" w:hint="default"/>
          <w:spacing w:val="-4"/>
          <w:w w:val="101"/>
        </w:rPr>
        <w:t>IQIYI</w:t>
      </w:r>
      <w:r>
        <w:rPr>
          <w:spacing w:val="-4"/>
          <w:w w:val="101"/>
        </w:rPr>
        <w:t>案件诉讼损失及律师费</w:t>
      </w:r>
      <w:r>
        <w:rPr>
          <w:rFonts w:ascii="Times New Roman" w:hAnsi="Times New Roman" w:cs="Times New Roman" w:eastAsia="Times New Roman" w:hint="default"/>
          <w:spacing w:val="-4"/>
          <w:w w:val="101"/>
        </w:rPr>
        <w:t>1,617.43</w:t>
      </w:r>
      <w:r>
        <w:rPr>
          <w:spacing w:val="-4"/>
          <w:w w:val="101"/>
        </w:rPr>
        <w:t>万元</w:t>
      </w:r>
      <w:r>
        <w:rPr>
          <w:spacing w:val="-67"/>
          <w:w w:val="101"/>
        </w:rPr>
        <w:t> </w:t>
      </w:r>
      <w:r>
        <w:rPr/>
        <w:t>所致。</w:t>
      </w:r>
      <w:r>
        <w:rPr>
          <w:spacing w:val="-88"/>
        </w:rPr>
        <w:t> </w:t>
      </w:r>
      <w:r>
        <w:rPr>
          <w:spacing w:val="-88"/>
        </w:rPr>
      </w:r>
      <w:r>
        <w:rPr>
          <w:spacing w:val="-3"/>
        </w:rPr>
        <w:t>上海二六三通信有限公司本年净利润较上年增加</w:t>
      </w:r>
      <w:r>
        <w:rPr>
          <w:rFonts w:ascii="Times New Roman" w:hAnsi="Times New Roman" w:cs="Times New Roman" w:eastAsia="Times New Roman" w:hint="default"/>
          <w:spacing w:val="-3"/>
        </w:rPr>
        <w:t>487.14%</w:t>
      </w:r>
      <w:r>
        <w:rPr>
          <w:spacing w:val="-3"/>
        </w:rPr>
        <w:t>，主要系深圳日升和</w:t>
      </w:r>
      <w:r>
        <w:rPr>
          <w:rFonts w:ascii="Times New Roman" w:hAnsi="Times New Roman" w:cs="Times New Roman" w:eastAsia="Times New Roman" w:hint="default"/>
          <w:spacing w:val="-3"/>
        </w:rPr>
        <w:t>263</w:t>
      </w:r>
      <w:r>
        <w:rPr>
          <w:spacing w:val="-3"/>
        </w:rPr>
        <w:t>环球通信本期全部业绩纳入合并范围，而 </w:t>
      </w:r>
      <w:r>
        <w:rPr/>
        <w:t>上年同期仅合并深圳日升</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月业绩、</w:t>
      </w:r>
      <w:r>
        <w:rPr>
          <w:rFonts w:ascii="Times New Roman" w:hAnsi="Times New Roman" w:cs="Times New Roman" w:eastAsia="Times New Roman" w:hint="default"/>
        </w:rPr>
        <w:t>263</w:t>
      </w:r>
      <w:r>
        <w:rPr/>
        <w:t>环球通信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月业绩所致。</w:t>
      </w:r>
      <w:r>
        <w:rPr>
          <w:w w:val="101"/>
        </w:rPr>
        <w:t> </w:t>
      </w:r>
      <w:r>
        <w:rPr>
          <w:spacing w:val="-3"/>
        </w:rPr>
        <w:t>广州二六三移动通信有限公司本年净利润较上年减少</w:t>
      </w:r>
      <w:r>
        <w:rPr>
          <w:rFonts w:ascii="Times New Roman" w:hAnsi="Times New Roman" w:cs="Times New Roman" w:eastAsia="Times New Roman" w:hint="default"/>
          <w:spacing w:val="-3"/>
        </w:rPr>
        <w:t>478.98%</w:t>
      </w:r>
      <w:r>
        <w:rPr>
          <w:spacing w:val="-3"/>
        </w:rPr>
        <w:t>，主要系本报告期计提商誉减值损失所致。</w:t>
      </w:r>
    </w:p>
    <w:p>
      <w:pPr>
        <w:spacing w:line="240" w:lineRule="auto" w:before="7"/>
        <w:rPr>
          <w:rFonts w:ascii="宋体" w:hAnsi="宋体" w:cs="宋体" w:eastAsia="宋体" w:hint="default"/>
          <w:sz w:val="19"/>
          <w:szCs w:val="19"/>
        </w:rPr>
      </w:pPr>
    </w:p>
    <w:p>
      <w:pPr>
        <w:pStyle w:val="Heading2"/>
        <w:spacing w:line="240" w:lineRule="auto"/>
        <w:ind w:left="273" w:right="1131"/>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273" w:right="113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type w:val="continuous"/>
          <w:pgSz w:w="11910" w:h="16840"/>
          <w:pgMar w:top="1100" w:bottom="1220" w:left="860" w:right="0"/>
        </w:sectPr>
      </w:pPr>
    </w:p>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153" w:right="0"/>
        <w:jc w:val="left"/>
      </w:pPr>
      <w:r>
        <w:rPr>
          <w:rFonts w:ascii="Times New Roman" w:hAnsi="Times New Roman" w:cs="Times New Roman" w:eastAsia="Times New Roman" w:hint="default"/>
        </w:rPr>
        <w:t>1</w:t>
      </w:r>
      <w:r>
        <w:rPr/>
        <w:t>、行业发展趋势</w:t>
      </w:r>
    </w:p>
    <w:p>
      <w:pPr>
        <w:pStyle w:val="BodyText"/>
        <w:spacing w:line="300" w:lineRule="auto" w:before="63"/>
        <w:ind w:left="513" w:right="1122"/>
        <w:jc w:val="left"/>
      </w:pPr>
      <w:r>
        <w:rPr>
          <w:spacing w:val="-3"/>
        </w:rPr>
        <w:t>（</w:t>
      </w:r>
      <w:r>
        <w:rPr>
          <w:rFonts w:ascii="Times New Roman" w:hAnsi="Times New Roman" w:cs="Times New Roman" w:eastAsia="Times New Roman" w:hint="default"/>
          <w:spacing w:val="-3"/>
        </w:rPr>
        <w:t>1</w:t>
      </w:r>
      <w:r>
        <w:rPr>
          <w:spacing w:val="-3"/>
        </w:rPr>
        <w:t>）第五代移动通信技术（</w:t>
      </w:r>
      <w:r>
        <w:rPr>
          <w:rFonts w:ascii="Times New Roman" w:hAnsi="Times New Roman" w:cs="Times New Roman" w:eastAsia="Times New Roman" w:hint="default"/>
          <w:spacing w:val="-3"/>
        </w:rPr>
        <w:t>5G</w:t>
      </w:r>
      <w:r>
        <w:rPr>
          <w:spacing w:val="-3"/>
        </w:rPr>
        <w:t>）的发展对公司业务的促进</w:t>
      </w:r>
      <w:r>
        <w:rPr>
          <w:spacing w:val="-11"/>
        </w:rPr>
        <w:t> </w:t>
      </w:r>
      <w:r>
        <w:rPr>
          <w:spacing w:val="-11"/>
        </w:rPr>
      </w:r>
      <w:r>
        <w:rPr>
          <w:spacing w:val="-3"/>
        </w:rPr>
        <w:t>工信部</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31</w:t>
      </w:r>
      <w:r>
        <w:rPr>
          <w:spacing w:val="-3"/>
        </w:rPr>
        <w:t>日宣布中国</w:t>
      </w:r>
      <w:r>
        <w:rPr>
          <w:rFonts w:ascii="Times New Roman" w:hAnsi="Times New Roman" w:cs="Times New Roman" w:eastAsia="Times New Roman" w:hint="default"/>
          <w:spacing w:val="-3"/>
        </w:rPr>
        <w:t>5G</w:t>
      </w:r>
      <w:r>
        <w:rPr>
          <w:spacing w:val="-3"/>
        </w:rPr>
        <w:t>商用正式启动，预计</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-2025</w:t>
      </w:r>
      <w:r>
        <w:rPr>
          <w:spacing w:val="-3"/>
        </w:rPr>
        <w:t>年，中国</w:t>
      </w:r>
      <w:r>
        <w:rPr>
          <w:rFonts w:ascii="Times New Roman" w:hAnsi="Times New Roman" w:cs="Times New Roman" w:eastAsia="Times New Roman" w:hint="default"/>
          <w:spacing w:val="-3"/>
        </w:rPr>
        <w:t>5G</w:t>
      </w:r>
      <w:r>
        <w:rPr>
          <w:spacing w:val="-3"/>
        </w:rPr>
        <w:t>通信将迎来爆发式增长，并最终实现普</w:t>
      </w:r>
    </w:p>
    <w:p>
      <w:pPr>
        <w:pStyle w:val="BodyText"/>
        <w:spacing w:line="240" w:lineRule="auto" w:before="13"/>
        <w:ind w:left="153" w:right="0"/>
        <w:jc w:val="left"/>
      </w:pPr>
      <w:r>
        <w:rPr>
          <w:spacing w:val="-3"/>
        </w:rPr>
        <w:t>及。与此同时，各地区纷纷着眼于</w:t>
      </w:r>
      <w:r>
        <w:rPr>
          <w:rFonts w:ascii="Times New Roman" w:hAnsi="Times New Roman" w:cs="Times New Roman" w:eastAsia="Times New Roman" w:hint="default"/>
          <w:spacing w:val="-3"/>
        </w:rPr>
        <w:t>5G</w:t>
      </w:r>
      <w:r>
        <w:rPr>
          <w:spacing w:val="-3"/>
        </w:rPr>
        <w:t>产业的发展，全国范围内</w:t>
      </w:r>
      <w:r>
        <w:rPr>
          <w:rFonts w:ascii="Times New Roman" w:hAnsi="Times New Roman" w:cs="Times New Roman" w:eastAsia="Times New Roman" w:hint="default"/>
          <w:spacing w:val="-3"/>
        </w:rPr>
        <w:t>5G</w:t>
      </w:r>
      <w:r>
        <w:rPr>
          <w:spacing w:val="-3"/>
        </w:rPr>
        <w:t>相关的服务迅速增长。</w:t>
      </w:r>
    </w:p>
    <w:p>
      <w:pPr>
        <w:pStyle w:val="BodyText"/>
        <w:spacing w:line="300" w:lineRule="auto" w:before="63"/>
        <w:ind w:left="153" w:right="1122" w:firstLine="360"/>
        <w:jc w:val="both"/>
      </w:pPr>
      <w:r>
        <w:rPr>
          <w:rFonts w:ascii="Times New Roman" w:hAnsi="Times New Roman" w:cs="Times New Roman" w:eastAsia="Times New Roman" w:hint="default"/>
          <w:spacing w:val="-3"/>
        </w:rPr>
        <w:t>5G</w:t>
      </w:r>
      <w:r>
        <w:rPr>
          <w:spacing w:val="-3"/>
        </w:rPr>
        <w:t>并不是独立的、全新的无线接入技术，而是对现有无线接入技术</w:t>
      </w:r>
      <w:r>
        <w:rPr>
          <w:rFonts w:ascii="Times New Roman" w:hAnsi="Times New Roman" w:cs="Times New Roman" w:eastAsia="Times New Roman" w:hint="default"/>
          <w:spacing w:val="-3"/>
        </w:rPr>
        <w:t>(</w:t>
      </w:r>
      <w:r>
        <w:rPr>
          <w:spacing w:val="-3"/>
        </w:rPr>
        <w:t>包括</w:t>
      </w:r>
      <w:r>
        <w:rPr>
          <w:rFonts w:ascii="Times New Roman" w:hAnsi="Times New Roman" w:cs="Times New Roman" w:eastAsia="Times New Roman" w:hint="default"/>
          <w:spacing w:val="-3"/>
        </w:rPr>
        <w:t>2G</w:t>
      </w:r>
      <w:r>
        <w:rPr>
          <w:spacing w:val="-3"/>
        </w:rPr>
        <w:t>、</w:t>
      </w:r>
      <w:r>
        <w:rPr>
          <w:rFonts w:ascii="Times New Roman" w:hAnsi="Times New Roman" w:cs="Times New Roman" w:eastAsia="Times New Roman" w:hint="default"/>
          <w:spacing w:val="-3"/>
        </w:rPr>
        <w:t>3G</w:t>
      </w:r>
      <w:r>
        <w:rPr>
          <w:spacing w:val="-3"/>
        </w:rPr>
        <w:t>、</w:t>
      </w:r>
      <w:r>
        <w:rPr>
          <w:rFonts w:ascii="Times New Roman" w:hAnsi="Times New Roman" w:cs="Times New Roman" w:eastAsia="Times New Roman" w:hint="default"/>
          <w:spacing w:val="-3"/>
        </w:rPr>
        <w:t>4G</w:t>
      </w:r>
      <w:r>
        <w:rPr>
          <w:spacing w:val="-3"/>
        </w:rPr>
        <w:t>和</w:t>
      </w:r>
      <w:r>
        <w:rPr>
          <w:rFonts w:ascii="Times New Roman" w:hAnsi="Times New Roman" w:cs="Times New Roman" w:eastAsia="Times New Roman" w:hint="default"/>
          <w:spacing w:val="-3"/>
        </w:rPr>
        <w:t>WiFi)</w:t>
      </w:r>
      <w:r>
        <w:rPr>
          <w:spacing w:val="-3"/>
        </w:rPr>
        <w:t>的技术演进，以及一些新</w:t>
      </w:r>
      <w:r>
        <w:rPr>
          <w:w w:val="101"/>
        </w:rPr>
        <w:t> </w:t>
      </w:r>
      <w:r>
        <w:rPr>
          <w:spacing w:val="-3"/>
        </w:rPr>
        <w:t>增的补充性无线接入技术集成后解决方案的总称。相较于在真正意义上实现了移动互联网的</w:t>
      </w:r>
      <w:r>
        <w:rPr>
          <w:rFonts w:ascii="Times New Roman" w:hAnsi="Times New Roman" w:cs="Times New Roman" w:eastAsia="Times New Roman" w:hint="default"/>
          <w:spacing w:val="-3"/>
        </w:rPr>
        <w:t>4G</w:t>
      </w:r>
      <w:r>
        <w:rPr>
          <w:spacing w:val="-3"/>
        </w:rPr>
        <w:t>，</w:t>
      </w:r>
      <w:r>
        <w:rPr>
          <w:rFonts w:ascii="Times New Roman" w:hAnsi="Times New Roman" w:cs="Times New Roman" w:eastAsia="Times New Roman" w:hint="default"/>
          <w:spacing w:val="-3"/>
        </w:rPr>
        <w:t>5G</w:t>
      </w:r>
      <w:r>
        <w:rPr>
          <w:spacing w:val="-3"/>
        </w:rPr>
        <w:t>有了进一步的发展，在</w:t>
      </w:r>
      <w:r>
        <w:rPr>
          <w:spacing w:val="2"/>
        </w:rPr>
        <w:t> </w:t>
      </w:r>
      <w:r>
        <w:rPr>
          <w:spacing w:val="2"/>
        </w:rPr>
      </w:r>
      <w:r>
        <w:rPr>
          <w:spacing w:val="3"/>
        </w:rPr>
        <w:t>用户体验速率、连接密度数、端到端时延、移动性和用户峰值速率上都有了极大的提升。</w:t>
      </w:r>
      <w:r>
        <w:rPr>
          <w:rFonts w:ascii="Times New Roman" w:hAnsi="Times New Roman" w:cs="Times New Roman" w:eastAsia="Times New Roman" w:hint="default"/>
          <w:spacing w:val="3"/>
        </w:rPr>
        <w:t>5G</w:t>
      </w:r>
      <w:r>
        <w:rPr>
          <w:spacing w:val="3"/>
        </w:rPr>
        <w:t>将带来虚拟现实</w:t>
      </w:r>
      <w:r>
        <w:rPr>
          <w:rFonts w:ascii="Times New Roman" w:hAnsi="Times New Roman" w:cs="Times New Roman" w:eastAsia="Times New Roman" w:hint="default"/>
          <w:spacing w:val="3"/>
        </w:rPr>
        <w:t>/</w:t>
      </w:r>
      <w:r>
        <w:rPr>
          <w:spacing w:val="3"/>
        </w:rPr>
        <w:t>增强现实</w:t>
      </w:r>
    </w:p>
    <w:p>
      <w:pPr>
        <w:pStyle w:val="BodyText"/>
        <w:spacing w:line="300" w:lineRule="auto" w:before="13"/>
        <w:ind w:left="153" w:right="0"/>
        <w:jc w:val="left"/>
      </w:pPr>
      <w:r>
        <w:rPr>
          <w:spacing w:val="-1"/>
        </w:rPr>
        <w:t>（</w:t>
      </w:r>
      <w:r>
        <w:rPr>
          <w:rFonts w:ascii="Times New Roman" w:hAnsi="Times New Roman" w:cs="Times New Roman" w:eastAsia="Times New Roman" w:hint="default"/>
          <w:spacing w:val="-1"/>
        </w:rPr>
        <w:t>VR/AR</w:t>
      </w:r>
      <w:r>
        <w:rPr>
          <w:spacing w:val="-1"/>
        </w:rPr>
        <w:t>）、超高清视频等极致的用户体验，支持海量物联网终端设备接入，满足车联网和工业互联网等对响应时延的严</w:t>
      </w:r>
      <w:r>
        <w:rPr>
          <w:spacing w:val="57"/>
        </w:rPr>
        <w:t> </w:t>
      </w:r>
      <w:r>
        <w:rPr>
          <w:spacing w:val="57"/>
        </w:rPr>
      </w:r>
      <w:r>
        <w:rPr>
          <w:spacing w:val="-3"/>
        </w:rPr>
        <w:t>苛要求，并在自动驾驶、健康医疗、工业互联网、智慧城市、超高清视频应用等几大类典型场景中率先开展应用。</w:t>
      </w:r>
    </w:p>
    <w:p>
      <w:pPr>
        <w:pStyle w:val="BodyText"/>
        <w:spacing w:line="300" w:lineRule="auto" w:before="31"/>
        <w:ind w:left="153" w:right="1122" w:firstLine="360"/>
        <w:jc w:val="both"/>
      </w:pPr>
      <w:r>
        <w:rPr>
          <w:spacing w:val="-4"/>
        </w:rPr>
        <w:t>公司企业通信业务在</w:t>
      </w:r>
      <w:r>
        <w:rPr>
          <w:rFonts w:ascii="Times New Roman" w:hAnsi="Times New Roman" w:cs="Times New Roman" w:eastAsia="Times New Roman" w:hint="default"/>
          <w:spacing w:val="-4"/>
        </w:rPr>
        <w:t>2019</w:t>
      </w:r>
      <w:r>
        <w:rPr>
          <w:spacing w:val="-4"/>
        </w:rPr>
        <w:t>年开始实施的</w:t>
      </w:r>
      <w:r>
        <w:rPr>
          <w:rFonts w:ascii="Times New Roman" w:hAnsi="Times New Roman" w:cs="Times New Roman" w:eastAsia="Times New Roman" w:hint="default"/>
          <w:spacing w:val="-4"/>
        </w:rPr>
        <w:t>“</w:t>
      </w:r>
      <w:r>
        <w:rPr>
          <w:spacing w:val="-4"/>
        </w:rPr>
        <w:t>视频</w:t>
      </w:r>
      <w:r>
        <w:rPr>
          <w:rFonts w:ascii="Times New Roman" w:hAnsi="Times New Roman" w:cs="Times New Roman" w:eastAsia="Times New Roman" w:hint="default"/>
          <w:spacing w:val="-4"/>
        </w:rPr>
        <w:t>+”</w:t>
      </w:r>
      <w:r>
        <w:rPr>
          <w:spacing w:val="-4"/>
        </w:rPr>
        <w:t>战略，与我国</w:t>
      </w:r>
      <w:r>
        <w:rPr>
          <w:rFonts w:ascii="Times New Roman" w:hAnsi="Times New Roman" w:cs="Times New Roman" w:eastAsia="Times New Roman" w:hint="default"/>
          <w:spacing w:val="-4"/>
        </w:rPr>
        <w:t>5G</w:t>
      </w:r>
      <w:r>
        <w:rPr>
          <w:spacing w:val="-4"/>
        </w:rPr>
        <w:t>产业发展路径高度契合，公司的云视频业务在依托</w:t>
      </w:r>
      <w:r>
        <w:rPr>
          <w:rFonts w:ascii="Times New Roman" w:hAnsi="Times New Roman" w:cs="Times New Roman" w:eastAsia="Times New Roman" w:hint="default"/>
          <w:spacing w:val="-4"/>
        </w:rPr>
        <w:t>5G</w:t>
      </w:r>
      <w:r>
        <w:rPr>
          <w:spacing w:val="-4"/>
        </w:rPr>
        <w:t>技</w:t>
      </w:r>
      <w:r>
        <w:rPr>
          <w:w w:val="101"/>
        </w:rPr>
        <w:t> </w:t>
      </w:r>
      <w:r>
        <w:rPr>
          <w:spacing w:val="-3"/>
        </w:rPr>
        <w:t>术的基础上将获得更广阔的发展空间。</w:t>
      </w:r>
    </w:p>
    <w:p>
      <w:pPr>
        <w:pStyle w:val="BodyText"/>
        <w:spacing w:line="240" w:lineRule="auto" w:before="31"/>
        <w:ind w:left="513" w:right="0"/>
        <w:jc w:val="left"/>
      </w:pPr>
      <w:r>
        <w:rPr>
          <w:spacing w:val="-3"/>
        </w:rPr>
        <w:t>（</w:t>
      </w:r>
      <w:r>
        <w:rPr>
          <w:rFonts w:ascii="Times New Roman" w:hAnsi="Times New Roman" w:cs="Times New Roman" w:eastAsia="Times New Roman" w:hint="default"/>
          <w:spacing w:val="-3"/>
        </w:rPr>
        <w:t>2</w:t>
      </w:r>
      <w:r>
        <w:rPr>
          <w:spacing w:val="-3"/>
        </w:rPr>
        <w:t>）关于海外通信市场（国际通信业务）</w:t>
      </w:r>
    </w:p>
    <w:p>
      <w:pPr>
        <w:pStyle w:val="BodyText"/>
        <w:spacing w:line="240" w:lineRule="auto" w:before="63"/>
        <w:ind w:left="513" w:right="0"/>
        <w:jc w:val="left"/>
      </w:pPr>
      <w:r>
        <w:rPr>
          <w:spacing w:val="-3"/>
        </w:rPr>
        <w:t>①中资企业出海拓展的趋势：</w:t>
      </w:r>
    </w:p>
    <w:p>
      <w:pPr>
        <w:pStyle w:val="BodyText"/>
        <w:spacing w:line="302" w:lineRule="auto" w:before="76"/>
        <w:ind w:left="153" w:right="1122" w:firstLine="360"/>
        <w:jc w:val="both"/>
      </w:pPr>
      <w:r>
        <w:rPr>
          <w:rFonts w:ascii="Times New Roman" w:hAnsi="Times New Roman" w:cs="Times New Roman" w:eastAsia="Times New Roman" w:hint="default"/>
          <w:spacing w:val="-1"/>
        </w:rPr>
        <w:t>2001</w:t>
      </w:r>
      <w:r>
        <w:rPr>
          <w:spacing w:val="-1"/>
        </w:rPr>
        <w:t>年中国加入世界贸易组织，“走出去发展”逐步正式上升为国家战略，参与全球竞争成为企业发展的基调。</w:t>
      </w:r>
      <w:r>
        <w:rPr>
          <w:rFonts w:ascii="Times New Roman" w:hAnsi="Times New Roman" w:cs="Times New Roman" w:eastAsia="Times New Roman" w:hint="default"/>
          <w:spacing w:val="-1"/>
        </w:rPr>
        <w:t>2004</w:t>
      </w:r>
      <w:r>
        <w:rPr>
          <w:rFonts w:ascii="Times New Roman" w:hAnsi="Times New Roman" w:cs="Times New Roman" w:eastAsia="Times New Roman" w:hint="default"/>
          <w:w w:val="101"/>
        </w:rPr>
        <w:t> </w:t>
      </w:r>
      <w:r>
        <w:rPr>
          <w:spacing w:val="-3"/>
        </w:rPr>
        <w:t>年</w:t>
      </w:r>
      <w:r>
        <w:rPr>
          <w:rFonts w:ascii="Times New Roman" w:hAnsi="Times New Roman" w:cs="Times New Roman" w:eastAsia="Times New Roman" w:hint="default"/>
          <w:spacing w:val="-3"/>
        </w:rPr>
        <w:t>7</w:t>
      </w:r>
      <w:r>
        <w:rPr>
          <w:spacing w:val="-3"/>
        </w:rPr>
        <w:t>月正式出台的《国务院关于投资体制改革的决定》，取消了中国企业对外投资实施多年的审批制，为中资企业在世界范</w:t>
      </w:r>
      <w:r>
        <w:rPr>
          <w:spacing w:val="76"/>
        </w:rPr>
        <w:t> </w:t>
      </w:r>
      <w:r>
        <w:rPr>
          <w:spacing w:val="76"/>
        </w:rPr>
      </w:r>
      <w:r>
        <w:rPr>
          <w:spacing w:val="-4"/>
        </w:rPr>
        <w:t>围内参与国际竞争提供了更为便利的政策环境。国内外形势的变化为中国企业全球化提供了重大历史机遇，中国企业对外投</w:t>
      </w:r>
      <w:r>
        <w:rPr>
          <w:spacing w:val="43"/>
        </w:rPr>
        <w:t> </w:t>
      </w:r>
      <w:r>
        <w:rPr>
          <w:spacing w:val="43"/>
        </w:rPr>
      </w:r>
      <w:r>
        <w:rPr>
          <w:spacing w:val="-1"/>
        </w:rPr>
        <w:t>资开始出现爆发性增长，大量企业纷纷走出国门，在世界市场上与国际企业同台竞争。联想并购</w:t>
      </w:r>
      <w:r>
        <w:rPr>
          <w:rFonts w:ascii="Times New Roman" w:hAnsi="Times New Roman" w:cs="Times New Roman" w:eastAsia="Times New Roman" w:hint="default"/>
          <w:spacing w:val="-1"/>
        </w:rPr>
        <w:t>IBM</w:t>
      </w:r>
      <w:r>
        <w:rPr>
          <w:spacing w:val="-1"/>
        </w:rPr>
        <w:t>的</w:t>
      </w:r>
      <w:r>
        <w:rPr>
          <w:rFonts w:ascii="Times New Roman" w:hAnsi="Times New Roman" w:cs="Times New Roman" w:eastAsia="Times New Roman" w:hint="default"/>
          <w:spacing w:val="-1"/>
        </w:rPr>
        <w:t>PC</w:t>
      </w:r>
      <w:r>
        <w:rPr>
          <w:spacing w:val="-1"/>
        </w:rPr>
        <w:t>业务、吉利并购</w:t>
      </w:r>
      <w:r>
        <w:rPr>
          <w:spacing w:val="46"/>
        </w:rPr>
        <w:t> </w:t>
      </w:r>
      <w:r>
        <w:rPr>
          <w:spacing w:val="-4"/>
        </w:rPr>
        <w:t>沃尔沃轿车业务、</w:t>
      </w:r>
      <w:r>
        <w:rPr>
          <w:rFonts w:ascii="Times New Roman" w:hAnsi="Times New Roman" w:cs="Times New Roman" w:eastAsia="Times New Roman" w:hint="default"/>
          <w:spacing w:val="-4"/>
        </w:rPr>
        <w:t>TCL</w:t>
      </w:r>
      <w:r>
        <w:rPr>
          <w:spacing w:val="-4"/>
        </w:rPr>
        <w:t>并购德国施耐德、京东方收购韩国现代显示技术株式会社（</w:t>
      </w:r>
      <w:r>
        <w:rPr>
          <w:rFonts w:ascii="Times New Roman" w:hAnsi="Times New Roman" w:cs="Times New Roman" w:eastAsia="Times New Roman" w:hint="default"/>
          <w:spacing w:val="-4"/>
        </w:rPr>
        <w:t>HYDIS</w:t>
      </w:r>
      <w:r>
        <w:rPr>
          <w:spacing w:val="-4"/>
        </w:rPr>
        <w:t>）的</w:t>
      </w:r>
      <w:r>
        <w:rPr>
          <w:rFonts w:ascii="Times New Roman" w:hAnsi="Times New Roman" w:cs="Times New Roman" w:eastAsia="Times New Roman" w:hint="default"/>
          <w:spacing w:val="-4"/>
        </w:rPr>
        <w:t>TFT-LCD</w:t>
      </w:r>
      <w:r>
        <w:rPr>
          <w:spacing w:val="-4"/>
        </w:rPr>
        <w:t>业务等，使中资企业</w:t>
      </w:r>
      <w:r>
        <w:rPr>
          <w:spacing w:val="50"/>
        </w:rPr>
        <w:t> </w:t>
      </w:r>
      <w:r>
        <w:rPr>
          <w:spacing w:val="50"/>
        </w:rPr>
      </w:r>
      <w:r>
        <w:rPr>
          <w:spacing w:val="-4"/>
        </w:rPr>
        <w:t>在国际竞争中逐步加深了对</w:t>
      </w:r>
      <w:r>
        <w:rPr>
          <w:rFonts w:ascii="Times New Roman" w:hAnsi="Times New Roman" w:cs="Times New Roman" w:eastAsia="Times New Roman" w:hint="default"/>
          <w:spacing w:val="-4"/>
        </w:rPr>
        <w:t>“</w:t>
      </w:r>
      <w:r>
        <w:rPr>
          <w:spacing w:val="-4"/>
        </w:rPr>
        <w:t>游戏规则</w:t>
      </w:r>
      <w:r>
        <w:rPr>
          <w:rFonts w:ascii="Times New Roman" w:hAnsi="Times New Roman" w:cs="Times New Roman" w:eastAsia="Times New Roman" w:hint="default"/>
          <w:spacing w:val="-4"/>
        </w:rPr>
        <w:t>”</w:t>
      </w:r>
      <w:r>
        <w:rPr>
          <w:spacing w:val="-4"/>
        </w:rPr>
        <w:t>的理解，在有得有失的海外历练后，开始学会利用国际规则，超越一国的范围配置资</w:t>
      </w:r>
      <w:r>
        <w:rPr>
          <w:spacing w:val="64"/>
        </w:rPr>
        <w:t> </w:t>
      </w:r>
      <w:r>
        <w:rPr>
          <w:spacing w:val="64"/>
        </w:rPr>
      </w:r>
      <w:r>
        <w:rPr/>
        <w:t>源。</w:t>
      </w:r>
    </w:p>
    <w:p>
      <w:pPr>
        <w:pStyle w:val="BodyText"/>
        <w:spacing w:line="307" w:lineRule="auto" w:before="29"/>
        <w:ind w:left="153" w:right="0" w:firstLine="360"/>
        <w:jc w:val="left"/>
      </w:pPr>
      <w:r>
        <w:rPr>
          <w:rFonts w:ascii="Times New Roman" w:hAnsi="Times New Roman" w:cs="Times New Roman" w:eastAsia="Times New Roman" w:hint="default"/>
          <w:spacing w:val="-6"/>
        </w:rPr>
        <w:t>2015</w:t>
      </w:r>
      <w:r>
        <w:rPr>
          <w:spacing w:val="-6"/>
        </w:rPr>
        <w:t>年中国企业对外直接投资实现历史性突破，位列全球第二，超过同期吸引外资水平，成为资本净输出国。这一阶段，</w:t>
      </w:r>
      <w:r>
        <w:rPr>
          <w:w w:val="101"/>
        </w:rPr>
        <w:t> </w:t>
      </w:r>
      <w:r>
        <w:rPr>
          <w:spacing w:val="-3"/>
        </w:rPr>
        <w:t>中国企业全球化实现了全方位、宽领域的全面发展，中国企业从青涩变为成熟，从蜗居国内到闪耀于世界舞台中央。同时，</w:t>
      </w:r>
      <w:r>
        <w:rPr>
          <w:spacing w:val="66"/>
        </w:rPr>
        <w:t> </w:t>
      </w:r>
      <w:r>
        <w:rPr>
          <w:spacing w:val="66"/>
        </w:rPr>
      </w:r>
      <w:r>
        <w:rPr>
          <w:spacing w:val="-4"/>
        </w:rPr>
        <w:t>中资企业</w:t>
      </w:r>
      <w:r>
        <w:rPr>
          <w:rFonts w:ascii="Times New Roman" w:hAnsi="Times New Roman" w:cs="Times New Roman" w:eastAsia="Times New Roman" w:hint="default"/>
          <w:spacing w:val="-4"/>
        </w:rPr>
        <w:t>“</w:t>
      </w:r>
      <w:r>
        <w:rPr>
          <w:spacing w:val="-4"/>
        </w:rPr>
        <w:t>走出去</w:t>
      </w:r>
      <w:r>
        <w:rPr>
          <w:rFonts w:ascii="Times New Roman" w:hAnsi="Times New Roman" w:cs="Times New Roman" w:eastAsia="Times New Roman" w:hint="default"/>
          <w:spacing w:val="-4"/>
        </w:rPr>
        <w:t>”</w:t>
      </w:r>
      <w:r>
        <w:rPr>
          <w:spacing w:val="-4"/>
        </w:rPr>
        <w:t>的路径也越来越多样，从跨国并购到海外上市，从商品资本输出到战略布局，从传统行业产能输出到互联</w:t>
      </w:r>
      <w:r>
        <w:rPr>
          <w:spacing w:val="64"/>
        </w:rPr>
        <w:t> </w:t>
      </w:r>
      <w:r>
        <w:rPr>
          <w:spacing w:val="64"/>
        </w:rPr>
      </w:r>
      <w:r>
        <w:rPr/>
        <w:t>网模式复制海外。</w:t>
      </w:r>
    </w:p>
    <w:p>
      <w:pPr>
        <w:pStyle w:val="BodyText"/>
        <w:spacing w:line="316" w:lineRule="auto" w:before="26"/>
        <w:ind w:left="513" w:right="0"/>
        <w:jc w:val="left"/>
      </w:pPr>
      <w:r>
        <w:rPr>
          <w:spacing w:val="-3"/>
        </w:rPr>
        <w:t>②传统企业出海</w:t>
      </w:r>
      <w:r>
        <w:rPr>
          <w:spacing w:val="-68"/>
        </w:rPr>
        <w:t> </w:t>
      </w:r>
      <w:r>
        <w:rPr>
          <w:spacing w:val="-68"/>
        </w:rPr>
      </w:r>
      <w:r>
        <w:rPr>
          <w:spacing w:val="-6"/>
        </w:rPr>
        <w:t>改革开放的积淀，国内的制造、基建、物流运输、零售、矿产资源等传统行业已形成巨大规模优势，不仅需要海外市场，</w:t>
      </w:r>
    </w:p>
    <w:p>
      <w:pPr>
        <w:pStyle w:val="BodyText"/>
        <w:spacing w:line="319" w:lineRule="auto" w:before="19"/>
        <w:ind w:left="153" w:right="0"/>
        <w:jc w:val="left"/>
      </w:pPr>
      <w:r>
        <w:rPr>
          <w:spacing w:val="-4"/>
        </w:rPr>
        <w:t>更需要在全球范围内进行合理资源配置，获取先进技术和优质资源，实现国际化经营和自身结构转型升级，提高竞争力，确</w:t>
      </w:r>
      <w:r>
        <w:rPr>
          <w:spacing w:val="41"/>
        </w:rPr>
        <w:t> </w:t>
      </w:r>
      <w:r>
        <w:rPr>
          <w:spacing w:val="41"/>
        </w:rPr>
      </w:r>
      <w:r>
        <w:rPr>
          <w:spacing w:val="-3"/>
        </w:rPr>
        <w:t>保长期可持续的发展。近五年传统行业企业出海产业结构不断优化，趋向多元化和高端化，能源矿产投资的比重大幅降低，</w:t>
      </w:r>
      <w:r>
        <w:rPr>
          <w:spacing w:val="66"/>
        </w:rPr>
        <w:t> </w:t>
      </w:r>
      <w:r>
        <w:rPr>
          <w:spacing w:val="66"/>
        </w:rPr>
      </w:r>
      <w:r>
        <w:rPr>
          <w:spacing w:val="-3"/>
        </w:rPr>
        <w:t>高端新兴制造业比重不断增加。</w:t>
      </w:r>
    </w:p>
    <w:p>
      <w:pPr>
        <w:pStyle w:val="BodyText"/>
        <w:spacing w:line="300" w:lineRule="auto" w:before="17"/>
        <w:ind w:left="513" w:right="0"/>
        <w:jc w:val="left"/>
      </w:pPr>
      <w:r>
        <w:rPr>
          <w:spacing w:val="-3"/>
        </w:rPr>
        <w:t>③互联网、</w:t>
      </w:r>
      <w:r>
        <w:rPr>
          <w:rFonts w:ascii="Times New Roman" w:hAnsi="Times New Roman" w:cs="Times New Roman" w:eastAsia="Times New Roman" w:hint="default"/>
          <w:spacing w:val="-3"/>
        </w:rPr>
        <w:t>OTT</w:t>
      </w:r>
      <w:r>
        <w:rPr>
          <w:spacing w:val="-3"/>
        </w:rPr>
        <w:t>行业企业出海</w:t>
      </w:r>
      <w:r>
        <w:rPr>
          <w:spacing w:val="-48"/>
        </w:rPr>
        <w:t> </w:t>
      </w:r>
      <w:r>
        <w:rPr>
          <w:spacing w:val="-48"/>
        </w:rPr>
      </w:r>
      <w:r>
        <w:rPr>
          <w:spacing w:val="-4"/>
        </w:rPr>
        <w:t>中国互联网企业的不断发展壮大，国内移动互联网人口红利的逐渐消失，国内市场各细分</w:t>
      </w:r>
      <w:r>
        <w:rPr>
          <w:rFonts w:ascii="Times New Roman" w:hAnsi="Times New Roman" w:cs="Times New Roman" w:eastAsia="Times New Roman" w:hint="default"/>
          <w:spacing w:val="-4"/>
        </w:rPr>
        <w:t>OTT</w:t>
      </w:r>
      <w:r>
        <w:rPr>
          <w:spacing w:val="-4"/>
        </w:rPr>
        <w:t>业务领域趋向饱和，获取</w:t>
      </w:r>
    </w:p>
    <w:p>
      <w:pPr>
        <w:pStyle w:val="BodyText"/>
        <w:spacing w:line="312" w:lineRule="auto" w:before="13"/>
        <w:ind w:left="153" w:right="1029"/>
        <w:jc w:val="left"/>
      </w:pPr>
      <w:r>
        <w:rPr>
          <w:spacing w:val="-6"/>
        </w:rPr>
        <w:t>用户的成本不断高企，产能过剩逐步显现，竞争已经进入红海阶段，出海发展业已成为国内互联网企业保持增长的必然选项。</w:t>
      </w:r>
      <w:r>
        <w:rPr>
          <w:spacing w:val="63"/>
        </w:rPr>
        <w:t> </w:t>
      </w:r>
      <w:r>
        <w:rPr>
          <w:spacing w:val="63"/>
        </w:rPr>
      </w:r>
      <w:r>
        <w:rPr>
          <w:spacing w:val="-6"/>
        </w:rPr>
        <w:t>同时全球互联网的发展并不均衡，大量国家和地区才刚刚开始普及智能手机、移动数据网络，存在大量被抑制的需求与商机，</w:t>
      </w:r>
      <w:r>
        <w:rPr>
          <w:spacing w:val="64"/>
        </w:rPr>
        <w:t> </w:t>
      </w:r>
      <w:r>
        <w:rPr>
          <w:spacing w:val="64"/>
        </w:rPr>
      </w:r>
      <w:r>
        <w:rPr>
          <w:spacing w:val="-3"/>
        </w:rPr>
        <w:t>国内</w:t>
      </w:r>
      <w:r>
        <w:rPr>
          <w:rFonts w:ascii="Times New Roman" w:hAnsi="Times New Roman" w:cs="Times New Roman" w:eastAsia="Times New Roman" w:hint="default"/>
          <w:spacing w:val="-3"/>
        </w:rPr>
        <w:t>OTT</w:t>
      </w:r>
      <w:r>
        <w:rPr>
          <w:spacing w:val="-3"/>
        </w:rPr>
        <w:t>企业凭借多年积累的产品优势、人才优势、产能优势、资本优势，正在经历从</w:t>
      </w:r>
      <w:r>
        <w:rPr>
          <w:rFonts w:ascii="Times New Roman" w:hAnsi="Times New Roman" w:cs="Times New Roman" w:eastAsia="Times New Roman" w:hint="default"/>
          <w:spacing w:val="-3"/>
        </w:rPr>
        <w:t>CopytoChina</w:t>
      </w:r>
      <w:r>
        <w:rPr>
          <w:spacing w:val="-3"/>
        </w:rPr>
        <w:t>向</w:t>
      </w:r>
      <w:r>
        <w:rPr>
          <w:rFonts w:ascii="Times New Roman" w:hAnsi="Times New Roman" w:cs="Times New Roman" w:eastAsia="Times New Roman" w:hint="default"/>
          <w:spacing w:val="-3"/>
        </w:rPr>
        <w:t>CopyfromChina</w:t>
      </w:r>
      <w:r>
        <w:rPr>
          <w:spacing w:val="-3"/>
        </w:rPr>
        <w:t>的华丽</w:t>
      </w:r>
      <w:r>
        <w:rPr>
          <w:spacing w:val="62"/>
        </w:rPr>
        <w:t> </w:t>
      </w:r>
      <w:r>
        <w:rPr>
          <w:spacing w:val="62"/>
        </w:rPr>
      </w:r>
      <w:r>
        <w:rPr/>
        <w:t>转身。</w:t>
      </w:r>
    </w:p>
    <w:p>
      <w:pPr>
        <w:spacing w:after="0" w:line="312" w:lineRule="auto"/>
        <w:jc w:val="left"/>
        <w:sectPr>
          <w:pgSz w:w="11910" w:h="16840"/>
          <w:pgMar w:header="914" w:footer="1022" w:top="1120" w:bottom="1220" w:left="980" w:right="0"/>
        </w:sectPr>
      </w:pPr>
    </w:p>
    <w:p>
      <w:pPr>
        <w:spacing w:line="240" w:lineRule="auto" w:before="2"/>
        <w:rPr>
          <w:rFonts w:ascii="宋体" w:hAnsi="宋体" w:cs="宋体" w:eastAsia="宋体" w:hint="default"/>
          <w:sz w:val="27"/>
          <w:szCs w:val="27"/>
        </w:rPr>
      </w:pPr>
    </w:p>
    <w:p>
      <w:pPr>
        <w:spacing w:line="8325" w:lineRule="exact"/>
        <w:ind w:left="1118" w:right="0" w:firstLine="0"/>
        <w:rPr>
          <w:rFonts w:ascii="宋体" w:hAnsi="宋体" w:cs="宋体" w:eastAsia="宋体" w:hint="default"/>
          <w:sz w:val="20"/>
          <w:szCs w:val="20"/>
        </w:rPr>
      </w:pPr>
      <w:r>
        <w:rPr>
          <w:rFonts w:ascii="宋体" w:hAnsi="宋体" w:cs="宋体" w:eastAsia="宋体" w:hint="default"/>
          <w:position w:val="-166"/>
          <w:sz w:val="20"/>
          <w:szCs w:val="20"/>
        </w:rPr>
        <w:drawing>
          <wp:inline distT="0" distB="0" distL="0" distR="0">
            <wp:extent cx="5094039" cy="52863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6" cstate="print"/>
                    <a:stretch>
                      <a:fillRect/>
                    </a:stretch>
                  </pic:blipFill>
                  <pic:spPr>
                    <a:xfrm>
                      <a:off x="0" y="0"/>
                      <a:ext cx="5094039" cy="5286375"/>
                    </a:xfrm>
                    <a:prstGeom prst="rect">
                      <a:avLst/>
                    </a:prstGeom>
                  </pic:spPr>
                </pic:pic>
              </a:graphicData>
            </a:graphic>
          </wp:inline>
        </w:drawing>
      </w:r>
      <w:r>
        <w:rPr>
          <w:rFonts w:ascii="宋体" w:hAnsi="宋体" w:cs="宋体" w:eastAsia="宋体" w:hint="default"/>
          <w:position w:val="-166"/>
          <w:sz w:val="20"/>
          <w:szCs w:val="20"/>
        </w:rPr>
      </w:r>
    </w:p>
    <w:p>
      <w:pPr>
        <w:pStyle w:val="BodyText"/>
        <w:spacing w:line="314" w:lineRule="auto" w:before="97"/>
        <w:ind w:left="153" w:right="1123" w:firstLine="360"/>
        <w:jc w:val="both"/>
      </w:pPr>
      <w:r>
        <w:rPr>
          <w:spacing w:val="-4"/>
        </w:rPr>
        <w:t>经济全球化的今天，中资企业只想在国内或区域市场偏安一隅是不现实的，国际化已成为不可逆的趋势。通信服务作为</w:t>
      </w:r>
      <w:r>
        <w:rPr>
          <w:w w:val="101"/>
        </w:rPr>
        <w:t> </w:t>
      </w:r>
      <w:r>
        <w:rPr>
          <w:spacing w:val="-4"/>
        </w:rPr>
        <w:t>现代企业经营所必须的要素，也已成为企业出海时不可或缺的配套工程，尤其在中资企业出海的主要方向，如亚非拉、一带</w:t>
      </w:r>
      <w:r>
        <w:rPr>
          <w:spacing w:val="41"/>
        </w:rPr>
        <w:t> </w:t>
      </w:r>
      <w:r>
        <w:rPr>
          <w:spacing w:val="41"/>
        </w:rPr>
      </w:r>
      <w:r>
        <w:rPr>
          <w:spacing w:val="-4"/>
        </w:rPr>
        <w:t>一路等新兴市场地区，由于当地通信基础设施落后、通信服务市场封闭，企业通信服务已成为掣肘发展的因素，特别是对于</w:t>
      </w:r>
      <w:r>
        <w:rPr>
          <w:spacing w:val="40"/>
        </w:rPr>
        <w:t> </w:t>
      </w:r>
      <w:r>
        <w:rPr>
          <w:spacing w:val="40"/>
        </w:rPr>
      </w:r>
      <w:r>
        <w:rPr>
          <w:spacing w:val="-4"/>
        </w:rPr>
        <w:t>新兴制造业、高端制造业、互联网、</w:t>
      </w:r>
      <w:r>
        <w:rPr>
          <w:rFonts w:ascii="Times New Roman" w:hAnsi="Times New Roman" w:cs="Times New Roman" w:eastAsia="Times New Roman" w:hint="default"/>
          <w:spacing w:val="-4"/>
        </w:rPr>
        <w:t>OTT</w:t>
      </w:r>
      <w:r>
        <w:rPr>
          <w:spacing w:val="-4"/>
        </w:rPr>
        <w:t>等业务高度依赖网络通信能力的行业企业，其获取海外通信服务存在诸多痛点：通</w:t>
      </w:r>
      <w:r>
        <w:rPr>
          <w:spacing w:val="50"/>
        </w:rPr>
        <w:t> </w:t>
      </w:r>
      <w:r>
        <w:rPr>
          <w:spacing w:val="50"/>
        </w:rPr>
      </w:r>
      <w:r>
        <w:rPr>
          <w:spacing w:val="-4"/>
        </w:rPr>
        <w:t>信基础设施落后，互联互通问题突出，通信品质难以保障；海外本地服务供应商众多，市场不透明，信息不对称，寻源及成</w:t>
      </w:r>
      <w:r>
        <w:rPr>
          <w:spacing w:val="40"/>
        </w:rPr>
        <w:t> </w:t>
      </w:r>
      <w:r>
        <w:rPr>
          <w:spacing w:val="40"/>
        </w:rPr>
      </w:r>
      <w:r>
        <w:rPr>
          <w:spacing w:val="-4"/>
        </w:rPr>
        <w:t>本控制困难；各国各运营商产品、服务差异度大，与国内业务系统、通信服务、使用习惯难以无缝衔接；物联网、云计算等</w:t>
      </w:r>
      <w:r>
        <w:rPr>
          <w:spacing w:val="40"/>
        </w:rPr>
        <w:t> </w:t>
      </w:r>
      <w:r>
        <w:rPr>
          <w:spacing w:val="40"/>
        </w:rPr>
      </w:r>
      <w:r>
        <w:rPr>
          <w:spacing w:val="-3"/>
        </w:rPr>
        <w:t>业务需求在亚非拉等欠发达地区难以得到满足语言、文化、商业习惯有差异。</w:t>
      </w:r>
    </w:p>
    <w:p>
      <w:pPr>
        <w:pStyle w:val="BodyText"/>
        <w:spacing w:line="316" w:lineRule="auto" w:before="20"/>
        <w:ind w:left="153" w:right="1029" w:firstLine="360"/>
        <w:jc w:val="left"/>
      </w:pPr>
      <w:r>
        <w:rPr>
          <w:spacing w:val="-6"/>
          <w:w w:val="101"/>
        </w:rPr>
        <w:t>由此可见，对于有志于开展国际通信服务业务的国内通信服务商来说，中资企业对海外通信服务的需求蕴含着巨大商机，</w:t>
      </w:r>
      <w:r>
        <w:rPr>
          <w:w w:val="101"/>
        </w:rPr>
        <w:t> </w:t>
      </w:r>
      <w:r>
        <w:rPr/>
        <w:t>大有可为。</w:t>
      </w:r>
    </w:p>
    <w:p>
      <w:pPr>
        <w:pStyle w:val="BodyText"/>
        <w:spacing w:line="240" w:lineRule="auto" w:before="19"/>
        <w:ind w:left="513" w:right="0"/>
        <w:jc w:val="left"/>
      </w:pPr>
      <w:r>
        <w:rPr>
          <w:spacing w:val="-3"/>
        </w:rPr>
        <w:t>（</w:t>
      </w:r>
      <w:r>
        <w:rPr>
          <w:rFonts w:ascii="Times New Roman" w:hAnsi="Times New Roman" w:cs="Times New Roman" w:eastAsia="Times New Roman" w:hint="default"/>
          <w:spacing w:val="-3"/>
        </w:rPr>
        <w:t>3</w:t>
      </w:r>
      <w:r>
        <w:rPr>
          <w:spacing w:val="-3"/>
        </w:rPr>
        <w:t>）关于“新冠肺炎”疫情对云办公、云视频业务的推动作用</w:t>
      </w:r>
    </w:p>
    <w:p>
      <w:pPr>
        <w:pStyle w:val="BodyText"/>
        <w:spacing w:line="314" w:lineRule="auto" w:before="63"/>
        <w:ind w:left="153" w:right="0" w:firstLine="360"/>
        <w:jc w:val="left"/>
      </w:pPr>
      <w:r>
        <w:rPr>
          <w:rFonts w:ascii="Times New Roman" w:hAnsi="Times New Roman" w:cs="Times New Roman" w:eastAsia="Times New Roman" w:hint="default"/>
          <w:spacing w:val="-3"/>
        </w:rPr>
        <w:t>2019</w:t>
      </w:r>
      <w:r>
        <w:rPr>
          <w:spacing w:val="-3"/>
        </w:rPr>
        <w:t>年末开始，一场突如其来的新冠肺炎疫情对中国乃至全球的经济发展带来了巨大的影响。为了抗击新冠肺炎疫情，</w:t>
      </w:r>
      <w:r>
        <w:rPr>
          <w:w w:val="101"/>
        </w:rPr>
        <w:t> </w:t>
      </w:r>
      <w:r>
        <w:rPr>
          <w:spacing w:val="-4"/>
        </w:rPr>
        <w:t>中国政府果断采取了严格而有效的防控措施，封城闭市、控制人群流动，阻断病毒大规模传播的途径。各大中小企业纷纷响</w:t>
      </w:r>
      <w:r>
        <w:rPr>
          <w:spacing w:val="40"/>
        </w:rPr>
        <w:t> </w:t>
      </w:r>
      <w:r>
        <w:rPr>
          <w:spacing w:val="40"/>
        </w:rPr>
      </w:r>
      <w:r>
        <w:rPr>
          <w:spacing w:val="-4"/>
        </w:rPr>
        <w:t>应国家应对疫情的防控政策，延后春节假期的复工时间。为避免员工在返程复工途中以及上下班通勤途中产生交叉感染，确</w:t>
      </w:r>
      <w:r>
        <w:rPr>
          <w:spacing w:val="43"/>
        </w:rPr>
        <w:t> </w:t>
      </w:r>
      <w:r>
        <w:rPr>
          <w:spacing w:val="43"/>
        </w:rPr>
      </w:r>
      <w:r>
        <w:rPr>
          <w:spacing w:val="-4"/>
        </w:rPr>
        <w:t>保员工的安全健康，很多企业都采取了远程办公和视频会议等人性化的办公模式。各大中小学和教育培训机构也因推迟开学</w:t>
      </w:r>
      <w:r>
        <w:rPr>
          <w:spacing w:val="44"/>
        </w:rPr>
        <w:t> </w:t>
      </w:r>
      <w:r>
        <w:rPr>
          <w:spacing w:val="44"/>
        </w:rPr>
      </w:r>
      <w:r>
        <w:rPr>
          <w:spacing w:val="-3"/>
        </w:rPr>
        <w:t>而纷纷采用网校和在线课堂等远程教学模式。</w:t>
      </w:r>
    </w:p>
    <w:p>
      <w:pPr>
        <w:pStyle w:val="BodyText"/>
        <w:spacing w:line="316" w:lineRule="auto" w:before="20"/>
        <w:ind w:left="153" w:right="0" w:firstLine="360"/>
        <w:jc w:val="left"/>
      </w:pPr>
      <w:r>
        <w:rPr>
          <w:spacing w:val="-6"/>
          <w:w w:val="101"/>
        </w:rPr>
        <w:t>新冠肺炎疫情导致传统写字楼集中办公的模式受到诸多限制，为了避免人群聚集感染，企事业单位的办公模式被迫重构，</w:t>
      </w:r>
      <w:r>
        <w:rPr>
          <w:w w:val="101"/>
        </w:rPr>
        <w:t> </w:t>
      </w:r>
      <w:r>
        <w:rPr>
          <w:spacing w:val="-4"/>
        </w:rPr>
        <w:t>改为居家远程办公与现场办公的混合模式。同时，远程办公等措施也得到政府的支持与推动，大批企事业单位为了维持正常</w:t>
      </w:r>
    </w:p>
    <w:p>
      <w:pPr>
        <w:spacing w:after="0" w:line="316" w:lineRule="auto"/>
        <w:jc w:val="left"/>
        <w:sectPr>
          <w:pgSz w:w="11910" w:h="16840"/>
          <w:pgMar w:header="914" w:footer="1022" w:top="1120" w:bottom="1220" w:left="980" w:right="0"/>
        </w:sectPr>
      </w:pPr>
    </w:p>
    <w:p>
      <w:pPr>
        <w:spacing w:line="240" w:lineRule="auto" w:before="5"/>
        <w:rPr>
          <w:rFonts w:ascii="宋体" w:hAnsi="宋体" w:cs="宋体" w:eastAsia="宋体" w:hint="default"/>
          <w:sz w:val="20"/>
          <w:szCs w:val="20"/>
        </w:rPr>
      </w:pPr>
    </w:p>
    <w:p>
      <w:pPr>
        <w:pStyle w:val="BodyText"/>
        <w:spacing w:line="316" w:lineRule="auto" w:before="46"/>
        <w:ind w:left="153" w:right="1123"/>
        <w:jc w:val="both"/>
      </w:pPr>
      <w:r>
        <w:rPr>
          <w:spacing w:val="-4"/>
        </w:rPr>
        <w:t>运行纷纷响应新模式，允许员工在家办公。这种情况下，云办公、云视频服务成为了复产复工的必选项，短期内被更广泛地</w:t>
      </w:r>
      <w:r>
        <w:rPr>
          <w:spacing w:val="40"/>
        </w:rPr>
        <w:t> </w:t>
      </w:r>
      <w:r>
        <w:rPr>
          <w:spacing w:val="40"/>
        </w:rPr>
      </w:r>
      <w:r>
        <w:rPr/>
        <w:t>接受。</w:t>
      </w:r>
    </w:p>
    <w:p>
      <w:pPr>
        <w:pStyle w:val="BodyText"/>
        <w:spacing w:line="307" w:lineRule="auto" w:before="19"/>
        <w:ind w:left="153" w:right="1029" w:firstLine="360"/>
        <w:jc w:val="left"/>
      </w:pP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26</w:t>
      </w:r>
      <w:r>
        <w:rPr>
          <w:spacing w:val="-3"/>
        </w:rPr>
        <w:t>日，</w:t>
      </w:r>
      <w:r>
        <w:rPr>
          <w:rFonts w:ascii="Times New Roman" w:hAnsi="Times New Roman" w:cs="Times New Roman" w:eastAsia="Times New Roman" w:hint="default"/>
          <w:spacing w:val="-3"/>
        </w:rPr>
        <w:t>G20</w:t>
      </w:r>
      <w:r>
        <w:rPr>
          <w:spacing w:val="-3"/>
        </w:rPr>
        <w:t>集团领导人应对新冠肺炎召开了特备峰会，本次峰会是基于网络视频会议进行。受新冠疫情影响，</w:t>
      </w:r>
      <w:r>
        <w:rPr>
          <w:w w:val="101"/>
        </w:rPr>
        <w:t> </w:t>
      </w:r>
      <w:r>
        <w:rPr>
          <w:spacing w:val="-4"/>
        </w:rPr>
        <w:t>视频会议早已成为各行各业沟通的主要方式，</w:t>
      </w:r>
      <w:r>
        <w:rPr>
          <w:rFonts w:ascii="Times New Roman" w:hAnsi="Times New Roman" w:cs="Times New Roman" w:eastAsia="Times New Roman" w:hint="default"/>
          <w:spacing w:val="-4"/>
        </w:rPr>
        <w:t>“</w:t>
      </w:r>
      <w:r>
        <w:rPr>
          <w:spacing w:val="-4"/>
        </w:rPr>
        <w:t>千里连线，窗口相见</w:t>
      </w:r>
      <w:r>
        <w:rPr>
          <w:rFonts w:ascii="Times New Roman" w:hAnsi="Times New Roman" w:cs="Times New Roman" w:eastAsia="Times New Roman" w:hint="default"/>
          <w:spacing w:val="-4"/>
        </w:rPr>
        <w:t>”</w:t>
      </w:r>
      <w:r>
        <w:rPr>
          <w:spacing w:val="-4"/>
        </w:rPr>
        <w:t>准确的表达了疫情之下，各行各业日常沟通、跨国交流</w:t>
      </w:r>
      <w:r>
        <w:rPr>
          <w:spacing w:val="65"/>
        </w:rPr>
        <w:t> </w:t>
      </w:r>
      <w:r>
        <w:rPr>
          <w:spacing w:val="65"/>
        </w:rPr>
      </w:r>
      <w:r>
        <w:rPr>
          <w:spacing w:val="-4"/>
        </w:rPr>
        <w:t>的真实场景，当然视频协作的价值不仅仅与此，在企业商务、医疗、制造、跨国贸易、金融等领域，视频协作应用发挥了巨</w:t>
      </w:r>
      <w:r>
        <w:rPr>
          <w:spacing w:val="40"/>
        </w:rPr>
        <w:t> </w:t>
      </w:r>
      <w:r>
        <w:rPr>
          <w:spacing w:val="40"/>
        </w:rPr>
      </w:r>
      <w:r>
        <w:rPr>
          <w:spacing w:val="-3"/>
        </w:rPr>
        <w:t>大的应用价值。</w:t>
      </w:r>
    </w:p>
    <w:p>
      <w:pPr>
        <w:pStyle w:val="BodyText"/>
        <w:spacing w:line="316" w:lineRule="auto" w:before="26"/>
        <w:ind w:left="153" w:right="1124" w:firstLine="360"/>
        <w:jc w:val="both"/>
      </w:pPr>
      <w:r>
        <w:rPr>
          <w:spacing w:val="-4"/>
        </w:rPr>
        <w:t>可以展望在疫情结束之后，已经尝试过云办公、云视频高效便利的企事业单位将更加青睐于这种新沟通方式，相关的市</w:t>
      </w:r>
      <w:r>
        <w:rPr>
          <w:w w:val="101"/>
        </w:rPr>
        <w:t> </w:t>
      </w:r>
      <w:r>
        <w:rPr>
          <w:spacing w:val="-3"/>
        </w:rPr>
        <w:t>场需求将会快速增长，云办公、云视频服务市场或将迎来新的爆发期。</w:t>
      </w:r>
    </w:p>
    <w:p>
      <w:pPr>
        <w:pStyle w:val="BodyText"/>
        <w:spacing w:line="300" w:lineRule="auto" w:before="19"/>
        <w:ind w:left="513" w:right="1029" w:hanging="360"/>
        <w:jc w:val="left"/>
      </w:pPr>
      <w:r>
        <w:rPr>
          <w:rFonts w:ascii="Times New Roman" w:hAnsi="Times New Roman" w:cs="Times New Roman" w:eastAsia="Times New Roman" w:hint="default"/>
        </w:rPr>
        <w:t>2</w:t>
      </w:r>
      <w:r>
        <w:rPr/>
        <w:t>、公司发展战略</w:t>
      </w:r>
      <w:r>
        <w:rPr>
          <w:spacing w:val="-87"/>
        </w:rPr>
        <w:t> </w:t>
      </w:r>
      <w:r>
        <w:rPr>
          <w:spacing w:val="-87"/>
        </w:rPr>
      </w:r>
      <w:r>
        <w:rPr>
          <w:spacing w:val="-4"/>
        </w:rPr>
        <w:t>公司致力于运用互联网技术和转售方式为客户提供通信服务。在企业客户市场，公司在企业通信和协同办公领域为国内</w:t>
      </w:r>
    </w:p>
    <w:p>
      <w:pPr>
        <w:pStyle w:val="BodyText"/>
        <w:spacing w:line="309" w:lineRule="auto" w:before="31"/>
        <w:ind w:left="153" w:right="1124"/>
        <w:jc w:val="both"/>
      </w:pPr>
      <w:r>
        <w:rPr>
          <w:spacing w:val="-4"/>
        </w:rPr>
        <w:t>各类企业客户提供企业级</w:t>
      </w:r>
      <w:r>
        <w:rPr>
          <w:rFonts w:ascii="Times New Roman" w:hAnsi="Times New Roman" w:cs="Times New Roman" w:eastAsia="Times New Roman" w:hint="default"/>
          <w:spacing w:val="-4"/>
        </w:rPr>
        <w:t>SaaS</w:t>
      </w:r>
      <w:r>
        <w:rPr>
          <w:spacing w:val="-4"/>
        </w:rPr>
        <w:t>服务，同时，公司借助国家</w:t>
      </w:r>
      <w:r>
        <w:rPr>
          <w:rFonts w:ascii="Times New Roman" w:hAnsi="Times New Roman" w:cs="Times New Roman" w:eastAsia="Times New Roman" w:hint="default"/>
          <w:spacing w:val="-4"/>
        </w:rPr>
        <w:t>“</w:t>
      </w:r>
      <w:r>
        <w:rPr>
          <w:spacing w:val="-4"/>
        </w:rPr>
        <w:t>一带一路</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走出去</w:t>
      </w:r>
      <w:r>
        <w:rPr>
          <w:rFonts w:ascii="Times New Roman" w:hAnsi="Times New Roman" w:cs="Times New Roman" w:eastAsia="Times New Roman" w:hint="default"/>
          <w:spacing w:val="-4"/>
        </w:rPr>
        <w:t>”</w:t>
      </w:r>
      <w:r>
        <w:rPr>
          <w:spacing w:val="-4"/>
        </w:rPr>
        <w:t>战略、积极开展企业国际化通信服务，向企</w:t>
      </w:r>
      <w:r>
        <w:rPr>
          <w:spacing w:val="2"/>
        </w:rPr>
        <w:t> </w:t>
      </w:r>
      <w:r>
        <w:rPr>
          <w:spacing w:val="2"/>
        </w:rPr>
      </w:r>
      <w:r>
        <w:rPr>
          <w:spacing w:val="-4"/>
        </w:rPr>
        <w:t>业用户提供国际跨境通信服务和境外本地通信服务。在个人客户市场，公司主要为北美华人提供家庭安防、家庭电话以及多</w:t>
      </w:r>
      <w:r>
        <w:rPr>
          <w:spacing w:val="43"/>
        </w:rPr>
        <w:t> </w:t>
      </w:r>
      <w:r>
        <w:rPr>
          <w:spacing w:val="43"/>
        </w:rPr>
      </w:r>
      <w:r>
        <w:rPr>
          <w:spacing w:val="-3"/>
        </w:rPr>
        <w:t>平台、多终端的中文视频内容服务，致力于成为北美地区的互联网综合服务商。</w:t>
      </w:r>
    </w:p>
    <w:p>
      <w:pPr>
        <w:pStyle w:val="BodyText"/>
        <w:spacing w:line="240" w:lineRule="auto" w:before="24"/>
        <w:ind w:left="153" w:right="0"/>
        <w:jc w:val="both"/>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2020</w:t>
      </w:r>
      <w:r>
        <w:rPr/>
        <w:t>年经营计划</w:t>
      </w:r>
    </w:p>
    <w:p>
      <w:pPr>
        <w:pStyle w:val="BodyText"/>
        <w:spacing w:line="300" w:lineRule="auto" w:before="63"/>
        <w:ind w:left="153" w:right="1113" w:firstLine="360"/>
        <w:jc w:val="both"/>
      </w:pPr>
      <w:r>
        <w:rPr>
          <w:rFonts w:ascii="Times New Roman" w:hAnsi="Times New Roman" w:cs="Times New Roman" w:eastAsia="Times New Roman" w:hint="default"/>
          <w:spacing w:val="-4"/>
        </w:rPr>
        <w:t>2020</w:t>
      </w:r>
      <w:r>
        <w:rPr>
          <w:spacing w:val="-4"/>
        </w:rPr>
        <w:t>年在促进业务发展、创造利润的同时，公司将更为关注</w:t>
      </w:r>
      <w:r>
        <w:rPr>
          <w:rFonts w:ascii="Times New Roman" w:hAnsi="Times New Roman" w:cs="Times New Roman" w:eastAsia="Times New Roman" w:hint="default"/>
          <w:spacing w:val="-4"/>
        </w:rPr>
        <w:t>“</w:t>
      </w:r>
      <w:r>
        <w:rPr>
          <w:spacing w:val="-4"/>
        </w:rPr>
        <w:t>有质量的增长</w:t>
      </w:r>
      <w:r>
        <w:rPr>
          <w:rFonts w:ascii="Times New Roman" w:hAnsi="Times New Roman" w:cs="Times New Roman" w:eastAsia="Times New Roman" w:hint="default"/>
          <w:spacing w:val="-4"/>
        </w:rPr>
        <w:t>”</w:t>
      </w:r>
      <w:r>
        <w:rPr>
          <w:spacing w:val="-4"/>
        </w:rPr>
        <w:t>，即股东权益的收益水平的增长。公司在进</w:t>
      </w:r>
      <w:r>
        <w:rPr>
          <w:w w:val="101"/>
        </w:rPr>
        <w:t> </w:t>
      </w:r>
      <w:r>
        <w:rPr>
          <w:spacing w:val="-3"/>
        </w:rPr>
        <w:t>一步优化业务的同时将净资产收益率（</w:t>
      </w:r>
      <w:r>
        <w:rPr>
          <w:rFonts w:ascii="Times New Roman" w:hAnsi="Times New Roman" w:cs="Times New Roman" w:eastAsia="Times New Roman" w:hint="default"/>
          <w:spacing w:val="-3"/>
        </w:rPr>
        <w:t>ROE</w:t>
      </w:r>
      <w:r>
        <w:rPr>
          <w:spacing w:val="-3"/>
        </w:rPr>
        <w:t>）等指标将作为考核各事业部的重要</w:t>
      </w:r>
      <w:r>
        <w:rPr>
          <w:rFonts w:ascii="Times New Roman" w:hAnsi="Times New Roman" w:cs="Times New Roman" w:eastAsia="Times New Roman" w:hint="default"/>
          <w:spacing w:val="-3"/>
        </w:rPr>
        <w:t>KPI</w:t>
      </w:r>
      <w:r>
        <w:rPr>
          <w:spacing w:val="-3"/>
        </w:rPr>
        <w:t>指标之一，积极参考、对标优质企业，</w:t>
      </w:r>
      <w:r>
        <w:rPr>
          <w:spacing w:val="74"/>
        </w:rPr>
        <w:t> </w:t>
      </w:r>
      <w:r>
        <w:rPr>
          <w:spacing w:val="74"/>
        </w:rPr>
      </w:r>
      <w:r>
        <w:rPr>
          <w:spacing w:val="-3"/>
        </w:rPr>
        <w:t>为股东创造更大的价值。同时，公司将进一步优化资产结构，提高资产的盈利能力。</w:t>
      </w:r>
    </w:p>
    <w:p>
      <w:pPr>
        <w:pStyle w:val="BodyText"/>
        <w:spacing w:line="300" w:lineRule="auto" w:before="31"/>
        <w:ind w:left="153" w:right="1047" w:firstLine="360"/>
        <w:jc w:val="both"/>
      </w:pPr>
      <w:r>
        <w:rPr>
          <w:rFonts w:ascii="Times New Roman" w:hAnsi="Times New Roman" w:cs="Times New Roman" w:eastAsia="Times New Roman" w:hint="default"/>
          <w:spacing w:val="-3"/>
        </w:rPr>
        <w:t>2020</w:t>
      </w:r>
      <w:r>
        <w:rPr>
          <w:spacing w:val="-3"/>
        </w:rPr>
        <w:t>年将进一步强化公司治理能力，加强、完善管控体系的信息化建设，使公司治理、管控方面更加系统化、全面化。</w:t>
      </w:r>
      <w:r>
        <w:rPr>
          <w:w w:val="101"/>
        </w:rPr>
        <w:t> </w:t>
      </w:r>
      <w:r>
        <w:rPr>
          <w:spacing w:val="-3"/>
        </w:rPr>
        <w:t>同时，公司将进一步加强制度建设，加强考核制度化、业务立项制度化等方面的严格落实。</w:t>
      </w:r>
    </w:p>
    <w:p>
      <w:pPr>
        <w:pStyle w:val="BodyText"/>
        <w:spacing w:line="307" w:lineRule="auto" w:before="32"/>
        <w:ind w:left="153" w:right="0" w:firstLine="360"/>
        <w:jc w:val="left"/>
      </w:pPr>
      <w:r>
        <w:rPr>
          <w:rFonts w:ascii="Times New Roman" w:hAnsi="Times New Roman" w:cs="Times New Roman" w:eastAsia="Times New Roman" w:hint="default"/>
          <w:spacing w:val="-2"/>
        </w:rPr>
        <w:t>2020</w:t>
      </w:r>
      <w:r>
        <w:rPr>
          <w:spacing w:val="-2"/>
        </w:rPr>
        <w:t>年公司将进一步夯实既有业务巩固三大业务产品线，借助</w:t>
      </w:r>
      <w:r>
        <w:rPr>
          <w:rFonts w:ascii="Times New Roman" w:hAnsi="Times New Roman" w:cs="Times New Roman" w:eastAsia="Times New Roman" w:hint="default"/>
          <w:spacing w:val="-2"/>
        </w:rPr>
        <w:t>5G</w:t>
      </w:r>
      <w:r>
        <w:rPr>
          <w:spacing w:val="-2"/>
        </w:rPr>
        <w:t>技术的发展和公司的移动通信能力，聚焦云视频等领</w:t>
      </w:r>
      <w:r>
        <w:rPr>
          <w:w w:val="101"/>
        </w:rPr>
        <w:t> </w:t>
      </w:r>
      <w:r>
        <w:rPr>
          <w:spacing w:val="-4"/>
        </w:rPr>
        <w:t>域；积极顺应国家</w:t>
      </w:r>
      <w:r>
        <w:rPr>
          <w:rFonts w:ascii="Times New Roman" w:hAnsi="Times New Roman" w:cs="Times New Roman" w:eastAsia="Times New Roman" w:hint="default"/>
          <w:spacing w:val="-4"/>
        </w:rPr>
        <w:t>“</w:t>
      </w:r>
      <w:r>
        <w:rPr>
          <w:spacing w:val="-4"/>
        </w:rPr>
        <w:t>一带一路</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走出去</w:t>
      </w:r>
      <w:r>
        <w:rPr>
          <w:rFonts w:ascii="Times New Roman" w:hAnsi="Times New Roman" w:cs="Times New Roman" w:eastAsia="Times New Roman" w:hint="default"/>
          <w:spacing w:val="-4"/>
        </w:rPr>
        <w:t>”</w:t>
      </w:r>
      <w:r>
        <w:rPr>
          <w:spacing w:val="-4"/>
        </w:rPr>
        <w:t>战略，开展与国际运营商的战略合作，深入挖掘企业国际化通信需求，完善企业跨</w:t>
      </w:r>
      <w:r>
        <w:rPr>
          <w:spacing w:val="1"/>
        </w:rPr>
        <w:t> </w:t>
      </w:r>
      <w:r>
        <w:rPr>
          <w:spacing w:val="1"/>
        </w:rPr>
      </w:r>
      <w:r>
        <w:rPr>
          <w:spacing w:val="-3"/>
        </w:rPr>
        <w:t>境通信服务及海外本地通信服务业务。在北美地区，加速华语视频内容在多平台、多终端为海外华人提供服务架构的实现，</w:t>
      </w:r>
      <w:r>
        <w:rPr>
          <w:spacing w:val="67"/>
        </w:rPr>
        <w:t> </w:t>
      </w:r>
      <w:r>
        <w:rPr>
          <w:spacing w:val="67"/>
        </w:rPr>
      </w:r>
      <w:r>
        <w:rPr>
          <w:spacing w:val="-3"/>
        </w:rPr>
        <w:t>加大家庭安防系统（</w:t>
      </w:r>
      <w:r>
        <w:rPr>
          <w:rFonts w:ascii="Times New Roman" w:hAnsi="Times New Roman" w:cs="Times New Roman" w:eastAsia="Times New Roman" w:hint="default"/>
          <w:spacing w:val="-3"/>
        </w:rPr>
        <w:t>iTalkBB</w:t>
      </w:r>
      <w:r>
        <w:rPr>
          <w:rFonts w:ascii="Times New Roman" w:hAnsi="Times New Roman" w:cs="Times New Roman" w:eastAsia="Times New Roman" w:hint="default"/>
          <w:spacing w:val="23"/>
        </w:rPr>
        <w:t> </w:t>
      </w:r>
      <w:r>
        <w:rPr>
          <w:rFonts w:ascii="Times New Roman" w:hAnsi="Times New Roman" w:cs="Times New Roman" w:eastAsia="Times New Roman" w:hint="default"/>
        </w:rPr>
        <w:t>AIjia</w:t>
      </w:r>
      <w:r>
        <w:rPr/>
        <w:t>）的销售力度。</w:t>
      </w:r>
    </w:p>
    <w:p>
      <w:pPr>
        <w:pStyle w:val="BodyText"/>
        <w:spacing w:line="240" w:lineRule="auto" w:before="7"/>
        <w:ind w:left="513" w:right="0"/>
        <w:jc w:val="left"/>
      </w:pPr>
      <w:r>
        <w:rPr/>
        <w:t>（</w:t>
      </w:r>
      <w:r>
        <w:rPr>
          <w:rFonts w:ascii="Times New Roman" w:hAnsi="Times New Roman" w:cs="Times New Roman" w:eastAsia="Times New Roman" w:hint="default"/>
        </w:rPr>
        <w:t>1</w:t>
      </w:r>
      <w:r>
        <w:rPr/>
        <w:t>）企业通信业务</w:t>
      </w:r>
    </w:p>
    <w:p>
      <w:pPr>
        <w:pStyle w:val="BodyText"/>
        <w:spacing w:line="304" w:lineRule="auto" w:before="63"/>
        <w:ind w:left="153" w:right="0" w:firstLine="360"/>
        <w:jc w:val="left"/>
      </w:pPr>
      <w:r>
        <w:rPr>
          <w:spacing w:val="-6"/>
        </w:rPr>
        <w:t>①视频通信业务。</w:t>
      </w:r>
      <w:r>
        <w:rPr>
          <w:rFonts w:ascii="Times New Roman" w:hAnsi="Times New Roman" w:cs="Times New Roman" w:eastAsia="Times New Roman" w:hint="default"/>
          <w:spacing w:val="-6"/>
        </w:rPr>
        <w:t>2020</w:t>
      </w:r>
      <w:r>
        <w:rPr>
          <w:spacing w:val="-6"/>
        </w:rPr>
        <w:t>年公司将继续在视频会议产品线大力投入研发能力及设备资源，攻坚技术难点，确保在</w:t>
      </w:r>
      <w:r>
        <w:rPr>
          <w:rFonts w:ascii="Times New Roman" w:hAnsi="Times New Roman" w:cs="Times New Roman" w:eastAsia="Times New Roman" w:hint="default"/>
          <w:spacing w:val="-6"/>
        </w:rPr>
        <w:t>QOS</w:t>
      </w:r>
      <w:r>
        <w:rPr>
          <w:spacing w:val="-6"/>
        </w:rPr>
        <w:t>技术、</w:t>
      </w:r>
      <w:r>
        <w:rPr>
          <w:w w:val="101"/>
        </w:rPr>
        <w:t> </w:t>
      </w:r>
      <w:r>
        <w:rPr>
          <w:spacing w:val="-4"/>
        </w:rPr>
        <w:t>音视频技术、屏幕及文档共享技术、大并发集群技术、动态负载均衡技术、跨网络接入技术等方面取得突破性应用，实现包</w:t>
      </w:r>
      <w:r>
        <w:rPr>
          <w:spacing w:val="40"/>
        </w:rPr>
        <w:t> </w:t>
      </w:r>
      <w:r>
        <w:rPr>
          <w:spacing w:val="40"/>
        </w:rPr>
      </w:r>
      <w:r>
        <w:rPr/>
        <w:t>括实时音视频通信平台、云视频服务、视频转码存储服务、</w:t>
      </w:r>
      <w:r>
        <w:rPr>
          <w:rFonts w:ascii="Times New Roman" w:hAnsi="Times New Roman" w:cs="Times New Roman" w:eastAsia="Times New Roman" w:hint="default"/>
        </w:rPr>
        <w:t>AI</w:t>
      </w:r>
      <w:r>
        <w:rPr/>
        <w:t>深度学习平台以及各终端硬件。在技术层面，提高云平台处</w:t>
      </w:r>
      <w:r>
        <w:rPr>
          <w:spacing w:val="2"/>
        </w:rPr>
        <w:t> </w:t>
      </w:r>
      <w:r>
        <w:rPr>
          <w:spacing w:val="2"/>
        </w:rPr>
      </w:r>
      <w:r>
        <w:rPr/>
        <w:t>理能力为争抢云视频市场份额占领制高点。同时，利用</w:t>
      </w:r>
      <w:r>
        <w:rPr>
          <w:rFonts w:ascii="Times New Roman" w:hAnsi="Times New Roman" w:cs="Times New Roman" w:eastAsia="Times New Roman" w:hint="default"/>
        </w:rPr>
        <w:t>AI</w:t>
      </w:r>
      <w:r>
        <w:rPr/>
        <w:t>与大数据技术，实现移动、硬件、智能推动企业办公、教育、医 </w:t>
      </w:r>
      <w:r>
        <w:rPr>
          <w:spacing w:val="-3"/>
        </w:rPr>
        <w:t>疗等行业的快速数字化转型，支持面向全球的互联网协同工作、在线知识传播、远程资源共享。</w:t>
      </w:r>
    </w:p>
    <w:p>
      <w:pPr>
        <w:pStyle w:val="BodyText"/>
        <w:spacing w:line="307" w:lineRule="auto" w:before="28"/>
        <w:ind w:left="153" w:right="1123" w:firstLine="360"/>
        <w:jc w:val="both"/>
      </w:pPr>
      <w:r>
        <w:rPr>
          <w:spacing w:val="-2"/>
        </w:rPr>
        <w:t>在视频的整体布局上，公司大力拓展</w:t>
      </w:r>
      <w:r>
        <w:rPr>
          <w:rFonts w:ascii="Times New Roman" w:hAnsi="Times New Roman" w:cs="Times New Roman" w:eastAsia="Times New Roman" w:hint="default"/>
          <w:spacing w:val="-2"/>
        </w:rPr>
        <w:t>“</w:t>
      </w:r>
      <w:r>
        <w:rPr>
          <w:spacing w:val="-2"/>
        </w:rPr>
        <w:t>视频</w:t>
      </w:r>
      <w:r>
        <w:rPr>
          <w:rFonts w:ascii="Times New Roman" w:hAnsi="Times New Roman" w:cs="Times New Roman" w:eastAsia="Times New Roman" w:hint="default"/>
          <w:spacing w:val="-2"/>
        </w:rPr>
        <w:t>+”</w:t>
      </w:r>
      <w:r>
        <w:rPr>
          <w:spacing w:val="-2"/>
        </w:rPr>
        <w:t>战略，深化垂直行业的应用，尤其是在线教育行业。公司将采用最新的技</w:t>
      </w:r>
      <w:r>
        <w:rPr>
          <w:w w:val="101"/>
        </w:rPr>
        <w:t> </w:t>
      </w:r>
      <w:r>
        <w:rPr>
          <w:spacing w:val="-2"/>
        </w:rPr>
        <w:t>术，从产品与人工智能、</w:t>
      </w:r>
      <w:r>
        <w:rPr>
          <w:rFonts w:ascii="Times New Roman" w:hAnsi="Times New Roman" w:cs="Times New Roman" w:eastAsia="Times New Roman" w:hint="default"/>
          <w:spacing w:val="-2"/>
        </w:rPr>
        <w:t>AR</w:t>
      </w:r>
      <w:r>
        <w:rPr>
          <w:spacing w:val="-2"/>
        </w:rPr>
        <w:t>的增强现实结合出发，找到最适合的场景满足客户的需求，只有把客户需求和产品设计使用场</w:t>
      </w:r>
      <w:r>
        <w:rPr>
          <w:spacing w:val="42"/>
        </w:rPr>
        <w:t> </w:t>
      </w:r>
      <w:r>
        <w:rPr>
          <w:spacing w:val="42"/>
        </w:rPr>
      </w:r>
      <w:r>
        <w:rPr>
          <w:spacing w:val="-4"/>
        </w:rPr>
        <w:t>景相结合的通信方式，才能够代表未来的企业通讯方向。公司打造的视频云平台，致力于消除硬件厂商之间的互不兼容，成</w:t>
      </w:r>
      <w:r>
        <w:rPr>
          <w:spacing w:val="40"/>
        </w:rPr>
        <w:t> </w:t>
      </w:r>
      <w:r>
        <w:rPr>
          <w:spacing w:val="40"/>
        </w:rPr>
      </w:r>
      <w:r>
        <w:rPr>
          <w:spacing w:val="-3"/>
        </w:rPr>
        <w:t>为视频云通信运营商。从视频业务的全局看，公司将重点关注视频的编解码、视频的质量及其他核心技术的掌握。</w:t>
      </w:r>
    </w:p>
    <w:p>
      <w:pPr>
        <w:pStyle w:val="BodyText"/>
        <w:spacing w:line="304" w:lineRule="auto" w:before="26"/>
        <w:ind w:left="153" w:right="1122" w:firstLine="360"/>
        <w:jc w:val="both"/>
      </w:pPr>
      <w:r>
        <w:rPr>
          <w:spacing w:val="-5"/>
        </w:rPr>
        <w:t>疫情期间，公司为银行、保险、制造等行业多家企业提供远程沟通的服务，特别是全力保障湖北地区的医院、大型药企</w:t>
      </w:r>
      <w:r>
        <w:rPr>
          <w:w w:val="101"/>
        </w:rPr>
        <w:t> </w:t>
      </w:r>
      <w:r>
        <w:rPr>
          <w:spacing w:val="-2"/>
        </w:rPr>
        <w:t>远程视频沟通的需求。</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月，公司推出了最新的一款桌面触控智能终端：</w:t>
      </w:r>
      <w:r>
        <w:rPr>
          <w:rFonts w:ascii="Times New Roman" w:hAnsi="Times New Roman" w:cs="Times New Roman" w:eastAsia="Times New Roman" w:hint="default"/>
          <w:spacing w:val="-2"/>
        </w:rPr>
        <w:t>VCX-3</w:t>
      </w:r>
      <w:r>
        <w:rPr>
          <w:spacing w:val="-2"/>
        </w:rPr>
        <w:t>，目前是市面上首款大视角超高清的</w:t>
      </w:r>
      <w:r>
        <w:rPr>
          <w:spacing w:val="43"/>
        </w:rPr>
        <w:t> </w:t>
      </w:r>
      <w:r>
        <w:rPr>
          <w:spacing w:val="43"/>
        </w:rPr>
      </w:r>
      <w:r>
        <w:rPr>
          <w:spacing w:val="5"/>
        </w:rPr>
        <w:t>视频会议终端，</w:t>
      </w:r>
      <w:r>
        <w:rPr>
          <w:rFonts w:ascii="Times New Roman" w:hAnsi="Times New Roman" w:cs="Times New Roman" w:eastAsia="Times New Roman" w:hint="default"/>
          <w:spacing w:val="5"/>
        </w:rPr>
        <w:t>21.5</w:t>
      </w:r>
      <w:r>
        <w:rPr>
          <w:spacing w:val="5"/>
        </w:rPr>
        <w:t>英寸的高清大屏非常适用于多线程的商务办公人群，</w:t>
      </w:r>
      <w:r>
        <w:rPr>
          <w:rFonts w:ascii="Times New Roman" w:hAnsi="Times New Roman" w:cs="Times New Roman" w:eastAsia="Times New Roman" w:hint="default"/>
          <w:spacing w:val="5"/>
        </w:rPr>
        <w:t>VCX-3</w:t>
      </w:r>
      <w:r>
        <w:rPr>
          <w:spacing w:val="5"/>
        </w:rPr>
        <w:t>高度集成</w:t>
      </w:r>
      <w:r>
        <w:rPr>
          <w:rFonts w:ascii="Times New Roman" w:hAnsi="Times New Roman" w:cs="Times New Roman" w:eastAsia="Times New Roman" w:hint="default"/>
          <w:spacing w:val="5"/>
        </w:rPr>
        <w:t>AI</w:t>
      </w:r>
      <w:r>
        <w:rPr>
          <w:spacing w:val="5"/>
        </w:rPr>
        <w:t>双摄、麦克风和扬声器，</w:t>
      </w:r>
      <w:r>
        <w:rPr>
          <w:spacing w:val="10"/>
        </w:rPr>
        <w:t> </w:t>
      </w:r>
      <w:r>
        <w:rPr>
          <w:spacing w:val="10"/>
        </w:rPr>
      </w:r>
      <w:r>
        <w:rPr>
          <w:rFonts w:ascii="Times New Roman" w:hAnsi="Times New Roman" w:cs="Times New Roman" w:eastAsia="Times New Roman" w:hint="default"/>
          <w:spacing w:val="-2"/>
        </w:rPr>
        <w:t>LAN/Wi-Fi/4G</w:t>
      </w:r>
      <w:r>
        <w:rPr>
          <w:spacing w:val="-2"/>
        </w:rPr>
        <w:t>，互动白板，并提供丰富接口和可扩展性，一台终端就是一个会议室，可以作为提高办公效率必备的第二块</w:t>
      </w:r>
      <w:r>
        <w:rPr>
          <w:spacing w:val="85"/>
        </w:rPr>
        <w:t> </w:t>
      </w:r>
      <w:r>
        <w:rPr>
          <w:spacing w:val="85"/>
        </w:rPr>
      </w:r>
      <w:r>
        <w:rPr/>
        <w:t>屏。</w:t>
      </w:r>
    </w:p>
    <w:p>
      <w:pPr>
        <w:pStyle w:val="BodyText"/>
        <w:spacing w:line="314" w:lineRule="auto" w:before="28"/>
        <w:ind w:left="153" w:right="1124" w:firstLine="360"/>
        <w:jc w:val="both"/>
      </w:pPr>
      <w:r>
        <w:rPr>
          <w:spacing w:val="-4"/>
        </w:rPr>
        <w:t>②融合通信。随着视觉化企业办公协作的通讯时代的到来，公司企业通信将利用多年的互联网通信技术积累，深度融合</w:t>
      </w:r>
      <w:r>
        <w:rPr>
          <w:w w:val="101"/>
        </w:rPr>
        <w:t> </w:t>
      </w:r>
      <w:r>
        <w:rPr>
          <w:spacing w:val="-4"/>
        </w:rPr>
        <w:t>创新公司全线产品，为企业提供即时消息、邮件、网盘存储、电话会议、视频会议、网络直播等融合通信能力。公司云通信</w:t>
      </w:r>
      <w:r>
        <w:rPr>
          <w:spacing w:val="40"/>
        </w:rPr>
        <w:t> </w:t>
      </w:r>
      <w:r>
        <w:rPr>
          <w:spacing w:val="40"/>
        </w:rPr>
      </w:r>
      <w:r>
        <w:rPr>
          <w:spacing w:val="-4"/>
        </w:rPr>
        <w:t>除了是产品品牌代表，也是功能强大的基于云的统一通讯平台，致力于帮助中国企业和团队简化协作与沟通。他将继续在以</w:t>
      </w:r>
      <w:r>
        <w:rPr>
          <w:spacing w:val="43"/>
        </w:rPr>
        <w:t> </w:t>
      </w:r>
      <w:r>
        <w:rPr>
          <w:spacing w:val="43"/>
        </w:rPr>
      </w:r>
      <w:r>
        <w:rPr>
          <w:rFonts w:ascii="Times New Roman" w:hAnsi="Times New Roman" w:cs="Times New Roman" w:eastAsia="Times New Roman" w:hint="default"/>
          <w:spacing w:val="-3"/>
        </w:rPr>
        <w:t>“</w:t>
      </w:r>
      <w:r>
        <w:rPr>
          <w:spacing w:val="-3"/>
        </w:rPr>
        <w:t>视频</w:t>
      </w:r>
      <w:r>
        <w:rPr>
          <w:rFonts w:ascii="Times New Roman" w:hAnsi="Times New Roman" w:cs="Times New Roman" w:eastAsia="Times New Roman" w:hint="default"/>
          <w:spacing w:val="-3"/>
        </w:rPr>
        <w:t>+”</w:t>
      </w:r>
      <w:r>
        <w:rPr>
          <w:spacing w:val="-3"/>
        </w:rPr>
        <w:t>战略的指引下，全面围绕视频、智能、移动、安全构建企业通信协作平台，将沟通、协作、分享、传播渗透到企业</w:t>
      </w:r>
      <w:r>
        <w:rPr>
          <w:spacing w:val="3"/>
        </w:rPr>
        <w:t> </w:t>
      </w:r>
      <w:r>
        <w:rPr>
          <w:spacing w:val="3"/>
        </w:rPr>
      </w:r>
      <w:r>
        <w:rPr>
          <w:spacing w:val="-3"/>
        </w:rPr>
        <w:t>办公、远程办公、医疗及远程调度指挥等各个行业。</w:t>
      </w:r>
    </w:p>
    <w:p>
      <w:pPr>
        <w:pStyle w:val="BodyText"/>
        <w:spacing w:line="240" w:lineRule="auto" w:before="20"/>
        <w:ind w:left="513" w:right="0"/>
        <w:jc w:val="left"/>
      </w:pPr>
      <w:r>
        <w:rPr>
          <w:spacing w:val="-3"/>
        </w:rPr>
        <w:t>③行业通信。在数字时代下，随着网络技术的发展，传统企业进行数字化、智能化的变革势在必行，其中教育、医疗、</w:t>
      </w:r>
    </w:p>
    <w:p>
      <w:pPr>
        <w:spacing w:after="0" w:line="240" w:lineRule="auto"/>
        <w:jc w:val="left"/>
        <w:sectPr>
          <w:pgSz w:w="11910" w:h="16840"/>
          <w:pgMar w:header="914" w:footer="1022" w:top="1120" w:bottom="1220" w:left="980" w:right="0"/>
        </w:sectPr>
      </w:pPr>
    </w:p>
    <w:p>
      <w:pPr>
        <w:spacing w:line="240" w:lineRule="auto" w:before="5"/>
        <w:rPr>
          <w:rFonts w:ascii="宋体" w:hAnsi="宋体" w:cs="宋体" w:eastAsia="宋体" w:hint="default"/>
          <w:sz w:val="20"/>
          <w:szCs w:val="20"/>
        </w:rPr>
      </w:pPr>
    </w:p>
    <w:p>
      <w:pPr>
        <w:pStyle w:val="BodyText"/>
        <w:spacing w:line="309" w:lineRule="auto" w:before="46"/>
        <w:ind w:left="153" w:right="1122"/>
        <w:jc w:val="both"/>
      </w:pPr>
      <w:r>
        <w:rPr>
          <w:spacing w:val="-2"/>
        </w:rPr>
        <w:t>政府服务这些行业的需求尤为迫切。</w:t>
      </w:r>
      <w:r>
        <w:rPr>
          <w:rFonts w:ascii="Times New Roman" w:hAnsi="Times New Roman" w:cs="Times New Roman" w:eastAsia="Times New Roman" w:hint="default"/>
          <w:spacing w:val="-2"/>
        </w:rPr>
        <w:t>2020</w:t>
      </w:r>
      <w:r>
        <w:rPr>
          <w:spacing w:val="-2"/>
        </w:rPr>
        <w:t>年，公司企业通信将继续在</w:t>
      </w:r>
      <w:r>
        <w:rPr>
          <w:rFonts w:ascii="Times New Roman" w:hAnsi="Times New Roman" w:cs="Times New Roman" w:eastAsia="Times New Roman" w:hint="default"/>
          <w:spacing w:val="-2"/>
        </w:rPr>
        <w:t>“</w:t>
      </w:r>
      <w:r>
        <w:rPr>
          <w:spacing w:val="-2"/>
        </w:rPr>
        <w:t>视频</w:t>
      </w:r>
      <w:r>
        <w:rPr>
          <w:rFonts w:ascii="Times New Roman" w:hAnsi="Times New Roman" w:cs="Times New Roman" w:eastAsia="Times New Roman" w:hint="default"/>
          <w:spacing w:val="-2"/>
        </w:rPr>
        <w:t>+”</w:t>
      </w:r>
      <w:r>
        <w:rPr>
          <w:spacing w:val="-2"/>
        </w:rPr>
        <w:t>战略的指引下，持续深度挖掘这三类用户的使</w:t>
      </w:r>
      <w:r>
        <w:rPr>
          <w:spacing w:val="39"/>
        </w:rPr>
        <w:t> </w:t>
      </w:r>
      <w:r>
        <w:rPr>
          <w:spacing w:val="39"/>
        </w:rPr>
      </w:r>
      <w:r>
        <w:rPr>
          <w:spacing w:val="-4"/>
        </w:rPr>
        <w:t>用场景及特征，提取共性，定制特定需求，形成针对这三个行业的具体解决方案，赋能垂直行业，打破空间隔阂平衡资源不</w:t>
      </w:r>
      <w:r>
        <w:rPr>
          <w:spacing w:val="40"/>
        </w:rPr>
        <w:t> </w:t>
      </w:r>
      <w:r>
        <w:rPr>
          <w:spacing w:val="40"/>
        </w:rPr>
      </w:r>
      <w:r>
        <w:rPr/>
        <w:t>均。</w:t>
      </w:r>
    </w:p>
    <w:p>
      <w:pPr>
        <w:pStyle w:val="BodyText"/>
        <w:spacing w:line="240" w:lineRule="auto" w:before="25"/>
        <w:ind w:left="513" w:right="0"/>
        <w:jc w:val="left"/>
      </w:pPr>
      <w:r>
        <w:rPr/>
        <w:t>（</w:t>
      </w:r>
      <w:r>
        <w:rPr>
          <w:rFonts w:ascii="Times New Roman" w:hAnsi="Times New Roman" w:cs="Times New Roman" w:eastAsia="Times New Roman" w:hint="default"/>
        </w:rPr>
        <w:t>2</w:t>
      </w:r>
      <w:r>
        <w:rPr/>
        <w:t>）国际通信业务</w:t>
      </w:r>
    </w:p>
    <w:p>
      <w:pPr>
        <w:pStyle w:val="BodyText"/>
        <w:spacing w:line="300" w:lineRule="auto" w:before="63"/>
        <w:ind w:left="153" w:right="1127" w:firstLine="360"/>
        <w:jc w:val="both"/>
      </w:pPr>
      <w:r>
        <w:rPr>
          <w:spacing w:val="-3"/>
        </w:rPr>
        <w:t>①进一步放大与</w:t>
      </w:r>
      <w:r>
        <w:rPr>
          <w:rFonts w:ascii="Times New Roman" w:hAnsi="Times New Roman" w:cs="Times New Roman" w:eastAsia="Times New Roman" w:hint="default"/>
          <w:spacing w:val="-3"/>
        </w:rPr>
        <w:t>NTT</w:t>
      </w:r>
      <w:r>
        <w:rPr>
          <w:spacing w:val="-3"/>
        </w:rPr>
        <w:t>的合作，在</w:t>
      </w:r>
      <w:r>
        <w:rPr>
          <w:rFonts w:ascii="Times New Roman" w:hAnsi="Times New Roman" w:cs="Times New Roman" w:eastAsia="Times New Roman" w:hint="default"/>
          <w:spacing w:val="-3"/>
        </w:rPr>
        <w:t>IDC</w:t>
      </w:r>
      <w:r>
        <w:rPr>
          <w:spacing w:val="-3"/>
        </w:rPr>
        <w:t>及</w:t>
      </w:r>
      <w:r>
        <w:rPr>
          <w:rFonts w:ascii="Times New Roman" w:hAnsi="Times New Roman" w:cs="Times New Roman" w:eastAsia="Times New Roman" w:hint="default"/>
          <w:spacing w:val="-3"/>
        </w:rPr>
        <w:t>VPN</w:t>
      </w:r>
      <w:r>
        <w:rPr>
          <w:spacing w:val="-3"/>
        </w:rPr>
        <w:t>网络产品上拓展</w:t>
      </w:r>
      <w:r>
        <w:rPr>
          <w:rFonts w:ascii="Times New Roman" w:hAnsi="Times New Roman" w:cs="Times New Roman" w:eastAsia="Times New Roman" w:hint="default"/>
          <w:spacing w:val="-3"/>
        </w:rPr>
        <w:t>NTT</w:t>
      </w:r>
      <w:r>
        <w:rPr>
          <w:spacing w:val="-3"/>
        </w:rPr>
        <w:t>海外销售渠道，同时通过与</w:t>
      </w:r>
      <w:r>
        <w:rPr>
          <w:rFonts w:ascii="Times New Roman" w:hAnsi="Times New Roman" w:cs="Times New Roman" w:eastAsia="Times New Roman" w:hint="default"/>
          <w:spacing w:val="-3"/>
        </w:rPr>
        <w:t>NTT</w:t>
      </w:r>
      <w:r>
        <w:rPr>
          <w:spacing w:val="-3"/>
        </w:rPr>
        <w:t>的合作，进一步提高产</w:t>
      </w:r>
      <w:r>
        <w:rPr>
          <w:w w:val="101"/>
        </w:rPr>
        <w:t> </w:t>
      </w:r>
      <w:r>
        <w:rPr>
          <w:spacing w:val="-3"/>
        </w:rPr>
        <w:t>品及服务能力，确保提供符合高端客户品质要求的产品及服务。</w:t>
      </w:r>
    </w:p>
    <w:p>
      <w:pPr>
        <w:pStyle w:val="BodyText"/>
        <w:spacing w:line="300" w:lineRule="auto" w:before="31"/>
        <w:ind w:left="153" w:right="1123" w:firstLine="360"/>
        <w:jc w:val="both"/>
      </w:pPr>
      <w:r>
        <w:rPr>
          <w:spacing w:val="-2"/>
        </w:rPr>
        <w:t>②拓展国际跨境通信业务</w:t>
      </w:r>
      <w:r>
        <w:rPr>
          <w:rFonts w:ascii="Times New Roman" w:hAnsi="Times New Roman" w:cs="Times New Roman" w:eastAsia="Times New Roman" w:hint="default"/>
          <w:spacing w:val="-2"/>
        </w:rPr>
        <w:t>Inbound</w:t>
      </w:r>
      <w:r>
        <w:rPr>
          <w:spacing w:val="-2"/>
        </w:rPr>
        <w:t>合作渠道，加速</w:t>
      </w:r>
      <w:r>
        <w:rPr>
          <w:rFonts w:ascii="Times New Roman" w:hAnsi="Times New Roman" w:cs="Times New Roman" w:eastAsia="Times New Roman" w:hint="default"/>
          <w:spacing w:val="-2"/>
        </w:rPr>
        <w:t>Outbound</w:t>
      </w:r>
      <w:r>
        <w:rPr>
          <w:spacing w:val="-2"/>
        </w:rPr>
        <w:t>业务的能力构建，实现重点国家及地区的国际业务能力的构</w:t>
      </w:r>
      <w:r>
        <w:rPr>
          <w:w w:val="101"/>
        </w:rPr>
        <w:t> </w:t>
      </w:r>
      <w:r>
        <w:rPr>
          <w:spacing w:val="-3"/>
        </w:rPr>
        <w:t>建，建立</w:t>
      </w:r>
      <w:r>
        <w:rPr>
          <w:rFonts w:ascii="Times New Roman" w:hAnsi="Times New Roman" w:cs="Times New Roman" w:eastAsia="Times New Roman" w:hint="default"/>
          <w:spacing w:val="-3"/>
        </w:rPr>
        <w:t>Outbound</w:t>
      </w:r>
      <w:r>
        <w:rPr>
          <w:spacing w:val="-3"/>
        </w:rPr>
        <w:t>业务</w:t>
      </w:r>
      <w:r>
        <w:rPr>
          <w:rFonts w:ascii="Times New Roman" w:hAnsi="Times New Roman" w:cs="Times New Roman" w:eastAsia="Times New Roman" w:hint="default"/>
          <w:spacing w:val="-3"/>
        </w:rPr>
        <w:t>“</w:t>
      </w:r>
      <w:r>
        <w:rPr>
          <w:spacing w:val="-3"/>
        </w:rPr>
        <w:t>直销</w:t>
      </w:r>
      <w:r>
        <w:rPr>
          <w:rFonts w:ascii="Times New Roman" w:hAnsi="Times New Roman" w:cs="Times New Roman" w:eastAsia="Times New Roman" w:hint="default"/>
          <w:spacing w:val="-3"/>
        </w:rPr>
        <w:t>+</w:t>
      </w:r>
      <w:r>
        <w:rPr>
          <w:spacing w:val="-3"/>
        </w:rPr>
        <w:t>渠道</w:t>
      </w:r>
      <w:r>
        <w:rPr>
          <w:rFonts w:ascii="Times New Roman" w:hAnsi="Times New Roman" w:cs="Times New Roman" w:eastAsia="Times New Roman" w:hint="default"/>
          <w:spacing w:val="-3"/>
        </w:rPr>
        <w:t>”</w:t>
      </w:r>
      <w:r>
        <w:rPr>
          <w:spacing w:val="-3"/>
        </w:rPr>
        <w:t>销售体系，打造服务于国内企业</w:t>
      </w:r>
      <w:r>
        <w:rPr>
          <w:rFonts w:ascii="Times New Roman" w:hAnsi="Times New Roman" w:cs="Times New Roman" w:eastAsia="Times New Roman" w:hint="default"/>
          <w:spacing w:val="-3"/>
        </w:rPr>
        <w:t>“</w:t>
      </w:r>
      <w:r>
        <w:rPr>
          <w:spacing w:val="-3"/>
        </w:rPr>
        <w:t>走出去</w:t>
      </w:r>
      <w:r>
        <w:rPr>
          <w:rFonts w:ascii="Times New Roman" w:hAnsi="Times New Roman" w:cs="Times New Roman" w:eastAsia="Times New Roman" w:hint="default"/>
          <w:spacing w:val="-3"/>
        </w:rPr>
        <w:t>”</w:t>
      </w:r>
      <w:r>
        <w:rPr>
          <w:spacing w:val="-3"/>
        </w:rPr>
        <w:t>的跨境及海外本地通信需求实现的能力。</w:t>
      </w:r>
    </w:p>
    <w:p>
      <w:pPr>
        <w:pStyle w:val="BodyText"/>
        <w:spacing w:line="240" w:lineRule="auto" w:before="13"/>
        <w:ind w:left="513" w:right="0"/>
        <w:jc w:val="left"/>
      </w:pPr>
      <w:r>
        <w:rPr>
          <w:spacing w:val="-3"/>
        </w:rPr>
        <w:t>（</w:t>
      </w:r>
      <w:r>
        <w:rPr>
          <w:rFonts w:ascii="Times New Roman" w:hAnsi="Times New Roman" w:cs="Times New Roman" w:eastAsia="Times New Roman" w:hint="default"/>
          <w:spacing w:val="-3"/>
        </w:rPr>
        <w:t>3</w:t>
      </w:r>
      <w:r>
        <w:rPr>
          <w:spacing w:val="-3"/>
        </w:rPr>
        <w:t>）北美华人互联网综合服务</w:t>
      </w:r>
    </w:p>
    <w:p>
      <w:pPr>
        <w:pStyle w:val="BodyText"/>
        <w:spacing w:line="300" w:lineRule="auto" w:before="63"/>
        <w:ind w:left="153" w:right="1122" w:firstLine="360"/>
        <w:jc w:val="both"/>
      </w:pPr>
      <w:r>
        <w:rPr>
          <w:spacing w:val="-2"/>
        </w:rPr>
        <w:t>①</w:t>
      </w:r>
      <w:r>
        <w:rPr>
          <w:rFonts w:ascii="Times New Roman" w:hAnsi="Times New Roman" w:cs="Times New Roman" w:eastAsia="Times New Roman" w:hint="default"/>
          <w:spacing w:val="-2"/>
        </w:rPr>
        <w:t>iTalkBB</w:t>
      </w:r>
      <w:r>
        <w:rPr>
          <w:spacing w:val="-2"/>
        </w:rPr>
        <w:t>家庭网络电话服务。</w:t>
      </w:r>
      <w:r>
        <w:rPr>
          <w:rFonts w:ascii="Times New Roman" w:hAnsi="Times New Roman" w:cs="Times New Roman" w:eastAsia="Times New Roman" w:hint="default"/>
          <w:spacing w:val="-2"/>
        </w:rPr>
        <w:t>iTalkBB</w:t>
      </w:r>
      <w:r>
        <w:rPr>
          <w:spacing w:val="-2"/>
        </w:rPr>
        <w:t>家庭网络电话服务是公司旗下北美公司</w:t>
      </w:r>
      <w:r>
        <w:rPr>
          <w:rFonts w:ascii="Times New Roman" w:hAnsi="Times New Roman" w:cs="Times New Roman" w:eastAsia="Times New Roman" w:hint="default"/>
          <w:spacing w:val="-2"/>
        </w:rPr>
        <w:t>iTalkBB</w:t>
      </w:r>
      <w:r>
        <w:rPr>
          <w:spacing w:val="-2"/>
        </w:rPr>
        <w:t>在</w:t>
      </w:r>
      <w:r>
        <w:rPr>
          <w:rFonts w:ascii="Times New Roman" w:hAnsi="Times New Roman" w:cs="Times New Roman" w:eastAsia="Times New Roman" w:hint="default"/>
          <w:spacing w:val="-2"/>
        </w:rPr>
        <w:t>2004</w:t>
      </w:r>
      <w:r>
        <w:rPr>
          <w:spacing w:val="-2"/>
        </w:rPr>
        <w:t>年推出的第一个运营商级</w:t>
      </w:r>
      <w:r>
        <w:rPr>
          <w:w w:val="101"/>
        </w:rPr>
        <w:t> </w:t>
      </w:r>
      <w:r>
        <w:rPr>
          <w:spacing w:val="-2"/>
        </w:rPr>
        <w:t>服务，该业务历经</w:t>
      </w:r>
      <w:r>
        <w:rPr>
          <w:rFonts w:ascii="Times New Roman" w:hAnsi="Times New Roman" w:cs="Times New Roman" w:eastAsia="Times New Roman" w:hint="default"/>
          <w:spacing w:val="-2"/>
        </w:rPr>
        <w:t>15</w:t>
      </w:r>
      <w:r>
        <w:rPr>
          <w:spacing w:val="-2"/>
        </w:rPr>
        <w:t>年的发展和积累业已成为</w:t>
      </w:r>
      <w:r>
        <w:rPr>
          <w:rFonts w:ascii="Times New Roman" w:hAnsi="Times New Roman" w:cs="Times New Roman" w:eastAsia="Times New Roman" w:hint="default"/>
          <w:spacing w:val="-2"/>
        </w:rPr>
        <w:t>iTalkBB</w:t>
      </w:r>
      <w:r>
        <w:rPr>
          <w:spacing w:val="-2"/>
        </w:rPr>
        <w:t>的支柱业务。</w:t>
      </w:r>
      <w:r>
        <w:rPr>
          <w:rFonts w:ascii="Times New Roman" w:hAnsi="Times New Roman" w:cs="Times New Roman" w:eastAsia="Times New Roman" w:hint="default"/>
          <w:spacing w:val="-2"/>
        </w:rPr>
        <w:t>2020</w:t>
      </w:r>
      <w:r>
        <w:rPr>
          <w:spacing w:val="-2"/>
        </w:rPr>
        <w:t>年公司将通过进一步完善技术及服务为海外华人提</w:t>
      </w:r>
      <w:r>
        <w:rPr>
          <w:spacing w:val="44"/>
        </w:rPr>
        <w:t> </w:t>
      </w:r>
      <w:r>
        <w:rPr>
          <w:spacing w:val="44"/>
        </w:rPr>
      </w:r>
      <w:r>
        <w:rPr>
          <w:spacing w:val="-3"/>
        </w:rPr>
        <w:t>供优质的家庭网络电话服务。</w:t>
      </w:r>
    </w:p>
    <w:p>
      <w:pPr>
        <w:pStyle w:val="BodyText"/>
        <w:spacing w:line="309" w:lineRule="auto" w:before="31"/>
        <w:ind w:left="153" w:right="1122" w:firstLine="360"/>
        <w:jc w:val="both"/>
      </w:pPr>
      <w:r>
        <w:rPr>
          <w:spacing w:val="-3"/>
        </w:rPr>
        <w:t>②</w:t>
      </w:r>
      <w:r>
        <w:rPr>
          <w:rFonts w:ascii="Times New Roman" w:hAnsi="Times New Roman" w:cs="Times New Roman" w:eastAsia="Times New Roman" w:hint="default"/>
          <w:spacing w:val="-3"/>
        </w:rPr>
        <w:t>iTalkBB</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4"/>
        </w:rPr>
        <w:t>AIjia</w:t>
      </w:r>
      <w:r>
        <w:rPr>
          <w:spacing w:val="-4"/>
        </w:rPr>
        <w:t>家庭安防服务。</w:t>
      </w:r>
      <w:r>
        <w:rPr>
          <w:rFonts w:ascii="Times New Roman" w:hAnsi="Times New Roman" w:cs="Times New Roman" w:eastAsia="Times New Roman" w:hint="default"/>
          <w:spacing w:val="-4"/>
        </w:rPr>
        <w:t>iTalkBB</w:t>
      </w:r>
      <w:r>
        <w:rPr>
          <w:spacing w:val="-4"/>
        </w:rPr>
        <w:t>家庭安防服务将成为公司今年在北美主推的家庭服务业务。公司计划在</w:t>
      </w:r>
      <w:r>
        <w:rPr>
          <w:rFonts w:ascii="Times New Roman" w:hAnsi="Times New Roman" w:cs="Times New Roman" w:eastAsia="Times New Roman" w:hint="default"/>
          <w:spacing w:val="-4"/>
        </w:rPr>
        <w:t>2020</w:t>
      </w:r>
      <w:r>
        <w:rPr>
          <w:spacing w:val="-4"/>
        </w:rPr>
        <w:t>年推</w:t>
      </w:r>
      <w:r>
        <w:rPr>
          <w:w w:val="101"/>
        </w:rPr>
        <w:t> </w:t>
      </w:r>
      <w:r>
        <w:rPr>
          <w:spacing w:val="-4"/>
          <w:w w:val="101"/>
        </w:rPr>
        <w:t>出数万台智能摄像头从而实现公司产品进入北美华人家庭安防领域，同时公司将继续研发更多家庭安防产品和智能家居产品</w:t>
      </w:r>
      <w:r>
        <w:rPr>
          <w:w w:val="101"/>
        </w:rPr>
        <w:t> </w:t>
      </w:r>
      <w:r>
        <w:rPr>
          <w:spacing w:val="-3"/>
        </w:rPr>
        <w:t>从而拓展在北美地区华人家庭的业务。</w:t>
      </w:r>
    </w:p>
    <w:p>
      <w:pPr>
        <w:pStyle w:val="BodyText"/>
        <w:spacing w:line="300" w:lineRule="auto" w:before="24"/>
        <w:ind w:left="153" w:right="1029" w:firstLine="360"/>
        <w:jc w:val="left"/>
      </w:pPr>
      <w:r>
        <w:rPr>
          <w:spacing w:val="-4"/>
        </w:rPr>
        <w:t>③</w:t>
      </w:r>
      <w:r>
        <w:rPr>
          <w:rFonts w:ascii="Times New Roman" w:hAnsi="Times New Roman" w:cs="Times New Roman" w:eastAsia="Times New Roman" w:hint="default"/>
          <w:spacing w:val="-4"/>
        </w:rPr>
        <w:t>iTalkBB</w:t>
      </w:r>
      <w:r>
        <w:rPr>
          <w:spacing w:val="-4"/>
        </w:rPr>
        <w:t>中文电视服务。</w:t>
      </w:r>
      <w:r>
        <w:rPr>
          <w:rFonts w:ascii="Times New Roman" w:hAnsi="Times New Roman" w:cs="Times New Roman" w:eastAsia="Times New Roman" w:hint="default"/>
          <w:spacing w:val="-4"/>
        </w:rPr>
        <w:t>iTalkBB</w:t>
      </w:r>
      <w:r>
        <w:rPr>
          <w:spacing w:val="-4"/>
        </w:rPr>
        <w:t>全新中文电视平台将是公司</w:t>
      </w:r>
      <w:r>
        <w:rPr>
          <w:rFonts w:ascii="Times New Roman" w:hAnsi="Times New Roman" w:cs="Times New Roman" w:eastAsia="Times New Roman" w:hint="default"/>
          <w:spacing w:val="-4"/>
        </w:rPr>
        <w:t>2020</w:t>
      </w:r>
      <w:r>
        <w:rPr>
          <w:spacing w:val="-4"/>
        </w:rPr>
        <w:t>年在北美地区重点业务之一。新平台在原有的机顶盒</w:t>
      </w:r>
      <w:r>
        <w:rPr>
          <w:w w:val="101"/>
        </w:rPr>
        <w:t> </w:t>
      </w:r>
      <w:r>
        <w:rPr>
          <w:spacing w:val="-3"/>
        </w:rPr>
        <w:t>播放器基础上增加了手机</w:t>
      </w:r>
      <w:r>
        <w:rPr>
          <w:rFonts w:ascii="Times New Roman" w:hAnsi="Times New Roman" w:cs="Times New Roman" w:eastAsia="Times New Roman" w:hint="default"/>
          <w:spacing w:val="-3"/>
        </w:rPr>
        <w:t>APP</w:t>
      </w:r>
      <w:r>
        <w:rPr>
          <w:spacing w:val="-3"/>
        </w:rPr>
        <w:t>、计算机</w:t>
      </w:r>
      <w:r>
        <w:rPr>
          <w:rFonts w:ascii="Times New Roman" w:hAnsi="Times New Roman" w:cs="Times New Roman" w:eastAsia="Times New Roman" w:hint="default"/>
          <w:spacing w:val="-3"/>
        </w:rPr>
        <w:t>web</w:t>
      </w:r>
      <w:r>
        <w:rPr>
          <w:spacing w:val="-3"/>
        </w:rPr>
        <w:t>播放器，同时还增加了大量与北美华人生活息息相关的视频内容。通过全新的中</w:t>
      </w:r>
      <w:r>
        <w:rPr>
          <w:spacing w:val="79"/>
        </w:rPr>
        <w:t> </w:t>
      </w:r>
      <w:r>
        <w:rPr>
          <w:spacing w:val="79"/>
        </w:rPr>
      </w:r>
      <w:r>
        <w:rPr>
          <w:spacing w:val="-2"/>
        </w:rPr>
        <w:t>文电视平台和特别为北美华人生活配置的内容，公司力图将</w:t>
      </w:r>
      <w:r>
        <w:rPr>
          <w:rFonts w:ascii="Times New Roman" w:hAnsi="Times New Roman" w:cs="Times New Roman" w:eastAsia="Times New Roman" w:hint="default"/>
          <w:spacing w:val="-2"/>
        </w:rPr>
        <w:t>iTalkBB</w:t>
      </w:r>
      <w:r>
        <w:rPr>
          <w:spacing w:val="-2"/>
        </w:rPr>
        <w:t>中文电视打造成北美华人生活的中的一部分。在增加用</w:t>
      </w:r>
      <w:r>
        <w:rPr>
          <w:spacing w:val="41"/>
        </w:rPr>
        <w:t> </w:t>
      </w:r>
      <w:r>
        <w:rPr>
          <w:spacing w:val="41"/>
        </w:rPr>
      </w:r>
      <w:r>
        <w:rPr>
          <w:spacing w:val="-3"/>
        </w:rPr>
        <w:t>户、内容的同时，公司也在不断强化与电视配套的</w:t>
      </w:r>
      <w:r>
        <w:rPr>
          <w:rFonts w:ascii="Times New Roman" w:hAnsi="Times New Roman" w:cs="Times New Roman" w:eastAsia="Times New Roman" w:hint="default"/>
          <w:spacing w:val="-3"/>
        </w:rPr>
        <w:t>iTalkBB media</w:t>
      </w:r>
      <w:r>
        <w:rPr>
          <w:spacing w:val="-3"/>
        </w:rPr>
        <w:t>广告平台从而为公司带来更多的收入和商业机会。</w:t>
      </w:r>
      <w:r>
        <w:rPr>
          <w:spacing w:val="67"/>
        </w:rPr>
        <w:t> </w:t>
      </w:r>
      <w:r>
        <w:rPr>
          <w:spacing w:val="67"/>
        </w:rPr>
      </w:r>
      <w:r>
        <w:rPr>
          <w:rFonts w:ascii="Times New Roman" w:hAnsi="Times New Roman" w:cs="Times New Roman" w:eastAsia="Times New Roman" w:hint="default"/>
        </w:rPr>
        <w:t>4</w:t>
      </w:r>
      <w:r>
        <w:rPr/>
        <w:t>、风险及应对</w:t>
      </w:r>
    </w:p>
    <w:p>
      <w:pPr>
        <w:pStyle w:val="BodyText"/>
        <w:spacing w:line="300" w:lineRule="auto" w:before="13"/>
        <w:ind w:left="513" w:right="0"/>
        <w:jc w:val="left"/>
      </w:pPr>
      <w:r>
        <w:rPr>
          <w:spacing w:val="-3"/>
        </w:rPr>
        <w:t>（</w:t>
      </w:r>
      <w:r>
        <w:rPr>
          <w:rFonts w:ascii="Times New Roman" w:hAnsi="Times New Roman" w:cs="Times New Roman" w:eastAsia="Times New Roman" w:hint="default"/>
          <w:spacing w:val="-3"/>
        </w:rPr>
        <w:t>1</w:t>
      </w:r>
      <w:r>
        <w:rPr>
          <w:spacing w:val="-3"/>
        </w:rPr>
        <w:t>）技术发展带来的技术革新风险</w:t>
      </w:r>
      <w:r>
        <w:rPr>
          <w:spacing w:val="-40"/>
        </w:rPr>
        <w:t> </w:t>
      </w:r>
      <w:r>
        <w:rPr>
          <w:spacing w:val="-40"/>
        </w:rPr>
      </w:r>
      <w:r>
        <w:rPr>
          <w:spacing w:val="-5"/>
        </w:rPr>
        <w:t>通信技术、信息技术的快速发展，带来用户需求的快速变化，通信行业新技术、新产品、新模式、新服务不断涌现，如</w:t>
      </w:r>
    </w:p>
    <w:p>
      <w:pPr>
        <w:pStyle w:val="BodyText"/>
        <w:spacing w:line="316" w:lineRule="auto" w:before="31"/>
        <w:ind w:left="153" w:right="1123"/>
        <w:jc w:val="both"/>
      </w:pPr>
      <w:r>
        <w:rPr>
          <w:spacing w:val="-4"/>
        </w:rPr>
        <w:t>果公司不能跟随信息通信技术的革新、适应市场需求的变化，优化、提升、丰富公司的产品和服务，将会使公司在竞争中处</w:t>
      </w:r>
      <w:r>
        <w:rPr>
          <w:spacing w:val="40"/>
        </w:rPr>
        <w:t> </w:t>
      </w:r>
      <w:r>
        <w:rPr>
          <w:spacing w:val="40"/>
        </w:rPr>
      </w:r>
      <w:r>
        <w:rPr>
          <w:spacing w:val="-4"/>
        </w:rPr>
        <w:t>于不利地位。公司将立足企业通信市场、华人跨境通信市场以及其他潜在市场，紧密关注信息通信技术变化引致的用户需求</w:t>
      </w:r>
      <w:r>
        <w:rPr>
          <w:spacing w:val="43"/>
        </w:rPr>
        <w:t> </w:t>
      </w:r>
      <w:r>
        <w:rPr>
          <w:spacing w:val="43"/>
        </w:rPr>
      </w:r>
      <w:r>
        <w:rPr>
          <w:spacing w:val="-3"/>
        </w:rPr>
        <w:t>变化，不断推出新的通信服务产品，满足企业、个人的通信需求，促进公司业务成长。</w:t>
      </w:r>
    </w:p>
    <w:p>
      <w:pPr>
        <w:pStyle w:val="BodyText"/>
        <w:spacing w:line="300" w:lineRule="auto" w:before="19"/>
        <w:ind w:left="513" w:right="0"/>
        <w:jc w:val="left"/>
      </w:pPr>
      <w:r>
        <w:rPr>
          <w:spacing w:val="-3"/>
        </w:rPr>
        <w:t>（</w:t>
      </w:r>
      <w:r>
        <w:rPr>
          <w:rFonts w:ascii="Times New Roman" w:hAnsi="Times New Roman" w:cs="Times New Roman" w:eastAsia="Times New Roman" w:hint="default"/>
          <w:spacing w:val="-3"/>
        </w:rPr>
        <w:t>2</w:t>
      </w:r>
      <w:r>
        <w:rPr>
          <w:spacing w:val="-3"/>
        </w:rPr>
        <w:t>）集团化经营下的管理控制风险</w:t>
      </w:r>
      <w:r>
        <w:rPr>
          <w:spacing w:val="-40"/>
        </w:rPr>
        <w:t> </w:t>
      </w:r>
      <w:r>
        <w:rPr>
          <w:spacing w:val="-40"/>
        </w:rPr>
      </w:r>
      <w:r>
        <w:rPr>
          <w:spacing w:val="-5"/>
        </w:rPr>
        <w:t>公司已经发展为一家跨国经营的集团化企业，集团总部和三大事业部（企业通信、国际通信和海外个人通信）的架构已</w:t>
      </w:r>
    </w:p>
    <w:p>
      <w:pPr>
        <w:pStyle w:val="BodyText"/>
        <w:spacing w:line="319" w:lineRule="auto" w:before="31"/>
        <w:ind w:left="153" w:right="1124"/>
        <w:jc w:val="both"/>
      </w:pPr>
      <w:r>
        <w:rPr>
          <w:spacing w:val="-4"/>
        </w:rPr>
        <w:t>经形成，经营地域覆盖中国、美国、加拿大、澳大利亚、新加坡、香港等国家或地区，业务种类繁多且仍在不断增加，公司</w:t>
      </w:r>
      <w:r>
        <w:rPr>
          <w:spacing w:val="40"/>
        </w:rPr>
        <w:t> </w:t>
      </w:r>
      <w:r>
        <w:rPr>
          <w:spacing w:val="40"/>
        </w:rPr>
      </w:r>
      <w:r>
        <w:rPr>
          <w:spacing w:val="-4"/>
          <w:w w:val="101"/>
        </w:rPr>
        <w:t>规模迅速扩张和跨国集团化经营对公司的管理能力提出了更高的要求，公司的管理控制水平将可能影响公司的整体运营效率</w:t>
      </w:r>
      <w:r>
        <w:rPr>
          <w:w w:val="101"/>
        </w:rPr>
        <w:t> </w:t>
      </w:r>
      <w:r>
        <w:rPr>
          <w:spacing w:val="-4"/>
        </w:rPr>
        <w:t>和业务持续发展。今年公司将继续强化和改善绩效考核管理，将管理层、员工个人利益与公司业绩成长紧密捆绑，激发管理</w:t>
      </w:r>
      <w:r>
        <w:rPr>
          <w:spacing w:val="40"/>
        </w:rPr>
        <w:t> </w:t>
      </w:r>
      <w:r>
        <w:rPr>
          <w:spacing w:val="40"/>
        </w:rPr>
      </w:r>
      <w:r>
        <w:rPr>
          <w:spacing w:val="-3"/>
        </w:rPr>
        <w:t>层和员工工作热情，提升公司整体运作效率，促进公司业务持续成长。</w:t>
      </w:r>
    </w:p>
    <w:p>
      <w:pPr>
        <w:pStyle w:val="BodyText"/>
        <w:spacing w:line="300" w:lineRule="auto" w:before="17"/>
        <w:ind w:left="513" w:right="0"/>
        <w:jc w:val="left"/>
      </w:pPr>
      <w:r>
        <w:rPr/>
        <w:t>（</w:t>
      </w:r>
      <w:r>
        <w:rPr>
          <w:rFonts w:ascii="Times New Roman" w:hAnsi="Times New Roman" w:cs="Times New Roman" w:eastAsia="Times New Roman" w:hint="default"/>
        </w:rPr>
        <w:t>3</w:t>
      </w:r>
      <w:r>
        <w:rPr/>
        <w:t>）募投项目实施风险</w:t>
      </w:r>
      <w:r>
        <w:rPr>
          <w:spacing w:val="-85"/>
        </w:rPr>
        <w:t> </w:t>
      </w:r>
      <w:r>
        <w:rPr>
          <w:spacing w:val="-85"/>
        </w:rPr>
      </w:r>
      <w:r>
        <w:rPr>
          <w:spacing w:val="-5"/>
          <w:w w:val="101"/>
        </w:rPr>
        <w:t>公司在确定投资本次各募集资金投资项目之前对项目必要性和可行性已经进行了充分论证，但相关结论均是基于当时的</w:t>
      </w:r>
      <w:r>
        <w:rPr>
          <w:spacing w:val="-5"/>
        </w:rPr>
      </w:r>
    </w:p>
    <w:p>
      <w:pPr>
        <w:pStyle w:val="BodyText"/>
        <w:spacing w:line="316" w:lineRule="auto" w:before="31"/>
        <w:ind w:left="153" w:right="1122"/>
        <w:jc w:val="both"/>
      </w:pPr>
      <w:r>
        <w:rPr>
          <w:spacing w:val="-4"/>
        </w:rPr>
        <w:t>市场环境、竞争状况、技术发展状况等条件做出的。由于通信市场技术革新等因素的影响，市场情况具有较大不确定性，项</w:t>
      </w:r>
      <w:r>
        <w:rPr>
          <w:spacing w:val="40"/>
        </w:rPr>
        <w:t> </w:t>
      </w:r>
      <w:r>
        <w:rPr>
          <w:spacing w:val="40"/>
        </w:rPr>
      </w:r>
      <w:r>
        <w:rPr>
          <w:spacing w:val="-4"/>
        </w:rPr>
        <w:t>目存在不能达到预期的收入和利润目标的风险。公司将密切关注市场变化，积极组织和调配公司资源，大力推进募集资金投</w:t>
      </w:r>
      <w:r>
        <w:rPr>
          <w:spacing w:val="44"/>
        </w:rPr>
        <w:t> </w:t>
      </w:r>
      <w:r>
        <w:rPr>
          <w:spacing w:val="44"/>
        </w:rPr>
      </w:r>
      <w:r>
        <w:rPr>
          <w:spacing w:val="-3"/>
        </w:rPr>
        <w:t>资项目的开展。</w:t>
      </w:r>
    </w:p>
    <w:p>
      <w:pPr>
        <w:pStyle w:val="BodyText"/>
        <w:spacing w:line="300" w:lineRule="auto" w:before="19"/>
        <w:ind w:left="513" w:right="0"/>
        <w:jc w:val="left"/>
      </w:pPr>
      <w:r>
        <w:rPr/>
        <w:t>（</w:t>
      </w:r>
      <w:r>
        <w:rPr>
          <w:rFonts w:ascii="Times New Roman" w:hAnsi="Times New Roman" w:cs="Times New Roman" w:eastAsia="Times New Roman" w:hint="default"/>
        </w:rPr>
        <w:t>4</w:t>
      </w:r>
      <w:r>
        <w:rPr/>
        <w:t>）汇率变动风险</w:t>
      </w:r>
      <w:r>
        <w:rPr>
          <w:spacing w:val="-85"/>
        </w:rPr>
        <w:t> </w:t>
      </w:r>
      <w:r>
        <w:rPr>
          <w:spacing w:val="-85"/>
        </w:rPr>
      </w:r>
      <w:r>
        <w:rPr>
          <w:spacing w:val="-5"/>
        </w:rPr>
        <w:t>公司海外业务收入占公司整体收入比重较大，公司有美元、加币、澳元等外币结算的收入和各项开支，各币种之间汇率</w:t>
      </w:r>
    </w:p>
    <w:p>
      <w:pPr>
        <w:pStyle w:val="BodyText"/>
        <w:spacing w:line="316" w:lineRule="auto" w:before="31"/>
        <w:ind w:left="153" w:right="1124"/>
        <w:jc w:val="both"/>
      </w:pPr>
      <w:r>
        <w:rPr>
          <w:spacing w:val="-4"/>
        </w:rPr>
        <w:t>的大幅波动有可能对公司经营业绩造成影响。公司将密切关注相关币种的汇率波动，采取可能的措施规避汇率波动造成的不</w:t>
      </w:r>
      <w:r>
        <w:rPr>
          <w:spacing w:val="42"/>
        </w:rPr>
        <w:t> </w:t>
      </w:r>
      <w:r>
        <w:rPr>
          <w:spacing w:val="42"/>
        </w:rPr>
      </w:r>
      <w:r>
        <w:rPr/>
        <w:t>利影响。</w:t>
      </w:r>
    </w:p>
    <w:p>
      <w:pPr>
        <w:pStyle w:val="BodyText"/>
        <w:spacing w:line="300" w:lineRule="auto" w:before="19"/>
        <w:ind w:left="513" w:right="0"/>
        <w:jc w:val="left"/>
      </w:pPr>
      <w:r>
        <w:rPr/>
        <w:t>（</w:t>
      </w:r>
      <w:r>
        <w:rPr>
          <w:rFonts w:ascii="Times New Roman" w:hAnsi="Times New Roman" w:cs="Times New Roman" w:eastAsia="Times New Roman" w:hint="default"/>
        </w:rPr>
        <w:t>5</w:t>
      </w:r>
      <w:r>
        <w:rPr/>
        <w:t>）商誉减值风险</w:t>
      </w:r>
      <w:r>
        <w:rPr>
          <w:spacing w:val="-85"/>
        </w:rPr>
        <w:t> </w:t>
      </w:r>
      <w:r>
        <w:rPr>
          <w:spacing w:val="-85"/>
        </w:rPr>
      </w:r>
      <w:r>
        <w:rPr>
          <w:spacing w:val="-3"/>
        </w:rPr>
        <w:t>截至报告期末，公司商誉账面原值扣除累计减值准备后的净值为人民币</w:t>
      </w:r>
      <w:r>
        <w:rPr>
          <w:rFonts w:ascii="Times New Roman" w:hAnsi="Times New Roman" w:cs="Times New Roman" w:eastAsia="Times New Roman" w:hint="default"/>
          <w:spacing w:val="-3"/>
        </w:rPr>
        <w:t>103,408.08</w:t>
      </w:r>
      <w:r>
        <w:rPr>
          <w:spacing w:val="-3"/>
        </w:rPr>
        <w:t>万元，对财务报表整体具有重要性。</w:t>
      </w:r>
    </w:p>
    <w:p>
      <w:pPr>
        <w:pStyle w:val="BodyText"/>
        <w:spacing w:line="316" w:lineRule="auto" w:before="13"/>
        <w:ind w:left="153" w:right="1122"/>
        <w:jc w:val="both"/>
      </w:pPr>
      <w:r>
        <w:rPr>
          <w:spacing w:val="-4"/>
        </w:rPr>
        <w:t>由于公司所在通信行业属于高速发展、不断变化的行业，业务发展的不确定性可能引发减值的风险。公司除紧密关注信息通</w:t>
      </w:r>
      <w:r>
        <w:rPr>
          <w:spacing w:val="44"/>
        </w:rPr>
        <w:t> </w:t>
      </w:r>
      <w:r>
        <w:rPr>
          <w:spacing w:val="44"/>
        </w:rPr>
      </w:r>
      <w:r>
        <w:rPr>
          <w:spacing w:val="-3"/>
        </w:rPr>
        <w:t>信技术变化及市场变化外，每年年末及时进行商誉减值测试，如有减值迹象则及时进行预报。</w:t>
      </w:r>
    </w:p>
    <w:p>
      <w:pPr>
        <w:spacing w:after="0" w:line="316" w:lineRule="auto"/>
        <w:jc w:val="both"/>
        <w:sectPr>
          <w:pgSz w:w="11910" w:h="16840"/>
          <w:pgMar w:header="914" w:footer="1022" w:top="112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2"/>
        <w:spacing w:line="240" w:lineRule="auto" w:before="26"/>
        <w:ind w:right="0"/>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53" w:right="0"/>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652"/>
        <w:gridCol w:w="1008"/>
        <w:gridCol w:w="946"/>
        <w:gridCol w:w="6228"/>
      </w:tblGrid>
      <w:tr>
        <w:trPr>
          <w:trHeight w:val="716"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87" w:right="99" w:hanging="178"/>
              <w:jc w:val="left"/>
              <w:rPr>
                <w:rFonts w:ascii="宋体" w:hAnsi="宋体" w:cs="宋体" w:eastAsia="宋体" w:hint="default"/>
                <w:sz w:val="18"/>
                <w:szCs w:val="18"/>
              </w:rPr>
            </w:pPr>
            <w:r>
              <w:rPr>
                <w:rFonts w:ascii="宋体" w:hAnsi="宋体" w:cs="宋体" w:eastAsia="宋体" w:hint="default"/>
                <w:sz w:val="18"/>
                <w:szCs w:val="18"/>
              </w:rPr>
              <w:t>接待对象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类型</w:t>
            </w:r>
          </w:p>
        </w:tc>
        <w:tc>
          <w:tcPr>
            <w:tcW w:w="6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r>
        <w:trPr>
          <w:trHeight w:val="403"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 w:right="0"/>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深交所互动易投资者关系</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二六三：</w:t>
            </w:r>
            <w:r>
              <w:rPr>
                <w:rFonts w:ascii="Times New Roman" w:hAnsi="Times New Roman" w:cs="Times New Roman" w:eastAsia="Times New Roman" w:hint="default"/>
                <w:spacing w:val="-4"/>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19 </w:t>
            </w:r>
            <w:r>
              <w:rPr>
                <w:rFonts w:ascii="宋体" w:hAnsi="宋体" w:cs="宋体" w:eastAsia="宋体" w:hint="default"/>
                <w:spacing w:val="-3"/>
                <w:sz w:val="18"/>
                <w:szCs w:val="18"/>
              </w:rPr>
              <w:t>日投资者关系活动记录表</w:t>
            </w:r>
            <w:r>
              <w:rPr>
                <w:rFonts w:ascii="Times New Roman" w:hAnsi="Times New Roman" w:cs="Times New Roman" w:eastAsia="Times New Roman" w:hint="default"/>
                <w:spacing w:val="-3"/>
                <w:sz w:val="18"/>
                <w:szCs w:val="18"/>
              </w:rPr>
              <w:t>"</w:t>
            </w:r>
          </w:p>
        </w:tc>
      </w:tr>
      <w:tr>
        <w:trPr>
          <w:trHeight w:val="403"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 w:right="0"/>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深交所互动易投资者关系</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二六三：</w:t>
            </w:r>
            <w:r>
              <w:rPr>
                <w:rFonts w:ascii="Times New Roman" w:hAnsi="Times New Roman" w:cs="Times New Roman" w:eastAsia="Times New Roman" w:hint="default"/>
                <w:spacing w:val="-4"/>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日投资者关系活动记录表</w:t>
            </w:r>
            <w:r>
              <w:rPr>
                <w:rFonts w:ascii="Times New Roman" w:hAnsi="Times New Roman" w:cs="Times New Roman" w:eastAsia="Times New Roman" w:hint="default"/>
                <w:spacing w:val="-3"/>
                <w:sz w:val="18"/>
                <w:szCs w:val="18"/>
              </w:rPr>
              <w:t>"</w:t>
            </w:r>
          </w:p>
        </w:tc>
      </w:tr>
      <w:tr>
        <w:trPr>
          <w:trHeight w:val="39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6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 w:right="0"/>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深交所互动易投资者关系</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二六三：</w:t>
            </w:r>
            <w:r>
              <w:rPr>
                <w:rFonts w:ascii="Times New Roman" w:hAnsi="Times New Roman" w:cs="Times New Roman" w:eastAsia="Times New Roman" w:hint="default"/>
                <w:spacing w:val="-4"/>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日投资者关系活动记录表</w:t>
            </w:r>
            <w:r>
              <w:rPr>
                <w:rFonts w:ascii="Times New Roman" w:hAnsi="Times New Roman" w:cs="Times New Roman" w:eastAsia="Times New Roman" w:hint="default"/>
                <w:spacing w:val="-3"/>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14" w:footer="1022" w:top="112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spacing w:line="240" w:lineRule="auto"/>
        <w:ind w:right="3571"/>
        <w:jc w:val="center"/>
        <w:rPr>
          <w:b w:val="0"/>
          <w:bCs w:val="0"/>
        </w:rPr>
      </w:pPr>
      <w:bookmarkStart w:name="第五节重要事项" w:id="62"/>
      <w:bookmarkEnd w:id="62"/>
      <w:r>
        <w:rPr>
          <w:b w:val="0"/>
          <w:bCs w:val="0"/>
        </w:rPr>
      </w:r>
      <w:bookmarkStart w:name="_bookmark4" w:id="63"/>
      <w:bookmarkEnd w:id="63"/>
      <w:r>
        <w:rPr>
          <w:b w:val="0"/>
          <w:bCs w:val="0"/>
        </w:rPr>
      </w:r>
      <w:r>
        <w:rPr/>
        <w:t>第五节重要事项</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153" w:right="0"/>
        <w:jc w:val="left"/>
      </w:pPr>
      <w:r>
        <w:rPr>
          <w:spacing w:val="-3"/>
        </w:rPr>
        <w:t>报告期内普通股利润分配政策，特别是现金分红政策的制定、执行或调整情况</w:t>
      </w:r>
    </w:p>
    <w:p>
      <w:pPr>
        <w:pStyle w:val="BodyText"/>
        <w:spacing w:line="312" w:lineRule="auto" w:before="115"/>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Times New Roman" w:hAnsi="Times New Roman" w:cs="Times New Roman" w:eastAsia="Times New Roman" w:hint="default"/>
          <w:spacing w:val="-3"/>
        </w:rPr>
        <w:t>2019</w:t>
      </w:r>
      <w:r>
        <w:rPr>
          <w:spacing w:val="-3"/>
        </w:rPr>
        <w:t>年利润分配预案为：以公司现有总股本</w:t>
      </w:r>
      <w:r>
        <w:rPr>
          <w:rFonts w:ascii="Times New Roman" w:hAnsi="Times New Roman" w:cs="Times New Roman" w:eastAsia="Times New Roman" w:hint="default"/>
          <w:spacing w:val="-3"/>
        </w:rPr>
        <w:t>1,354,041,873</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0.5</w:t>
      </w:r>
      <w:r>
        <w:rPr>
          <w:spacing w:val="-3"/>
        </w:rPr>
        <w:t>元人民币（含税），</w:t>
      </w:r>
      <w:r>
        <w:rPr>
          <w:spacing w:val="17"/>
        </w:rPr>
        <w:t> </w:t>
      </w:r>
      <w:r>
        <w:rPr>
          <w:spacing w:val="17"/>
        </w:rPr>
      </w:r>
      <w:r>
        <w:rPr>
          <w:spacing w:val="-5"/>
        </w:rPr>
        <w:t>送红股</w:t>
      </w:r>
      <w:r>
        <w:rPr>
          <w:rFonts w:ascii="Times New Roman" w:hAnsi="Times New Roman" w:cs="Times New Roman" w:eastAsia="Times New Roman" w:hint="default"/>
          <w:spacing w:val="-5"/>
        </w:rPr>
        <w:t>0</w:t>
      </w:r>
      <w:r>
        <w:rPr>
          <w:spacing w:val="-5"/>
        </w:rPr>
        <w:t>股（含税），不以资本公积转增股本， </w:t>
      </w:r>
      <w:r>
        <w:rPr>
          <w:spacing w:val="-4"/>
        </w:rPr>
        <w:t>剩余未分配利润结转下一年度。公司利润分配预案发布至实施前，若公司总</w:t>
      </w:r>
      <w:r>
        <w:rPr>
          <w:spacing w:val="-18"/>
        </w:rPr>
        <w:t> </w:t>
      </w:r>
      <w:r>
        <w:rPr>
          <w:spacing w:val="-18"/>
        </w:rPr>
      </w:r>
      <w:r>
        <w:rPr>
          <w:spacing w:val="-4"/>
        </w:rPr>
        <w:t>股本因限制性股票激励计划和股票期权激励计划发生变动的，依照未来实施分配方案时股权登记日的总股本为基数实施，并</w:t>
      </w:r>
      <w:r>
        <w:rPr>
          <w:spacing w:val="43"/>
        </w:rPr>
        <w:t> </w:t>
      </w:r>
      <w:r>
        <w:rPr>
          <w:spacing w:val="43"/>
        </w:rPr>
      </w:r>
      <w:r>
        <w:rPr>
          <w:spacing w:val="-3"/>
        </w:rPr>
        <w:t>保持上述分配比例不变对总额进行调整。</w:t>
      </w: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398"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67"/>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是否得到了充分保护：</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67"/>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透明：</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5"/>
        <w:ind w:left="153" w:right="0"/>
        <w:jc w:val="left"/>
      </w:pPr>
      <w:r>
        <w:rPr/>
        <w:t>公司近 </w:t>
      </w:r>
      <w:r>
        <w:rPr>
          <w:rFonts w:ascii="Times New Roman" w:hAnsi="Times New Roman" w:cs="Times New Roman" w:eastAsia="Times New Roman" w:hint="default"/>
        </w:rPr>
        <w:t>3 </w:t>
      </w:r>
      <w:r>
        <w:rPr>
          <w:rFonts w:ascii="Times New Roman" w:hAnsi="Times New Roman" w:cs="Times New Roman" w:eastAsia="Times New Roman" w:hint="default"/>
          <w:spacing w:val="30"/>
        </w:rPr>
        <w:t> </w:t>
      </w:r>
      <w:r>
        <w:rPr>
          <w:spacing w:val="-3"/>
        </w:rPr>
        <w:t>年（包括本报告期）的普通股股利分配方案（预案）、资本公积金转增股本方案（预案）情况</w:t>
      </w:r>
    </w:p>
    <w:p>
      <w:pPr>
        <w:pStyle w:val="BodyText"/>
        <w:spacing w:line="300" w:lineRule="auto" w:before="97"/>
        <w:ind w:left="153" w:right="5655"/>
        <w:jc w:val="left"/>
      </w:pPr>
      <w:r>
        <w:rPr>
          <w:rFonts w:ascii="Times New Roman" w:hAnsi="Times New Roman" w:cs="Times New Roman" w:eastAsia="Times New Roman" w:hint="default"/>
        </w:rPr>
        <w:t>1.2017</w:t>
      </w:r>
      <w:r>
        <w:rPr/>
        <w:t>年利润分配方案：</w:t>
      </w:r>
      <w:r>
        <w:rPr>
          <w:spacing w:val="-88"/>
        </w:rPr>
        <w:t> </w:t>
      </w:r>
      <w:r>
        <w:rPr>
          <w:spacing w:val="-88"/>
        </w:rPr>
      </w:r>
      <w:r>
        <w:rPr>
          <w:spacing w:val="-3"/>
        </w:rPr>
        <w:t>公司本年度不派发现金红利，不送红股，不以公积金转增股本；</w:t>
      </w:r>
    </w:p>
    <w:p>
      <w:pPr>
        <w:pStyle w:val="BodyText"/>
        <w:spacing w:line="321" w:lineRule="auto" w:before="31"/>
        <w:ind w:left="153" w:right="0"/>
        <w:jc w:val="left"/>
      </w:pPr>
      <w:r>
        <w:rPr>
          <w:rFonts w:ascii="Times New Roman" w:hAnsi="Times New Roman" w:cs="Times New Roman" w:eastAsia="Times New Roman" w:hint="default"/>
          <w:spacing w:val="-3"/>
        </w:rPr>
        <w:t>2.2018</w:t>
      </w:r>
      <w:r>
        <w:rPr>
          <w:spacing w:val="-3"/>
        </w:rPr>
        <w:t>年利润分配方案：以公司总股本</w:t>
      </w:r>
      <w:r>
        <w:rPr>
          <w:rFonts w:ascii="Times New Roman" w:hAnsi="Times New Roman" w:cs="Times New Roman" w:eastAsia="Times New Roman" w:hint="default"/>
          <w:spacing w:val="-3"/>
        </w:rPr>
        <w:t>795,989,216</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1</w:t>
      </w:r>
      <w:r>
        <w:rPr>
          <w:spacing w:val="-3"/>
        </w:rPr>
        <w:t>元（含税），送红股</w:t>
      </w:r>
      <w:r>
        <w:rPr>
          <w:rFonts w:ascii="Times New Roman" w:hAnsi="Times New Roman" w:cs="Times New Roman" w:eastAsia="Times New Roman" w:hint="default"/>
          <w:spacing w:val="-3"/>
        </w:rPr>
        <w:t>0</w:t>
      </w:r>
      <w:r>
        <w:rPr>
          <w:spacing w:val="-3"/>
        </w:rPr>
        <w:t>股（含</w:t>
      </w:r>
      <w:r>
        <w:rPr>
          <w:spacing w:val="54"/>
        </w:rPr>
        <w:t> </w:t>
      </w:r>
      <w:r>
        <w:rPr>
          <w:spacing w:val="-3"/>
        </w:rPr>
        <w:t>税），以资本公积向全体股东每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7</w:t>
      </w:r>
      <w:r>
        <w:rPr>
          <w:spacing w:val="-3"/>
        </w:rPr>
        <w:t>股；</w:t>
      </w:r>
      <w:r>
        <w:rPr>
          <w:spacing w:val="-21"/>
        </w:rPr>
        <w:t> </w:t>
      </w:r>
      <w:r>
        <w:rPr>
          <w:rFonts w:ascii="Times New Roman" w:hAnsi="Times New Roman" w:cs="Times New Roman" w:eastAsia="Times New Roman" w:hint="default"/>
          <w:spacing w:val="-2"/>
        </w:rPr>
        <w:t>3.2019</w:t>
      </w:r>
      <w:r>
        <w:rPr>
          <w:spacing w:val="-2"/>
        </w:rPr>
        <w:t>年利润分配预案：以公司现有总股本</w:t>
      </w:r>
      <w:r>
        <w:rPr>
          <w:rFonts w:ascii="Times New Roman" w:hAnsi="Times New Roman" w:cs="Times New Roman" w:eastAsia="Times New Roman" w:hint="default"/>
          <w:spacing w:val="-2"/>
        </w:rPr>
        <w:t>1,354,041,873</w:t>
      </w:r>
      <w:r>
        <w:rPr>
          <w:spacing w:val="-2"/>
        </w:rPr>
        <w:t>股为基数，向全体股东每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0.5</w:t>
      </w:r>
      <w:r>
        <w:rPr>
          <w:spacing w:val="-2"/>
        </w:rPr>
        <w:t>元人民币（含税），</w:t>
      </w:r>
    </w:p>
    <w:p>
      <w:pPr>
        <w:pStyle w:val="BodyText"/>
        <w:spacing w:line="312" w:lineRule="auto"/>
        <w:ind w:left="153" w:right="1124"/>
        <w:jc w:val="both"/>
      </w:pPr>
      <w:r>
        <w:rPr>
          <w:spacing w:val="-4"/>
        </w:rPr>
        <w:t>送红股</w:t>
      </w:r>
      <w:r>
        <w:rPr>
          <w:rFonts w:ascii="Times New Roman" w:hAnsi="Times New Roman" w:cs="Times New Roman" w:eastAsia="Times New Roman" w:hint="default"/>
          <w:spacing w:val="-4"/>
        </w:rPr>
        <w:t>0</w:t>
      </w:r>
      <w:r>
        <w:rPr>
          <w:spacing w:val="-4"/>
        </w:rPr>
        <w:t>股（含税），不以资本公积转增股本</w:t>
      </w:r>
      <w:r>
        <w:rPr>
          <w:rFonts w:ascii="Times New Roman" w:hAnsi="Times New Roman" w:cs="Times New Roman" w:eastAsia="Times New Roman" w:hint="default"/>
          <w:spacing w:val="-4"/>
        </w:rPr>
        <w:t>,</w:t>
      </w:r>
      <w:r>
        <w:rPr>
          <w:spacing w:val="-4"/>
        </w:rPr>
        <w:t>剩余未分配利润结转下一年度。公司利润分配预案发布至实施前，若公司总股</w:t>
      </w:r>
      <w:r>
        <w:rPr>
          <w:spacing w:val="-1"/>
        </w:rPr>
        <w:t> </w:t>
      </w:r>
      <w:r>
        <w:rPr>
          <w:spacing w:val="-1"/>
        </w:rPr>
      </w:r>
      <w:r>
        <w:rPr>
          <w:spacing w:val="-4"/>
        </w:rPr>
        <w:t>本因限制性股票激励计划和股票期权激励计划发生变动的，依照未来实施分配方案时股权登记日的总股本为基数实施，并保</w:t>
      </w:r>
      <w:r>
        <w:rPr>
          <w:spacing w:val="43"/>
        </w:rPr>
        <w:t> </w:t>
      </w:r>
      <w:r>
        <w:rPr>
          <w:spacing w:val="43"/>
        </w:rPr>
      </w:r>
      <w:r>
        <w:rPr>
          <w:spacing w:val="-3"/>
        </w:rPr>
        <w:t>持上述分配比例不变对总额进行调整。</w:t>
      </w:r>
    </w:p>
    <w:p>
      <w:pPr>
        <w:spacing w:after="0" w:line="312" w:lineRule="auto"/>
        <w:jc w:val="both"/>
        <w:sectPr>
          <w:pgSz w:w="11910" w:h="16840"/>
          <w:pgMar w:header="914" w:footer="1022" w:top="1120" w:bottom="1220" w:left="980" w:right="0"/>
        </w:sectPr>
      </w:pPr>
    </w:p>
    <w:p>
      <w:pPr>
        <w:spacing w:line="240" w:lineRule="auto" w:before="10"/>
        <w:rPr>
          <w:rFonts w:ascii="宋体" w:hAnsi="宋体" w:cs="宋体" w:eastAsia="宋体" w:hint="default"/>
          <w:sz w:val="20"/>
          <w:szCs w:val="20"/>
        </w:rPr>
      </w:pPr>
    </w:p>
    <w:p>
      <w:pPr>
        <w:pStyle w:val="BodyText"/>
        <w:spacing w:line="240" w:lineRule="auto" w:before="46"/>
        <w:ind w:left="393" w:right="858"/>
        <w:jc w:val="left"/>
      </w:pPr>
      <w:r>
        <w:rPr>
          <w:spacing w:val="-3"/>
        </w:rPr>
        <w:t>公司近三年（包括本报告期）普通股现金分红情况表</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89" w:type="dxa"/>
        <w:tblLayout w:type="fixed"/>
        <w:tblCellMar>
          <w:top w:w="0" w:type="dxa"/>
          <w:left w:w="0" w:type="dxa"/>
          <w:bottom w:w="0" w:type="dxa"/>
          <w:right w:w="0" w:type="dxa"/>
        </w:tblCellMar>
        <w:tblLook w:val="01E0"/>
      </w:tblPr>
      <w:tblGrid>
        <w:gridCol w:w="814"/>
        <w:gridCol w:w="1325"/>
        <w:gridCol w:w="1412"/>
        <w:gridCol w:w="1364"/>
        <w:gridCol w:w="962"/>
        <w:gridCol w:w="1313"/>
        <w:gridCol w:w="1326"/>
        <w:gridCol w:w="1542"/>
      </w:tblGrid>
      <w:tr>
        <w:trPr>
          <w:trHeight w:val="1959" w:hRule="exact"/>
        </w:trPr>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9" w:right="127" w:hanging="178"/>
              <w:jc w:val="left"/>
              <w:rPr>
                <w:rFonts w:ascii="宋体" w:hAnsi="宋体" w:cs="宋体" w:eastAsia="宋体" w:hint="default"/>
                <w:sz w:val="18"/>
                <w:szCs w:val="18"/>
              </w:rPr>
            </w:pPr>
            <w:r>
              <w:rPr>
                <w:rFonts w:ascii="宋体" w:hAnsi="宋体" w:cs="宋体" w:eastAsia="宋体" w:hint="default"/>
                <w:sz w:val="18"/>
                <w:szCs w:val="18"/>
              </w:rPr>
              <w:t>分红年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left="5"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63" w:right="152"/>
              <w:jc w:val="center"/>
              <w:rPr>
                <w:rFonts w:ascii="宋体" w:hAnsi="宋体" w:cs="宋体" w:eastAsia="宋体" w:hint="default"/>
                <w:sz w:val="18"/>
                <w:szCs w:val="18"/>
              </w:rPr>
            </w:pPr>
            <w:r>
              <w:rPr>
                <w:rFonts w:ascii="宋体" w:hAnsi="宋体" w:cs="宋体" w:eastAsia="宋体" w:hint="default"/>
                <w:spacing w:val="-2"/>
                <w:sz w:val="18"/>
                <w:szCs w:val="18"/>
              </w:rPr>
              <w:t>分红年度合并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报表中归属于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上市公司普通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股股东的净利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润</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39" w:right="127"/>
              <w:jc w:val="center"/>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占合并报表中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归属于上市公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司普通股股东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的净利润的比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率</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15" w:right="110"/>
              <w:jc w:val="both"/>
              <w:rPr>
                <w:rFonts w:ascii="宋体" w:hAnsi="宋体" w:cs="宋体" w:eastAsia="宋体" w:hint="default"/>
                <w:sz w:val="18"/>
                <w:szCs w:val="18"/>
              </w:rPr>
            </w:pPr>
            <w:r>
              <w:rPr>
                <w:rFonts w:ascii="宋体" w:hAnsi="宋体" w:cs="宋体" w:eastAsia="宋体" w:hint="default"/>
                <w:sz w:val="18"/>
                <w:szCs w:val="18"/>
              </w:rPr>
              <w:t>以其他方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式（如回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购股份）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现金分红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2" w:right="103"/>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76"/>
              <w:ind w:left="480" w:right="199" w:hanging="269"/>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2"/>
              <w:ind w:left="139" w:right="128"/>
              <w:jc w:val="center"/>
              <w:rPr>
                <w:rFonts w:ascii="宋体" w:hAnsi="宋体" w:cs="宋体" w:eastAsia="宋体" w:hint="default"/>
                <w:sz w:val="18"/>
                <w:szCs w:val="18"/>
              </w:rPr>
            </w:pPr>
            <w:r>
              <w:rPr>
                <w:rFonts w:ascii="宋体" w:hAnsi="宋体" w:cs="宋体" w:eastAsia="宋体" w:hint="default"/>
                <w:spacing w:val="-3"/>
                <w:sz w:val="18"/>
                <w:szCs w:val="18"/>
              </w:rPr>
              <w:t>（含其他方式）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占合并报表中归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属于上市公司普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通股股东的净利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润的比率</w:t>
            </w:r>
          </w:p>
        </w:tc>
      </w:tr>
      <w:tr>
        <w:trPr>
          <w:trHeight w:val="404" w:hRule="exact"/>
        </w:trPr>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67,702,093.65</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174,612,994.49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38.77%</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67,702,093.65</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38.77%</w:t>
            </w:r>
          </w:p>
        </w:tc>
      </w:tr>
      <w:tr>
        <w:trPr>
          <w:trHeight w:val="403" w:hRule="exact"/>
        </w:trPr>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79,598,921.60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86,042,223.02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92.51%</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79,598,921.60</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92.51%</w:t>
            </w:r>
          </w:p>
        </w:tc>
      </w:tr>
      <w:tr>
        <w:trPr>
          <w:trHeight w:val="403" w:hRule="exact"/>
        </w:trPr>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30,986,896.11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left="393" w:right="858"/>
        <w:jc w:val="left"/>
      </w:pPr>
      <w:r>
        <w:rPr>
          <w:spacing w:val="-3"/>
        </w:rPr>
        <w:t>公司报告期内盈利且母公司可供普通股股东分配利润为正但未提出普通股现金红利分配预案</w:t>
      </w:r>
    </w:p>
    <w:p>
      <w:pPr>
        <w:pStyle w:val="BodyText"/>
        <w:spacing w:line="240" w:lineRule="auto" w:before="115"/>
        <w:ind w:left="393" w:right="85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left="393" w:right="858"/>
        <w:jc w:val="left"/>
        <w:rPr>
          <w:b w:val="0"/>
          <w:bCs w:val="0"/>
        </w:rPr>
      </w:pPr>
      <w:bookmarkStart w:name="二、本报告期利润分配及资本公积金转增股本情况" w:id="65"/>
      <w:bookmarkEnd w:id="65"/>
      <w:r>
        <w:rPr>
          <w:b w:val="0"/>
          <w:bCs w:val="0"/>
        </w:rPr>
      </w:r>
      <w:r>
        <w:rPr/>
        <w:t>二、本报告期利润分配及资本公积金转增股本情况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393" w:right="85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4326"/>
        <w:gridCol w:w="5517"/>
      </w:tblGrid>
      <w:tr>
        <w:trPr>
          <w:trHeight w:val="404" w:hRule="exact"/>
        </w:trPr>
        <w:tc>
          <w:tcPr>
            <w:tcW w:w="4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4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股派息数（元）（含税）</w:t>
            </w:r>
          </w:p>
        </w:tc>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0.5</w:t>
            </w:r>
          </w:p>
        </w:tc>
      </w:tr>
      <w:tr>
        <w:trPr>
          <w:trHeight w:val="398" w:hRule="exact"/>
        </w:trPr>
        <w:tc>
          <w:tcPr>
            <w:tcW w:w="4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4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7"/>
              <w:jc w:val="right"/>
              <w:rPr>
                <w:rFonts w:ascii="Times New Roman" w:hAnsi="Times New Roman" w:cs="Times New Roman" w:eastAsia="Times New Roman" w:hint="default"/>
                <w:sz w:val="18"/>
                <w:szCs w:val="18"/>
              </w:rPr>
            </w:pPr>
            <w:r>
              <w:rPr>
                <w:rFonts w:ascii="Times New Roman"/>
                <w:spacing w:val="-2"/>
                <w:sz w:val="18"/>
              </w:rPr>
              <w:t>1,354,041,873</w:t>
            </w:r>
          </w:p>
        </w:tc>
      </w:tr>
      <w:tr>
        <w:trPr>
          <w:trHeight w:val="404" w:hRule="exact"/>
        </w:trPr>
        <w:tc>
          <w:tcPr>
            <w:tcW w:w="4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现金分红金额（元）（含税）</w:t>
            </w:r>
          </w:p>
        </w:tc>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67,702,093.65</w:t>
            </w:r>
          </w:p>
        </w:tc>
      </w:tr>
      <w:tr>
        <w:trPr>
          <w:trHeight w:val="403" w:hRule="exact"/>
        </w:trPr>
        <w:tc>
          <w:tcPr>
            <w:tcW w:w="4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以其他方式（如回购股份）现金分红金额（元）</w:t>
            </w:r>
          </w:p>
        </w:tc>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4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现金分红总额（含其他方式）（元）</w:t>
            </w:r>
          </w:p>
        </w:tc>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7"/>
              <w:jc w:val="right"/>
              <w:rPr>
                <w:rFonts w:ascii="Times New Roman" w:hAnsi="Times New Roman" w:cs="Times New Roman" w:eastAsia="Times New Roman" w:hint="default"/>
                <w:sz w:val="18"/>
                <w:szCs w:val="18"/>
              </w:rPr>
            </w:pPr>
            <w:r>
              <w:rPr>
                <w:rFonts w:ascii="Times New Roman"/>
                <w:spacing w:val="-2"/>
                <w:sz w:val="18"/>
              </w:rPr>
              <w:t>67,702,093.65</w:t>
            </w:r>
          </w:p>
        </w:tc>
      </w:tr>
      <w:tr>
        <w:trPr>
          <w:trHeight w:val="403" w:hRule="exact"/>
        </w:trPr>
        <w:tc>
          <w:tcPr>
            <w:tcW w:w="4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114,604,019.50</w:t>
            </w:r>
          </w:p>
        </w:tc>
      </w:tr>
      <w:tr>
        <w:trPr>
          <w:trHeight w:val="408" w:hRule="exact"/>
        </w:trPr>
        <w:tc>
          <w:tcPr>
            <w:tcW w:w="4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4"/>
                <w:sz w:val="18"/>
                <w:szCs w:val="18"/>
              </w:rPr>
              <w:t>现金分红总额（含其他方式）占利润分配总额的比例</w:t>
            </w:r>
          </w:p>
        </w:tc>
        <w:tc>
          <w:tcPr>
            <w:tcW w:w="5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4"/>
              <w:jc w:val="right"/>
              <w:rPr>
                <w:rFonts w:ascii="Times New Roman" w:hAnsi="Times New Roman" w:cs="Times New Roman" w:eastAsia="Times New Roman" w:hint="default"/>
                <w:sz w:val="18"/>
                <w:szCs w:val="18"/>
              </w:rPr>
            </w:pPr>
            <w:r>
              <w:rPr>
                <w:rFonts w:ascii="Times New Roman"/>
                <w:spacing w:val="-2"/>
                <w:sz w:val="18"/>
              </w:rPr>
              <w:t>100%</w:t>
            </w:r>
          </w:p>
        </w:tc>
      </w:tr>
      <w:tr>
        <w:trPr>
          <w:trHeight w:val="399" w:hRule="exact"/>
        </w:trPr>
        <w:tc>
          <w:tcPr>
            <w:tcW w:w="98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398" w:hRule="exact"/>
        </w:trPr>
        <w:tc>
          <w:tcPr>
            <w:tcW w:w="9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98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24"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3212" w:hRule="exact"/>
        </w:trPr>
        <w:tc>
          <w:tcPr>
            <w:tcW w:w="9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经德勤华永会计师事务所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特殊普通合伙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审计，公司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年度母公司会计报表净利润为 </w:t>
            </w:r>
            <w:r>
              <w:rPr>
                <w:rFonts w:ascii="Times New Roman" w:hAnsi="Times New Roman" w:cs="Times New Roman" w:eastAsia="Times New Roman" w:hint="default"/>
                <w:sz w:val="18"/>
                <w:szCs w:val="18"/>
              </w:rPr>
              <w:t>66,459,762.45</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元，按母公司会计报</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表</w:t>
            </w:r>
            <w:r>
              <w:rPr>
                <w:rFonts w:ascii="宋体" w:hAnsi="宋体" w:cs="宋体" w:eastAsia="宋体" w:hint="default"/>
                <w:spacing w:val="-5"/>
                <w:w w:val="101"/>
                <w:sz w:val="18"/>
                <w:szCs w:val="18"/>
              </w:rPr>
              <w:t>净</w:t>
            </w:r>
            <w:r>
              <w:rPr>
                <w:rFonts w:ascii="宋体" w:hAnsi="宋体" w:cs="宋体" w:eastAsia="宋体" w:hint="default"/>
                <w:w w:val="101"/>
                <w:sz w:val="18"/>
                <w:szCs w:val="18"/>
              </w:rPr>
              <w:t>利润的</w:t>
            </w:r>
            <w:r>
              <w:rPr>
                <w:rFonts w:ascii="宋体" w:hAnsi="宋体" w:cs="宋体" w:eastAsia="宋体" w:hint="default"/>
                <w:spacing w:val="-61"/>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1"/>
                <w:w w:val="101"/>
                <w:sz w:val="18"/>
                <w:szCs w:val="18"/>
              </w:rPr>
              <w:t>%</w:t>
            </w:r>
            <w:r>
              <w:rPr>
                <w:rFonts w:ascii="宋体" w:hAnsi="宋体" w:cs="宋体" w:eastAsia="宋体" w:hint="default"/>
                <w:spacing w:val="-5"/>
                <w:w w:val="101"/>
                <w:sz w:val="18"/>
                <w:szCs w:val="18"/>
              </w:rPr>
              <w:t>提</w:t>
            </w:r>
            <w:r>
              <w:rPr>
                <w:rFonts w:ascii="宋体" w:hAnsi="宋体" w:cs="宋体" w:eastAsia="宋体" w:hint="default"/>
                <w:w w:val="101"/>
                <w:sz w:val="18"/>
                <w:szCs w:val="18"/>
              </w:rPr>
              <w:t>取</w:t>
            </w:r>
            <w:r>
              <w:rPr>
                <w:rFonts w:ascii="宋体" w:hAnsi="宋体" w:cs="宋体" w:eastAsia="宋体" w:hint="default"/>
                <w:spacing w:val="-5"/>
                <w:w w:val="101"/>
                <w:sz w:val="18"/>
                <w:szCs w:val="18"/>
              </w:rPr>
              <w:t>法</w:t>
            </w:r>
            <w:r>
              <w:rPr>
                <w:rFonts w:ascii="宋体" w:hAnsi="宋体" w:cs="宋体" w:eastAsia="宋体" w:hint="default"/>
                <w:w w:val="101"/>
                <w:sz w:val="18"/>
                <w:szCs w:val="18"/>
              </w:rPr>
              <w:t>定</w:t>
            </w:r>
            <w:r>
              <w:rPr>
                <w:rFonts w:ascii="宋体" w:hAnsi="宋体" w:cs="宋体" w:eastAsia="宋体" w:hint="default"/>
                <w:spacing w:val="-5"/>
                <w:w w:val="101"/>
                <w:sz w:val="18"/>
                <w:szCs w:val="18"/>
              </w:rPr>
              <w:t>盈</w:t>
            </w:r>
            <w:r>
              <w:rPr>
                <w:rFonts w:ascii="宋体" w:hAnsi="宋体" w:cs="宋体" w:eastAsia="宋体" w:hint="default"/>
                <w:w w:val="101"/>
                <w:sz w:val="18"/>
                <w:szCs w:val="18"/>
              </w:rPr>
              <w:t>余</w:t>
            </w:r>
            <w:r>
              <w:rPr>
                <w:rFonts w:ascii="宋体" w:hAnsi="宋体" w:cs="宋体" w:eastAsia="宋体" w:hint="default"/>
                <w:spacing w:val="-5"/>
                <w:w w:val="101"/>
                <w:sz w:val="18"/>
                <w:szCs w:val="18"/>
              </w:rPr>
              <w:t>公</w:t>
            </w:r>
            <w:r>
              <w:rPr>
                <w:rFonts w:ascii="宋体" w:hAnsi="宋体" w:cs="宋体" w:eastAsia="宋体" w:hint="default"/>
                <w:w w:val="101"/>
                <w:sz w:val="18"/>
                <w:szCs w:val="18"/>
              </w:rPr>
              <w:t>积金</w:t>
            </w:r>
            <w:r>
              <w:rPr>
                <w:rFonts w:ascii="宋体" w:hAnsi="宋体" w:cs="宋体" w:eastAsia="宋体" w:hint="default"/>
                <w:spacing w:val="-57"/>
                <w:sz w:val="18"/>
                <w:szCs w:val="18"/>
              </w:rPr>
              <w:t> </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25</w:t>
            </w:r>
            <w:r>
              <w:rPr>
                <w:rFonts w:ascii="Times New Roman" w:hAnsi="Times New Roman" w:cs="Times New Roman" w:eastAsia="Times New Roman" w:hint="default"/>
                <w:spacing w:val="-11"/>
                <w:sz w:val="18"/>
                <w:szCs w:val="18"/>
              </w:rPr>
              <w:t> </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加</w:t>
            </w:r>
            <w:r>
              <w:rPr>
                <w:rFonts w:ascii="宋体" w:hAnsi="宋体" w:cs="宋体" w:eastAsia="宋体" w:hint="default"/>
                <w:w w:val="101"/>
                <w:sz w:val="18"/>
                <w:szCs w:val="18"/>
              </w:rPr>
              <w:t>上</w:t>
            </w:r>
            <w:r>
              <w:rPr>
                <w:rFonts w:ascii="宋体" w:hAnsi="宋体" w:cs="宋体" w:eastAsia="宋体" w:hint="default"/>
                <w:spacing w:val="-5"/>
                <w:w w:val="101"/>
                <w:sz w:val="18"/>
                <w:szCs w:val="18"/>
              </w:rPr>
              <w:t>母公</w:t>
            </w:r>
            <w:r>
              <w:rPr>
                <w:rFonts w:ascii="宋体" w:hAnsi="宋体" w:cs="宋体" w:eastAsia="宋体" w:hint="default"/>
                <w:w w:val="101"/>
                <w:sz w:val="18"/>
                <w:szCs w:val="18"/>
              </w:rPr>
              <w:t>司</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pacing w:val="-5"/>
                <w:w w:val="101"/>
                <w:sz w:val="18"/>
                <w:szCs w:val="18"/>
              </w:rPr>
              <w:t>报</w:t>
            </w:r>
            <w:r>
              <w:rPr>
                <w:rFonts w:ascii="宋体" w:hAnsi="宋体" w:cs="宋体" w:eastAsia="宋体" w:hint="default"/>
                <w:w w:val="101"/>
                <w:sz w:val="18"/>
                <w:szCs w:val="18"/>
              </w:rPr>
              <w:t>表</w:t>
            </w:r>
            <w:r>
              <w:rPr>
                <w:rFonts w:ascii="宋体" w:hAnsi="宋体" w:cs="宋体" w:eastAsia="宋体" w:hint="default"/>
                <w:spacing w:val="-5"/>
                <w:w w:val="101"/>
                <w:sz w:val="18"/>
                <w:szCs w:val="18"/>
              </w:rPr>
              <w:t>年</w:t>
            </w:r>
            <w:r>
              <w:rPr>
                <w:rFonts w:ascii="宋体" w:hAnsi="宋体" w:cs="宋体" w:eastAsia="宋体" w:hint="default"/>
                <w:w w:val="101"/>
                <w:sz w:val="18"/>
                <w:szCs w:val="18"/>
              </w:rPr>
              <w:t>初</w:t>
            </w:r>
            <w:r>
              <w:rPr>
                <w:rFonts w:ascii="宋体" w:hAnsi="宋体" w:cs="宋体" w:eastAsia="宋体" w:hint="default"/>
                <w:spacing w:val="-5"/>
                <w:w w:val="101"/>
                <w:sz w:val="18"/>
                <w:szCs w:val="18"/>
              </w:rPr>
              <w:t>未</w:t>
            </w:r>
            <w:r>
              <w:rPr>
                <w:rFonts w:ascii="宋体" w:hAnsi="宋体" w:cs="宋体" w:eastAsia="宋体" w:hint="default"/>
                <w:w w:val="101"/>
                <w:sz w:val="18"/>
                <w:szCs w:val="18"/>
              </w:rPr>
              <w:t>分</w:t>
            </w:r>
            <w:r>
              <w:rPr>
                <w:rFonts w:ascii="宋体" w:hAnsi="宋体" w:cs="宋体" w:eastAsia="宋体" w:hint="default"/>
                <w:spacing w:val="-5"/>
                <w:w w:val="101"/>
                <w:sz w:val="18"/>
                <w:szCs w:val="18"/>
              </w:rPr>
              <w:t>配</w:t>
            </w:r>
            <w:r>
              <w:rPr>
                <w:rFonts w:ascii="宋体" w:hAnsi="宋体" w:cs="宋体" w:eastAsia="宋体" w:hint="default"/>
                <w:w w:val="101"/>
                <w:sz w:val="18"/>
                <w:szCs w:val="18"/>
              </w:rPr>
              <w:t>利润</w:t>
            </w:r>
            <w:r>
              <w:rPr>
                <w:rFonts w:ascii="宋体" w:hAnsi="宋体" w:cs="宋体" w:eastAsia="宋体" w:hint="default"/>
                <w:spacing w:val="-5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38</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15</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90</w:t>
            </w:r>
            <w:r>
              <w:rPr>
                <w:rFonts w:ascii="Times New Roman" w:hAnsi="Times New Roman" w:cs="Times New Roman" w:eastAsia="Times New Roman" w:hint="default"/>
                <w:spacing w:val="-16"/>
                <w:sz w:val="18"/>
                <w:szCs w:val="18"/>
              </w:rPr>
              <w:t> </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减</w:t>
            </w:r>
            <w:r>
              <w:rPr>
                <w:rFonts w:ascii="宋体" w:hAnsi="宋体" w:cs="宋体" w:eastAsia="宋体" w:hint="default"/>
                <w:spacing w:val="-5"/>
                <w:w w:val="101"/>
                <w:sz w:val="18"/>
                <w:szCs w:val="18"/>
              </w:rPr>
              <w:t>去</w:t>
            </w:r>
            <w:r>
              <w:rPr>
                <w:rFonts w:ascii="宋体" w:hAnsi="宋体" w:cs="宋体" w:eastAsia="宋体" w:hint="default"/>
                <w:w w:val="101"/>
                <w:sz w:val="18"/>
                <w:szCs w:val="18"/>
              </w:rPr>
              <w:t>公司</w:t>
            </w:r>
            <w:r>
              <w:rPr>
                <w:rFonts w:ascii="宋体" w:hAnsi="宋体" w:cs="宋体" w:eastAsia="宋体" w:hint="default"/>
                <w:spacing w:val="-5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18</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年度利润分配</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79,598,921.60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元，公司</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年度母公司会计报表未分配利润为</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114,604,019.50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元。根据中国证券监督管理委</w:t>
            </w:r>
          </w:p>
          <w:p>
            <w:pPr>
              <w:pStyle w:val="TableParagraph"/>
              <w:spacing w:line="309" w:lineRule="auto" w:before="63"/>
              <w:ind w:left="100" w:right="94"/>
              <w:jc w:val="both"/>
              <w:rPr>
                <w:rFonts w:ascii="宋体" w:hAnsi="宋体" w:cs="宋体" w:eastAsia="宋体" w:hint="default"/>
                <w:sz w:val="18"/>
                <w:szCs w:val="18"/>
              </w:rPr>
            </w:pPr>
            <w:r>
              <w:rPr>
                <w:rFonts w:ascii="宋体" w:hAnsi="宋体" w:cs="宋体" w:eastAsia="宋体" w:hint="default"/>
                <w:spacing w:val="-3"/>
                <w:sz w:val="18"/>
                <w:szCs w:val="18"/>
              </w:rPr>
              <w:t>员会《关于进一步落实上市公司现金分红有关事项的通知》、《上市公司监管指引第 </w:t>
            </w:r>
            <w:r>
              <w:rPr>
                <w:rFonts w:ascii="Times New Roman" w:hAnsi="Times New Roman" w:cs="Times New Roman" w:eastAsia="Times New Roman" w:hint="default"/>
                <w:sz w:val="18"/>
                <w:szCs w:val="18"/>
              </w:rPr>
              <w:t>3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上市公司现金分红》及《公司</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章程》等相关规定，鉴于公司目前经营业绩稳健，在保证公司正常经营的前提下，为积极与全体股东分享公司成长的经营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成果，积极合理回报广大投资者，公司拟定 </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年度利润分配预案如下：以公司现有总股本 </w:t>
            </w:r>
            <w:r>
              <w:rPr>
                <w:rFonts w:ascii="Times New Roman" w:hAnsi="Times New Roman" w:cs="Times New Roman" w:eastAsia="Times New Roman" w:hint="default"/>
                <w:sz w:val="18"/>
                <w:szCs w:val="18"/>
              </w:rPr>
              <w:t>1,354,041,873</w:t>
            </w:r>
            <w:r>
              <w:rPr>
                <w:rFonts w:ascii="Times New Roman" w:hAnsi="Times New Roman" w:cs="Times New Roman" w:eastAsia="Times New Roman" w:hint="default"/>
                <w:spacing w:val="-16"/>
                <w:sz w:val="18"/>
                <w:szCs w:val="18"/>
              </w:rPr>
              <w:t> </w:t>
            </w:r>
            <w:r>
              <w:rPr>
                <w:rFonts w:ascii="宋体" w:hAnsi="宋体" w:cs="宋体" w:eastAsia="宋体" w:hint="default"/>
                <w:spacing w:val="-4"/>
                <w:sz w:val="18"/>
                <w:szCs w:val="18"/>
              </w:rPr>
              <w:t>股为基数，向全</w:t>
            </w:r>
          </w:p>
          <w:p>
            <w:pPr>
              <w:pStyle w:val="TableParagraph"/>
              <w:spacing w:line="307" w:lineRule="auto" w:before="5"/>
              <w:ind w:left="100" w:right="98"/>
              <w:jc w:val="left"/>
              <w:rPr>
                <w:rFonts w:ascii="宋体" w:hAnsi="宋体" w:cs="宋体" w:eastAsia="宋体" w:hint="default"/>
                <w:sz w:val="18"/>
                <w:szCs w:val="18"/>
              </w:rPr>
            </w:pPr>
            <w:r>
              <w:rPr>
                <w:rFonts w:ascii="宋体" w:hAnsi="宋体" w:cs="宋体" w:eastAsia="宋体" w:hint="default"/>
                <w:sz w:val="18"/>
                <w:szCs w:val="18"/>
              </w:rPr>
              <w:t>体股东每</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股派发现金红利</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pacing w:val="-5"/>
                <w:sz w:val="18"/>
                <w:szCs w:val="18"/>
              </w:rPr>
              <w:t>元人民币（含税），</w:t>
            </w:r>
            <w:r>
              <w:rPr>
                <w:rFonts w:ascii="宋体" w:hAnsi="宋体" w:cs="宋体" w:eastAsia="宋体" w:hint="default"/>
                <w:spacing w:val="10"/>
                <w:sz w:val="18"/>
                <w:szCs w:val="18"/>
              </w:rPr>
              <w:t> </w:t>
            </w:r>
            <w:r>
              <w:rPr>
                <w:rFonts w:ascii="宋体" w:hAnsi="宋体" w:cs="宋体" w:eastAsia="宋体" w:hint="default"/>
                <w:sz w:val="18"/>
                <w:szCs w:val="18"/>
              </w:rPr>
              <w:t>送红股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股（含税）</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不以资本公积转增股本</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35"/>
                <w:sz w:val="18"/>
                <w:szCs w:val="18"/>
              </w:rPr>
              <w:t> </w:t>
            </w:r>
            <w:r>
              <w:rPr>
                <w:rFonts w:ascii="宋体" w:hAnsi="宋体" w:cs="宋体" w:eastAsia="宋体" w:hint="default"/>
                <w:spacing w:val="-3"/>
                <w:sz w:val="18"/>
                <w:szCs w:val="18"/>
              </w:rPr>
              <w:t>剩余未分配利润结转下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一年度。公司利润分配预案发布至实施前，若公司总股本因限制性股票激励计划和股票期权激励计划发生变动的，依照未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来实施分配方案时股权登记日的总股本为基数实施，并保持上述分配比例不变对总额进行调整。此议案尚需提交公司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pacing w:val="17"/>
                <w:sz w:val="18"/>
                <w:szCs w:val="18"/>
              </w:rPr>
            </w:r>
            <w:r>
              <w:rPr>
                <w:rFonts w:ascii="宋体" w:hAnsi="宋体" w:cs="宋体" w:eastAsia="宋体" w:hint="default"/>
                <w:spacing w:val="-3"/>
                <w:sz w:val="18"/>
                <w:szCs w:val="18"/>
              </w:rPr>
              <w:t>年度股东大会审议。</w:t>
            </w:r>
          </w:p>
        </w:tc>
      </w:tr>
    </w:tbl>
    <w:p>
      <w:pPr>
        <w:spacing w:after="0" w:line="307" w:lineRule="auto"/>
        <w:jc w:val="left"/>
        <w:rPr>
          <w:rFonts w:ascii="宋体" w:hAnsi="宋体" w:cs="宋体" w:eastAsia="宋体" w:hint="default"/>
          <w:sz w:val="18"/>
          <w:szCs w:val="18"/>
        </w:rPr>
        <w:sectPr>
          <w:pgSz w:w="11910" w:h="16840"/>
          <w:pgMar w:header="914" w:footer="1022" w:top="1120" w:bottom="1220" w:left="740" w:right="0"/>
        </w:sectPr>
      </w:pPr>
    </w:p>
    <w:p>
      <w:pPr>
        <w:spacing w:line="240" w:lineRule="auto" w:before="1"/>
        <w:rPr>
          <w:rFonts w:ascii="宋体" w:hAnsi="宋体" w:cs="宋体" w:eastAsia="宋体" w:hint="default"/>
          <w:sz w:val="18"/>
          <w:szCs w:val="18"/>
        </w:rPr>
      </w:pPr>
    </w:p>
    <w:p>
      <w:pPr>
        <w:pStyle w:val="Heading2"/>
        <w:spacing w:line="240" w:lineRule="auto" w:before="26"/>
        <w:ind w:left="553" w:right="5618"/>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3"/>
        <w:rPr>
          <w:rFonts w:ascii="宋体" w:hAnsi="宋体" w:cs="宋体" w:eastAsia="宋体" w:hint="default"/>
          <w:b/>
          <w:bCs/>
          <w:sz w:val="25"/>
          <w:szCs w:val="25"/>
        </w:rPr>
      </w:pPr>
    </w:p>
    <w:p>
      <w:pPr>
        <w:pStyle w:val="Heading4"/>
        <w:spacing w:line="254" w:lineRule="auto"/>
        <w:ind w:left="553" w:right="176"/>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left="553" w:right="561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1700"/>
        <w:gridCol w:w="975"/>
        <w:gridCol w:w="936"/>
        <w:gridCol w:w="2680"/>
        <w:gridCol w:w="936"/>
        <w:gridCol w:w="989"/>
        <w:gridCol w:w="2300"/>
      </w:tblGrid>
      <w:tr>
        <w:trPr>
          <w:trHeight w:val="40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3"/>
              <w:jc w:val="right"/>
              <w:rPr>
                <w:rFonts w:ascii="宋体" w:hAnsi="宋体" w:cs="宋体" w:eastAsia="宋体" w:hint="default"/>
                <w:sz w:val="18"/>
                <w:szCs w:val="18"/>
              </w:rPr>
            </w:pPr>
            <w:r>
              <w:rPr>
                <w:rFonts w:ascii="宋体" w:hAnsi="宋体" w:cs="宋体" w:eastAsia="宋体" w:hint="default"/>
                <w:spacing w:val="-2"/>
                <w:sz w:val="18"/>
                <w:szCs w:val="18"/>
              </w:rPr>
              <w:t>承诺类型</w:t>
            </w:r>
          </w:p>
        </w:tc>
        <w:tc>
          <w:tcPr>
            <w:tcW w:w="2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97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268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
        </w:tc>
      </w:tr>
      <w:tr>
        <w:trPr>
          <w:trHeight w:val="1007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21" w:lineRule="auto"/>
              <w:ind w:left="105" w:right="137"/>
              <w:jc w:val="both"/>
              <w:rPr>
                <w:rFonts w:ascii="宋体" w:hAnsi="宋体" w:cs="宋体" w:eastAsia="宋体" w:hint="default"/>
                <w:sz w:val="18"/>
                <w:szCs w:val="18"/>
              </w:rPr>
            </w:pPr>
            <w:r>
              <w:rPr>
                <w:rFonts w:ascii="宋体" w:hAnsi="宋体" w:cs="宋体" w:eastAsia="宋体" w:hint="default"/>
                <w:spacing w:val="-2"/>
                <w:sz w:val="18"/>
                <w:szCs w:val="18"/>
              </w:rPr>
              <w:t>收购报告书或权益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变动报告书中所作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承诺</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叶庆荣</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3"/>
              <w:jc w:val="right"/>
              <w:rPr>
                <w:rFonts w:ascii="宋体" w:hAnsi="宋体" w:cs="宋体" w:eastAsia="宋体" w:hint="default"/>
                <w:sz w:val="18"/>
                <w:szCs w:val="18"/>
              </w:rPr>
            </w:pPr>
            <w:r>
              <w:rPr>
                <w:rFonts w:ascii="宋体" w:hAnsi="宋体" w:cs="宋体" w:eastAsia="宋体" w:hint="default"/>
                <w:spacing w:val="-2"/>
                <w:sz w:val="18"/>
                <w:szCs w:val="18"/>
              </w:rPr>
              <w:t>业绩承诺</w:t>
            </w: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19"/>
              <w:ind w:left="106" w:right="89"/>
              <w:jc w:val="left"/>
              <w:rPr>
                <w:rFonts w:ascii="宋体" w:hAnsi="宋体" w:cs="宋体" w:eastAsia="宋体" w:hint="default"/>
                <w:sz w:val="18"/>
                <w:szCs w:val="18"/>
              </w:rPr>
            </w:pPr>
            <w:r>
              <w:rPr>
                <w:rFonts w:ascii="宋体" w:hAnsi="宋体" w:cs="宋体" w:eastAsia="宋体" w:hint="default"/>
                <w:spacing w:val="-3"/>
                <w:sz w:val="18"/>
                <w:szCs w:val="18"/>
              </w:rPr>
              <w:t>转让方叶庆荣承诺其同时负责</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7"/>
                <w:sz w:val="18"/>
                <w:szCs w:val="18"/>
              </w:rPr>
              <w:t>日升科技与目标公司（</w:t>
            </w:r>
            <w:r>
              <w:rPr>
                <w:rFonts w:ascii="Times New Roman" w:hAnsi="Times New Roman" w:cs="Times New Roman" w:eastAsia="Times New Roman" w:hint="default"/>
                <w:spacing w:val="-7"/>
                <w:sz w:val="18"/>
                <w:szCs w:val="18"/>
              </w:rPr>
              <w:t>263</w:t>
            </w:r>
            <w:r>
              <w:rPr>
                <w:rFonts w:ascii="Times New Roman" w:hAnsi="Times New Roman" w:cs="Times New Roman" w:eastAsia="Times New Roman" w:hint="default"/>
                <w:spacing w:val="31"/>
                <w:sz w:val="18"/>
                <w:szCs w:val="18"/>
              </w:rPr>
              <w:t> </w:t>
            </w:r>
            <w:r>
              <w:rPr>
                <w:rFonts w:ascii="宋体" w:hAnsi="宋体" w:cs="宋体" w:eastAsia="宋体" w:hint="default"/>
                <w:spacing w:val="-5"/>
                <w:sz w:val="18"/>
                <w:szCs w:val="18"/>
              </w:rPr>
              <w:t>环球</w:t>
            </w:r>
            <w:r>
              <w:rPr>
                <w:rFonts w:ascii="宋体" w:hAnsi="宋体" w:cs="宋体" w:eastAsia="宋体" w:hint="default"/>
                <w:spacing w:val="-78"/>
                <w:sz w:val="18"/>
                <w:szCs w:val="18"/>
              </w:rPr>
              <w:t> </w:t>
            </w:r>
            <w:r>
              <w:rPr>
                <w:rFonts w:ascii="宋体" w:hAnsi="宋体" w:cs="宋体" w:eastAsia="宋体" w:hint="default"/>
                <w:sz w:val="18"/>
                <w:szCs w:val="18"/>
              </w:rPr>
              <w:t>通信</w:t>
            </w:r>
            <w:r>
              <w:rPr>
                <w:rFonts w:ascii="Times New Roman" w:hAnsi="Times New Roman" w:cs="Times New Roman" w:eastAsia="Times New Roman" w:hint="default"/>
                <w:sz w:val="18"/>
                <w:szCs w:val="18"/>
              </w:rPr>
              <w:t>,</w:t>
            </w:r>
            <w:r>
              <w:rPr>
                <w:rFonts w:ascii="宋体" w:hAnsi="宋体" w:cs="宋体" w:eastAsia="宋体" w:hint="default"/>
                <w:sz w:val="18"/>
                <w:szCs w:val="18"/>
              </w:rPr>
              <w:t>原</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I-ACCESS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业务经营，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可使日升科技与目标公司在业</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绩承诺期内的业绩达到承诺业</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绩，具体如下：承诺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p>
            <w:pPr>
              <w:pStyle w:val="TableParagraph"/>
              <w:spacing w:line="304" w:lineRule="auto" w:before="3"/>
              <w:ind w:left="106"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年目标公司与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日升科技的合并净利润分别为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4300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5200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r>
              <w:rPr>
                <w:rFonts w:ascii="宋体" w:hAnsi="宋体" w:cs="宋体" w:eastAsia="宋体" w:hint="default"/>
                <w:spacing w:val="-86"/>
                <w:sz w:val="18"/>
                <w:szCs w:val="18"/>
              </w:rPr>
              <w:t> </w:t>
            </w:r>
            <w:r>
              <w:rPr>
                <w:rFonts w:ascii="宋体" w:hAnsi="宋体" w:cs="宋体" w:eastAsia="宋体" w:hint="default"/>
                <w:sz w:val="18"/>
                <w:szCs w:val="18"/>
              </w:rPr>
              <w:t>元；承诺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年和</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2020 </w:t>
            </w:r>
            <w:r>
              <w:rPr>
                <w:rFonts w:ascii="Times New Roman" w:hAnsi="Times New Roman" w:cs="Times New Roman" w:eastAsia="Times New Roman" w:hint="default"/>
                <w:spacing w:val="35"/>
                <w:sz w:val="18"/>
                <w:szCs w:val="18"/>
              </w:rPr>
              <w:t> </w:t>
            </w:r>
            <w:r>
              <w:rPr>
                <w:rFonts w:ascii="宋体" w:hAnsi="宋体" w:cs="宋体" w:eastAsia="宋体" w:hint="default"/>
                <w:spacing w:val="-3"/>
                <w:sz w:val="18"/>
                <w:szCs w:val="18"/>
              </w:rPr>
              <w:t>年目标公司与日升科技的</w:t>
            </w:r>
          </w:p>
          <w:p>
            <w:pPr>
              <w:pStyle w:val="TableParagraph"/>
              <w:spacing w:line="314" w:lineRule="auto" w:before="9"/>
              <w:ind w:left="106" w:right="99"/>
              <w:jc w:val="left"/>
              <w:rPr>
                <w:rFonts w:ascii="宋体" w:hAnsi="宋体" w:cs="宋体" w:eastAsia="宋体" w:hint="default"/>
                <w:sz w:val="18"/>
                <w:szCs w:val="18"/>
              </w:rPr>
            </w:pPr>
            <w:r>
              <w:rPr>
                <w:rFonts w:ascii="宋体" w:hAnsi="宋体" w:cs="宋体" w:eastAsia="宋体" w:hint="default"/>
                <w:sz w:val="18"/>
                <w:szCs w:val="18"/>
              </w:rPr>
              <w:t>累计合并净利润分别为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r>
              <w:rPr>
                <w:rFonts w:ascii="宋体" w:hAnsi="宋体" w:cs="宋体" w:eastAsia="宋体" w:hint="default"/>
                <w:spacing w:val="-87"/>
                <w:sz w:val="18"/>
                <w:szCs w:val="18"/>
              </w:rPr>
              <w:t> </w:t>
            </w:r>
            <w:r>
              <w:rPr>
                <w:rFonts w:ascii="宋体" w:hAnsi="宋体" w:cs="宋体" w:eastAsia="宋体" w:hint="default"/>
                <w:spacing w:val="-11"/>
                <w:w w:val="101"/>
                <w:sz w:val="18"/>
                <w:szCs w:val="18"/>
              </w:rPr>
              <w:t>元、</w:t>
            </w:r>
            <w:r>
              <w:rPr>
                <w:rFonts w:ascii="Times New Roman" w:hAnsi="Times New Roman" w:cs="Times New Roman" w:eastAsia="Times New Roman" w:hint="default"/>
                <w:spacing w:val="-11"/>
                <w:w w:val="101"/>
                <w:sz w:val="18"/>
                <w:szCs w:val="18"/>
              </w:rPr>
              <w:t>7800</w:t>
            </w:r>
            <w:r>
              <w:rPr>
                <w:rFonts w:ascii="Times New Roman" w:hAnsi="Times New Roman" w:cs="Times New Roman" w:eastAsia="Times New Roman" w:hint="default"/>
                <w:w w:val="101"/>
                <w:sz w:val="18"/>
                <w:szCs w:val="18"/>
              </w:rPr>
              <w:t> </w:t>
            </w:r>
            <w:r>
              <w:rPr>
                <w:rFonts w:ascii="宋体" w:hAnsi="宋体" w:cs="宋体" w:eastAsia="宋体" w:hint="default"/>
                <w:spacing w:val="-9"/>
                <w:w w:val="101"/>
                <w:sz w:val="18"/>
                <w:szCs w:val="18"/>
              </w:rPr>
              <w:t>万元、</w:t>
            </w:r>
            <w:r>
              <w:rPr>
                <w:rFonts w:ascii="Times New Roman" w:hAnsi="Times New Roman" w:cs="Times New Roman" w:eastAsia="Times New Roman" w:hint="default"/>
                <w:spacing w:val="-9"/>
                <w:w w:val="101"/>
                <w:sz w:val="18"/>
                <w:szCs w:val="18"/>
              </w:rPr>
              <w:t>13000</w:t>
            </w:r>
            <w:r>
              <w:rPr>
                <w:rFonts w:ascii="Times New Roman" w:hAnsi="Times New Roman" w:cs="Times New Roman" w:eastAsia="Times New Roman" w:hint="default"/>
                <w:spacing w:val="-10"/>
                <w:w w:val="101"/>
                <w:sz w:val="18"/>
                <w:szCs w:val="18"/>
              </w:rPr>
              <w:t> </w:t>
            </w:r>
            <w:r>
              <w:rPr>
                <w:rFonts w:ascii="宋体" w:hAnsi="宋体" w:cs="宋体" w:eastAsia="宋体" w:hint="default"/>
                <w:spacing w:val="-26"/>
                <w:w w:val="101"/>
                <w:sz w:val="18"/>
                <w:szCs w:val="18"/>
              </w:rPr>
              <w:t>万元。（按</w:t>
            </w:r>
            <w:r>
              <w:rPr>
                <w:rFonts w:ascii="宋体" w:hAnsi="宋体" w:cs="宋体" w:eastAsia="宋体" w:hint="default"/>
                <w:w w:val="101"/>
                <w:sz w:val="18"/>
                <w:szCs w:val="18"/>
              </w:rPr>
              <w:t> </w:t>
            </w:r>
            <w:r>
              <w:rPr>
                <w:rFonts w:ascii="宋体" w:hAnsi="宋体" w:cs="宋体" w:eastAsia="宋体" w:hint="default"/>
                <w:spacing w:val="-7"/>
                <w:sz w:val="18"/>
                <w:szCs w:val="18"/>
              </w:rPr>
              <w:t>照股权转让协议约定，合并净利</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润指经受让方指定的具有证券</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从业资格的会计师事务所按照</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中国企业会计准则及其应用指</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南及解释对目标公司以及日升</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科技备考合并利润表出具的专</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项审计报告中扣除非经常性损</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益项目后的税后净利润）。</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58"/>
              <w:ind w:left="10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3"/>
              <w:ind w:left="10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和</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2020</w:t>
            </w:r>
          </w:p>
          <w:p>
            <w:pPr>
              <w:pStyle w:val="TableParagraph"/>
              <w:spacing w:line="319" w:lineRule="auto" w:before="63"/>
              <w:ind w:left="105" w:right="147"/>
              <w:jc w:val="both"/>
              <w:rPr>
                <w:rFonts w:ascii="宋体" w:hAnsi="宋体" w:cs="宋体" w:eastAsia="宋体" w:hint="default"/>
                <w:sz w:val="18"/>
                <w:szCs w:val="18"/>
              </w:rPr>
            </w:pPr>
            <w:r>
              <w:rPr>
                <w:rFonts w:ascii="宋体" w:hAnsi="宋体" w:cs="宋体" w:eastAsia="宋体" w:hint="default"/>
                <w:sz w:val="18"/>
                <w:szCs w:val="18"/>
              </w:rPr>
              <w:t>年三个完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整公历年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度</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105" w:right="94"/>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）根据德勤华永会计师</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9"/>
                <w:sz w:val="18"/>
                <w:szCs w:val="18"/>
              </w:rPr>
              <w:t>事务所（特殊普通合伙）出</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具的《</w:t>
            </w:r>
            <w:r>
              <w:rPr>
                <w:rFonts w:ascii="Times New Roman" w:hAnsi="Times New Roman" w:cs="Times New Roman" w:eastAsia="Times New Roman" w:hint="default"/>
                <w:sz w:val="18"/>
                <w:szCs w:val="18"/>
              </w:rPr>
              <w:t>I-ACCESS</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3"/>
                <w:sz w:val="18"/>
                <w:szCs w:val="18"/>
              </w:rPr>
              <w:t>NETWORK  LIMITED</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和深</w:t>
            </w:r>
          </w:p>
          <w:p>
            <w:pPr>
              <w:pStyle w:val="TableParagraph"/>
              <w:spacing w:line="314" w:lineRule="auto" w:before="9"/>
              <w:ind w:left="105" w:right="17"/>
              <w:jc w:val="left"/>
              <w:rPr>
                <w:rFonts w:ascii="宋体" w:hAnsi="宋体" w:cs="宋体" w:eastAsia="宋体" w:hint="default"/>
                <w:sz w:val="18"/>
                <w:szCs w:val="18"/>
              </w:rPr>
            </w:pPr>
            <w:r>
              <w:rPr>
                <w:rFonts w:ascii="宋体" w:hAnsi="宋体" w:cs="宋体" w:eastAsia="宋体" w:hint="default"/>
                <w:spacing w:val="-3"/>
                <w:sz w:val="18"/>
                <w:szCs w:val="18"/>
              </w:rPr>
              <w:t>圳市日升科技有限公司备</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考财务报表及审计报告》，</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目标公司和日升科技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pacing w:val="-9"/>
                <w:w w:val="101"/>
                <w:sz w:val="18"/>
                <w:szCs w:val="18"/>
              </w:rPr>
              <w:t>年度合并净利润（指扣除非</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3"/>
                <w:sz w:val="18"/>
                <w:szCs w:val="18"/>
              </w:rPr>
              <w:t>经常性损益项目后的税后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净利润）为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3061.49</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万元，</w:t>
            </w:r>
            <w:r>
              <w:rPr>
                <w:rFonts w:ascii="宋体" w:hAnsi="宋体" w:cs="宋体" w:eastAsia="宋体" w:hint="default"/>
                <w:sz w:val="18"/>
                <w:szCs w:val="18"/>
              </w:rPr>
            </w:r>
          </w:p>
          <w:p>
            <w:pPr>
              <w:pStyle w:val="TableParagraph"/>
              <w:spacing w:line="240" w:lineRule="auto" w:before="1"/>
              <w:ind w:left="105" w:right="0"/>
              <w:jc w:val="left"/>
              <w:rPr>
                <w:rFonts w:ascii="宋体" w:hAnsi="宋体" w:cs="宋体" w:eastAsia="宋体" w:hint="default"/>
                <w:sz w:val="18"/>
                <w:szCs w:val="18"/>
              </w:rPr>
            </w:pPr>
            <w:r>
              <w:rPr>
                <w:rFonts w:ascii="宋体" w:hAnsi="宋体" w:cs="宋体" w:eastAsia="宋体" w:hint="default"/>
                <w:sz w:val="18"/>
                <w:szCs w:val="18"/>
              </w:rPr>
              <w:t>未实现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万元的承诺合</w:t>
            </w:r>
          </w:p>
          <w:p>
            <w:pPr>
              <w:pStyle w:val="TableParagraph"/>
              <w:spacing w:line="307" w:lineRule="auto" w:before="63"/>
              <w:ind w:left="105" w:right="47"/>
              <w:jc w:val="left"/>
              <w:rPr>
                <w:rFonts w:ascii="宋体" w:hAnsi="宋体" w:cs="宋体" w:eastAsia="宋体" w:hint="default"/>
                <w:sz w:val="18"/>
                <w:szCs w:val="18"/>
              </w:rPr>
            </w:pPr>
            <w:r>
              <w:rPr>
                <w:rFonts w:ascii="宋体" w:hAnsi="宋体" w:cs="宋体" w:eastAsia="宋体" w:hint="default"/>
                <w:sz w:val="18"/>
                <w:szCs w:val="18"/>
              </w:rPr>
              <w:t>并净利润，完成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5"/>
                <w:sz w:val="18"/>
                <w:szCs w:val="18"/>
              </w:rPr>
              <w:t>年承</w:t>
            </w:r>
            <w:r>
              <w:rPr>
                <w:rFonts w:ascii="宋体" w:hAnsi="宋体" w:cs="宋体" w:eastAsia="宋体" w:hint="default"/>
                <w:spacing w:val="-85"/>
                <w:sz w:val="18"/>
                <w:szCs w:val="18"/>
              </w:rPr>
              <w:t> </w:t>
            </w:r>
            <w:r>
              <w:rPr>
                <w:rFonts w:ascii="宋体" w:hAnsi="宋体" w:cs="宋体" w:eastAsia="宋体" w:hint="default"/>
                <w:sz w:val="18"/>
                <w:szCs w:val="18"/>
              </w:rPr>
              <w:t>诺净利润的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87.47%</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pacing w:val="-3"/>
                <w:sz w:val="18"/>
                <w:szCs w:val="18"/>
              </w:rPr>
              <w:t>根据德勤华永会计师事务</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9"/>
                <w:sz w:val="18"/>
                <w:szCs w:val="18"/>
              </w:rPr>
              <w:t>所（特殊普通合伙）出具的</w:t>
            </w:r>
          </w:p>
          <w:p>
            <w:pPr>
              <w:pStyle w:val="TableParagraph"/>
              <w:spacing w:line="309" w:lineRule="auto" w:before="26"/>
              <w:ind w:left="105" w:right="9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263 </w:t>
            </w:r>
            <w:r>
              <w:rPr>
                <w:rFonts w:ascii="宋体" w:hAnsi="宋体" w:cs="宋体" w:eastAsia="宋体" w:hint="default"/>
                <w:spacing w:val="-3"/>
                <w:sz w:val="18"/>
                <w:szCs w:val="18"/>
              </w:rPr>
              <w:t>环球通信有限公司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及深圳市日升科技有限公</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司备考财务报表及审计报</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6"/>
                <w:sz w:val="18"/>
                <w:szCs w:val="18"/>
              </w:rPr>
              <w:t>告》，</w:t>
            </w:r>
            <w:r>
              <w:rPr>
                <w:rFonts w:ascii="Times New Roman" w:hAnsi="Times New Roman" w:cs="Times New Roman" w:eastAsia="Times New Roman" w:hint="default"/>
                <w:spacing w:val="-6"/>
                <w:sz w:val="18"/>
                <w:szCs w:val="18"/>
              </w:rPr>
              <w:t>263</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环球通信和日升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科技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年度合并净利润</w:t>
            </w:r>
          </w:p>
          <w:p>
            <w:pPr>
              <w:pStyle w:val="TableParagraph"/>
              <w:spacing w:line="314" w:lineRule="auto" w:before="5"/>
              <w:ind w:left="105" w:right="93"/>
              <w:jc w:val="left"/>
              <w:rPr>
                <w:rFonts w:ascii="宋体" w:hAnsi="宋体" w:cs="宋体" w:eastAsia="宋体" w:hint="default"/>
                <w:sz w:val="18"/>
                <w:szCs w:val="18"/>
              </w:rPr>
            </w:pPr>
            <w:r>
              <w:rPr>
                <w:rFonts w:ascii="宋体" w:hAnsi="宋体" w:cs="宋体" w:eastAsia="宋体" w:hint="default"/>
                <w:spacing w:val="-3"/>
                <w:sz w:val="18"/>
                <w:szCs w:val="18"/>
              </w:rPr>
              <w:t>（指扣除非经常性损益项</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目后的税后净利润）为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4325.02</w:t>
            </w:r>
            <w:r>
              <w:rPr>
                <w:rFonts w:ascii="Times New Roman" w:hAnsi="Times New Roman" w:cs="Times New Roman" w:eastAsia="Times New Roman" w:hint="default"/>
                <w:spacing w:val="7"/>
                <w:sz w:val="18"/>
                <w:szCs w:val="18"/>
              </w:rPr>
              <w:t> </w:t>
            </w:r>
            <w:r>
              <w:rPr>
                <w:rFonts w:ascii="宋体" w:hAnsi="宋体" w:cs="宋体" w:eastAsia="宋体" w:hint="default"/>
                <w:spacing w:val="-8"/>
                <w:sz w:val="18"/>
                <w:szCs w:val="18"/>
              </w:rPr>
              <w:t>万元，完成了</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4300</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9"/>
                <w:w w:val="101"/>
                <w:sz w:val="18"/>
                <w:szCs w:val="18"/>
              </w:rPr>
              <w:t>万元的承诺合并净利润，实</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现了</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年度的承诺业</w:t>
            </w:r>
          </w:p>
          <w:p>
            <w:pPr>
              <w:pStyle w:val="TableParagraph"/>
              <w:spacing w:line="240" w:lineRule="auto" w:before="1"/>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绩。截止</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r>
              <w:rPr>
                <w:rFonts w:ascii="Times New Roman" w:hAnsi="Times New Roman" w:cs="Times New Roman" w:eastAsia="Times New Roman" w:hint="default"/>
                <w:sz w:val="18"/>
                <w:szCs w:val="18"/>
              </w:rPr>
              <w:t>263</w:t>
            </w:r>
          </w:p>
          <w:p>
            <w:pPr>
              <w:pStyle w:val="TableParagraph"/>
              <w:spacing w:line="300" w:lineRule="auto" w:before="63"/>
              <w:ind w:left="105" w:right="94"/>
              <w:jc w:val="both"/>
              <w:rPr>
                <w:rFonts w:ascii="宋体" w:hAnsi="宋体" w:cs="宋体" w:eastAsia="宋体" w:hint="default"/>
                <w:sz w:val="18"/>
                <w:szCs w:val="18"/>
              </w:rPr>
            </w:pPr>
            <w:r>
              <w:rPr>
                <w:rFonts w:ascii="宋体" w:hAnsi="宋体" w:cs="宋体" w:eastAsia="宋体" w:hint="default"/>
                <w:sz w:val="18"/>
                <w:szCs w:val="18"/>
              </w:rPr>
              <w:t>环球通信和日升科技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年</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年累计合并净利润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为 </w:t>
            </w:r>
            <w:r>
              <w:rPr>
                <w:rFonts w:ascii="Times New Roman" w:hAnsi="Times New Roman" w:cs="Times New Roman" w:eastAsia="Times New Roman" w:hint="default"/>
                <w:sz w:val="18"/>
                <w:szCs w:val="18"/>
              </w:rPr>
              <w:t>7386.51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万元，未实现</w:t>
            </w:r>
          </w:p>
          <w:p>
            <w:pPr>
              <w:pStyle w:val="TableParagraph"/>
              <w:spacing w:line="312" w:lineRule="auto" w:before="13"/>
              <w:ind w:left="105"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7800 </w:t>
            </w:r>
            <w:r>
              <w:rPr>
                <w:rFonts w:ascii="宋体" w:hAnsi="宋体" w:cs="宋体" w:eastAsia="宋体" w:hint="default"/>
                <w:spacing w:val="-3"/>
                <w:sz w:val="18"/>
                <w:szCs w:val="18"/>
              </w:rPr>
              <w:t>万元的累计承诺合并</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9"/>
                <w:w w:val="101"/>
                <w:sz w:val="18"/>
                <w:szCs w:val="18"/>
              </w:rPr>
              <w:t>净利润，完成累计承诺合并</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净利润的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94.70%</w:t>
            </w:r>
            <w:r>
              <w:rPr>
                <w:rFonts w:ascii="宋体" w:hAnsi="宋体" w:cs="宋体" w:eastAsia="宋体" w:hint="default"/>
                <w:sz w:val="18"/>
                <w:szCs w:val="18"/>
              </w:rPr>
              <w:t>。</w:t>
            </w:r>
          </w:p>
        </w:tc>
      </w:tr>
      <w:tr>
        <w:trPr>
          <w:trHeight w:val="716"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05" w:right="137"/>
              <w:jc w:val="left"/>
              <w:rPr>
                <w:rFonts w:ascii="宋体" w:hAnsi="宋体" w:cs="宋体" w:eastAsia="宋体" w:hint="default"/>
                <w:sz w:val="18"/>
                <w:szCs w:val="18"/>
              </w:rPr>
            </w:pPr>
            <w:r>
              <w:rPr>
                <w:rFonts w:ascii="宋体" w:hAnsi="宋体" w:cs="宋体" w:eastAsia="宋体" w:hint="default"/>
                <w:spacing w:val="-2"/>
                <w:sz w:val="18"/>
                <w:szCs w:val="18"/>
              </w:rPr>
              <w:t>资产重组时所作承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诺</w:t>
            </w:r>
          </w:p>
        </w:tc>
        <w:tc>
          <w:tcPr>
            <w:tcW w:w="97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268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4" w:footer="1022" w:top="1120" w:bottom="1220" w:left="5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1700"/>
        <w:gridCol w:w="975"/>
        <w:gridCol w:w="936"/>
        <w:gridCol w:w="2680"/>
        <w:gridCol w:w="936"/>
        <w:gridCol w:w="989"/>
        <w:gridCol w:w="2300"/>
      </w:tblGrid>
      <w:tr>
        <w:trPr>
          <w:trHeight w:val="40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5704"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pacing w:val="-2"/>
                <w:sz w:val="18"/>
                <w:szCs w:val="18"/>
              </w:rPr>
              <w:t>首次公开发行或再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融资时所作承诺</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5" w:right="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李小</w:t>
            </w:r>
            <w:r>
              <w:rPr>
                <w:rFonts w:ascii="宋体" w:hAnsi="宋体" w:cs="宋体" w:eastAsia="宋体" w:hint="default"/>
                <w:spacing w:val="-80"/>
                <w:sz w:val="18"/>
                <w:szCs w:val="18"/>
              </w:rPr>
              <w:t> </w:t>
            </w:r>
            <w:r>
              <w:rPr>
                <w:rFonts w:ascii="宋体" w:hAnsi="宋体" w:cs="宋体" w:eastAsia="宋体" w:hint="default"/>
                <w:sz w:val="18"/>
                <w:szCs w:val="18"/>
              </w:rPr>
              <w:t>龙；</w:t>
            </w:r>
            <w:r>
              <w:rPr>
                <w:rFonts w:ascii="Times New Roman" w:hAnsi="Times New Roman" w:cs="Times New Roman" w:eastAsia="Times New Roman" w:hint="default"/>
                <w:sz w:val="18"/>
                <w:szCs w:val="18"/>
              </w:rPr>
              <w:t>2.</w:t>
            </w:r>
            <w:r>
              <w:rPr>
                <w:rFonts w:ascii="宋体" w:hAnsi="宋体" w:cs="宋体" w:eastAsia="宋体" w:hint="default"/>
                <w:sz w:val="18"/>
                <w:szCs w:val="18"/>
              </w:rPr>
              <w:t>公</w:t>
            </w:r>
            <w:r>
              <w:rPr>
                <w:rFonts w:ascii="宋体" w:hAnsi="宋体" w:cs="宋体" w:eastAsia="宋体" w:hint="default"/>
                <w:spacing w:val="-84"/>
                <w:sz w:val="18"/>
                <w:szCs w:val="18"/>
              </w:rPr>
              <w:t> </w:t>
            </w:r>
            <w:r>
              <w:rPr>
                <w:rFonts w:ascii="宋体" w:hAnsi="宋体" w:cs="宋体" w:eastAsia="宋体" w:hint="default"/>
                <w:sz w:val="18"/>
                <w:szCs w:val="18"/>
              </w:rPr>
              <w:t>司首次公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开发行时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担任公司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事、高级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管理人员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的股东黄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明生、张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大庆、孙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文超、芦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兵、张靖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海、肖瑗、</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刘江涛</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6" w:lineRule="auto"/>
              <w:ind w:left="105" w:right="93"/>
              <w:jc w:val="left"/>
              <w:rPr>
                <w:rFonts w:ascii="宋体" w:hAnsi="宋体" w:cs="宋体" w:eastAsia="宋体" w:hint="default"/>
                <w:sz w:val="18"/>
                <w:szCs w:val="18"/>
              </w:rPr>
            </w:pPr>
            <w:r>
              <w:rPr>
                <w:rFonts w:ascii="宋体" w:hAnsi="宋体" w:cs="宋体" w:eastAsia="宋体" w:hint="default"/>
                <w:sz w:val="18"/>
                <w:szCs w:val="18"/>
              </w:rPr>
              <w:t>股份限售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6" w:right="9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自公司股票上市之日起三十</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7"/>
                <w:sz w:val="18"/>
                <w:szCs w:val="18"/>
              </w:rPr>
              <w:t>六个月内，不转让或者委托他人</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管理其已直接和间接持有的发</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7"/>
                <w:sz w:val="18"/>
                <w:szCs w:val="18"/>
              </w:rPr>
              <w:t>行人股份，也不由发行人回购其</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7"/>
                <w:sz w:val="18"/>
                <w:szCs w:val="18"/>
              </w:rPr>
              <w:t>持有的股份。承诺期限届满后在</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其任职期间每年转让的股份不</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超过其所持有发行人股份总数</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的</w:t>
            </w:r>
            <w:r>
              <w:rPr>
                <w:rFonts w:ascii="宋体" w:hAnsi="宋体" w:cs="宋体" w:eastAsia="宋体" w:hint="default"/>
                <w:spacing w:val="-19"/>
                <w:sz w:val="18"/>
                <w:szCs w:val="18"/>
              </w:rPr>
              <w:t> </w:t>
            </w:r>
            <w:r>
              <w:rPr>
                <w:rFonts w:ascii="Times New Roman" w:hAnsi="Times New Roman" w:cs="Times New Roman" w:eastAsia="Times New Roman" w:hint="default"/>
                <w:spacing w:val="-8"/>
                <w:sz w:val="18"/>
                <w:szCs w:val="18"/>
              </w:rPr>
              <w:t>25%</w:t>
            </w:r>
            <w:r>
              <w:rPr>
                <w:rFonts w:ascii="宋体" w:hAnsi="宋体" w:cs="宋体" w:eastAsia="宋体" w:hint="default"/>
                <w:spacing w:val="-8"/>
                <w:sz w:val="18"/>
                <w:szCs w:val="18"/>
              </w:rPr>
              <w:t>；离职后半年内，不转让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其所持有的发行人股份。</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自公</w:t>
            </w:r>
            <w:r>
              <w:rPr>
                <w:rFonts w:ascii="宋体" w:hAnsi="宋体" w:cs="宋体" w:eastAsia="宋体" w:hint="default"/>
                <w:sz w:val="18"/>
                <w:szCs w:val="18"/>
              </w:rPr>
            </w:r>
          </w:p>
          <w:p>
            <w:pPr>
              <w:pStyle w:val="TableParagraph"/>
              <w:spacing w:line="319" w:lineRule="auto" w:before="3"/>
              <w:ind w:left="106" w:right="36"/>
              <w:jc w:val="left"/>
              <w:rPr>
                <w:rFonts w:ascii="宋体" w:hAnsi="宋体" w:cs="宋体" w:eastAsia="宋体" w:hint="default"/>
                <w:sz w:val="18"/>
                <w:szCs w:val="18"/>
              </w:rPr>
            </w:pPr>
            <w:r>
              <w:rPr>
                <w:rFonts w:ascii="宋体" w:hAnsi="宋体" w:cs="宋体" w:eastAsia="宋体" w:hint="default"/>
                <w:spacing w:val="-3"/>
                <w:sz w:val="18"/>
                <w:szCs w:val="18"/>
              </w:rPr>
              <w:t>司股票上市之日起十二个月内，</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不转让或者委托他人管理其已</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直接和间接持有的发行人股份，</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也不由发行人回购其持有的股</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7"/>
                <w:sz w:val="18"/>
                <w:szCs w:val="18"/>
              </w:rPr>
              <w:t>份，在上述禁售承诺期过后，在</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其任职期间每年转让的股份不</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超过其所持有发行人股份总额</w:t>
            </w:r>
          </w:p>
          <w:p>
            <w:pPr>
              <w:pStyle w:val="TableParagraph"/>
              <w:spacing w:line="304" w:lineRule="auto" w:before="17"/>
              <w:ind w:left="106" w:right="99"/>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19"/>
                <w:sz w:val="18"/>
                <w:szCs w:val="18"/>
              </w:rPr>
              <w:t> </w:t>
            </w:r>
            <w:r>
              <w:rPr>
                <w:rFonts w:ascii="Times New Roman" w:hAnsi="Times New Roman" w:cs="Times New Roman" w:eastAsia="Times New Roman" w:hint="default"/>
                <w:spacing w:val="-8"/>
                <w:sz w:val="18"/>
                <w:szCs w:val="18"/>
              </w:rPr>
              <w:t>25%</w:t>
            </w:r>
            <w:r>
              <w:rPr>
                <w:rFonts w:ascii="宋体" w:hAnsi="宋体" w:cs="宋体" w:eastAsia="宋体" w:hint="default"/>
                <w:spacing w:val="-8"/>
                <w:sz w:val="18"/>
                <w:szCs w:val="18"/>
              </w:rPr>
              <w:t>；离职后半年内，不转让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其所持有的发行人股份。</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15"/>
              <w:ind w:left="105" w:right="55"/>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、三十六</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个月；</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85"/>
                <w:sz w:val="18"/>
                <w:szCs w:val="18"/>
              </w:rPr>
              <w:t> </w:t>
            </w:r>
            <w:r>
              <w:rPr>
                <w:rFonts w:ascii="宋体" w:hAnsi="宋体" w:cs="宋体" w:eastAsia="宋体" w:hint="default"/>
                <w:sz w:val="18"/>
                <w:szCs w:val="18"/>
              </w:rPr>
              <w:t>长期有效</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4"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97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268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
        </w:tc>
      </w:tr>
      <w:tr>
        <w:trPr>
          <w:trHeight w:val="5709"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24" w:lineRule="auto"/>
              <w:ind w:left="105" w:right="137"/>
              <w:jc w:val="left"/>
              <w:rPr>
                <w:rFonts w:ascii="宋体" w:hAnsi="宋体" w:cs="宋体" w:eastAsia="宋体" w:hint="default"/>
                <w:sz w:val="18"/>
                <w:szCs w:val="18"/>
              </w:rPr>
            </w:pPr>
            <w:r>
              <w:rPr>
                <w:rFonts w:ascii="宋体" w:hAnsi="宋体" w:cs="宋体" w:eastAsia="宋体" w:hint="default"/>
                <w:spacing w:val="-2"/>
                <w:sz w:val="18"/>
                <w:szCs w:val="18"/>
              </w:rPr>
              <w:t>其他对公司中小股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东所作承诺</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936" w:type="dxa"/>
            <w:tcBorders>
              <w:top w:val="single" w:sz="4" w:space="0" w:color="000000"/>
              <w:left w:val="single" w:sz="4" w:space="0" w:color="000000"/>
              <w:bottom w:val="single" w:sz="4" w:space="0" w:color="000000"/>
              <w:right w:val="single" w:sz="4" w:space="0" w:color="000000"/>
            </w:tcBorders>
          </w:tcPr>
          <w:p>
            <w:pP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6" w:right="9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本人及本人控股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控制的其他</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企业（以下统称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附属企业</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），目前并没有直接或间接地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从事任何与股份公司目前正在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经营的或今后准备从事的增值</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电信业务存在竞争的任何业务</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活动。</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、本人及附属企业在今</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后的任何时间不会直接或间接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7"/>
                <w:sz w:val="18"/>
                <w:szCs w:val="18"/>
              </w:rPr>
              <w:t>地以任何方式（包括但不限于自</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7"/>
                <w:sz w:val="18"/>
                <w:szCs w:val="18"/>
              </w:rPr>
              <w:t>营、合资或联营）参与或进行与</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股份公司目前正在经营的或今</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后准备从事的增值电信业务存</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在直接或间接竞争的任何业务</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7"/>
                <w:sz w:val="18"/>
                <w:szCs w:val="18"/>
              </w:rPr>
              <w:t>活动。凡本人及附属企业有任何</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7"/>
                <w:sz w:val="18"/>
                <w:szCs w:val="18"/>
              </w:rPr>
              <w:t>商业机会可从事、参与或入股任</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何可能会与股份公司生产经营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7"/>
                <w:sz w:val="18"/>
                <w:szCs w:val="18"/>
              </w:rPr>
              <w:t>构成竞争的业务，本人会安排将</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上述商业机会让予股份公司。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881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14" w:footer="1022" w:top="1120" w:bottom="1220" w:left="5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1700"/>
        <w:gridCol w:w="977"/>
        <w:gridCol w:w="934"/>
        <w:gridCol w:w="2680"/>
        <w:gridCol w:w="936"/>
        <w:gridCol w:w="989"/>
        <w:gridCol w:w="2300"/>
      </w:tblGrid>
      <w:tr>
        <w:trPr>
          <w:trHeight w:val="40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964"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5" w:right="137"/>
              <w:jc w:val="both"/>
              <w:rPr>
                <w:rFonts w:ascii="宋体" w:hAnsi="宋体" w:cs="宋体" w:eastAsia="宋体" w:hint="default"/>
                <w:sz w:val="18"/>
                <w:szCs w:val="18"/>
              </w:rPr>
            </w:pPr>
            <w:r>
              <w:rPr>
                <w:rFonts w:ascii="宋体" w:hAnsi="宋体" w:cs="宋体" w:eastAsia="宋体" w:hint="default"/>
                <w:spacing w:val="-2"/>
                <w:sz w:val="18"/>
                <w:szCs w:val="18"/>
              </w:rPr>
              <w:t>如承诺超期未履行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完毕的，应当详细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说明未完成履行的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具体原因及下一步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的工作计划</w:t>
            </w:r>
          </w:p>
        </w:tc>
        <w:tc>
          <w:tcPr>
            <w:tcW w:w="8816" w:type="dxa"/>
            <w:gridSpan w:val="6"/>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105" w:right="98"/>
              <w:jc w:val="both"/>
              <w:rPr>
                <w:rFonts w:ascii="宋体" w:hAnsi="宋体" w:cs="宋体" w:eastAsia="宋体" w:hint="default"/>
                <w:sz w:val="18"/>
                <w:szCs w:val="18"/>
              </w:rPr>
            </w:pPr>
            <w:r>
              <w:rPr>
                <w:rFonts w:ascii="宋体" w:hAnsi="宋体" w:cs="宋体" w:eastAsia="宋体" w:hint="default"/>
                <w:spacing w:val="-3"/>
                <w:sz w:val="18"/>
                <w:szCs w:val="18"/>
              </w:rPr>
              <w:t>日升科技主要从事跨境通信服务业务，跨境通信业务受市场、政策等因素影响较为明显，特别是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年受中</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5"/>
                <w:sz w:val="18"/>
                <w:szCs w:val="18"/>
              </w:rPr>
              <w:t>美贸易摩擦的影响，跨境通信订单数量减少，成单率下降，导致 </w:t>
            </w:r>
            <w:r>
              <w:rPr>
                <w:rFonts w:ascii="Times New Roman" w:hAnsi="Times New Roman" w:cs="Times New Roman" w:eastAsia="Times New Roman" w:hint="default"/>
                <w:sz w:val="18"/>
                <w:szCs w:val="18"/>
              </w:rPr>
              <w:t>2018 </w:t>
            </w:r>
            <w:r>
              <w:rPr>
                <w:rFonts w:ascii="宋体" w:hAnsi="宋体" w:cs="宋体" w:eastAsia="宋体" w:hint="default"/>
                <w:spacing w:val="-4"/>
                <w:sz w:val="18"/>
                <w:szCs w:val="18"/>
              </w:rPr>
              <w:t>年业绩承诺未能完全实现。</w:t>
            </w:r>
            <w:r>
              <w:rPr>
                <w:rFonts w:ascii="Times New Roman" w:hAnsi="Times New Roman" w:cs="Times New Roman" w:eastAsia="Times New Roman" w:hint="default"/>
                <w:spacing w:val="-4"/>
                <w:sz w:val="18"/>
                <w:szCs w:val="18"/>
              </w:rPr>
              <w:t>2019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263</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32"/>
                <w:sz w:val="18"/>
                <w:szCs w:val="18"/>
              </w:rPr>
            </w:r>
            <w:r>
              <w:rPr>
                <w:rFonts w:ascii="宋体" w:hAnsi="宋体" w:cs="宋体" w:eastAsia="宋体" w:hint="default"/>
                <w:spacing w:val="-3"/>
                <w:sz w:val="18"/>
                <w:szCs w:val="18"/>
              </w:rPr>
              <w:t>环球通信和日升科技积极调整业务产品结构，优化资源，扩充收入来源，完成了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度业绩承诺，但未完成</w:t>
            </w:r>
          </w:p>
          <w:p>
            <w:pPr>
              <w:pStyle w:val="TableParagraph"/>
              <w:spacing w:line="240" w:lineRule="auto" w:before="15"/>
              <w:ind w:left="10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 </w:t>
            </w:r>
            <w:r>
              <w:rPr>
                <w:rFonts w:ascii="宋体" w:hAnsi="宋体" w:cs="宋体" w:eastAsia="宋体" w:hint="default"/>
                <w:spacing w:val="-4"/>
                <w:sz w:val="18"/>
                <w:szCs w:val="18"/>
              </w:rPr>
              <w:t>年的累计业绩承诺。鉴于 </w:t>
            </w:r>
            <w:r>
              <w:rPr>
                <w:rFonts w:ascii="Times New Roman" w:hAnsi="Times New Roman" w:cs="Times New Roman" w:eastAsia="Times New Roman" w:hint="default"/>
                <w:sz w:val="18"/>
                <w:szCs w:val="18"/>
              </w:rPr>
              <w:t>263 </w:t>
            </w:r>
            <w:r>
              <w:rPr>
                <w:rFonts w:ascii="宋体" w:hAnsi="宋体" w:cs="宋体" w:eastAsia="宋体" w:hint="default"/>
                <w:spacing w:val="-3"/>
                <w:sz w:val="18"/>
                <w:szCs w:val="18"/>
              </w:rPr>
              <w:t>环球通信和日升科技未实现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pacing w:val="-5"/>
                <w:sz w:val="18"/>
                <w:szCs w:val="18"/>
              </w:rPr>
              <w:t>年的累计业绩承诺，根据</w:t>
            </w:r>
          </w:p>
          <w:p>
            <w:pPr>
              <w:pStyle w:val="TableParagraph"/>
              <w:spacing w:line="304" w:lineRule="auto" w:before="63"/>
              <w:ind w:left="105" w:right="94"/>
              <w:jc w:val="both"/>
              <w:rPr>
                <w:rFonts w:ascii="宋体" w:hAnsi="宋体" w:cs="宋体" w:eastAsia="宋体" w:hint="default"/>
                <w:sz w:val="18"/>
                <w:szCs w:val="18"/>
              </w:rPr>
            </w:pPr>
            <w:r>
              <w:rPr>
                <w:rFonts w:ascii="宋体" w:hAnsi="宋体" w:cs="宋体" w:eastAsia="宋体" w:hint="default"/>
                <w:spacing w:val="-3"/>
                <w:sz w:val="18"/>
                <w:szCs w:val="18"/>
              </w:rPr>
              <w:t>股权转让协议的约定，截止</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年末公司将累计获得补偿</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3,334.54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万元。公司将持续关注</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环球通信和日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升科技的经营状况，督促其完成下一期业绩目标。</w:t>
            </w:r>
          </w:p>
        </w:tc>
      </w:tr>
    </w:tbl>
    <w:p>
      <w:pPr>
        <w:spacing w:line="240" w:lineRule="auto" w:before="10"/>
        <w:rPr>
          <w:rFonts w:ascii="Times New Roman" w:hAnsi="Times New Roman" w:cs="Times New Roman" w:eastAsia="Times New Roman" w:hint="default"/>
          <w:sz w:val="21"/>
          <w:szCs w:val="21"/>
        </w:rPr>
      </w:pPr>
    </w:p>
    <w:p>
      <w:pPr>
        <w:pStyle w:val="Heading4"/>
        <w:spacing w:line="254" w:lineRule="auto" w:before="36"/>
        <w:ind w:left="553" w:right="176"/>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left="553" w:right="561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left="553" w:right="176"/>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8"/>
        <w:rPr>
          <w:rFonts w:ascii="宋体" w:hAnsi="宋体" w:cs="宋体" w:eastAsia="宋体" w:hint="default"/>
          <w:b/>
          <w:bCs/>
          <w:sz w:val="27"/>
          <w:szCs w:val="27"/>
        </w:rPr>
      </w:pPr>
    </w:p>
    <w:p>
      <w:pPr>
        <w:pStyle w:val="BodyText"/>
        <w:spacing w:line="343" w:lineRule="auto"/>
        <w:ind w:left="553" w:right="384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公司报告期不存在控股股东及其关联方对上市公司的非经营性占用资金。</w:t>
      </w:r>
    </w:p>
    <w:p>
      <w:pPr>
        <w:spacing w:line="240" w:lineRule="auto" w:before="1"/>
        <w:rPr>
          <w:rFonts w:ascii="宋体" w:hAnsi="宋体" w:cs="宋体" w:eastAsia="宋体" w:hint="default"/>
          <w:sz w:val="18"/>
          <w:szCs w:val="18"/>
        </w:rPr>
      </w:pPr>
    </w:p>
    <w:p>
      <w:pPr>
        <w:pStyle w:val="Heading2"/>
        <w:spacing w:line="240" w:lineRule="auto"/>
        <w:ind w:left="553" w:right="176"/>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553" w:right="561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left="553" w:right="176"/>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left="553" w:right="561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207" w:type="dxa"/>
        <w:tblLayout w:type="fixed"/>
        <w:tblCellMar>
          <w:top w:w="0" w:type="dxa"/>
          <w:left w:w="0" w:type="dxa"/>
          <w:bottom w:w="0" w:type="dxa"/>
          <w:right w:w="0" w:type="dxa"/>
        </w:tblCellMar>
        <w:tblLook w:val="01E0"/>
      </w:tblPr>
      <w:tblGrid>
        <w:gridCol w:w="9339"/>
        <w:gridCol w:w="999"/>
      </w:tblGrid>
      <w:tr>
        <w:trPr>
          <w:trHeight w:val="346" w:hRule="exact"/>
        </w:trPr>
        <w:tc>
          <w:tcPr>
            <w:tcW w:w="933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99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34" w:right="0"/>
              <w:jc w:val="left"/>
              <w:rPr>
                <w:rFonts w:ascii="宋体" w:hAnsi="宋体" w:cs="宋体" w:eastAsia="宋体" w:hint="default"/>
                <w:sz w:val="18"/>
                <w:szCs w:val="18"/>
              </w:rPr>
            </w:pPr>
            <w:r>
              <w:rPr>
                <w:rFonts w:ascii="宋体" w:hAnsi="宋体" w:cs="宋体" w:eastAsia="宋体" w:hint="default"/>
                <w:sz w:val="18"/>
                <w:szCs w:val="18"/>
              </w:rPr>
              <w:t>审批程序</w:t>
            </w:r>
          </w:p>
        </w:tc>
      </w:tr>
      <w:tr>
        <w:trPr>
          <w:trHeight w:val="5339" w:hRule="exact"/>
        </w:trPr>
        <w:tc>
          <w:tcPr>
            <w:tcW w:w="93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78" w:right="41" w:hanging="274"/>
              <w:jc w:val="left"/>
              <w:rPr>
                <w:rFonts w:ascii="宋体" w:hAnsi="宋体" w:cs="宋体" w:eastAsia="宋体" w:hint="default"/>
                <w:sz w:val="18"/>
                <w:szCs w:val="18"/>
              </w:rPr>
            </w:pPr>
            <w:r>
              <w:rPr>
                <w:rFonts w:ascii="宋体" w:hAnsi="宋体" w:cs="宋体" w:eastAsia="宋体" w:hint="default"/>
                <w:spacing w:val="-3"/>
                <w:sz w:val="18"/>
                <w:szCs w:val="18"/>
              </w:rPr>
              <w:t>新金融工具准则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本集团自</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日起执行财政部于</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年修订的《企业会计准则第</w:t>
            </w:r>
            <w:r>
              <w:rPr>
                <w:rFonts w:ascii="Times New Roman" w:hAnsi="Times New Roman" w:cs="Times New Roman" w:eastAsia="Times New Roman" w:hint="default"/>
                <w:spacing w:val="-3"/>
                <w:sz w:val="18"/>
                <w:szCs w:val="18"/>
              </w:rPr>
              <w:t>22</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金融工具确认和计量》、《企业会计</w:t>
            </w:r>
          </w:p>
          <w:p>
            <w:pPr>
              <w:pStyle w:val="TableParagraph"/>
              <w:spacing w:line="300" w:lineRule="auto"/>
              <w:ind w:left="4" w:right="79"/>
              <w:jc w:val="left"/>
              <w:rPr>
                <w:rFonts w:ascii="宋体" w:hAnsi="宋体" w:cs="宋体" w:eastAsia="宋体" w:hint="default"/>
                <w:sz w:val="18"/>
                <w:szCs w:val="18"/>
              </w:rPr>
            </w:pPr>
            <w:r>
              <w:rPr>
                <w:rFonts w:ascii="宋体" w:hAnsi="宋体" w:cs="宋体" w:eastAsia="宋体" w:hint="default"/>
                <w:spacing w:val="-3"/>
                <w:sz w:val="18"/>
                <w:szCs w:val="18"/>
              </w:rPr>
              <w:t>准则第</w:t>
            </w:r>
            <w:r>
              <w:rPr>
                <w:rFonts w:ascii="Times New Roman" w:hAnsi="Times New Roman" w:cs="Times New Roman" w:eastAsia="Times New Roman" w:hint="default"/>
                <w:spacing w:val="-3"/>
                <w:sz w:val="18"/>
                <w:szCs w:val="18"/>
              </w:rPr>
              <w:t>23</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金融资产转移》、《企业会计准则第</w:t>
            </w:r>
            <w:r>
              <w:rPr>
                <w:rFonts w:ascii="Times New Roman" w:hAnsi="Times New Roman" w:cs="Times New Roman" w:eastAsia="Times New Roman" w:hint="default"/>
                <w:spacing w:val="-3"/>
                <w:sz w:val="18"/>
                <w:szCs w:val="18"/>
              </w:rPr>
              <w:t>24</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套期会计》和《企业会计准则第</w:t>
            </w:r>
            <w:r>
              <w:rPr>
                <w:rFonts w:ascii="Times New Roman" w:hAnsi="Times New Roman" w:cs="Times New Roman" w:eastAsia="Times New Roman" w:hint="default"/>
                <w:spacing w:val="-3"/>
                <w:sz w:val="18"/>
                <w:szCs w:val="18"/>
              </w:rPr>
              <w:t>37</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金融工具列报》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以下</w:t>
            </w:r>
            <w:r>
              <w:rPr>
                <w:rFonts w:ascii="宋体" w:hAnsi="宋体" w:cs="宋体" w:eastAsia="宋体" w:hint="default"/>
                <w:spacing w:val="63"/>
                <w:sz w:val="18"/>
                <w:szCs w:val="18"/>
              </w:rPr>
              <w:t> </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新金融工具准则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。本集团变更后的会计政策详见附注五、</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w:t>
            </w:r>
          </w:p>
          <w:p>
            <w:pPr>
              <w:pStyle w:val="TableParagraph"/>
              <w:spacing w:line="316" w:lineRule="auto" w:before="13"/>
              <w:ind w:left="4" w:right="-4" w:firstLine="182"/>
              <w:jc w:val="both"/>
              <w:rPr>
                <w:rFonts w:ascii="宋体" w:hAnsi="宋体" w:cs="宋体" w:eastAsia="宋体" w:hint="default"/>
                <w:sz w:val="18"/>
                <w:szCs w:val="18"/>
              </w:rPr>
            </w:pPr>
            <w:r>
              <w:rPr>
                <w:rFonts w:ascii="宋体" w:hAnsi="宋体" w:cs="宋体" w:eastAsia="宋体" w:hint="default"/>
                <w:spacing w:val="-4"/>
                <w:sz w:val="18"/>
                <w:szCs w:val="18"/>
              </w:rPr>
              <w:t>在金融资产分类与计量方面，新金融工具准则要求金融资产基于其合同现金流量特征及企业管理该等资产的业务模式</w:t>
            </w:r>
            <w:r>
              <w:rPr>
                <w:rFonts w:ascii="宋体" w:hAnsi="宋体" w:cs="宋体" w:eastAsia="宋体" w:hint="default"/>
                <w:w w:val="101"/>
                <w:sz w:val="18"/>
                <w:szCs w:val="18"/>
              </w:rPr>
              <w:t> </w:t>
            </w:r>
            <w:r>
              <w:rPr>
                <w:rFonts w:ascii="宋体" w:hAnsi="宋体" w:cs="宋体" w:eastAsia="宋体" w:hint="default"/>
                <w:spacing w:val="-4"/>
                <w:sz w:val="18"/>
                <w:szCs w:val="18"/>
              </w:rPr>
              <w:t>分类为以摊余成本计量的金融资产、以公允价值计量且其变动计入其他综合收益的金融资产和以公允价值计量且其变动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计入当期损益的金融资产三大类别，取消了原金融工具准则中贷款和应收款项、持有至到期投资和可供出售金融资产等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分类。权益工具投资一般分类为以公允价值计量且其变动计入当期损益的金融资产， 也允许将非交易性权益工具投资</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4"/>
                <w:sz w:val="18"/>
                <w:szCs w:val="18"/>
              </w:rPr>
              <w:t>指定为以公允价值计量且其变动计入其他综合收益的金融资产，但该指定不可撤销，且在处置时不得将原计入其他综合</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收益的累计公允价值变动额结转计入当期损益。</w:t>
            </w:r>
          </w:p>
          <w:p>
            <w:pPr>
              <w:pStyle w:val="TableParagraph"/>
              <w:spacing w:line="314" w:lineRule="auto" w:before="19"/>
              <w:ind w:left="4" w:right="-4" w:firstLine="182"/>
              <w:jc w:val="both"/>
              <w:rPr>
                <w:rFonts w:ascii="宋体" w:hAnsi="宋体" w:cs="宋体" w:eastAsia="宋体" w:hint="default"/>
                <w:sz w:val="18"/>
                <w:szCs w:val="18"/>
              </w:rPr>
            </w:pPr>
            <w:r>
              <w:rPr>
                <w:rFonts w:ascii="宋体" w:hAnsi="宋体" w:cs="宋体" w:eastAsia="宋体" w:hint="default"/>
                <w:spacing w:val="-4"/>
                <w:sz w:val="18"/>
                <w:szCs w:val="18"/>
              </w:rPr>
              <w:t>在减值方面，新金融工具准则有关减值的要求适用于以摊余成本计量的金融资产、以公允价值计量且其变动计入其他</w:t>
            </w:r>
            <w:r>
              <w:rPr>
                <w:rFonts w:ascii="宋体" w:hAnsi="宋体" w:cs="宋体" w:eastAsia="宋体" w:hint="default"/>
                <w:w w:val="101"/>
                <w:sz w:val="18"/>
                <w:szCs w:val="18"/>
              </w:rPr>
              <w:t> </w:t>
            </w:r>
            <w:r>
              <w:rPr>
                <w:rFonts w:ascii="宋体" w:hAnsi="宋体" w:cs="宋体" w:eastAsia="宋体" w:hint="default"/>
                <w:spacing w:val="-4"/>
                <w:sz w:val="18"/>
                <w:szCs w:val="18"/>
              </w:rPr>
              <w:t>综合收益的金融资产、租赁应收款以及特定未提用的贷款承诺和财务担保合同。新金融工具准则要求采用预期信用损失</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模型确认信用损失准备，以替代原先的已发生信用损失模型。新减值模型采用三阶段模型，依据相关项目自初始确认后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信用风险是否发生显著增加，信用损失准备按</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个月内预期信用损失或者整个存续期的预期信用损失进行计提。本集团</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对由收入准则规范的交易形成的应收账款按照相当于整个存续期内预期信用损失的金额计量损失准备。</w:t>
            </w:r>
          </w:p>
          <w:p>
            <w:pPr>
              <w:pStyle w:val="TableParagraph"/>
              <w:spacing w:line="300" w:lineRule="auto" w:before="20"/>
              <w:ind w:left="4" w:right="1" w:firstLine="182"/>
              <w:jc w:val="both"/>
              <w:rPr>
                <w:rFonts w:ascii="宋体" w:hAnsi="宋体" w:cs="宋体" w:eastAsia="宋体" w:hint="default"/>
                <w:sz w:val="18"/>
                <w:szCs w:val="18"/>
              </w:rPr>
            </w:pPr>
            <w:r>
              <w:rPr>
                <w:rFonts w:ascii="宋体" w:hAnsi="宋体" w:cs="宋体" w:eastAsia="宋体" w:hint="default"/>
                <w:spacing w:val="-4"/>
                <w:sz w:val="18"/>
                <w:szCs w:val="18"/>
              </w:rPr>
              <w:t>于</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日之前的金融工具确认和计量与新金融工具准则要求不一致的，本集团按照新金融工具准则的要求进行</w:t>
            </w:r>
            <w:r>
              <w:rPr>
                <w:rFonts w:ascii="宋体" w:hAnsi="宋体" w:cs="宋体" w:eastAsia="宋体" w:hint="default"/>
                <w:w w:val="101"/>
                <w:sz w:val="18"/>
                <w:szCs w:val="18"/>
              </w:rPr>
              <w:t> </w:t>
            </w:r>
            <w:r>
              <w:rPr>
                <w:rFonts w:ascii="宋体" w:hAnsi="宋体" w:cs="宋体" w:eastAsia="宋体" w:hint="default"/>
                <w:spacing w:val="-4"/>
                <w:sz w:val="18"/>
                <w:szCs w:val="18"/>
              </w:rPr>
              <w:t>追溯调整。涉及前期比较财务报表数据与新金融工具准则要求不一致的，本集团不进行调整。金融工具原账面价值和在</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9" w:lineRule="auto"/>
              <w:ind w:left="4" w:right="-4"/>
              <w:jc w:val="both"/>
              <w:rPr>
                <w:rFonts w:ascii="宋体" w:hAnsi="宋体" w:cs="宋体" w:eastAsia="宋体" w:hint="default"/>
                <w:sz w:val="18"/>
                <w:szCs w:val="18"/>
              </w:rPr>
            </w:pPr>
            <w:r>
              <w:rPr>
                <w:rFonts w:ascii="宋体" w:hAnsi="宋体" w:cs="宋体" w:eastAsia="宋体" w:hint="default"/>
                <w:spacing w:val="12"/>
                <w:sz w:val="18"/>
                <w:szCs w:val="18"/>
              </w:rPr>
              <w:t>公司第六届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2"/>
                <w:sz w:val="18"/>
                <w:szCs w:val="18"/>
              </w:rPr>
              <w:t>董事会第七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2"/>
                <w:sz w:val="18"/>
                <w:szCs w:val="18"/>
              </w:rPr>
              <w:t>次会议审议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通过</w:t>
            </w:r>
          </w:p>
        </w:tc>
      </w:tr>
    </w:tbl>
    <w:p>
      <w:pPr>
        <w:spacing w:after="0" w:line="319" w:lineRule="auto"/>
        <w:jc w:val="both"/>
        <w:rPr>
          <w:rFonts w:ascii="宋体" w:hAnsi="宋体" w:cs="宋体" w:eastAsia="宋体" w:hint="default"/>
          <w:sz w:val="18"/>
          <w:szCs w:val="18"/>
        </w:rPr>
        <w:sectPr>
          <w:pgSz w:w="11910" w:h="16840"/>
          <w:pgMar w:header="914" w:footer="1022" w:top="1120" w:bottom="1220" w:left="580" w:right="0"/>
        </w:sectPr>
      </w:pPr>
    </w:p>
    <w:p>
      <w:pPr>
        <w:spacing w:line="240" w:lineRule="auto" w:before="1"/>
        <w:rPr>
          <w:rFonts w:ascii="宋体" w:hAnsi="宋体" w:cs="宋体" w:eastAsia="宋体"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9339"/>
        <w:gridCol w:w="999"/>
      </w:tblGrid>
      <w:tr>
        <w:trPr>
          <w:trHeight w:val="341" w:hRule="exact"/>
        </w:trPr>
        <w:tc>
          <w:tcPr>
            <w:tcW w:w="933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99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34" w:right="0"/>
              <w:jc w:val="left"/>
              <w:rPr>
                <w:rFonts w:ascii="宋体" w:hAnsi="宋体" w:cs="宋体" w:eastAsia="宋体" w:hint="default"/>
                <w:sz w:val="18"/>
                <w:szCs w:val="18"/>
              </w:rPr>
            </w:pPr>
            <w:r>
              <w:rPr>
                <w:rFonts w:ascii="宋体" w:hAnsi="宋体" w:cs="宋体" w:eastAsia="宋体" w:hint="default"/>
                <w:sz w:val="18"/>
                <w:szCs w:val="18"/>
              </w:rPr>
              <w:t>审批程序</w:t>
            </w:r>
          </w:p>
        </w:tc>
      </w:tr>
      <w:tr>
        <w:trPr>
          <w:trHeight w:val="667" w:hRule="exact"/>
        </w:trPr>
        <w:tc>
          <w:tcPr>
            <w:tcW w:w="9339" w:type="dxa"/>
            <w:tcBorders>
              <w:top w:val="single" w:sz="10"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新金融工具准则施行日的新账面价值之间的差额，计入</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日的留存收益或其他综合收益。于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日本集</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团采用新金融工具准则的影响详见附注五、</w:t>
            </w:r>
            <w:r>
              <w:rPr>
                <w:rFonts w:ascii="Times New Roman" w:hAnsi="Times New Roman" w:cs="Times New Roman" w:eastAsia="Times New Roman" w:hint="default"/>
                <w:spacing w:val="-3"/>
                <w:sz w:val="18"/>
                <w:szCs w:val="18"/>
              </w:rPr>
              <w:t>27.3</w:t>
            </w:r>
            <w:r>
              <w:rPr>
                <w:rFonts w:ascii="宋体" w:hAnsi="宋体" w:cs="宋体" w:eastAsia="宋体" w:hint="default"/>
                <w:spacing w:val="-3"/>
                <w:sz w:val="18"/>
                <w:szCs w:val="18"/>
              </w:rPr>
              <w:t>。</w:t>
            </w:r>
          </w:p>
        </w:tc>
        <w:tc>
          <w:tcPr>
            <w:tcW w:w="999" w:type="dxa"/>
            <w:tcBorders>
              <w:top w:val="single" w:sz="10" w:space="0" w:color="000000"/>
              <w:left w:val="single" w:sz="6" w:space="0" w:color="000000"/>
              <w:bottom w:val="single" w:sz="6" w:space="0" w:color="000000"/>
              <w:right w:val="single" w:sz="6" w:space="0" w:color="000000"/>
            </w:tcBorders>
          </w:tcPr>
          <w:p>
            <w:pPr/>
          </w:p>
        </w:tc>
      </w:tr>
      <w:tr>
        <w:trPr>
          <w:trHeight w:val="1907" w:hRule="exact"/>
        </w:trPr>
        <w:tc>
          <w:tcPr>
            <w:tcW w:w="9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新非货币性资产交换准则</w:t>
            </w:r>
          </w:p>
          <w:p>
            <w:pPr>
              <w:pStyle w:val="TableParagraph"/>
              <w:spacing w:line="307" w:lineRule="auto" w:before="76"/>
              <w:ind w:left="4" w:right="-3" w:firstLine="18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9</w:t>
            </w:r>
            <w:r>
              <w:rPr>
                <w:rFonts w:ascii="宋体" w:hAnsi="宋体" w:cs="宋体" w:eastAsia="宋体" w:hint="default"/>
                <w:spacing w:val="-6"/>
                <w:sz w:val="18"/>
                <w:szCs w:val="18"/>
              </w:rPr>
              <w:t>日，财政部发布了经修订的《企业会计准则第</w:t>
            </w:r>
            <w:r>
              <w:rPr>
                <w:rFonts w:ascii="Times New Roman" w:hAnsi="Times New Roman" w:cs="Times New Roman" w:eastAsia="Times New Roman" w:hint="default"/>
                <w:spacing w:val="-6"/>
                <w:sz w:val="18"/>
                <w:szCs w:val="18"/>
              </w:rPr>
              <w:t>7</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非货币性资产交换》</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财会〔</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8</w:t>
            </w:r>
            <w:r>
              <w:rPr>
                <w:rFonts w:ascii="宋体" w:hAnsi="宋体" w:cs="宋体" w:eastAsia="宋体" w:hint="default"/>
                <w:spacing w:val="-6"/>
                <w:sz w:val="18"/>
                <w:szCs w:val="18"/>
              </w:rPr>
              <w:t>号，以下简称</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新</w:t>
            </w:r>
            <w:r>
              <w:rPr>
                <w:rFonts w:ascii="宋体" w:hAnsi="宋体" w:cs="宋体" w:eastAsia="宋体" w:hint="default"/>
                <w:w w:val="101"/>
                <w:sz w:val="18"/>
                <w:szCs w:val="18"/>
              </w:rPr>
              <w:t> </w:t>
            </w:r>
            <w:r>
              <w:rPr>
                <w:rFonts w:ascii="宋体" w:hAnsi="宋体" w:cs="宋体" w:eastAsia="宋体" w:hint="default"/>
                <w:spacing w:val="-3"/>
                <w:sz w:val="18"/>
                <w:szCs w:val="18"/>
              </w:rPr>
              <w:t>非货币性资产交换准则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，自</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日起施行。新非货币性资产交换准则修订了非货币性资产交换的定义；明确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了准则的适用范围；规定了确认换入资产和终止确认换出资产的时点，以及当换入资产的确认时点与换出资产的终止确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认时点不一致时的会计处理原则；细化了非货币性资产交换的会计处理；增加了有关披露要求。</w:t>
            </w:r>
          </w:p>
          <w:p>
            <w:pPr>
              <w:pStyle w:val="TableParagraph"/>
              <w:spacing w:line="240" w:lineRule="auto" w:before="26"/>
              <w:ind w:left="187" w:right="0"/>
              <w:jc w:val="left"/>
              <w:rPr>
                <w:rFonts w:ascii="宋体" w:hAnsi="宋体" w:cs="宋体" w:eastAsia="宋体" w:hint="default"/>
                <w:sz w:val="18"/>
                <w:szCs w:val="18"/>
              </w:rPr>
            </w:pPr>
            <w:r>
              <w:rPr>
                <w:rFonts w:ascii="宋体" w:hAnsi="宋体" w:cs="宋体" w:eastAsia="宋体" w:hint="default"/>
                <w:spacing w:val="-3"/>
                <w:sz w:val="18"/>
                <w:szCs w:val="18"/>
              </w:rPr>
              <w:t>本集团本年度未发生非货币性资产交换。</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4" w:right="-4"/>
              <w:jc w:val="both"/>
              <w:rPr>
                <w:rFonts w:ascii="宋体" w:hAnsi="宋体" w:cs="宋体" w:eastAsia="宋体" w:hint="default"/>
                <w:sz w:val="18"/>
                <w:szCs w:val="18"/>
              </w:rPr>
            </w:pPr>
            <w:r>
              <w:rPr>
                <w:rFonts w:ascii="宋体" w:hAnsi="宋体" w:cs="宋体" w:eastAsia="宋体" w:hint="default"/>
                <w:spacing w:val="12"/>
                <w:sz w:val="18"/>
                <w:szCs w:val="18"/>
              </w:rPr>
              <w:t>公司第六届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2"/>
                <w:sz w:val="18"/>
                <w:szCs w:val="18"/>
              </w:rPr>
              <w:t>董事会第十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2"/>
                <w:sz w:val="18"/>
                <w:szCs w:val="18"/>
              </w:rPr>
              <w:t>次会议审议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通过</w:t>
            </w:r>
          </w:p>
        </w:tc>
      </w:tr>
      <w:tr>
        <w:trPr>
          <w:trHeight w:val="1594" w:hRule="exact"/>
        </w:trPr>
        <w:tc>
          <w:tcPr>
            <w:tcW w:w="9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新债务重组准则</w:t>
            </w:r>
          </w:p>
          <w:p>
            <w:pPr>
              <w:pStyle w:val="TableParagraph"/>
              <w:spacing w:line="300" w:lineRule="auto" w:before="76"/>
              <w:ind w:left="4" w:right="80" w:firstLine="182"/>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日，财政部发布了经修订的《企业会计准则第</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30"/>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债务重组》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财会〔</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号，以下简称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新债</w:t>
            </w:r>
            <w:r>
              <w:rPr>
                <w:rFonts w:ascii="宋体" w:hAnsi="宋体" w:cs="宋体" w:eastAsia="宋体" w:hint="default"/>
                <w:spacing w:val="-5"/>
                <w:w w:val="101"/>
                <w:sz w:val="18"/>
                <w:szCs w:val="18"/>
              </w:rPr>
              <w:t> </w:t>
            </w:r>
            <w:r>
              <w:rPr>
                <w:rFonts w:ascii="宋体" w:hAnsi="宋体" w:cs="宋体" w:eastAsia="宋体" w:hint="default"/>
                <w:spacing w:val="-3"/>
                <w:sz w:val="18"/>
                <w:szCs w:val="18"/>
              </w:rPr>
              <w:t>务重组准则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，自</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17</w:t>
            </w:r>
            <w:r>
              <w:rPr>
                <w:rFonts w:ascii="宋体" w:hAnsi="宋体" w:cs="宋体" w:eastAsia="宋体" w:hint="default"/>
                <w:spacing w:val="-3"/>
                <w:sz w:val="18"/>
                <w:szCs w:val="18"/>
              </w:rPr>
              <w:t>日起施行。新债务重组准则修订了债务重组的定义；明确了准则的适用范围；修订了债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务重组的会计处理；简化了债务重组的披露要求。</w:t>
            </w:r>
          </w:p>
          <w:p>
            <w:pPr>
              <w:pStyle w:val="TableParagraph"/>
              <w:spacing w:line="240" w:lineRule="auto" w:before="31"/>
              <w:ind w:left="187" w:right="0"/>
              <w:jc w:val="left"/>
              <w:rPr>
                <w:rFonts w:ascii="宋体" w:hAnsi="宋体" w:cs="宋体" w:eastAsia="宋体" w:hint="default"/>
                <w:sz w:val="18"/>
                <w:szCs w:val="18"/>
              </w:rPr>
            </w:pPr>
            <w:r>
              <w:rPr>
                <w:rFonts w:ascii="宋体" w:hAnsi="宋体" w:cs="宋体" w:eastAsia="宋体" w:hint="default"/>
                <w:spacing w:val="-3"/>
                <w:sz w:val="18"/>
                <w:szCs w:val="18"/>
              </w:rPr>
              <w:t>本集团本年度未发生债务重组。</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0"/>
              <w:jc w:val="both"/>
              <w:rPr>
                <w:rFonts w:ascii="宋体" w:hAnsi="宋体" w:cs="宋体" w:eastAsia="宋体" w:hint="default"/>
                <w:sz w:val="18"/>
                <w:szCs w:val="18"/>
              </w:rPr>
            </w:pPr>
            <w:r>
              <w:rPr>
                <w:rFonts w:ascii="宋体" w:hAnsi="宋体" w:cs="宋体" w:eastAsia="宋体" w:hint="default"/>
                <w:spacing w:val="12"/>
                <w:sz w:val="18"/>
                <w:szCs w:val="18"/>
              </w:rPr>
              <w:t>公司第六届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2"/>
                <w:sz w:val="18"/>
                <w:szCs w:val="18"/>
              </w:rPr>
              <w:t>董事会第十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6"/>
                <w:sz w:val="18"/>
                <w:szCs w:val="18"/>
              </w:rPr>
              <w:t>次会议审议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通过</w:t>
            </w:r>
          </w:p>
        </w:tc>
      </w:tr>
      <w:tr>
        <w:trPr>
          <w:trHeight w:val="1911" w:hRule="exact"/>
        </w:trPr>
        <w:tc>
          <w:tcPr>
            <w:tcW w:w="9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财务报表列报格式</w:t>
            </w:r>
          </w:p>
          <w:p>
            <w:pPr>
              <w:pStyle w:val="TableParagraph"/>
              <w:spacing w:line="300" w:lineRule="auto" w:before="76"/>
              <w:ind w:left="4" w:right="0" w:firstLine="182"/>
              <w:jc w:val="both"/>
              <w:rPr>
                <w:rFonts w:ascii="宋体" w:hAnsi="宋体" w:cs="宋体" w:eastAsia="宋体" w:hint="default"/>
                <w:sz w:val="18"/>
                <w:szCs w:val="18"/>
              </w:rPr>
            </w:pPr>
            <w:r>
              <w:rPr>
                <w:rFonts w:ascii="宋体" w:hAnsi="宋体" w:cs="宋体" w:eastAsia="宋体" w:hint="default"/>
                <w:spacing w:val="-3"/>
                <w:sz w:val="18"/>
                <w:szCs w:val="18"/>
              </w:rPr>
              <w:t>本集团按财政部于</w:t>
            </w:r>
            <w:r>
              <w:rPr>
                <w:rFonts w:ascii="Times New Roman" w:hAnsi="Times New Roman" w:cs="Times New Roman" w:eastAsia="Times New Roman" w:hint="default"/>
                <w:spacing w:val="-3"/>
                <w:sz w:val="18"/>
                <w:szCs w:val="18"/>
              </w:rPr>
              <w:t>2019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 </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日颁布的《关于修订印发合并财务报表格式</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版</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的通知》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财会</w:t>
            </w:r>
            <w:r>
              <w:rPr>
                <w:rFonts w:ascii="Times New Roman" w:hAnsi="Times New Roman" w:cs="Times New Roman" w:eastAsia="Times New Roman" w:hint="default"/>
                <w:spacing w:val="-3"/>
                <w:sz w:val="18"/>
                <w:szCs w:val="18"/>
              </w:rPr>
              <w:t>[2019]16</w:t>
            </w:r>
            <w:r>
              <w:rPr>
                <w:rFonts w:ascii="宋体" w:hAnsi="宋体" w:cs="宋体" w:eastAsia="宋体" w:hint="default"/>
                <w:spacing w:val="-3"/>
                <w:sz w:val="18"/>
                <w:szCs w:val="18"/>
              </w:rPr>
              <w:t>号，以</w:t>
            </w:r>
            <w:r>
              <w:rPr>
                <w:rFonts w:ascii="宋体" w:hAnsi="宋体" w:cs="宋体" w:eastAsia="宋体" w:hint="default"/>
                <w:w w:val="101"/>
                <w:sz w:val="18"/>
                <w:szCs w:val="18"/>
              </w:rPr>
              <w:t> </w:t>
            </w: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16</w:t>
            </w:r>
            <w:r>
              <w:rPr>
                <w:rFonts w:ascii="宋体" w:hAnsi="宋体" w:cs="宋体" w:eastAsia="宋体" w:hint="default"/>
                <w:sz w:val="18"/>
                <w:szCs w:val="18"/>
              </w:rPr>
              <w:t>号文件</w:t>
            </w:r>
            <w:r>
              <w:rPr>
                <w:rFonts w:ascii="Times New Roman" w:hAnsi="Times New Roman" w:cs="Times New Roman" w:eastAsia="Times New Roman" w:hint="default"/>
                <w:sz w:val="18"/>
                <w:szCs w:val="18"/>
              </w:rPr>
              <w:t>”)</w:t>
            </w:r>
            <w:r>
              <w:rPr>
                <w:rFonts w:ascii="宋体" w:hAnsi="宋体" w:cs="宋体" w:eastAsia="宋体" w:hint="default"/>
                <w:sz w:val="18"/>
                <w:szCs w:val="18"/>
              </w:rPr>
              <w:t>编制</w:t>
            </w:r>
            <w:r>
              <w:rPr>
                <w:rFonts w:ascii="Times New Roman" w:hAnsi="Times New Roman" w:cs="Times New Roman" w:eastAsia="Times New Roman" w:hint="default"/>
                <w:sz w:val="18"/>
                <w:szCs w:val="18"/>
              </w:rPr>
              <w:t>2019 </w:t>
            </w:r>
            <w:r>
              <w:rPr>
                <w:rFonts w:ascii="宋体" w:hAnsi="宋体" w:cs="宋体" w:eastAsia="宋体" w:hint="default"/>
                <w:spacing w:val="-5"/>
                <w:sz w:val="18"/>
                <w:szCs w:val="18"/>
              </w:rPr>
              <w:t>年度财务报表。财会</w:t>
            </w:r>
            <w:r>
              <w:rPr>
                <w:rFonts w:ascii="Times New Roman" w:hAnsi="Times New Roman" w:cs="Times New Roman" w:eastAsia="Times New Roman" w:hint="default"/>
                <w:spacing w:val="-5"/>
                <w:sz w:val="18"/>
                <w:szCs w:val="18"/>
              </w:rPr>
              <w:t>16</w:t>
            </w:r>
            <w:r>
              <w:rPr>
                <w:rFonts w:ascii="宋体" w:hAnsi="宋体" w:cs="宋体" w:eastAsia="宋体" w:hint="default"/>
                <w:spacing w:val="-5"/>
                <w:sz w:val="18"/>
                <w:szCs w:val="18"/>
              </w:rPr>
              <w:t>号文件对资产负债表和利润表的列报项目进行了修订，将</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应收</w:t>
            </w:r>
            <w:r>
              <w:rPr>
                <w:rFonts w:ascii="宋体" w:hAnsi="宋体" w:cs="宋体" w:eastAsia="宋体" w:hint="default"/>
                <w:spacing w:val="-72"/>
                <w:sz w:val="18"/>
                <w:szCs w:val="18"/>
              </w:rPr>
              <w:t> </w:t>
            </w:r>
            <w:r>
              <w:rPr>
                <w:rFonts w:ascii="宋体" w:hAnsi="宋体" w:cs="宋体" w:eastAsia="宋体" w:hint="default"/>
                <w:spacing w:val="-4"/>
                <w:sz w:val="18"/>
                <w:szCs w:val="18"/>
              </w:rPr>
              <w:t>票据及应收账款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项目分拆为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应收票据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应收款项融资</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三个项目，将</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应付票据及应付账款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项目分拆为</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应付票据</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和</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应付账款</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两个项目，同时在</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投资收益</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行项目下增加了</w:t>
            </w:r>
            <w:r>
              <w:rPr>
                <w:rFonts w:ascii="Times New Roman" w:hAnsi="Times New Roman" w:cs="Times New Roman" w:eastAsia="Times New Roman" w:hint="default"/>
                <w:spacing w:val="-5"/>
                <w:w w:val="101"/>
                <w:sz w:val="18"/>
                <w:szCs w:val="18"/>
              </w:rPr>
              <w:t>“</w:t>
            </w:r>
            <w:r>
              <w:rPr>
                <w:rFonts w:ascii="宋体" w:hAnsi="宋体" w:cs="宋体" w:eastAsia="宋体" w:hint="default"/>
                <w:spacing w:val="-5"/>
                <w:w w:val="101"/>
                <w:sz w:val="18"/>
                <w:szCs w:val="18"/>
              </w:rPr>
              <w:t>其中：以摊余成本计量的金融资产终止确认收益</w:t>
            </w:r>
            <w:r>
              <w:rPr>
                <w:rFonts w:ascii="Times New Roman" w:hAnsi="Times New Roman" w:cs="Times New Roman" w:eastAsia="Times New Roman" w:hint="default"/>
                <w:spacing w:val="-5"/>
                <w:w w:val="101"/>
                <w:sz w:val="18"/>
                <w:szCs w:val="18"/>
              </w:rPr>
              <w:t>”</w:t>
            </w:r>
            <w:r>
              <w:rPr>
                <w:rFonts w:ascii="Times New Roman" w:hAnsi="Times New Roman" w:cs="Times New Roman" w:eastAsia="Times New Roman" w:hint="default"/>
                <w:spacing w:val="-39"/>
                <w:w w:val="101"/>
                <w:sz w:val="18"/>
                <w:szCs w:val="18"/>
              </w:rPr>
              <w:t> </w:t>
            </w:r>
            <w:r>
              <w:rPr>
                <w:rFonts w:ascii="宋体" w:hAnsi="宋体" w:cs="宋体" w:eastAsia="宋体" w:hint="default"/>
                <w:spacing w:val="-3"/>
                <w:sz w:val="18"/>
                <w:szCs w:val="18"/>
              </w:rPr>
              <w:t>行项目。对于上述列报项目的变更，本集团对上年比较数据进行了追溯调整。</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both"/>
              <w:rPr>
                <w:rFonts w:ascii="宋体" w:hAnsi="宋体" w:cs="宋体" w:eastAsia="宋体" w:hint="default"/>
                <w:sz w:val="18"/>
                <w:szCs w:val="18"/>
              </w:rPr>
            </w:pPr>
            <w:r>
              <w:rPr>
                <w:rFonts w:ascii="宋体" w:hAnsi="宋体" w:cs="宋体" w:eastAsia="宋体" w:hint="default"/>
                <w:spacing w:val="12"/>
                <w:sz w:val="18"/>
                <w:szCs w:val="18"/>
              </w:rPr>
              <w:t>公司第六届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2"/>
                <w:sz w:val="18"/>
                <w:szCs w:val="18"/>
              </w:rPr>
              <w:t>董事会第十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2"/>
                <w:sz w:val="18"/>
                <w:szCs w:val="18"/>
              </w:rPr>
              <w:t>二次会议审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议通过</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240" w:lineRule="auto" w:before="26"/>
        <w:ind w:left="453" w:right="3662"/>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3"/>
        <w:rPr>
          <w:rFonts w:ascii="宋体" w:hAnsi="宋体" w:cs="宋体" w:eastAsia="宋体" w:hint="default"/>
          <w:b/>
          <w:bCs/>
          <w:sz w:val="27"/>
          <w:szCs w:val="27"/>
        </w:rPr>
      </w:pPr>
    </w:p>
    <w:p>
      <w:pPr>
        <w:pStyle w:val="BodyText"/>
        <w:spacing w:line="338" w:lineRule="auto"/>
        <w:ind w:left="453" w:right="575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公司报告期无重大会计差错更正需追溯重述的情况。</w:t>
      </w:r>
    </w:p>
    <w:p>
      <w:pPr>
        <w:spacing w:line="240" w:lineRule="auto" w:before="9"/>
        <w:rPr>
          <w:rFonts w:ascii="宋体" w:hAnsi="宋体" w:cs="宋体" w:eastAsia="宋体" w:hint="default"/>
          <w:sz w:val="18"/>
          <w:szCs w:val="18"/>
        </w:rPr>
      </w:pPr>
    </w:p>
    <w:p>
      <w:pPr>
        <w:pStyle w:val="Heading2"/>
        <w:spacing w:line="240" w:lineRule="auto"/>
        <w:ind w:left="453" w:right="3662"/>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3"/>
        <w:rPr>
          <w:rFonts w:ascii="宋体" w:hAnsi="宋体" w:cs="宋体" w:eastAsia="宋体" w:hint="default"/>
          <w:b/>
          <w:bCs/>
          <w:sz w:val="27"/>
          <w:szCs w:val="27"/>
        </w:rPr>
      </w:pPr>
    </w:p>
    <w:p>
      <w:pPr>
        <w:pStyle w:val="BodyText"/>
        <w:spacing w:line="338" w:lineRule="auto"/>
        <w:ind w:left="453" w:right="366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展动科技</w:t>
      </w:r>
      <w:r>
        <w:rPr>
          <w:rFonts w:ascii="Times New Roman" w:hAnsi="Times New Roman" w:cs="Times New Roman" w:eastAsia="Times New Roman" w:hint="default"/>
          <w:spacing w:val="-3"/>
        </w:rPr>
        <w:t>(</w:t>
      </w:r>
      <w:r>
        <w:rPr>
          <w:spacing w:val="-3"/>
        </w:rPr>
        <w:t>北京</w:t>
      </w:r>
      <w:r>
        <w:rPr>
          <w:rFonts w:ascii="Times New Roman" w:hAnsi="Times New Roman" w:cs="Times New Roman" w:eastAsia="Times New Roman" w:hint="default"/>
          <w:spacing w:val="-3"/>
        </w:rPr>
        <w:t>)</w:t>
      </w:r>
      <w:r>
        <w:rPr>
          <w:spacing w:val="-3"/>
        </w:rPr>
        <w:t>有限公司已于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月被北京展视互动科技有限公司吸收合并。</w:t>
      </w:r>
    </w:p>
    <w:p>
      <w:pPr>
        <w:spacing w:line="240" w:lineRule="auto" w:before="5"/>
        <w:rPr>
          <w:rFonts w:ascii="宋体" w:hAnsi="宋体" w:cs="宋体" w:eastAsia="宋体" w:hint="default"/>
          <w:sz w:val="17"/>
          <w:szCs w:val="17"/>
        </w:rPr>
      </w:pPr>
    </w:p>
    <w:p>
      <w:pPr>
        <w:pStyle w:val="Heading2"/>
        <w:spacing w:line="240" w:lineRule="auto"/>
        <w:ind w:left="453" w:right="3662"/>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453" w:right="3662"/>
        <w:jc w:val="left"/>
      </w:pPr>
      <w:r>
        <w:rPr/>
        <w:t>现聘任的会计师事务所</w:t>
      </w:r>
    </w:p>
    <w:p>
      <w:pPr>
        <w:spacing w:line="240" w:lineRule="auto" w:before="8"/>
        <w:rPr>
          <w:rFonts w:ascii="宋体" w:hAnsi="宋体" w:cs="宋体" w:eastAsia="宋体" w:hint="default"/>
          <w:sz w:val="7"/>
          <w:szCs w:val="7"/>
        </w:rPr>
      </w:pPr>
    </w:p>
    <w:tbl>
      <w:tblPr>
        <w:tblW w:w="0" w:type="auto"/>
        <w:jc w:val="left"/>
        <w:tblInd w:w="448" w:type="dxa"/>
        <w:tblLayout w:type="fixed"/>
        <w:tblCellMar>
          <w:top w:w="0" w:type="dxa"/>
          <w:left w:w="0" w:type="dxa"/>
          <w:bottom w:w="0" w:type="dxa"/>
          <w:right w:w="0" w:type="dxa"/>
        </w:tblCellMar>
        <w:tblLook w:val="01E0"/>
      </w:tblPr>
      <w:tblGrid>
        <w:gridCol w:w="4792"/>
        <w:gridCol w:w="4777"/>
      </w:tblGrid>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hAnsi="宋体" w:cs="宋体" w:eastAsia="宋体" w:hint="default"/>
                <w:spacing w:val="-3"/>
                <w:sz w:val="18"/>
                <w:szCs w:val="18"/>
              </w:rPr>
              <w:t>德勤华永会计师事务所（特殊普通合伙）</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197</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hAnsi="宋体" w:cs="宋体" w:eastAsia="宋体" w:hint="default"/>
                <w:spacing w:val="-3"/>
                <w:sz w:val="18"/>
                <w:szCs w:val="18"/>
              </w:rPr>
              <w:t>童传江；高天福</w:t>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14" w:footer="1022" w:top="1120" w:bottom="1220" w:left="680" w:right="0"/>
        </w:sectPr>
      </w:pPr>
    </w:p>
    <w:p>
      <w:pPr>
        <w:spacing w:line="240" w:lineRule="auto" w:before="9"/>
        <w:rPr>
          <w:rFonts w:ascii="宋体" w:hAnsi="宋体" w:cs="宋体" w:eastAsia="宋体" w:hint="default"/>
          <w:sz w:val="23"/>
          <w:szCs w:val="23"/>
        </w:rPr>
      </w:pPr>
    </w:p>
    <w:p>
      <w:pPr>
        <w:pStyle w:val="BodyText"/>
        <w:spacing w:line="240" w:lineRule="auto" w:before="46"/>
        <w:ind w:left="313" w:right="5579"/>
        <w:jc w:val="left"/>
      </w:pPr>
      <w:r>
        <w:rPr>
          <w:spacing w:val="-3"/>
        </w:rPr>
        <w:t>当期是否改聘会计师事务所</w:t>
      </w:r>
    </w:p>
    <w:p>
      <w:pPr>
        <w:pStyle w:val="BodyText"/>
        <w:spacing w:line="338" w:lineRule="auto" w:before="119"/>
        <w:ind w:left="313" w:right="557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聘请内部控制审计会计师事务所、财务顾问或保荐人情况</w:t>
      </w:r>
    </w:p>
    <w:p>
      <w:pPr>
        <w:pStyle w:val="BodyText"/>
        <w:spacing w:line="240" w:lineRule="auto" w:before="41"/>
        <w:ind w:left="313" w:right="557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left="313"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313" w:right="557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left="313" w:right="5579"/>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left="313"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公司报告期未发生破产重整相关事项。</w:t>
      </w:r>
    </w:p>
    <w:p>
      <w:pPr>
        <w:spacing w:line="240" w:lineRule="auto" w:before="10"/>
        <w:rPr>
          <w:rFonts w:ascii="宋体" w:hAnsi="宋体" w:cs="宋体" w:eastAsia="宋体" w:hint="default"/>
          <w:sz w:val="18"/>
          <w:szCs w:val="18"/>
        </w:rPr>
      </w:pPr>
    </w:p>
    <w:p>
      <w:pPr>
        <w:pStyle w:val="Heading2"/>
        <w:spacing w:line="240" w:lineRule="auto"/>
        <w:ind w:left="313" w:right="5579"/>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313" w:right="557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1815"/>
        <w:gridCol w:w="994"/>
        <w:gridCol w:w="927"/>
        <w:gridCol w:w="1325"/>
        <w:gridCol w:w="1104"/>
        <w:gridCol w:w="1037"/>
        <w:gridCol w:w="1109"/>
        <w:gridCol w:w="1643"/>
      </w:tblGrid>
      <w:tr>
        <w:trPr>
          <w:trHeight w:val="1028" w:hRule="exact"/>
        </w:trPr>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20"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81"/>
              <w:ind w:left="13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91" w:right="180"/>
              <w:jc w:val="both"/>
              <w:rPr>
                <w:rFonts w:ascii="宋体" w:hAnsi="宋体" w:cs="宋体" w:eastAsia="宋体" w:hint="default"/>
                <w:sz w:val="18"/>
                <w:szCs w:val="18"/>
              </w:rPr>
            </w:pPr>
            <w:r>
              <w:rPr>
                <w:rFonts w:ascii="宋体" w:hAnsi="宋体" w:cs="宋体" w:eastAsia="宋体" w:hint="default"/>
                <w:sz w:val="18"/>
                <w:szCs w:val="18"/>
              </w:rPr>
              <w:t>是否形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成预计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4" w:lineRule="auto"/>
              <w:ind w:left="571" w:right="142" w:hanging="423"/>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进</w:t>
            </w:r>
            <w:r>
              <w:rPr>
                <w:rFonts w:ascii="宋体" w:hAnsi="宋体" w:cs="宋体" w:eastAsia="宋体" w:hint="default"/>
                <w:spacing w:val="-76"/>
                <w:sz w:val="18"/>
                <w:szCs w:val="18"/>
              </w:rPr>
              <w:t> </w:t>
            </w:r>
            <w:r>
              <w:rPr>
                <w:rFonts w:ascii="宋体" w:hAnsi="宋体" w:cs="宋体" w:eastAsia="宋体" w:hint="default"/>
                <w:sz w:val="18"/>
                <w:szCs w:val="18"/>
              </w:rPr>
              <w:t>展</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29" w:right="120"/>
              <w:jc w:val="center"/>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审理结果</w:t>
            </w:r>
            <w:r>
              <w:rPr>
                <w:rFonts w:ascii="宋体" w:hAnsi="宋体" w:cs="宋体" w:eastAsia="宋体" w:hint="default"/>
                <w:w w:val="101"/>
                <w:sz w:val="18"/>
                <w:szCs w:val="18"/>
              </w:rPr>
              <w:t> </w:t>
            </w:r>
            <w:r>
              <w:rPr>
                <w:rFonts w:ascii="宋体" w:hAnsi="宋体" w:cs="宋体" w:eastAsia="宋体" w:hint="default"/>
                <w:sz w:val="18"/>
                <w:szCs w:val="18"/>
              </w:rPr>
              <w:t>及影响</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24" w:right="117" w:firstLine="4"/>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w:t>
            </w:r>
            <w:r>
              <w:rPr>
                <w:rFonts w:ascii="宋体" w:hAnsi="宋体" w:cs="宋体" w:eastAsia="宋体" w:hint="default"/>
                <w:w w:val="101"/>
                <w:sz w:val="18"/>
                <w:szCs w:val="18"/>
              </w:rPr>
              <w:t> </w:t>
            </w:r>
            <w:r>
              <w:rPr>
                <w:rFonts w:ascii="宋体" w:hAnsi="宋体" w:cs="宋体" w:eastAsia="宋体" w:hint="default"/>
                <w:spacing w:val="-2"/>
                <w:sz w:val="18"/>
                <w:szCs w:val="18"/>
              </w:rPr>
              <w:t>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判决执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行情况</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8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5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143"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100" w:right="99"/>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年</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6"/>
                <w:w w:val="101"/>
                <w:sz w:val="18"/>
                <w:szCs w:val="18"/>
              </w:rPr>
              <w:t>月，公司在</w:t>
            </w:r>
            <w:r>
              <w:rPr>
                <w:rFonts w:ascii="宋体" w:hAnsi="宋体" w:cs="宋体" w:eastAsia="宋体" w:hint="default"/>
                <w:w w:val="101"/>
                <w:sz w:val="18"/>
                <w:szCs w:val="18"/>
              </w:rPr>
              <w:t> </w:t>
            </w:r>
            <w:r>
              <w:rPr>
                <w:rFonts w:ascii="宋体" w:hAnsi="宋体" w:cs="宋体" w:eastAsia="宋体" w:hint="default"/>
                <w:sz w:val="18"/>
                <w:szCs w:val="18"/>
              </w:rPr>
              <w:t>美国的全资孙公司</w:t>
            </w:r>
          </w:p>
          <w:p>
            <w:pPr>
              <w:pStyle w:val="TableParagraph"/>
              <w:spacing w:line="362" w:lineRule="auto" w:before="77"/>
              <w:ind w:left="100" w:right="112"/>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pacing w:val="-2"/>
                <w:sz w:val="18"/>
              </w:rPr>
              <w:t> </w:t>
            </w:r>
            <w:r>
              <w:rPr>
                <w:rFonts w:ascii="Times New Roman"/>
                <w:sz w:val="18"/>
              </w:rPr>
              <w:t>Global</w:t>
            </w:r>
            <w:r>
              <w:rPr>
                <w:rFonts w:ascii="Times New Roman"/>
                <w:w w:val="101"/>
                <w:sz w:val="18"/>
              </w:rPr>
              <w:t> </w:t>
            </w:r>
            <w:r>
              <w:rPr>
                <w:rFonts w:ascii="Times New Roman"/>
                <w:sz w:val="18"/>
              </w:rPr>
              <w:t>Communications,</w:t>
            </w:r>
            <w:r>
              <w:rPr>
                <w:rFonts w:ascii="Times New Roman"/>
                <w:spacing w:val="2"/>
                <w:sz w:val="18"/>
              </w:rPr>
              <w:t> </w:t>
            </w:r>
            <w:r>
              <w:rPr>
                <w:rFonts w:ascii="Times New Roman"/>
                <w:spacing w:val="-4"/>
                <w:sz w:val="18"/>
              </w:rPr>
              <w:t>Inc.</w:t>
            </w:r>
          </w:p>
          <w:p>
            <w:pPr>
              <w:pStyle w:val="TableParagraph"/>
              <w:spacing w:line="211"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 </w:t>
            </w:r>
            <w:r>
              <w:rPr>
                <w:rFonts w:ascii="Times New Roman" w:hAnsi="Times New Roman" w:cs="Times New Roman" w:eastAsia="Times New Roman" w:hint="default"/>
                <w:spacing w:val="-3"/>
                <w:sz w:val="18"/>
                <w:szCs w:val="18"/>
              </w:rPr>
              <w:t>BEIJING</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pacing w:val="-3"/>
                <w:sz w:val="18"/>
                <w:szCs w:val="18"/>
              </w:rPr>
              <w:t>IQIYI</w:t>
            </w:r>
          </w:p>
          <w:p>
            <w:pPr>
              <w:pStyle w:val="TableParagraph"/>
              <w:spacing w:line="310" w:lineRule="atLeast" w:before="2"/>
              <w:ind w:left="100" w:right="34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SCIENCE </w:t>
            </w:r>
            <w:r>
              <w:rPr>
                <w:rFonts w:ascii="Times New Roman" w:hAnsi="Times New Roman" w:cs="Times New Roman" w:eastAsia="Times New Roman" w:hint="default"/>
                <w:sz w:val="18"/>
                <w:szCs w:val="18"/>
              </w:rPr>
              <w:t>&amp;</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Times New Roman" w:hAnsi="Times New Roman" w:cs="Times New Roman" w:eastAsia="Times New Roman" w:hint="default"/>
                <w:spacing w:val="-3"/>
                <w:sz w:val="18"/>
                <w:szCs w:val="18"/>
              </w:rPr>
              <w:t>TECHNOLOGY</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pacing w:val="-21"/>
                <w:sz w:val="18"/>
                <w:szCs w:val="18"/>
              </w:rPr>
            </w:r>
            <w:r>
              <w:rPr>
                <w:rFonts w:ascii="Times New Roman" w:hAnsi="Times New Roman" w:cs="Times New Roman" w:eastAsia="Times New Roman" w:hint="default"/>
                <w:spacing w:val="-3"/>
                <w:sz w:val="18"/>
                <w:szCs w:val="18"/>
              </w:rPr>
              <w:t>Co.Ltd</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BEIJING</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pacing w:val="-14"/>
                <w:sz w:val="18"/>
                <w:szCs w:val="18"/>
              </w:rPr>
            </w:r>
            <w:r>
              <w:rPr>
                <w:rFonts w:ascii="Times New Roman" w:hAnsi="Times New Roman" w:cs="Times New Roman" w:eastAsia="Times New Roman" w:hint="default"/>
                <w:sz w:val="18"/>
                <w:szCs w:val="18"/>
              </w:rPr>
              <w:t>QIYI</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4"/>
                <w:sz w:val="18"/>
                <w:szCs w:val="18"/>
              </w:rPr>
              <w:t>CENTURY</w:t>
            </w:r>
          </w:p>
          <w:p>
            <w:pPr>
              <w:pStyle w:val="TableParagraph"/>
              <w:spacing w:line="362" w:lineRule="auto" w:before="105"/>
              <w:ind w:left="100" w:right="476"/>
              <w:jc w:val="left"/>
              <w:rPr>
                <w:rFonts w:ascii="Times New Roman" w:hAnsi="Times New Roman" w:cs="Times New Roman" w:eastAsia="Times New Roman" w:hint="default"/>
                <w:sz w:val="18"/>
                <w:szCs w:val="18"/>
              </w:rPr>
            </w:pPr>
            <w:r>
              <w:rPr>
                <w:rFonts w:ascii="Times New Roman"/>
                <w:spacing w:val="-3"/>
                <w:sz w:val="18"/>
              </w:rPr>
              <w:t>SCIENCE </w:t>
            </w:r>
            <w:r>
              <w:rPr>
                <w:rFonts w:ascii="Times New Roman"/>
                <w:sz w:val="18"/>
              </w:rPr>
              <w:t>&amp;</w:t>
            </w:r>
            <w:r>
              <w:rPr>
                <w:rFonts w:ascii="Times New Roman"/>
                <w:spacing w:val="-27"/>
                <w:sz w:val="18"/>
              </w:rPr>
              <w:t> </w:t>
            </w:r>
            <w:r>
              <w:rPr>
                <w:rFonts w:ascii="Times New Roman"/>
                <w:spacing w:val="-27"/>
                <w:sz w:val="18"/>
              </w:rPr>
            </w:r>
            <w:r>
              <w:rPr>
                <w:rFonts w:ascii="Times New Roman"/>
                <w:spacing w:val="-3"/>
                <w:sz w:val="18"/>
              </w:rPr>
              <w:t>TECHNOLOGY</w:t>
            </w:r>
          </w:p>
          <w:p>
            <w:pPr>
              <w:pStyle w:val="TableParagraph"/>
              <w:spacing w:line="21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Co.Ltd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版权侵权纠</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sz w:val="18"/>
                <w:szCs w:val="18"/>
              </w:rPr>
              <w:t>纷一案。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43,413.73</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05" w:right="123"/>
              <w:jc w:val="left"/>
              <w:rPr>
                <w:rFonts w:ascii="宋体" w:hAnsi="宋体" w:cs="宋体" w:eastAsia="宋体" w:hint="default"/>
                <w:sz w:val="18"/>
                <w:szCs w:val="18"/>
              </w:rPr>
            </w:pPr>
            <w:r>
              <w:rPr>
                <w:rFonts w:ascii="宋体" w:hAnsi="宋体" w:cs="宋体" w:eastAsia="宋体" w:hint="default"/>
                <w:spacing w:val="-2"/>
                <w:sz w:val="18"/>
                <w:szCs w:val="18"/>
              </w:rPr>
              <w:t>本案尚处于调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查阶段，尚未</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开庭审理，本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公司已寻求在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美律师的帮</w:t>
            </w:r>
            <w:r>
              <w:rPr>
                <w:rFonts w:ascii="宋体" w:hAnsi="宋体" w:cs="宋体" w:eastAsia="宋体" w:hint="default"/>
                <w:w w:val="101"/>
                <w:sz w:val="18"/>
                <w:szCs w:val="18"/>
              </w:rPr>
              <w:t> </w:t>
            </w:r>
            <w:r>
              <w:rPr>
                <w:rFonts w:ascii="宋体" w:hAnsi="宋体" w:cs="宋体" w:eastAsia="宋体" w:hint="default"/>
                <w:spacing w:val="-2"/>
                <w:sz w:val="18"/>
                <w:szCs w:val="18"/>
              </w:rPr>
              <w:t>助，积极应诉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并陈述案件相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关事实，请求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管辖法院做出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公平、合理的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判决。</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2" w:lineRule="auto"/>
              <w:ind w:left="105" w:right="262"/>
              <w:jc w:val="left"/>
              <w:rPr>
                <w:rFonts w:ascii="宋体" w:hAnsi="宋体" w:cs="宋体" w:eastAsia="宋体" w:hint="default"/>
                <w:sz w:val="18"/>
                <w:szCs w:val="18"/>
              </w:rPr>
            </w:pPr>
            <w:r>
              <w:rPr>
                <w:rFonts w:ascii="宋体" w:hAnsi="宋体" w:cs="宋体" w:eastAsia="宋体" w:hint="default"/>
                <w:spacing w:val="-3"/>
                <w:sz w:val="18"/>
                <w:szCs w:val="18"/>
              </w:rPr>
              <w:t>详见刊登于巨潮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资讯网</w:t>
            </w:r>
          </w:p>
          <w:p>
            <w:pPr>
              <w:pStyle w:val="TableParagraph"/>
              <w:spacing w:line="240" w:lineRule="auto" w:before="23"/>
              <w:ind w:left="105"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hyperlink r:id="rId17">
              <w:r>
                <w:rPr>
                  <w:rFonts w:ascii="Times New Roman" w:hAnsi="Times New Roman" w:cs="Times New Roman" w:eastAsia="Times New Roman" w:hint="default"/>
                  <w:spacing w:val="-3"/>
                  <w:sz w:val="18"/>
                  <w:szCs w:val="18"/>
                </w:rPr>
                <w:t>www.chinfo.com</w:t>
              </w:r>
            </w:hyperlink>
          </w:p>
          <w:p>
            <w:pPr>
              <w:pStyle w:val="TableParagraph"/>
              <w:spacing w:line="314" w:lineRule="auto" w:before="63"/>
              <w:ind w:left="105" w:right="3"/>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.cn</w:t>
            </w:r>
            <w:r>
              <w:rPr>
                <w:rFonts w:ascii="宋体" w:hAnsi="宋体" w:cs="宋体" w:eastAsia="宋体" w:hint="default"/>
                <w:spacing w:val="-7"/>
                <w:sz w:val="18"/>
                <w:szCs w:val="18"/>
              </w:rPr>
              <w:t>）、《中国证券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4"/>
                <w:sz w:val="18"/>
                <w:szCs w:val="18"/>
              </w:rPr>
              <w:t>报》和《证券时报》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的《关于全资孙公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司重大诉讼事项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的公告》（公告编</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2019-042</w:t>
            </w:r>
            <w:r>
              <w:rPr>
                <w:rFonts w:ascii="宋体" w:hAnsi="宋体" w:cs="宋体" w:eastAsia="宋体" w:hint="default"/>
                <w:sz w:val="18"/>
                <w:szCs w:val="18"/>
              </w:rPr>
              <w:t>）</w:t>
            </w:r>
          </w:p>
        </w:tc>
      </w:tr>
    </w:tbl>
    <w:p>
      <w:pPr>
        <w:spacing w:line="240" w:lineRule="auto" w:before="9"/>
        <w:rPr>
          <w:rFonts w:ascii="宋体" w:hAnsi="宋体" w:cs="宋体" w:eastAsia="宋体" w:hint="default"/>
          <w:sz w:val="17"/>
          <w:szCs w:val="17"/>
        </w:rPr>
      </w:pPr>
    </w:p>
    <w:p>
      <w:pPr>
        <w:pStyle w:val="Heading2"/>
        <w:spacing w:line="240" w:lineRule="auto" w:before="26"/>
        <w:ind w:left="313" w:right="5579"/>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left="313"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公司报告期不存在处罚及整改情况。</w:t>
      </w:r>
    </w:p>
    <w:p>
      <w:pPr>
        <w:spacing w:line="240" w:lineRule="auto" w:before="4"/>
        <w:rPr>
          <w:rFonts w:ascii="宋体" w:hAnsi="宋体" w:cs="宋体" w:eastAsia="宋体" w:hint="default"/>
          <w:sz w:val="18"/>
          <w:szCs w:val="18"/>
        </w:rPr>
      </w:pPr>
    </w:p>
    <w:p>
      <w:pPr>
        <w:pStyle w:val="Heading2"/>
        <w:spacing w:line="240" w:lineRule="auto"/>
        <w:ind w:left="313" w:right="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left="313" w:right="557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914" w:footer="1022" w:top="1120" w:bottom="1220" w:left="820" w:right="0"/>
        </w:sectPr>
      </w:pPr>
    </w:p>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0" w:lineRule="auto" w:before="97"/>
        <w:ind w:left="153" w:right="1069" w:firstLine="422"/>
        <w:jc w:val="right"/>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28</w:t>
      </w:r>
      <w:r>
        <w:rPr>
          <w:spacing w:val="-4"/>
        </w:rPr>
        <w:t>日公司第六届董事会第七次会议和第六届监事会第五次会议审议通过《关于注销</w:t>
      </w:r>
      <w:r>
        <w:rPr>
          <w:rFonts w:ascii="Times New Roman" w:hAnsi="Times New Roman" w:cs="Times New Roman" w:eastAsia="Times New Roman" w:hint="default"/>
          <w:spacing w:val="-4"/>
        </w:rPr>
        <w:t>2018</w:t>
      </w:r>
      <w:r>
        <w:rPr>
          <w:spacing w:val="-4"/>
        </w:rPr>
        <w:t>年部分股票期权的议</w:t>
      </w:r>
      <w:r>
        <w:rPr>
          <w:w w:val="101"/>
        </w:rPr>
        <w:t> </w:t>
      </w:r>
      <w:r>
        <w:rPr>
          <w:spacing w:val="-4"/>
        </w:rPr>
        <w:t>案》，由于公司</w:t>
      </w:r>
      <w:r>
        <w:rPr>
          <w:rFonts w:ascii="Times New Roman" w:hAnsi="Times New Roman" w:cs="Times New Roman" w:eastAsia="Times New Roman" w:hint="default"/>
          <w:spacing w:val="-4"/>
        </w:rPr>
        <w:t>2018</w:t>
      </w:r>
      <w:r>
        <w:rPr>
          <w:spacing w:val="-4"/>
        </w:rPr>
        <w:t>年股票期权激励计划</w:t>
      </w:r>
      <w:r>
        <w:rPr>
          <w:rFonts w:ascii="Times New Roman" w:hAnsi="Times New Roman" w:cs="Times New Roman" w:eastAsia="Times New Roman" w:hint="default"/>
          <w:spacing w:val="-4"/>
        </w:rPr>
        <w:t>19</w:t>
      </w:r>
      <w:r>
        <w:rPr>
          <w:spacing w:val="-4"/>
        </w:rPr>
        <w:t>名激励对象因离职已不符合激励条件，公司决定对其已获授但尚未行权的全部股</w:t>
      </w:r>
      <w:r>
        <w:rPr>
          <w:spacing w:val="-17"/>
        </w:rPr>
        <w:t> </w:t>
      </w:r>
      <w:r>
        <w:rPr>
          <w:spacing w:val="-17"/>
        </w:rPr>
      </w:r>
      <w:r>
        <w:rPr>
          <w:spacing w:val="-3"/>
        </w:rPr>
        <w:t>票期权进行注销。注销后，</w:t>
      </w:r>
      <w:r>
        <w:rPr>
          <w:rFonts w:ascii="Times New Roman" w:hAnsi="Times New Roman" w:cs="Times New Roman" w:eastAsia="Times New Roman" w:hint="default"/>
          <w:spacing w:val="-3"/>
        </w:rPr>
        <w:t>2018</w:t>
      </w:r>
      <w:r>
        <w:rPr>
          <w:spacing w:val="-3"/>
        </w:rPr>
        <w:t>年股票期权激励计划授予对象人数由</w:t>
      </w:r>
      <w:r>
        <w:rPr>
          <w:rFonts w:ascii="Times New Roman" w:hAnsi="Times New Roman" w:cs="Times New Roman" w:eastAsia="Times New Roman" w:hint="default"/>
          <w:spacing w:val="-3"/>
        </w:rPr>
        <w:t>106</w:t>
      </w:r>
      <w:r>
        <w:rPr>
          <w:spacing w:val="-3"/>
        </w:rPr>
        <w:t>人调整为</w:t>
      </w:r>
      <w:r>
        <w:rPr>
          <w:rFonts w:ascii="Times New Roman" w:hAnsi="Times New Roman" w:cs="Times New Roman" w:eastAsia="Times New Roman" w:hint="default"/>
          <w:spacing w:val="-3"/>
        </w:rPr>
        <w:t>87</w:t>
      </w:r>
      <w:r>
        <w:rPr>
          <w:spacing w:val="-3"/>
        </w:rPr>
        <w:t>人，授予股票期权由</w:t>
      </w:r>
      <w:r>
        <w:rPr>
          <w:rFonts w:ascii="Times New Roman" w:hAnsi="Times New Roman" w:cs="Times New Roman" w:eastAsia="Times New Roman" w:hint="default"/>
          <w:spacing w:val="-3"/>
        </w:rPr>
        <w:t>360</w:t>
      </w:r>
      <w:r>
        <w:rPr>
          <w:spacing w:val="-3"/>
        </w:rPr>
        <w:t>万份调整为</w:t>
      </w:r>
      <w:r>
        <w:rPr>
          <w:rFonts w:ascii="Times New Roman" w:hAnsi="Times New Roman" w:cs="Times New Roman" w:eastAsia="Times New Roman" w:hint="default"/>
          <w:spacing w:val="-3"/>
        </w:rPr>
        <w:t>303</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spacing w:val="-7"/>
          <w:w w:val="101"/>
        </w:rPr>
        <w:t>万份，具体内容详见</w:t>
      </w:r>
      <w:r>
        <w:rPr>
          <w:rFonts w:ascii="Times New Roman" w:hAnsi="Times New Roman" w:cs="Times New Roman" w:eastAsia="Times New Roman" w:hint="default"/>
          <w:spacing w:val="-7"/>
          <w:w w:val="101"/>
        </w:rPr>
        <w:t>2019</w:t>
      </w:r>
      <w:r>
        <w:rPr>
          <w:spacing w:val="-7"/>
          <w:w w:val="101"/>
        </w:rPr>
        <w:t>年</w:t>
      </w:r>
      <w:r>
        <w:rPr>
          <w:rFonts w:ascii="Times New Roman" w:hAnsi="Times New Roman" w:cs="Times New Roman" w:eastAsia="Times New Roman" w:hint="default"/>
          <w:spacing w:val="-7"/>
          <w:w w:val="101"/>
        </w:rPr>
        <w:t>3</w:t>
      </w:r>
      <w:r>
        <w:rPr>
          <w:spacing w:val="-7"/>
          <w:w w:val="101"/>
        </w:rPr>
        <w:t>月</w:t>
      </w:r>
      <w:r>
        <w:rPr>
          <w:rFonts w:ascii="Times New Roman" w:hAnsi="Times New Roman" w:cs="Times New Roman" w:eastAsia="Times New Roman" w:hint="default"/>
          <w:spacing w:val="-7"/>
          <w:w w:val="101"/>
        </w:rPr>
        <w:t>30</w:t>
      </w:r>
      <w:r>
        <w:rPr>
          <w:spacing w:val="-7"/>
          <w:w w:val="101"/>
        </w:rPr>
        <w:t>日刊登于巨潮资讯网上的《关于注销</w:t>
      </w:r>
      <w:r>
        <w:rPr>
          <w:rFonts w:ascii="Times New Roman" w:hAnsi="Times New Roman" w:cs="Times New Roman" w:eastAsia="Times New Roman" w:hint="default"/>
          <w:spacing w:val="-7"/>
          <w:w w:val="101"/>
        </w:rPr>
        <w:t>2018</w:t>
      </w:r>
      <w:r>
        <w:rPr>
          <w:spacing w:val="-7"/>
          <w:w w:val="101"/>
        </w:rPr>
        <w:t>年部分股票期权的公告》（公告编号：</w:t>
      </w:r>
      <w:r>
        <w:rPr>
          <w:rFonts w:ascii="Times New Roman" w:hAnsi="Times New Roman" w:cs="Times New Roman" w:eastAsia="Times New Roman" w:hint="default"/>
          <w:spacing w:val="-7"/>
          <w:w w:val="101"/>
        </w:rPr>
        <w:t>2019-019</w:t>
      </w:r>
      <w:r>
        <w:rPr>
          <w:spacing w:val="-7"/>
          <w:w w:val="101"/>
        </w:rPr>
        <w:t>）。</w:t>
      </w:r>
      <w:r>
        <w:rPr/>
      </w:r>
    </w:p>
    <w:p>
      <w:pPr>
        <w:pStyle w:val="BodyText"/>
        <w:spacing w:line="300" w:lineRule="auto" w:before="56"/>
        <w:ind w:left="153" w:right="1117" w:firstLine="422"/>
        <w:jc w:val="both"/>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28</w:t>
      </w:r>
      <w:r>
        <w:rPr>
          <w:spacing w:val="-4"/>
        </w:rPr>
        <w:t>日公司第六届董事会第七次会议和第六届监事会第五次会议审议通过《关于</w:t>
      </w:r>
      <w:r>
        <w:rPr>
          <w:rFonts w:ascii="Times New Roman" w:hAnsi="Times New Roman" w:cs="Times New Roman" w:eastAsia="Times New Roman" w:hint="default"/>
          <w:spacing w:val="-4"/>
        </w:rPr>
        <w:t>2018</w:t>
      </w:r>
      <w:r>
        <w:rPr>
          <w:spacing w:val="-4"/>
        </w:rPr>
        <w:t>年股票期权激励计划第一</w:t>
      </w:r>
      <w:r>
        <w:rPr>
          <w:w w:val="101"/>
        </w:rPr>
        <w:t> </w:t>
      </w:r>
      <w:r>
        <w:rPr>
          <w:spacing w:val="-1"/>
        </w:rPr>
        <w:t>个行权期行权条件成就的议案》，</w:t>
      </w:r>
      <w:r>
        <w:rPr>
          <w:rFonts w:ascii="Times New Roman" w:hAnsi="Times New Roman" w:cs="Times New Roman" w:eastAsia="Times New Roman" w:hint="default"/>
          <w:spacing w:val="-1"/>
        </w:rPr>
        <w:t>2018</w:t>
      </w:r>
      <w:r>
        <w:rPr>
          <w:spacing w:val="-1"/>
        </w:rPr>
        <w:t>年股票期权激励计划第一个行权期行权条件已经满足，本次可行权的激励对象为</w:t>
      </w:r>
      <w:r>
        <w:rPr>
          <w:rFonts w:ascii="Times New Roman" w:hAnsi="Times New Roman" w:cs="Times New Roman" w:eastAsia="Times New Roman" w:hint="default"/>
          <w:spacing w:val="-1"/>
        </w:rPr>
        <w:t>87</w:t>
      </w:r>
      <w:r>
        <w:rPr>
          <w:rFonts w:ascii="Times New Roman" w:hAnsi="Times New Roman" w:cs="Times New Roman" w:eastAsia="Times New Roman" w:hint="default"/>
          <w:spacing w:val="25"/>
        </w:rPr>
        <w:t> </w:t>
      </w:r>
      <w:r>
        <w:rPr>
          <w:spacing w:val="-2"/>
        </w:rPr>
        <w:t>人，可行权股票期权为</w:t>
      </w:r>
      <w:r>
        <w:rPr>
          <w:rFonts w:ascii="Times New Roman" w:hAnsi="Times New Roman" w:cs="Times New Roman" w:eastAsia="Times New Roman" w:hint="default"/>
          <w:spacing w:val="-2"/>
        </w:rPr>
        <w:t>151.5</w:t>
      </w:r>
      <w:r>
        <w:rPr>
          <w:spacing w:val="-2"/>
        </w:rPr>
        <w:t>万份，第一个行权期可行权股票期权的行权价格为</w:t>
      </w:r>
      <w:r>
        <w:rPr>
          <w:rFonts w:ascii="Times New Roman" w:hAnsi="Times New Roman" w:cs="Times New Roman" w:eastAsia="Times New Roman" w:hint="default"/>
          <w:spacing w:val="-2"/>
        </w:rPr>
        <w:t>7.65</w:t>
      </w:r>
      <w:r>
        <w:rPr>
          <w:spacing w:val="-2"/>
        </w:rPr>
        <w:t>元</w:t>
      </w:r>
      <w:r>
        <w:rPr>
          <w:rFonts w:ascii="Times New Roman" w:hAnsi="Times New Roman" w:cs="Times New Roman" w:eastAsia="Times New Roman" w:hint="default"/>
          <w:spacing w:val="-2"/>
        </w:rPr>
        <w:t>/</w:t>
      </w:r>
      <w:r>
        <w:rPr>
          <w:spacing w:val="-2"/>
        </w:rPr>
        <w:t>股，第一个可行权期限自中国证券登</w:t>
      </w:r>
      <w:r>
        <w:rPr>
          <w:spacing w:val="71"/>
        </w:rPr>
        <w:t> </w:t>
      </w:r>
      <w:r>
        <w:rPr>
          <w:spacing w:val="71"/>
        </w:rPr>
      </w:r>
      <w:r>
        <w:rPr>
          <w:spacing w:val="-4"/>
        </w:rPr>
        <w:t>记结算有限责任公司深圳分公司的手续办理完成至</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13</w:t>
      </w:r>
      <w:r>
        <w:rPr>
          <w:spacing w:val="-4"/>
        </w:rPr>
        <w:t>日，具体内容详见</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30</w:t>
      </w:r>
      <w:r>
        <w:rPr>
          <w:spacing w:val="-4"/>
        </w:rPr>
        <w:t>日刊登于巨潮资讯网上的《关</w:t>
      </w:r>
      <w:r>
        <w:rPr>
          <w:spacing w:val="64"/>
        </w:rPr>
        <w:t> </w:t>
      </w:r>
      <w:r>
        <w:rPr>
          <w:spacing w:val="64"/>
        </w:rPr>
      </w:r>
      <w:r>
        <w:rPr>
          <w:spacing w:val="-3"/>
        </w:rPr>
        <w:t>于</w:t>
      </w:r>
      <w:r>
        <w:rPr>
          <w:rFonts w:ascii="Times New Roman" w:hAnsi="Times New Roman" w:cs="Times New Roman" w:eastAsia="Times New Roman" w:hint="default"/>
          <w:spacing w:val="-3"/>
        </w:rPr>
        <w:t>2018</w:t>
      </w:r>
      <w:r>
        <w:rPr>
          <w:spacing w:val="-3"/>
        </w:rPr>
        <w:t>年股票期权激励计划第一个行权期行权条件成就的公告》（公告编号：</w:t>
      </w:r>
      <w:r>
        <w:rPr>
          <w:rFonts w:ascii="Times New Roman" w:hAnsi="Times New Roman" w:cs="Times New Roman" w:eastAsia="Times New Roman" w:hint="default"/>
          <w:spacing w:val="-3"/>
        </w:rPr>
        <w:t>2019-021</w:t>
      </w:r>
      <w:r>
        <w:rPr>
          <w:spacing w:val="-3"/>
        </w:rPr>
        <w:t>）。</w:t>
      </w:r>
      <w:r>
        <w:rPr/>
      </w:r>
    </w:p>
    <w:p>
      <w:pPr>
        <w:pStyle w:val="BodyText"/>
        <w:spacing w:line="302" w:lineRule="auto" w:before="51"/>
        <w:ind w:left="153" w:right="1117" w:firstLine="422"/>
        <w:jc w:val="both"/>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28</w:t>
      </w:r>
      <w:r>
        <w:rPr>
          <w:spacing w:val="-4"/>
        </w:rPr>
        <w:t>日公司第六届董事会第七次会议和第六届监事会第五次会议审议通过《关于</w:t>
      </w:r>
      <w:r>
        <w:rPr>
          <w:rFonts w:ascii="Times New Roman" w:hAnsi="Times New Roman" w:cs="Times New Roman" w:eastAsia="Times New Roman" w:hint="default"/>
          <w:spacing w:val="-4"/>
        </w:rPr>
        <w:t>2017</w:t>
      </w:r>
      <w:r>
        <w:rPr>
          <w:spacing w:val="-4"/>
        </w:rPr>
        <w:t>年限制性股票激励计划第</w:t>
      </w:r>
      <w:r>
        <w:rPr>
          <w:w w:val="101"/>
        </w:rPr>
        <w:t> </w:t>
      </w:r>
      <w:r>
        <w:rPr>
          <w:spacing w:val="-4"/>
        </w:rPr>
        <w:t>一个解除限售期解除限售条件成就的议案》。公司</w:t>
      </w:r>
      <w:r>
        <w:rPr>
          <w:rFonts w:ascii="Times New Roman" w:hAnsi="Times New Roman" w:cs="Times New Roman" w:eastAsia="Times New Roman" w:hint="default"/>
          <w:spacing w:val="-4"/>
        </w:rPr>
        <w:t>2017</w:t>
      </w:r>
      <w:r>
        <w:rPr>
          <w:spacing w:val="-4"/>
        </w:rPr>
        <w:t>年限制性股票激励计划第一个解除限售期解除限售条件已经满足，公</w:t>
      </w:r>
      <w:r>
        <w:rPr>
          <w:spacing w:val="51"/>
        </w:rPr>
        <w:t> </w:t>
      </w:r>
      <w:r>
        <w:rPr>
          <w:spacing w:val="51"/>
        </w:rPr>
      </w:r>
      <w:r>
        <w:rPr>
          <w:spacing w:val="-4"/>
          <w:w w:val="101"/>
        </w:rPr>
        <w:t>司共</w:t>
      </w:r>
      <w:r>
        <w:rPr>
          <w:rFonts w:ascii="Times New Roman" w:hAnsi="Times New Roman" w:cs="Times New Roman" w:eastAsia="Times New Roman" w:hint="default"/>
          <w:spacing w:val="-4"/>
          <w:w w:val="101"/>
        </w:rPr>
        <w:t>9</w:t>
      </w:r>
      <w:r>
        <w:rPr>
          <w:spacing w:val="-4"/>
          <w:w w:val="101"/>
        </w:rPr>
        <w:t>名激励对象在第一个解除限售期实际可解除限售</w:t>
      </w:r>
      <w:r>
        <w:rPr>
          <w:rFonts w:ascii="Times New Roman" w:hAnsi="Times New Roman" w:cs="Times New Roman" w:eastAsia="Times New Roman" w:hint="default"/>
          <w:spacing w:val="-4"/>
          <w:w w:val="101"/>
        </w:rPr>
        <w:t>1,900,000</w:t>
      </w:r>
      <w:r>
        <w:rPr>
          <w:spacing w:val="-4"/>
          <w:w w:val="101"/>
        </w:rPr>
        <w:t>股限制性股票，具体内容详见</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3</w:t>
      </w:r>
      <w:r>
        <w:rPr>
          <w:spacing w:val="-4"/>
          <w:w w:val="101"/>
        </w:rPr>
        <w:t>月</w:t>
      </w:r>
      <w:r>
        <w:rPr>
          <w:rFonts w:ascii="Times New Roman" w:hAnsi="Times New Roman" w:cs="Times New Roman" w:eastAsia="Times New Roman" w:hint="default"/>
          <w:spacing w:val="-4"/>
          <w:w w:val="101"/>
        </w:rPr>
        <w:t>30</w:t>
      </w:r>
      <w:r>
        <w:rPr>
          <w:spacing w:val="-4"/>
          <w:w w:val="101"/>
        </w:rPr>
        <w:t>日刊登于巨潮资讯</w:t>
      </w:r>
      <w:r>
        <w:rPr>
          <w:spacing w:val="-59"/>
          <w:w w:val="101"/>
        </w:rPr>
        <w:t> </w:t>
      </w:r>
      <w:r>
        <w:rPr>
          <w:spacing w:val="-59"/>
          <w:w w:val="101"/>
        </w:rPr>
      </w:r>
      <w:r>
        <w:rPr>
          <w:spacing w:val="-3"/>
        </w:rPr>
        <w:t>网上的《关于</w:t>
      </w:r>
      <w:r>
        <w:rPr>
          <w:rFonts w:ascii="Times New Roman" w:hAnsi="Times New Roman" w:cs="Times New Roman" w:eastAsia="Times New Roman" w:hint="default"/>
          <w:spacing w:val="-3"/>
        </w:rPr>
        <w:t>2017</w:t>
      </w:r>
      <w:r>
        <w:rPr>
          <w:spacing w:val="-3"/>
        </w:rPr>
        <w:t>年限制性股票激励计划第一个解除限售期解除限售条件成就的公告》（公告编号：</w:t>
      </w:r>
      <w:r>
        <w:rPr>
          <w:rFonts w:ascii="Times New Roman" w:hAnsi="Times New Roman" w:cs="Times New Roman" w:eastAsia="Times New Roman" w:hint="default"/>
          <w:spacing w:val="-3"/>
        </w:rPr>
        <w:t>2019-020</w:t>
      </w:r>
      <w:r>
        <w:rPr>
          <w:spacing w:val="-3"/>
        </w:rPr>
        <w:t>）。</w:t>
      </w:r>
      <w:r>
        <w:rPr/>
      </w:r>
    </w:p>
    <w:p>
      <w:pPr>
        <w:pStyle w:val="BodyText"/>
        <w:spacing w:line="300" w:lineRule="auto" w:before="44"/>
        <w:ind w:left="153" w:right="1118" w:firstLine="422"/>
        <w:jc w:val="both"/>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15</w:t>
      </w:r>
      <w:r>
        <w:rPr>
          <w:spacing w:val="-4"/>
        </w:rPr>
        <w:t>日公司第六届董事会第九次会议和第六届监事会第七次会议审议通过《关于调整股票期权激励计划股票期</w:t>
      </w:r>
      <w:r>
        <w:rPr>
          <w:w w:val="101"/>
        </w:rPr>
        <w:t> </w:t>
      </w:r>
      <w:r>
        <w:rPr>
          <w:spacing w:val="-4"/>
        </w:rPr>
        <w:t>权行权价格和数量的议案》，对</w:t>
      </w:r>
      <w:r>
        <w:rPr>
          <w:rFonts w:ascii="Times New Roman" w:hAnsi="Times New Roman" w:cs="Times New Roman" w:eastAsia="Times New Roman" w:hint="default"/>
          <w:spacing w:val="-4"/>
        </w:rPr>
        <w:t>2018</w:t>
      </w:r>
      <w:r>
        <w:rPr>
          <w:spacing w:val="-4"/>
        </w:rPr>
        <w:t>年股票期权激励计划和</w:t>
      </w:r>
      <w:r>
        <w:rPr>
          <w:rFonts w:ascii="Times New Roman" w:hAnsi="Times New Roman" w:cs="Times New Roman" w:eastAsia="Times New Roman" w:hint="default"/>
          <w:spacing w:val="-4"/>
        </w:rPr>
        <w:t>2018</w:t>
      </w:r>
      <w:r>
        <w:rPr>
          <w:spacing w:val="-4"/>
        </w:rPr>
        <w:t>年限制性股票与期权计划中的股票期权行权价格和数量进行</w:t>
      </w:r>
      <w:r>
        <w:rPr>
          <w:spacing w:val="57"/>
        </w:rPr>
        <w:t> </w:t>
      </w:r>
      <w:r>
        <w:rPr>
          <w:spacing w:val="57"/>
        </w:rPr>
      </w:r>
      <w:r>
        <w:rPr>
          <w:spacing w:val="-4"/>
        </w:rPr>
        <w:t>调整，在公司</w:t>
      </w:r>
      <w:r>
        <w:rPr>
          <w:rFonts w:ascii="Times New Roman" w:hAnsi="Times New Roman" w:cs="Times New Roman" w:eastAsia="Times New Roman" w:hint="default"/>
          <w:spacing w:val="-4"/>
        </w:rPr>
        <w:t>2018</w:t>
      </w:r>
      <w:r>
        <w:rPr>
          <w:spacing w:val="-4"/>
        </w:rPr>
        <w:t>年度权益分派完成后，公司</w:t>
      </w:r>
      <w:r>
        <w:rPr>
          <w:rFonts w:ascii="Times New Roman" w:hAnsi="Times New Roman" w:cs="Times New Roman" w:eastAsia="Times New Roman" w:hint="default"/>
          <w:spacing w:val="-4"/>
        </w:rPr>
        <w:t>2018</w:t>
      </w:r>
      <w:r>
        <w:rPr>
          <w:spacing w:val="-4"/>
        </w:rPr>
        <w:t>年股票期权激励计划股票期权的行权价格调整为</w:t>
      </w:r>
      <w:r>
        <w:rPr>
          <w:rFonts w:ascii="Times New Roman" w:hAnsi="Times New Roman" w:cs="Times New Roman" w:eastAsia="Times New Roman" w:hint="default"/>
          <w:spacing w:val="-4"/>
        </w:rPr>
        <w:t>4.44</w:t>
      </w:r>
      <w:r>
        <w:rPr>
          <w:spacing w:val="-4"/>
        </w:rPr>
        <w:t>元</w:t>
      </w:r>
      <w:r>
        <w:rPr>
          <w:rFonts w:ascii="Times New Roman" w:hAnsi="Times New Roman" w:cs="Times New Roman" w:eastAsia="Times New Roman" w:hint="default"/>
          <w:spacing w:val="-4"/>
        </w:rPr>
        <w:t>/</w:t>
      </w:r>
      <w:r>
        <w:rPr>
          <w:spacing w:val="-4"/>
        </w:rPr>
        <w:t>份，行权数量调整</w:t>
      </w:r>
      <w:r>
        <w:rPr>
          <w:spacing w:val="60"/>
        </w:rPr>
        <w:t> </w:t>
      </w:r>
      <w:r>
        <w:rPr>
          <w:spacing w:val="60"/>
        </w:rPr>
      </w:r>
      <w:r>
        <w:rPr>
          <w:spacing w:val="-2"/>
        </w:rPr>
        <w:t>为</w:t>
      </w:r>
      <w:r>
        <w:rPr>
          <w:rFonts w:ascii="Times New Roman" w:hAnsi="Times New Roman" w:cs="Times New Roman" w:eastAsia="Times New Roman" w:hint="default"/>
          <w:spacing w:val="-2"/>
        </w:rPr>
        <w:t>3,435,706</w:t>
      </w:r>
      <w:r>
        <w:rPr>
          <w:spacing w:val="-2"/>
        </w:rPr>
        <w:t>份；</w:t>
      </w:r>
      <w:r>
        <w:rPr>
          <w:rFonts w:ascii="Times New Roman" w:hAnsi="Times New Roman" w:cs="Times New Roman" w:eastAsia="Times New Roman" w:hint="default"/>
          <w:spacing w:val="-2"/>
        </w:rPr>
        <w:t>2018</w:t>
      </w:r>
      <w:r>
        <w:rPr>
          <w:spacing w:val="-2"/>
        </w:rPr>
        <w:t>年限制性股票与股票期权激励计划中股票期权的行权价格调整为</w:t>
      </w:r>
      <w:r>
        <w:rPr>
          <w:rFonts w:ascii="Times New Roman" w:hAnsi="Times New Roman" w:cs="Times New Roman" w:eastAsia="Times New Roman" w:hint="default"/>
          <w:spacing w:val="-2"/>
        </w:rPr>
        <w:t>2.94</w:t>
      </w:r>
      <w:r>
        <w:rPr>
          <w:spacing w:val="-2"/>
        </w:rPr>
        <w:t>元</w:t>
      </w:r>
      <w:r>
        <w:rPr>
          <w:rFonts w:ascii="Times New Roman" w:hAnsi="Times New Roman" w:cs="Times New Roman" w:eastAsia="Times New Roman" w:hint="default"/>
          <w:spacing w:val="-2"/>
        </w:rPr>
        <w:t>/</w:t>
      </w:r>
      <w:r>
        <w:rPr>
          <w:spacing w:val="-2"/>
        </w:rPr>
        <w:t>份，行权数量调整为</w:t>
      </w:r>
      <w:r>
        <w:rPr>
          <w:rFonts w:ascii="Times New Roman" w:hAnsi="Times New Roman" w:cs="Times New Roman" w:eastAsia="Times New Roman" w:hint="default"/>
          <w:spacing w:val="-2"/>
        </w:rPr>
        <w:t>13,804,000</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6"/>
          <w:w w:val="101"/>
        </w:rPr>
        <w:t>份，具体内容详见</w:t>
      </w:r>
      <w:r>
        <w:rPr>
          <w:rFonts w:ascii="Times New Roman" w:hAnsi="Times New Roman" w:cs="Times New Roman" w:eastAsia="Times New Roman" w:hint="default"/>
          <w:spacing w:val="-6"/>
          <w:w w:val="101"/>
        </w:rPr>
        <w:t>2019</w:t>
      </w:r>
      <w:r>
        <w:rPr>
          <w:spacing w:val="-6"/>
          <w:w w:val="101"/>
        </w:rPr>
        <w:t>年</w:t>
      </w:r>
      <w:r>
        <w:rPr>
          <w:rFonts w:ascii="Times New Roman" w:hAnsi="Times New Roman" w:cs="Times New Roman" w:eastAsia="Times New Roman" w:hint="default"/>
          <w:spacing w:val="-6"/>
          <w:w w:val="101"/>
        </w:rPr>
        <w:t>5</w:t>
      </w:r>
      <w:r>
        <w:rPr>
          <w:spacing w:val="-6"/>
          <w:w w:val="101"/>
        </w:rPr>
        <w:t>月</w:t>
      </w:r>
      <w:r>
        <w:rPr>
          <w:rFonts w:ascii="Times New Roman" w:hAnsi="Times New Roman" w:cs="Times New Roman" w:eastAsia="Times New Roman" w:hint="default"/>
          <w:spacing w:val="-6"/>
          <w:w w:val="101"/>
        </w:rPr>
        <w:t>16</w:t>
      </w:r>
      <w:r>
        <w:rPr>
          <w:spacing w:val="-6"/>
          <w:w w:val="101"/>
        </w:rPr>
        <w:t>日刊登于巨潮资讯网上的《关于调整股票期权激励计划股票期权行权价格和数量的公告》（公</w:t>
      </w:r>
      <w:r>
        <w:rPr>
          <w:spacing w:val="-53"/>
          <w:w w:val="101"/>
        </w:rPr>
        <w:t> </w:t>
      </w:r>
      <w:r>
        <w:rPr>
          <w:spacing w:val="-53"/>
          <w:w w:val="101"/>
        </w:rPr>
      </w:r>
      <w:r>
        <w:rPr/>
        <w:t>告编号：</w:t>
      </w:r>
      <w:r>
        <w:rPr>
          <w:rFonts w:ascii="Times New Roman" w:hAnsi="Times New Roman" w:cs="Times New Roman" w:eastAsia="Times New Roman" w:hint="default"/>
        </w:rPr>
        <w:t>2019-045</w:t>
      </w:r>
      <w:r>
        <w:rPr/>
        <w:t>）。</w:t>
      </w:r>
    </w:p>
    <w:p>
      <w:pPr>
        <w:pStyle w:val="BodyText"/>
        <w:spacing w:line="300" w:lineRule="auto" w:before="13"/>
        <w:ind w:left="153" w:right="1123" w:firstLine="422"/>
        <w:jc w:val="both"/>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31</w:t>
      </w:r>
      <w:r>
        <w:rPr>
          <w:spacing w:val="-4"/>
        </w:rPr>
        <w:t>日，</w:t>
      </w:r>
      <w:r>
        <w:rPr>
          <w:rFonts w:ascii="Times New Roman" w:hAnsi="Times New Roman" w:cs="Times New Roman" w:eastAsia="Times New Roman" w:hint="default"/>
          <w:spacing w:val="-4"/>
        </w:rPr>
        <w:t>2017</w:t>
      </w:r>
      <w:r>
        <w:rPr>
          <w:spacing w:val="-4"/>
        </w:rPr>
        <w:t>年限制性股票激励计划第一个解除限售期解除限售股份上市流通，此次符合解锁条件的激励对象</w:t>
      </w:r>
      <w:r>
        <w:rPr>
          <w:w w:val="101"/>
        </w:rPr>
        <w:t> </w:t>
      </w:r>
      <w:r>
        <w:rPr>
          <w:spacing w:val="-3"/>
        </w:rPr>
        <w:t>共计</w:t>
      </w:r>
      <w:r>
        <w:rPr>
          <w:rFonts w:ascii="Times New Roman" w:hAnsi="Times New Roman" w:cs="Times New Roman" w:eastAsia="Times New Roman" w:hint="default"/>
          <w:spacing w:val="-3"/>
        </w:rPr>
        <w:t>9</w:t>
      </w:r>
      <w:r>
        <w:rPr>
          <w:spacing w:val="-3"/>
        </w:rPr>
        <w:t>名，此次限制性股票解除限售数量为</w:t>
      </w:r>
      <w:r>
        <w:rPr>
          <w:rFonts w:ascii="Times New Roman" w:hAnsi="Times New Roman" w:cs="Times New Roman" w:eastAsia="Times New Roman" w:hint="default"/>
          <w:spacing w:val="-3"/>
        </w:rPr>
        <w:t>323</w:t>
      </w:r>
      <w:r>
        <w:rPr>
          <w:spacing w:val="-3"/>
        </w:rPr>
        <w:t>万股。具体内容详见</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29</w:t>
      </w:r>
      <w:r>
        <w:rPr>
          <w:spacing w:val="-3"/>
        </w:rPr>
        <w:t>日刊登于巨潮资讯网上的《关于</w:t>
      </w:r>
      <w:r>
        <w:rPr>
          <w:rFonts w:ascii="Times New Roman" w:hAnsi="Times New Roman" w:cs="Times New Roman" w:eastAsia="Times New Roman" w:hint="default"/>
          <w:spacing w:val="-3"/>
        </w:rPr>
        <w:t>2017</w:t>
      </w:r>
      <w:r>
        <w:rPr>
          <w:spacing w:val="-3"/>
        </w:rPr>
        <w:t>年限制</w:t>
      </w:r>
      <w:r>
        <w:rPr>
          <w:spacing w:val="4"/>
        </w:rPr>
        <w:t> </w:t>
      </w:r>
      <w:r>
        <w:rPr>
          <w:spacing w:val="4"/>
        </w:rPr>
      </w:r>
      <w:r>
        <w:rPr>
          <w:spacing w:val="-3"/>
        </w:rPr>
        <w:t>性股票激励计划第一个解除限售期解除限售股份上市流通的提示性公告》（公告编号：</w:t>
      </w:r>
      <w:r>
        <w:rPr>
          <w:rFonts w:ascii="Times New Roman" w:hAnsi="Times New Roman" w:cs="Times New Roman" w:eastAsia="Times New Roman" w:hint="default"/>
          <w:spacing w:val="-3"/>
        </w:rPr>
        <w:t>2019-048</w:t>
      </w:r>
      <w:r>
        <w:rPr>
          <w:spacing w:val="-3"/>
        </w:rPr>
        <w:t>）。</w:t>
      </w:r>
      <w:r>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Heading2"/>
        <w:spacing w:line="240" w:lineRule="auto"/>
        <w:ind w:right="0"/>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53" w:right="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left="153"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公司报告期未发生与日常经营相关的关联交易。</w:t>
      </w:r>
    </w:p>
    <w:p>
      <w:pPr>
        <w:spacing w:line="240" w:lineRule="auto" w:before="0"/>
        <w:rPr>
          <w:rFonts w:ascii="宋体" w:hAnsi="宋体" w:cs="宋体" w:eastAsia="宋体" w:hint="default"/>
          <w:sz w:val="21"/>
          <w:szCs w:val="21"/>
        </w:rPr>
      </w:pPr>
    </w:p>
    <w:p>
      <w:pPr>
        <w:pStyle w:val="Heading4"/>
        <w:spacing w:line="240" w:lineRule="auto"/>
        <w:ind w:left="153" w:right="0"/>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left="153" w:right="565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公司报告期未发生资产或股权收购、出售的关联交易。</w:t>
      </w:r>
    </w:p>
    <w:p>
      <w:pPr>
        <w:spacing w:line="240" w:lineRule="auto" w:before="8"/>
        <w:rPr>
          <w:rFonts w:ascii="宋体" w:hAnsi="宋体" w:cs="宋体" w:eastAsia="宋体" w:hint="default"/>
          <w:sz w:val="20"/>
          <w:szCs w:val="20"/>
        </w:rPr>
      </w:pPr>
    </w:p>
    <w:p>
      <w:pPr>
        <w:pStyle w:val="Heading4"/>
        <w:spacing w:line="240" w:lineRule="auto"/>
        <w:ind w:left="153" w:right="0"/>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left="153"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公司报告期未发生共同对外投资的关联交易。</w:t>
      </w:r>
    </w:p>
    <w:p>
      <w:pPr>
        <w:spacing w:after="0" w:line="343" w:lineRule="auto"/>
        <w:jc w:val="left"/>
        <w:sectPr>
          <w:pgSz w:w="11910" w:h="16840"/>
          <w:pgMar w:header="914" w:footer="1022" w:top="1120" w:bottom="1220" w:left="980" w:right="0"/>
        </w:sectPr>
      </w:pPr>
    </w:p>
    <w:p>
      <w:pPr>
        <w:spacing w:line="240" w:lineRule="auto" w:before="3"/>
        <w:rPr>
          <w:rFonts w:ascii="宋体" w:hAnsi="宋体" w:cs="宋体" w:eastAsia="宋体" w:hint="default"/>
          <w:sz w:val="19"/>
          <w:szCs w:val="19"/>
        </w:rPr>
      </w:pPr>
    </w:p>
    <w:p>
      <w:pPr>
        <w:pStyle w:val="Heading4"/>
        <w:spacing w:line="240" w:lineRule="auto" w:before="36"/>
        <w:ind w:left="153" w:right="0"/>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left="153"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公司报告期不存在关联债权债务往来。</w:t>
      </w:r>
    </w:p>
    <w:p>
      <w:pPr>
        <w:spacing w:line="240" w:lineRule="auto" w:before="8"/>
        <w:rPr>
          <w:rFonts w:ascii="宋体" w:hAnsi="宋体" w:cs="宋体" w:eastAsia="宋体" w:hint="default"/>
          <w:sz w:val="20"/>
          <w:szCs w:val="20"/>
        </w:rPr>
      </w:pPr>
    </w:p>
    <w:p>
      <w:pPr>
        <w:pStyle w:val="Heading4"/>
        <w:spacing w:line="240" w:lineRule="auto"/>
        <w:ind w:left="153" w:right="0"/>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left="153"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公司报告期无其他重大关联交易。</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left="153" w:right="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left="153"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公司报告期不存在托管情况。</w:t>
      </w:r>
    </w:p>
    <w:p>
      <w:pPr>
        <w:spacing w:line="240" w:lineRule="auto" w:before="9"/>
        <w:rPr>
          <w:rFonts w:ascii="宋体" w:hAnsi="宋体" w:cs="宋体" w:eastAsia="宋体" w:hint="default"/>
          <w:sz w:val="20"/>
          <w:szCs w:val="20"/>
        </w:rPr>
      </w:pPr>
    </w:p>
    <w:p>
      <w:pPr>
        <w:pStyle w:val="Heading4"/>
        <w:spacing w:line="240" w:lineRule="auto"/>
        <w:ind w:left="153" w:right="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left="153"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公司报告期不存在承包情况。</w:t>
      </w:r>
    </w:p>
    <w:p>
      <w:pPr>
        <w:spacing w:line="240" w:lineRule="auto" w:before="0"/>
        <w:rPr>
          <w:rFonts w:ascii="宋体" w:hAnsi="宋体" w:cs="宋体" w:eastAsia="宋体" w:hint="default"/>
          <w:sz w:val="21"/>
          <w:szCs w:val="21"/>
        </w:rPr>
      </w:pPr>
    </w:p>
    <w:p>
      <w:pPr>
        <w:pStyle w:val="Heading4"/>
        <w:spacing w:line="240" w:lineRule="auto"/>
        <w:ind w:left="153"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left="153"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公司报告期不存在租赁情况。</w:t>
      </w:r>
    </w:p>
    <w:p>
      <w:pPr>
        <w:spacing w:line="240" w:lineRule="auto" w:before="8"/>
        <w:rPr>
          <w:rFonts w:ascii="宋体" w:hAnsi="宋体" w:cs="宋体" w:eastAsia="宋体" w:hint="default"/>
          <w:sz w:val="20"/>
          <w:szCs w:val="20"/>
        </w:rPr>
      </w:pPr>
    </w:p>
    <w:p>
      <w:pPr>
        <w:pStyle w:val="Heading4"/>
        <w:spacing w:line="240" w:lineRule="auto"/>
        <w:ind w:left="153"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left="153"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公司报告期不存在担保情况。</w:t>
      </w:r>
    </w:p>
    <w:p>
      <w:pPr>
        <w:spacing w:line="240" w:lineRule="auto" w:before="5"/>
        <w:rPr>
          <w:rFonts w:ascii="宋体" w:hAnsi="宋体" w:cs="宋体" w:eastAsia="宋体" w:hint="default"/>
          <w:sz w:val="20"/>
          <w:szCs w:val="20"/>
        </w:rPr>
      </w:pPr>
    </w:p>
    <w:p>
      <w:pPr>
        <w:pStyle w:val="Heading4"/>
        <w:spacing w:line="240" w:lineRule="auto"/>
        <w:ind w:left="153"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914" w:footer="1022" w:top="1120" w:bottom="1220" w:left="980" w:right="0"/>
        </w:sectPr>
      </w:pPr>
    </w:p>
    <w:p>
      <w:pPr>
        <w:spacing w:line="20" w:lineRule="exact"/>
        <w:ind w:left="866" w:right="0" w:firstLine="0"/>
        <w:rPr>
          <w:rFonts w:ascii="宋体" w:hAnsi="宋体" w:cs="宋体" w:eastAsia="宋体" w:hint="default"/>
          <w:sz w:val="2"/>
          <w:szCs w:val="2"/>
        </w:rPr>
      </w:pPr>
      <w:r>
        <w:rPr>
          <w:rFonts w:ascii="宋体" w:hAnsi="宋体" w:cs="宋体" w:eastAsia="宋体" w:hint="default"/>
          <w:sz w:val="2"/>
          <w:szCs w:val="2"/>
        </w:rPr>
        <w:pict>
          <v:group style="width:701.5pt;height:.5pt;mso-position-horizontal-relative:char;mso-position-vertical-relative:line" coordorigin="0,0" coordsize="14030,10">
            <v:group style="position:absolute;left:5;top:5;width:14020;height:2" coordorigin="5,5" coordsize="14020,2">
              <v:shape style="position:absolute;left:5;top:5;width:14020;height:2" coordorigin="5,5" coordsize="14020,0" path="m5,5l14025,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65"/>
        <w:ind w:left="900" w:right="0"/>
        <w:jc w:val="left"/>
      </w:pPr>
      <w:r>
        <w:rPr/>
        <w:t>报告期内委托理财概况</w:t>
      </w:r>
    </w:p>
    <w:p>
      <w:pPr>
        <w:pStyle w:val="BodyText"/>
        <w:spacing w:line="240" w:lineRule="auto" w:before="115"/>
        <w:ind w:left="0" w:right="828"/>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785" w:type="dxa"/>
        <w:tblLayout w:type="fixed"/>
        <w:tblCellMar>
          <w:top w:w="0" w:type="dxa"/>
          <w:left w:w="0" w:type="dxa"/>
          <w:bottom w:w="0" w:type="dxa"/>
          <w:right w:w="0" w:type="dxa"/>
        </w:tblCellMar>
        <w:tblLook w:val="01E0"/>
      </w:tblPr>
      <w:tblGrid>
        <w:gridCol w:w="2770"/>
        <w:gridCol w:w="2910"/>
        <w:gridCol w:w="2934"/>
        <w:gridCol w:w="2828"/>
        <w:gridCol w:w="2737"/>
      </w:tblGrid>
      <w:tr>
        <w:trPr>
          <w:trHeight w:val="404" w:hRule="exact"/>
        </w:trPr>
        <w:tc>
          <w:tcPr>
            <w:tcW w:w="2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38" w:right="0"/>
              <w:jc w:val="left"/>
              <w:rPr>
                <w:rFonts w:ascii="宋体" w:hAnsi="宋体" w:cs="宋体" w:eastAsia="宋体" w:hint="default"/>
                <w:sz w:val="18"/>
                <w:szCs w:val="18"/>
              </w:rPr>
            </w:pPr>
            <w:r>
              <w:rPr>
                <w:rFonts w:ascii="宋体" w:hAnsi="宋体" w:cs="宋体" w:eastAsia="宋体" w:hint="default"/>
                <w:spacing w:val="-3"/>
                <w:sz w:val="18"/>
                <w:szCs w:val="18"/>
              </w:rPr>
              <w:t>委托理财的资金来源</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30" w:right="0"/>
              <w:jc w:val="left"/>
              <w:rPr>
                <w:rFonts w:ascii="宋体" w:hAnsi="宋体" w:cs="宋体" w:eastAsia="宋体" w:hint="default"/>
                <w:sz w:val="18"/>
                <w:szCs w:val="18"/>
              </w:rPr>
            </w:pPr>
            <w:r>
              <w:rPr>
                <w:rFonts w:ascii="宋体" w:hAnsi="宋体" w:cs="宋体" w:eastAsia="宋体" w:hint="default"/>
                <w:spacing w:val="-3"/>
                <w:sz w:val="18"/>
                <w:szCs w:val="18"/>
              </w:rPr>
              <w:t>委托理财发生额</w:t>
            </w:r>
          </w:p>
        </w:tc>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未到期余额</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43"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pacing w:val="-3"/>
                <w:sz w:val="18"/>
                <w:szCs w:val="18"/>
              </w:rPr>
              <w:t>募集资金、自有资金</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48,840</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40,050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56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48,840</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40,050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18"/>
          <w:footerReference w:type="default" r:id="rId19"/>
          <w:pgSz w:w="16840" w:h="11910" w:orient="landscape"/>
          <w:pgMar w:header="906" w:footer="1018" w:top="1100" w:bottom="1200" w:left="540" w:right="600"/>
          <w:pgNumType w:start="45"/>
        </w:sectPr>
      </w:pPr>
    </w:p>
    <w:p>
      <w:pPr>
        <w:pStyle w:val="BodyText"/>
        <w:spacing w:line="240" w:lineRule="auto" w:before="54"/>
        <w:ind w:left="900" w:right="0"/>
        <w:jc w:val="left"/>
      </w:pPr>
      <w:r>
        <w:rPr>
          <w:spacing w:val="-3"/>
        </w:rPr>
        <w:t>单项金额重大或安全性较低、流动性较差、不保本的高风险委托理财具体情况</w:t>
      </w:r>
    </w:p>
    <w:p>
      <w:pPr>
        <w:pStyle w:val="BodyText"/>
        <w:spacing w:line="240" w:lineRule="auto" w:before="115"/>
        <w:ind w:left="900"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left="900" w:right="0"/>
        <w:jc w:val="left"/>
      </w:pPr>
      <w:r>
        <w:rPr/>
        <w:t>单位：万元</w:t>
      </w:r>
    </w:p>
    <w:p>
      <w:pPr>
        <w:spacing w:after="0" w:line="240" w:lineRule="auto"/>
        <w:jc w:val="left"/>
        <w:sectPr>
          <w:type w:val="continuous"/>
          <w:pgSz w:w="16840" w:h="11910" w:orient="landscape"/>
          <w:pgMar w:top="1100" w:bottom="1220" w:left="540" w:right="600"/>
          <w:cols w:num="2" w:equalWidth="0">
            <w:col w:w="7022" w:space="6043"/>
            <w:col w:w="2635"/>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152"/>
        <w:gridCol w:w="975"/>
        <w:gridCol w:w="614"/>
        <w:gridCol w:w="725"/>
        <w:gridCol w:w="672"/>
        <w:gridCol w:w="826"/>
        <w:gridCol w:w="865"/>
        <w:gridCol w:w="1575"/>
        <w:gridCol w:w="677"/>
        <w:gridCol w:w="797"/>
        <w:gridCol w:w="802"/>
        <w:gridCol w:w="889"/>
        <w:gridCol w:w="974"/>
        <w:gridCol w:w="989"/>
        <w:gridCol w:w="787"/>
        <w:gridCol w:w="985"/>
        <w:gridCol w:w="1167"/>
      </w:tblGrid>
      <w:tr>
        <w:trPr>
          <w:trHeight w:val="1028" w:hRule="exact"/>
        </w:trPr>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24" w:right="113"/>
              <w:jc w:val="both"/>
              <w:rPr>
                <w:rFonts w:ascii="宋体" w:hAnsi="宋体" w:cs="宋体" w:eastAsia="宋体" w:hint="default"/>
                <w:sz w:val="18"/>
                <w:szCs w:val="18"/>
              </w:rPr>
            </w:pPr>
            <w:r>
              <w:rPr>
                <w:rFonts w:ascii="宋体" w:hAnsi="宋体" w:cs="宋体" w:eastAsia="宋体" w:hint="default"/>
                <w:spacing w:val="-2"/>
                <w:sz w:val="18"/>
                <w:szCs w:val="18"/>
              </w:rPr>
              <w:t>受托机构名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称（或受托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人姓名）</w:t>
            </w: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9" w:right="0"/>
              <w:jc w:val="left"/>
              <w:rPr>
                <w:rFonts w:ascii="宋体" w:hAnsi="宋体" w:cs="宋体" w:eastAsia="宋体" w:hint="default"/>
                <w:sz w:val="18"/>
                <w:szCs w:val="18"/>
              </w:rPr>
            </w:pPr>
            <w:r>
              <w:rPr>
                <w:rFonts w:ascii="宋体" w:hAnsi="宋体" w:cs="宋体" w:eastAsia="宋体" w:hint="default"/>
                <w:sz w:val="18"/>
                <w:szCs w:val="18"/>
              </w:rPr>
              <w:t>受托机构</w:t>
            </w:r>
          </w:p>
          <w:p>
            <w:pPr>
              <w:pStyle w:val="TableParagraph"/>
              <w:spacing w:line="321" w:lineRule="auto" w:before="71"/>
              <w:ind w:left="119" w:right="118"/>
              <w:jc w:val="left"/>
              <w:rPr>
                <w:rFonts w:ascii="宋体" w:hAnsi="宋体" w:cs="宋体" w:eastAsia="宋体" w:hint="default"/>
                <w:sz w:val="18"/>
                <w:szCs w:val="18"/>
              </w:rPr>
            </w:pPr>
            <w:r>
              <w:rPr>
                <w:rFonts w:ascii="宋体" w:hAnsi="宋体" w:cs="宋体" w:eastAsia="宋体" w:hint="default"/>
                <w:sz w:val="18"/>
                <w:szCs w:val="18"/>
              </w:rPr>
              <w:t>（或受托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人）类型</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20" w:right="119"/>
              <w:jc w:val="left"/>
              <w:rPr>
                <w:rFonts w:ascii="宋体" w:hAnsi="宋体" w:cs="宋体" w:eastAsia="宋体" w:hint="default"/>
                <w:sz w:val="18"/>
                <w:szCs w:val="18"/>
              </w:rPr>
            </w:pPr>
            <w:r>
              <w:rPr>
                <w:rFonts w:ascii="宋体" w:hAnsi="宋体" w:cs="宋体" w:eastAsia="宋体" w:hint="default"/>
                <w:sz w:val="18"/>
                <w:szCs w:val="18"/>
              </w:rPr>
              <w:t>产品</w:t>
            </w:r>
            <w:r>
              <w:rPr>
                <w:rFonts w:ascii="宋体" w:hAnsi="宋体" w:cs="宋体" w:eastAsia="宋体" w:hint="default"/>
                <w:spacing w:val="-86"/>
                <w:sz w:val="18"/>
                <w:szCs w:val="18"/>
              </w:rPr>
              <w:t> </w:t>
            </w:r>
            <w:r>
              <w:rPr>
                <w:rFonts w:ascii="宋体" w:hAnsi="宋体" w:cs="宋体" w:eastAsia="宋体" w:hint="default"/>
                <w:sz w:val="18"/>
                <w:szCs w:val="18"/>
              </w:rPr>
              <w:t>类型</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49" w:right="146"/>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来源</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21" w:right="132" w:hanging="183"/>
              <w:jc w:val="left"/>
              <w:rPr>
                <w:rFonts w:ascii="宋体" w:hAnsi="宋体" w:cs="宋体" w:eastAsia="宋体" w:hint="default"/>
                <w:sz w:val="18"/>
                <w:szCs w:val="18"/>
              </w:rPr>
            </w:pPr>
            <w:r>
              <w:rPr>
                <w:rFonts w:ascii="宋体" w:hAnsi="宋体" w:cs="宋体" w:eastAsia="宋体" w:hint="default"/>
                <w:sz w:val="18"/>
                <w:szCs w:val="18"/>
              </w:rPr>
              <w:t>起始日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41" w:right="152" w:hanging="183"/>
              <w:jc w:val="left"/>
              <w:rPr>
                <w:rFonts w:ascii="宋体" w:hAnsi="宋体" w:cs="宋体" w:eastAsia="宋体" w:hint="default"/>
                <w:sz w:val="18"/>
                <w:szCs w:val="18"/>
              </w:rPr>
            </w:pPr>
            <w:r>
              <w:rPr>
                <w:rFonts w:ascii="宋体" w:hAnsi="宋体" w:cs="宋体" w:eastAsia="宋体" w:hint="default"/>
                <w:sz w:val="18"/>
                <w:szCs w:val="18"/>
              </w:rPr>
              <w:t>终止日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3"/>
              <w:jc w:val="center"/>
              <w:rPr>
                <w:rFonts w:ascii="宋体" w:hAnsi="宋体" w:cs="宋体" w:eastAsia="宋体" w:hint="default"/>
                <w:sz w:val="18"/>
                <w:szCs w:val="18"/>
              </w:rPr>
            </w:pPr>
            <w:r>
              <w:rPr>
                <w:rFonts w:ascii="宋体" w:hAnsi="宋体" w:cs="宋体" w:eastAsia="宋体" w:hint="default"/>
                <w:sz w:val="18"/>
                <w:szCs w:val="18"/>
              </w:rPr>
              <w:t>资金投向</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48" w:right="151"/>
              <w:jc w:val="both"/>
              <w:rPr>
                <w:rFonts w:ascii="宋体" w:hAnsi="宋体" w:cs="宋体" w:eastAsia="宋体" w:hint="default"/>
                <w:sz w:val="18"/>
                <w:szCs w:val="18"/>
              </w:rPr>
            </w:pPr>
            <w:r>
              <w:rPr>
                <w:rFonts w:ascii="宋体" w:hAnsi="宋体" w:cs="宋体" w:eastAsia="宋体" w:hint="default"/>
                <w:sz w:val="18"/>
                <w:szCs w:val="18"/>
              </w:rPr>
              <w:t>报酬</w:t>
            </w:r>
            <w:r>
              <w:rPr>
                <w:rFonts w:ascii="宋体" w:hAnsi="宋体" w:cs="宋体" w:eastAsia="宋体" w:hint="default"/>
                <w:spacing w:val="-86"/>
                <w:sz w:val="18"/>
                <w:szCs w:val="18"/>
              </w:rPr>
              <w:t> </w:t>
            </w:r>
            <w:r>
              <w:rPr>
                <w:rFonts w:ascii="宋体" w:hAnsi="宋体" w:cs="宋体" w:eastAsia="宋体" w:hint="default"/>
                <w:sz w:val="18"/>
                <w:szCs w:val="18"/>
              </w:rPr>
              <w:t>确定</w:t>
            </w:r>
            <w:r>
              <w:rPr>
                <w:rFonts w:ascii="宋体" w:hAnsi="宋体" w:cs="宋体" w:eastAsia="宋体" w:hint="default"/>
                <w:spacing w:val="-86"/>
                <w:sz w:val="18"/>
                <w:szCs w:val="18"/>
              </w:rPr>
              <w:t> </w:t>
            </w:r>
            <w:r>
              <w:rPr>
                <w:rFonts w:ascii="宋体" w:hAnsi="宋体" w:cs="宋体" w:eastAsia="宋体" w:hint="default"/>
                <w:sz w:val="18"/>
                <w:szCs w:val="18"/>
              </w:rPr>
              <w:t>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24" w:right="118"/>
              <w:jc w:val="center"/>
              <w:rPr>
                <w:rFonts w:ascii="宋体" w:hAnsi="宋体" w:cs="宋体" w:eastAsia="宋体" w:hint="default"/>
                <w:sz w:val="18"/>
                <w:szCs w:val="18"/>
              </w:rPr>
            </w:pPr>
            <w:r>
              <w:rPr>
                <w:rFonts w:ascii="宋体" w:hAnsi="宋体" w:cs="宋体" w:eastAsia="宋体" w:hint="default"/>
                <w:spacing w:val="-2"/>
                <w:sz w:val="18"/>
                <w:szCs w:val="18"/>
              </w:rPr>
              <w:t>参考年</w:t>
            </w:r>
            <w:r>
              <w:rPr>
                <w:rFonts w:ascii="宋体" w:hAnsi="宋体" w:cs="宋体" w:eastAsia="宋体" w:hint="default"/>
                <w:w w:val="101"/>
                <w:sz w:val="18"/>
                <w:szCs w:val="18"/>
              </w:rPr>
              <w:t> </w:t>
            </w:r>
            <w:r>
              <w:rPr>
                <w:rFonts w:ascii="宋体" w:hAnsi="宋体" w:cs="宋体" w:eastAsia="宋体" w:hint="default"/>
                <w:spacing w:val="-2"/>
                <w:sz w:val="18"/>
                <w:szCs w:val="18"/>
              </w:rPr>
              <w:t>化收益</w:t>
            </w:r>
            <w:r>
              <w:rPr>
                <w:rFonts w:ascii="宋体" w:hAnsi="宋体" w:cs="宋体" w:eastAsia="宋体" w:hint="default"/>
                <w:w w:val="101"/>
                <w:sz w:val="18"/>
                <w:szCs w:val="18"/>
              </w:rPr>
              <w:t> </w:t>
            </w:r>
            <w:r>
              <w:rPr>
                <w:rFonts w:ascii="宋体" w:hAnsi="宋体" w:cs="宋体" w:eastAsia="宋体" w:hint="default"/>
                <w:sz w:val="18"/>
                <w:szCs w:val="18"/>
              </w:rPr>
              <w:t>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7" w:right="117" w:hanging="178"/>
              <w:jc w:val="left"/>
              <w:rPr>
                <w:rFonts w:ascii="宋体" w:hAnsi="宋体" w:cs="宋体" w:eastAsia="宋体" w:hint="default"/>
                <w:sz w:val="18"/>
                <w:szCs w:val="18"/>
              </w:rPr>
            </w:pPr>
            <w:r>
              <w:rPr>
                <w:rFonts w:ascii="宋体" w:hAnsi="宋体" w:cs="宋体" w:eastAsia="宋体" w:hint="default"/>
                <w:sz w:val="18"/>
                <w:szCs w:val="18"/>
              </w:rPr>
              <w:t>预期收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68" w:right="166"/>
              <w:jc w:val="both"/>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实际损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益金额</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9" w:right="117"/>
              <w:jc w:val="both"/>
              <w:rPr>
                <w:rFonts w:ascii="宋体" w:hAnsi="宋体" w:cs="宋体" w:eastAsia="宋体" w:hint="default"/>
                <w:sz w:val="18"/>
                <w:szCs w:val="18"/>
              </w:rPr>
            </w:pPr>
            <w:r>
              <w:rPr>
                <w:rFonts w:ascii="宋体" w:hAnsi="宋体" w:cs="宋体" w:eastAsia="宋体" w:hint="default"/>
                <w:sz w:val="18"/>
                <w:szCs w:val="18"/>
              </w:rPr>
              <w:t>报告期损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益实际收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回情况</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129" w:right="12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准备金额</w:t>
            </w:r>
          </w:p>
          <w:p>
            <w:pPr>
              <w:pStyle w:val="TableParagraph"/>
              <w:spacing w:line="240" w:lineRule="auto" w:before="27"/>
              <w:ind w:left="129"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5" w:right="117"/>
              <w:jc w:val="both"/>
              <w:rPr>
                <w:rFonts w:ascii="宋体" w:hAnsi="宋体" w:cs="宋体" w:eastAsia="宋体" w:hint="default"/>
                <w:sz w:val="18"/>
                <w:szCs w:val="18"/>
              </w:rPr>
            </w:pPr>
            <w:r>
              <w:rPr>
                <w:rFonts w:ascii="宋体" w:hAnsi="宋体" w:cs="宋体" w:eastAsia="宋体" w:hint="default"/>
                <w:sz w:val="18"/>
                <w:szCs w:val="18"/>
              </w:rPr>
              <w:t>是否经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过法定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程序</w:t>
            </w:r>
          </w:p>
        </w:tc>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24" w:right="123"/>
              <w:jc w:val="both"/>
              <w:rPr>
                <w:rFonts w:ascii="宋体" w:hAnsi="宋体" w:cs="宋体" w:eastAsia="宋体" w:hint="default"/>
                <w:sz w:val="18"/>
                <w:szCs w:val="18"/>
              </w:rPr>
            </w:pPr>
            <w:r>
              <w:rPr>
                <w:rFonts w:ascii="宋体" w:hAnsi="宋体" w:cs="宋体" w:eastAsia="宋体" w:hint="default"/>
                <w:sz w:val="18"/>
                <w:szCs w:val="18"/>
              </w:rPr>
              <w:t>未来是否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还有委托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理财计划</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29" w:right="123"/>
              <w:jc w:val="both"/>
              <w:rPr>
                <w:rFonts w:ascii="宋体" w:hAnsi="宋体" w:cs="宋体" w:eastAsia="宋体" w:hint="default"/>
                <w:sz w:val="18"/>
                <w:szCs w:val="18"/>
              </w:rPr>
            </w:pPr>
            <w:r>
              <w:rPr>
                <w:rFonts w:ascii="宋体" w:hAnsi="宋体" w:cs="宋体" w:eastAsia="宋体" w:hint="default"/>
                <w:spacing w:val="-2"/>
                <w:sz w:val="18"/>
                <w:szCs w:val="18"/>
              </w:rPr>
              <w:t>事项概述及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相关查询索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引（如有）</w:t>
            </w:r>
          </w:p>
        </w:tc>
      </w:tr>
      <w:tr>
        <w:trPr>
          <w:trHeight w:val="102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32"/>
              <w:jc w:val="both"/>
              <w:rPr>
                <w:rFonts w:ascii="宋体" w:hAnsi="宋体" w:cs="宋体" w:eastAsia="宋体" w:hint="default"/>
                <w:sz w:val="18"/>
                <w:szCs w:val="18"/>
              </w:rPr>
            </w:pPr>
            <w:r>
              <w:rPr>
                <w:rFonts w:ascii="宋体" w:hAnsi="宋体" w:cs="宋体" w:eastAsia="宋体" w:hint="default"/>
                <w:spacing w:val="-2"/>
                <w:sz w:val="18"/>
                <w:szCs w:val="18"/>
              </w:rPr>
              <w:t>浦发银行北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京雍和宫支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行</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100" w:right="137"/>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10,000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101" w:right="194"/>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19</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98"/>
              <w:jc w:val="left"/>
              <w:rPr>
                <w:rFonts w:ascii="宋体" w:hAnsi="宋体" w:cs="宋体" w:eastAsia="宋体" w:hint="default"/>
                <w:sz w:val="18"/>
                <w:szCs w:val="18"/>
              </w:rPr>
            </w:pPr>
            <w:r>
              <w:rPr>
                <w:rFonts w:ascii="宋体" w:hAnsi="宋体" w:cs="宋体" w:eastAsia="宋体" w:hint="default"/>
                <w:spacing w:val="-3"/>
                <w:sz w:val="18"/>
                <w:szCs w:val="18"/>
              </w:rPr>
              <w:t>货币市场工具和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w w:val="101"/>
                <w:sz w:val="18"/>
                <w:szCs w:val="18"/>
              </w:rPr>
              <w:t>银行存款等；债务</w:t>
            </w:r>
            <w:r>
              <w:rPr>
                <w:rFonts w:ascii="宋体" w:hAnsi="宋体" w:cs="宋体" w:eastAsia="宋体" w:hint="default"/>
                <w:w w:val="101"/>
                <w:sz w:val="18"/>
                <w:szCs w:val="18"/>
              </w:rPr>
              <w:t> </w:t>
            </w:r>
            <w:r>
              <w:rPr>
                <w:rFonts w:ascii="宋体" w:hAnsi="宋体" w:cs="宋体" w:eastAsia="宋体" w:hint="default"/>
                <w:spacing w:val="-3"/>
                <w:sz w:val="18"/>
                <w:szCs w:val="18"/>
              </w:rPr>
              <w:t>及债务融资工具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100" w:right="199"/>
              <w:jc w:val="left"/>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浮动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3.95%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96.56</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96.56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98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5" w:right="132"/>
              <w:jc w:val="both"/>
              <w:rPr>
                <w:rFonts w:ascii="宋体" w:hAnsi="宋体" w:cs="宋体" w:eastAsia="宋体" w:hint="default"/>
                <w:sz w:val="18"/>
                <w:szCs w:val="18"/>
              </w:rPr>
            </w:pPr>
            <w:r>
              <w:rPr>
                <w:rFonts w:ascii="宋体" w:hAnsi="宋体" w:cs="宋体" w:eastAsia="宋体" w:hint="default"/>
                <w:spacing w:val="-2"/>
                <w:sz w:val="18"/>
                <w:szCs w:val="18"/>
              </w:rPr>
              <w:t>浦发银行北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京雍和宫支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行</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00" w:right="137"/>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19,360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01" w:right="194"/>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0" w:right="98"/>
              <w:jc w:val="left"/>
              <w:rPr>
                <w:rFonts w:ascii="宋体" w:hAnsi="宋体" w:cs="宋体" w:eastAsia="宋体" w:hint="default"/>
                <w:sz w:val="18"/>
                <w:szCs w:val="18"/>
              </w:rPr>
            </w:pPr>
            <w:r>
              <w:rPr>
                <w:rFonts w:ascii="宋体" w:hAnsi="宋体" w:cs="宋体" w:eastAsia="宋体" w:hint="default"/>
                <w:spacing w:val="-3"/>
                <w:sz w:val="18"/>
                <w:szCs w:val="18"/>
              </w:rPr>
              <w:t>货币市场工具和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w w:val="101"/>
                <w:sz w:val="18"/>
                <w:szCs w:val="18"/>
              </w:rPr>
              <w:t>银行存款等；债务</w:t>
            </w:r>
            <w:r>
              <w:rPr>
                <w:rFonts w:ascii="宋体" w:hAnsi="宋体" w:cs="宋体" w:eastAsia="宋体" w:hint="default"/>
                <w:w w:val="101"/>
                <w:sz w:val="18"/>
                <w:szCs w:val="18"/>
              </w:rPr>
              <w:t> </w:t>
            </w:r>
            <w:r>
              <w:rPr>
                <w:rFonts w:ascii="宋体" w:hAnsi="宋体" w:cs="宋体" w:eastAsia="宋体" w:hint="default"/>
                <w:spacing w:val="-3"/>
                <w:sz w:val="18"/>
                <w:szCs w:val="18"/>
              </w:rPr>
              <w:t>及债务融资工具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00" w:right="199"/>
              <w:jc w:val="left"/>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浮动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3.75%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179.48</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179.48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按时收回</w:t>
            </w:r>
          </w:p>
        </w:tc>
        <w:tc>
          <w:tcPr>
            <w:tcW w:w="98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32"/>
              <w:jc w:val="both"/>
              <w:rPr>
                <w:rFonts w:ascii="宋体" w:hAnsi="宋体" w:cs="宋体" w:eastAsia="宋体" w:hint="default"/>
                <w:sz w:val="18"/>
                <w:szCs w:val="18"/>
              </w:rPr>
            </w:pPr>
            <w:r>
              <w:rPr>
                <w:rFonts w:ascii="宋体" w:hAnsi="宋体" w:cs="宋体" w:eastAsia="宋体" w:hint="default"/>
                <w:spacing w:val="-2"/>
                <w:sz w:val="18"/>
                <w:szCs w:val="18"/>
              </w:rPr>
              <w:t>浦发银行北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京雍和宫支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行</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0" w:right="137"/>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10,000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1" w:right="194"/>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98"/>
              <w:jc w:val="left"/>
              <w:rPr>
                <w:rFonts w:ascii="宋体" w:hAnsi="宋体" w:cs="宋体" w:eastAsia="宋体" w:hint="default"/>
                <w:sz w:val="18"/>
                <w:szCs w:val="18"/>
              </w:rPr>
            </w:pPr>
            <w:r>
              <w:rPr>
                <w:rFonts w:ascii="宋体" w:hAnsi="宋体" w:cs="宋体" w:eastAsia="宋体" w:hint="default"/>
                <w:spacing w:val="-3"/>
                <w:sz w:val="18"/>
                <w:szCs w:val="18"/>
              </w:rPr>
              <w:t>货币市场工具和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w w:val="101"/>
                <w:sz w:val="18"/>
                <w:szCs w:val="18"/>
              </w:rPr>
              <w:t>银行存款等；债务</w:t>
            </w:r>
            <w:r>
              <w:rPr>
                <w:rFonts w:ascii="宋体" w:hAnsi="宋体" w:cs="宋体" w:eastAsia="宋体" w:hint="default"/>
                <w:w w:val="101"/>
                <w:sz w:val="18"/>
                <w:szCs w:val="18"/>
              </w:rPr>
              <w:t> </w:t>
            </w:r>
            <w:r>
              <w:rPr>
                <w:rFonts w:ascii="宋体" w:hAnsi="宋体" w:cs="宋体" w:eastAsia="宋体" w:hint="default"/>
                <w:spacing w:val="-3"/>
                <w:sz w:val="18"/>
                <w:szCs w:val="18"/>
              </w:rPr>
              <w:t>及债务融资工具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0" w:right="199"/>
              <w:jc w:val="left"/>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浮动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3.85%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95.18</w:t>
            </w:r>
          </w:p>
        </w:tc>
        <w:tc>
          <w:tcPr>
            <w:tcW w:w="88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98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32"/>
              <w:jc w:val="both"/>
              <w:rPr>
                <w:rFonts w:ascii="宋体" w:hAnsi="宋体" w:cs="宋体" w:eastAsia="宋体" w:hint="default"/>
                <w:sz w:val="18"/>
                <w:szCs w:val="18"/>
              </w:rPr>
            </w:pPr>
            <w:r>
              <w:rPr>
                <w:rFonts w:ascii="宋体" w:hAnsi="宋体" w:cs="宋体" w:eastAsia="宋体" w:hint="default"/>
                <w:spacing w:val="-2"/>
                <w:sz w:val="18"/>
                <w:szCs w:val="18"/>
              </w:rPr>
              <w:t>浦发银行北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京雍和宫支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行</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0" w:right="137"/>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19,500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1" w:right="194"/>
              <w:jc w:val="left"/>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98"/>
              <w:jc w:val="left"/>
              <w:rPr>
                <w:rFonts w:ascii="宋体" w:hAnsi="宋体" w:cs="宋体" w:eastAsia="宋体" w:hint="default"/>
                <w:sz w:val="18"/>
                <w:szCs w:val="18"/>
              </w:rPr>
            </w:pPr>
            <w:r>
              <w:rPr>
                <w:rFonts w:ascii="宋体" w:hAnsi="宋体" w:cs="宋体" w:eastAsia="宋体" w:hint="default"/>
                <w:spacing w:val="-3"/>
                <w:sz w:val="18"/>
                <w:szCs w:val="18"/>
              </w:rPr>
              <w:t>货币市场工具和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w w:val="101"/>
                <w:sz w:val="18"/>
                <w:szCs w:val="18"/>
              </w:rPr>
              <w:t>银行存款等；债务</w:t>
            </w:r>
            <w:r>
              <w:rPr>
                <w:rFonts w:ascii="宋体" w:hAnsi="宋体" w:cs="宋体" w:eastAsia="宋体" w:hint="default"/>
                <w:w w:val="101"/>
                <w:sz w:val="18"/>
                <w:szCs w:val="18"/>
              </w:rPr>
              <w:t> </w:t>
            </w:r>
            <w:r>
              <w:rPr>
                <w:rFonts w:ascii="宋体" w:hAnsi="宋体" w:cs="宋体" w:eastAsia="宋体" w:hint="default"/>
                <w:spacing w:val="-3"/>
                <w:sz w:val="18"/>
                <w:szCs w:val="18"/>
              </w:rPr>
              <w:t>及债务融资工具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0" w:right="199"/>
              <w:jc w:val="left"/>
              <w:rPr>
                <w:rFonts w:ascii="宋体" w:hAnsi="宋体" w:cs="宋体" w:eastAsia="宋体" w:hint="default"/>
                <w:sz w:val="18"/>
                <w:szCs w:val="18"/>
              </w:rPr>
            </w:pPr>
            <w:r>
              <w:rPr>
                <w:rFonts w:ascii="宋体" w:hAnsi="宋体" w:cs="宋体" w:eastAsia="宋体" w:hint="default"/>
                <w:sz w:val="18"/>
                <w:szCs w:val="18"/>
              </w:rPr>
              <w:t>保本</w:t>
            </w:r>
            <w:r>
              <w:rPr>
                <w:rFonts w:ascii="宋体" w:hAnsi="宋体" w:cs="宋体" w:eastAsia="宋体" w:hint="default"/>
                <w:spacing w:val="-86"/>
                <w:sz w:val="18"/>
                <w:szCs w:val="18"/>
              </w:rPr>
              <w:t> </w:t>
            </w:r>
            <w:r>
              <w:rPr>
                <w:rFonts w:ascii="宋体" w:hAnsi="宋体" w:cs="宋体" w:eastAsia="宋体" w:hint="default"/>
                <w:sz w:val="18"/>
                <w:szCs w:val="18"/>
              </w:rPr>
              <w:t>浮动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3.80%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181.13</w:t>
            </w:r>
          </w:p>
        </w:tc>
        <w:tc>
          <w:tcPr>
            <w:tcW w:w="88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未到期</w:t>
            </w:r>
          </w:p>
        </w:tc>
        <w:tc>
          <w:tcPr>
            <w:tcW w:w="98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4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 w:right="0"/>
              <w:jc w:val="center"/>
              <w:rPr>
                <w:rFonts w:ascii="Times New Roman" w:hAnsi="Times New Roman" w:cs="Times New Roman" w:eastAsia="Times New Roman" w:hint="default"/>
                <w:sz w:val="18"/>
                <w:szCs w:val="18"/>
              </w:rPr>
            </w:pPr>
            <w:r>
              <w:rPr>
                <w:rFonts w:ascii="Times New Roman"/>
                <w:sz w:val="18"/>
              </w:rPr>
              <w:t>58,860</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552.35</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276.04</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4"/>
        <w:ind w:left="900" w:right="0"/>
        <w:jc w:val="left"/>
      </w:pPr>
      <w:r>
        <w:rPr>
          <w:spacing w:val="-3"/>
        </w:rPr>
        <w:t>委托理财出现预期无法收回本金或存在其他可能导致减值的情形</w:t>
      </w:r>
    </w:p>
    <w:p>
      <w:pPr>
        <w:pStyle w:val="BodyText"/>
        <w:spacing w:line="240" w:lineRule="auto" w:before="115"/>
        <w:ind w:left="900"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type w:val="continuous"/>
          <w:pgSz w:w="16840" w:h="11910" w:orient="landscape"/>
          <w:pgMar w:top="1100" w:bottom="1220" w:left="540" w:right="600"/>
        </w:sectPr>
      </w:pPr>
    </w:p>
    <w:p>
      <w:pPr>
        <w:spacing w:line="20" w:lineRule="exact"/>
        <w:ind w:left="586" w:right="0" w:firstLine="0"/>
        <w:rPr>
          <w:rFonts w:ascii="宋体" w:hAnsi="宋体" w:cs="宋体" w:eastAsia="宋体" w:hint="default"/>
          <w:sz w:val="2"/>
          <w:szCs w:val="2"/>
        </w:rPr>
      </w:pPr>
      <w:r>
        <w:rPr>
          <w:rFonts w:ascii="宋体" w:hAnsi="宋体" w:cs="宋体" w:eastAsia="宋体" w:hint="default"/>
          <w:sz w:val="2"/>
          <w:szCs w:val="2"/>
        </w:rPr>
        <w:pict>
          <v:group style="width:701.5pt;height:.5pt;mso-position-horizontal-relative:char;mso-position-vertical-relative:line" coordorigin="0,0" coordsize="14030,10">
            <v:group style="position:absolute;left:5;top:5;width:14020;height:2" coordorigin="5,5" coordsize="14020,2">
              <v:shape style="position:absolute;left:5;top:5;width:14020;height:2" coordorigin="5,5" coordsize="14020,0" path="m5,5l14025,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620" w:right="11058"/>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0"/>
        <w:rPr>
          <w:rFonts w:ascii="宋体" w:hAnsi="宋体" w:cs="宋体" w:eastAsia="宋体" w:hint="default"/>
          <w:b/>
          <w:bCs/>
          <w:sz w:val="26"/>
          <w:szCs w:val="26"/>
        </w:rPr>
      </w:pPr>
    </w:p>
    <w:p>
      <w:pPr>
        <w:pStyle w:val="BodyText"/>
        <w:spacing w:line="343" w:lineRule="auto"/>
        <w:ind w:left="620" w:right="1105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公司报告期不存在委托贷款。</w:t>
      </w:r>
    </w:p>
    <w:p>
      <w:pPr>
        <w:spacing w:line="240" w:lineRule="auto" w:before="5"/>
        <w:rPr>
          <w:rFonts w:ascii="宋体" w:hAnsi="宋体" w:cs="宋体" w:eastAsia="宋体" w:hint="default"/>
          <w:sz w:val="20"/>
          <w:szCs w:val="20"/>
        </w:rPr>
      </w:pPr>
    </w:p>
    <w:p>
      <w:pPr>
        <w:pStyle w:val="Heading4"/>
        <w:spacing w:line="240" w:lineRule="auto"/>
        <w:ind w:left="620" w:right="11058"/>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620" w:right="1105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7"/>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1104"/>
        <w:gridCol w:w="1757"/>
        <w:gridCol w:w="1023"/>
        <w:gridCol w:w="792"/>
        <w:gridCol w:w="879"/>
        <w:gridCol w:w="864"/>
        <w:gridCol w:w="711"/>
        <w:gridCol w:w="701"/>
        <w:gridCol w:w="446"/>
        <w:gridCol w:w="802"/>
        <w:gridCol w:w="485"/>
        <w:gridCol w:w="447"/>
        <w:gridCol w:w="2069"/>
        <w:gridCol w:w="835"/>
        <w:gridCol w:w="2089"/>
      </w:tblGrid>
      <w:tr>
        <w:trPr>
          <w:trHeight w:val="1964" w:hRule="exact"/>
        </w:trPr>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87" w:right="180"/>
              <w:jc w:val="center"/>
              <w:rPr>
                <w:rFonts w:ascii="宋体" w:hAnsi="宋体" w:cs="宋体" w:eastAsia="宋体" w:hint="default"/>
                <w:sz w:val="18"/>
                <w:szCs w:val="18"/>
              </w:rPr>
            </w:pPr>
            <w:r>
              <w:rPr>
                <w:rFonts w:ascii="宋体" w:hAnsi="宋体" w:cs="宋体" w:eastAsia="宋体" w:hint="default"/>
                <w:spacing w:val="-2"/>
                <w:sz w:val="18"/>
                <w:szCs w:val="18"/>
              </w:rPr>
              <w:t>合同订立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公司方名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称</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48" w:right="0"/>
              <w:jc w:val="left"/>
              <w:rPr>
                <w:rFonts w:ascii="宋体" w:hAnsi="宋体" w:cs="宋体" w:eastAsia="宋体" w:hint="default"/>
                <w:sz w:val="18"/>
                <w:szCs w:val="18"/>
              </w:rPr>
            </w:pPr>
            <w:r>
              <w:rPr>
                <w:rFonts w:ascii="宋体" w:hAnsi="宋体" w:cs="宋体" w:eastAsia="宋体" w:hint="default"/>
                <w:sz w:val="18"/>
                <w:szCs w:val="18"/>
              </w:rPr>
              <w:t>合同订立对方名称</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48" w:right="0"/>
              <w:jc w:val="left"/>
              <w:rPr>
                <w:rFonts w:ascii="宋体" w:hAnsi="宋体" w:cs="宋体" w:eastAsia="宋体" w:hint="default"/>
                <w:sz w:val="18"/>
                <w:szCs w:val="18"/>
              </w:rPr>
            </w:pPr>
            <w:r>
              <w:rPr>
                <w:rFonts w:ascii="宋体" w:hAnsi="宋体" w:cs="宋体" w:eastAsia="宋体" w:hint="default"/>
                <w:sz w:val="18"/>
                <w:szCs w:val="18"/>
              </w:rPr>
              <w:t>合同标的</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19" w:right="117"/>
              <w:jc w:val="left"/>
              <w:rPr>
                <w:rFonts w:ascii="宋体" w:hAnsi="宋体" w:cs="宋体" w:eastAsia="宋体" w:hint="default"/>
                <w:sz w:val="18"/>
                <w:szCs w:val="18"/>
              </w:rPr>
            </w:pPr>
            <w:r>
              <w:rPr>
                <w:rFonts w:ascii="宋体" w:hAnsi="宋体" w:cs="宋体" w:eastAsia="宋体" w:hint="default"/>
                <w:sz w:val="18"/>
                <w:szCs w:val="18"/>
              </w:rPr>
              <w:t>合同签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订日期</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99" w:firstLine="4"/>
              <w:jc w:val="center"/>
              <w:rPr>
                <w:rFonts w:ascii="宋体" w:hAnsi="宋体" w:cs="宋体" w:eastAsia="宋体" w:hint="default"/>
                <w:sz w:val="18"/>
                <w:szCs w:val="18"/>
              </w:rPr>
            </w:pPr>
            <w:r>
              <w:rPr>
                <w:rFonts w:ascii="宋体" w:hAnsi="宋体" w:cs="宋体" w:eastAsia="宋体" w:hint="default"/>
                <w:sz w:val="18"/>
                <w:szCs w:val="18"/>
              </w:rPr>
              <w:t>合同涉</w:t>
            </w:r>
            <w:r>
              <w:rPr>
                <w:rFonts w:ascii="宋体" w:hAnsi="宋体" w:cs="宋体" w:eastAsia="宋体" w:hint="default"/>
                <w:w w:val="101"/>
                <w:sz w:val="18"/>
                <w:szCs w:val="18"/>
              </w:rPr>
              <w:t> </w:t>
            </w:r>
            <w:r>
              <w:rPr>
                <w:rFonts w:ascii="宋体" w:hAnsi="宋体" w:cs="宋体" w:eastAsia="宋体" w:hint="default"/>
                <w:sz w:val="18"/>
                <w:szCs w:val="18"/>
              </w:rPr>
              <w:t>及资产</w:t>
            </w:r>
            <w:r>
              <w:rPr>
                <w:rFonts w:ascii="宋体" w:hAnsi="宋体" w:cs="宋体" w:eastAsia="宋体" w:hint="default"/>
                <w:w w:val="101"/>
                <w:sz w:val="18"/>
                <w:szCs w:val="18"/>
              </w:rPr>
              <w:t> </w:t>
            </w:r>
            <w:r>
              <w:rPr>
                <w:rFonts w:ascii="宋体" w:hAnsi="宋体" w:cs="宋体" w:eastAsia="宋体" w:hint="default"/>
                <w:sz w:val="18"/>
                <w:szCs w:val="18"/>
              </w:rPr>
              <w:t>的账面</w:t>
            </w:r>
            <w:r>
              <w:rPr>
                <w:rFonts w:ascii="宋体" w:hAnsi="宋体" w:cs="宋体" w:eastAsia="宋体" w:hint="default"/>
                <w:w w:val="101"/>
                <w:sz w:val="18"/>
                <w:szCs w:val="18"/>
              </w:rPr>
              <w:t> </w:t>
            </w:r>
            <w:r>
              <w:rPr>
                <w:rFonts w:ascii="宋体" w:hAnsi="宋体" w:cs="宋体" w:eastAsia="宋体" w:hint="default"/>
                <w:spacing w:val="-17"/>
                <w:sz w:val="18"/>
                <w:szCs w:val="18"/>
              </w:rPr>
              <w:t>价值（万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7"/>
                <w:sz w:val="18"/>
                <w:szCs w:val="18"/>
              </w:rPr>
              <w:t>元）（如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0" w:right="98" w:hanging="5"/>
              <w:jc w:val="center"/>
              <w:rPr>
                <w:rFonts w:ascii="宋体" w:hAnsi="宋体" w:cs="宋体" w:eastAsia="宋体" w:hint="default"/>
                <w:sz w:val="18"/>
                <w:szCs w:val="18"/>
              </w:rPr>
            </w:pPr>
            <w:r>
              <w:rPr>
                <w:rFonts w:ascii="宋体" w:hAnsi="宋体" w:cs="宋体" w:eastAsia="宋体" w:hint="default"/>
                <w:sz w:val="18"/>
                <w:szCs w:val="18"/>
              </w:rPr>
              <w:t>合同涉</w:t>
            </w:r>
            <w:r>
              <w:rPr>
                <w:rFonts w:ascii="宋体" w:hAnsi="宋体" w:cs="宋体" w:eastAsia="宋体" w:hint="default"/>
                <w:w w:val="101"/>
                <w:sz w:val="18"/>
                <w:szCs w:val="18"/>
              </w:rPr>
              <w:t> </w:t>
            </w:r>
            <w:r>
              <w:rPr>
                <w:rFonts w:ascii="宋体" w:hAnsi="宋体" w:cs="宋体" w:eastAsia="宋体" w:hint="default"/>
                <w:sz w:val="18"/>
                <w:szCs w:val="18"/>
              </w:rPr>
              <w:t>及资产</w:t>
            </w:r>
            <w:r>
              <w:rPr>
                <w:rFonts w:ascii="宋体" w:hAnsi="宋体" w:cs="宋体" w:eastAsia="宋体" w:hint="default"/>
                <w:w w:val="101"/>
                <w:sz w:val="18"/>
                <w:szCs w:val="18"/>
              </w:rPr>
              <w:t> </w:t>
            </w:r>
            <w:r>
              <w:rPr>
                <w:rFonts w:ascii="宋体" w:hAnsi="宋体" w:cs="宋体" w:eastAsia="宋体" w:hint="default"/>
                <w:sz w:val="18"/>
                <w:szCs w:val="18"/>
              </w:rPr>
              <w:t>的评估</w:t>
            </w:r>
            <w:r>
              <w:rPr>
                <w:rFonts w:ascii="宋体" w:hAnsi="宋体" w:cs="宋体" w:eastAsia="宋体" w:hint="default"/>
                <w:w w:val="101"/>
                <w:sz w:val="18"/>
                <w:szCs w:val="18"/>
              </w:rPr>
              <w:t> </w:t>
            </w:r>
            <w:r>
              <w:rPr>
                <w:rFonts w:ascii="宋体" w:hAnsi="宋体" w:cs="宋体" w:eastAsia="宋体" w:hint="default"/>
                <w:spacing w:val="-19"/>
                <w:w w:val="101"/>
                <w:sz w:val="18"/>
                <w:szCs w:val="18"/>
              </w:rPr>
              <w:t>价值（万</w:t>
            </w:r>
            <w:r>
              <w:rPr>
                <w:rFonts w:ascii="宋体" w:hAnsi="宋体" w:cs="宋体" w:eastAsia="宋体" w:hint="default"/>
                <w:w w:val="101"/>
                <w:sz w:val="18"/>
                <w:szCs w:val="18"/>
              </w:rPr>
              <w:t> </w:t>
            </w:r>
            <w:r>
              <w:rPr>
                <w:rFonts w:ascii="宋体" w:hAnsi="宋体" w:cs="宋体" w:eastAsia="宋体" w:hint="default"/>
                <w:spacing w:val="-19"/>
                <w:w w:val="101"/>
                <w:sz w:val="18"/>
                <w:szCs w:val="18"/>
              </w:rPr>
              <w:t>元）（如</w:t>
            </w:r>
            <w:r>
              <w:rPr>
                <w:rFonts w:ascii="宋体" w:hAnsi="宋体" w:cs="宋体" w:eastAsia="宋体" w:hint="default"/>
                <w:w w:val="101"/>
                <w:sz w:val="18"/>
                <w:szCs w:val="18"/>
              </w:rPr>
              <w:t> </w:t>
            </w:r>
            <w:r>
              <w:rPr>
                <w:rFonts w:ascii="宋体" w:hAnsi="宋体" w:cs="宋体" w:eastAsia="宋体" w:hint="default"/>
                <w:sz w:val="18"/>
                <w:szCs w:val="18"/>
              </w:rPr>
              <w:t>有）</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67" w:right="166"/>
              <w:jc w:val="both"/>
              <w:rPr>
                <w:rFonts w:ascii="宋体" w:hAnsi="宋体" w:cs="宋体" w:eastAsia="宋体" w:hint="default"/>
                <w:sz w:val="18"/>
                <w:szCs w:val="18"/>
              </w:rPr>
            </w:pPr>
            <w:r>
              <w:rPr>
                <w:rFonts w:ascii="宋体" w:hAnsi="宋体" w:cs="宋体" w:eastAsia="宋体" w:hint="default"/>
                <w:sz w:val="18"/>
                <w:szCs w:val="18"/>
              </w:rPr>
              <w:t>评估</w:t>
            </w:r>
            <w:r>
              <w:rPr>
                <w:rFonts w:ascii="宋体" w:hAnsi="宋体" w:cs="宋体" w:eastAsia="宋体" w:hint="default"/>
                <w:spacing w:val="-86"/>
                <w:sz w:val="18"/>
                <w:szCs w:val="18"/>
              </w:rPr>
              <w:t> </w:t>
            </w:r>
            <w:r>
              <w:rPr>
                <w:rFonts w:ascii="宋体" w:hAnsi="宋体" w:cs="宋体" w:eastAsia="宋体" w:hint="default"/>
                <w:sz w:val="18"/>
                <w:szCs w:val="18"/>
              </w:rPr>
              <w:t>机构</w:t>
            </w:r>
            <w:r>
              <w:rPr>
                <w:rFonts w:ascii="宋体" w:hAnsi="宋体" w:cs="宋体" w:eastAsia="宋体" w:hint="default"/>
                <w:spacing w:val="-86"/>
                <w:sz w:val="18"/>
                <w:szCs w:val="18"/>
              </w:rPr>
              <w:t> </w:t>
            </w:r>
            <w:r>
              <w:rPr>
                <w:rFonts w:ascii="宋体" w:hAnsi="宋体" w:cs="宋体" w:eastAsia="宋体" w:hint="default"/>
                <w:sz w:val="18"/>
                <w:szCs w:val="18"/>
              </w:rPr>
              <w:t>名称</w:t>
            </w:r>
          </w:p>
          <w:p>
            <w:pPr>
              <w:pStyle w:val="TableParagraph"/>
              <w:spacing w:line="321" w:lineRule="auto" w:before="19"/>
              <w:ind w:left="167" w:right="166"/>
              <w:jc w:val="both"/>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05" w:right="98" w:hanging="5"/>
              <w:jc w:val="center"/>
              <w:rPr>
                <w:rFonts w:ascii="宋体" w:hAnsi="宋体" w:cs="宋体" w:eastAsia="宋体" w:hint="default"/>
                <w:sz w:val="18"/>
                <w:szCs w:val="18"/>
              </w:rPr>
            </w:pPr>
            <w:r>
              <w:rPr>
                <w:rFonts w:ascii="宋体" w:hAnsi="宋体" w:cs="宋体" w:eastAsia="宋体" w:hint="default"/>
                <w:sz w:val="18"/>
                <w:szCs w:val="18"/>
              </w:rPr>
              <w:t>评估</w:t>
            </w:r>
            <w:r>
              <w:rPr>
                <w:rFonts w:ascii="宋体" w:hAnsi="宋体" w:cs="宋体" w:eastAsia="宋体" w:hint="default"/>
                <w:w w:val="101"/>
                <w:sz w:val="18"/>
                <w:szCs w:val="18"/>
              </w:rPr>
              <w:t> </w:t>
            </w:r>
            <w:r>
              <w:rPr>
                <w:rFonts w:ascii="宋体" w:hAnsi="宋体" w:cs="宋体" w:eastAsia="宋体" w:hint="default"/>
                <w:sz w:val="18"/>
                <w:szCs w:val="18"/>
              </w:rPr>
              <w:t>基准</w:t>
            </w:r>
            <w:r>
              <w:rPr>
                <w:rFonts w:ascii="宋体" w:hAnsi="宋体" w:cs="宋体" w:eastAsia="宋体" w:hint="default"/>
                <w:w w:val="101"/>
                <w:sz w:val="18"/>
                <w:szCs w:val="18"/>
              </w:rPr>
              <w:t> </w:t>
            </w:r>
            <w:r>
              <w:rPr>
                <w:rFonts w:ascii="宋体" w:hAnsi="宋体" w:cs="宋体" w:eastAsia="宋体" w:hint="default"/>
                <w:spacing w:val="-21"/>
                <w:sz w:val="18"/>
                <w:szCs w:val="18"/>
              </w:rPr>
              <w:t>日（如</w:t>
            </w:r>
            <w:r>
              <w:rPr>
                <w:rFonts w:ascii="宋体" w:hAnsi="宋体" w:cs="宋体" w:eastAsia="宋体" w:hint="default"/>
                <w:w w:val="101"/>
                <w:sz w:val="18"/>
                <w:szCs w:val="18"/>
              </w:rPr>
              <w:t> </w:t>
            </w:r>
            <w:r>
              <w:rPr>
                <w:rFonts w:ascii="宋体" w:hAnsi="宋体" w:cs="宋体" w:eastAsia="宋体" w:hint="default"/>
                <w:sz w:val="18"/>
                <w:szCs w:val="18"/>
              </w:rPr>
              <w:t>有）</w:t>
            </w:r>
          </w:p>
        </w:tc>
        <w:tc>
          <w:tcPr>
            <w:tcW w:w="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24" w:right="127"/>
              <w:jc w:val="both"/>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pacing w:val="-88"/>
                <w:sz w:val="18"/>
                <w:szCs w:val="18"/>
              </w:rPr>
              <w:t> </w:t>
            </w:r>
            <w:r>
              <w:rPr>
                <w:rFonts w:ascii="宋体" w:hAnsi="宋体" w:cs="宋体" w:eastAsia="宋体" w:hint="default"/>
                <w:sz w:val="18"/>
                <w:szCs w:val="18"/>
              </w:rPr>
              <w:t>价</w:t>
            </w:r>
            <w:r>
              <w:rPr>
                <w:rFonts w:ascii="宋体" w:hAnsi="宋体" w:cs="宋体" w:eastAsia="宋体" w:hint="default"/>
                <w:spacing w:val="-88"/>
                <w:sz w:val="18"/>
                <w:szCs w:val="18"/>
              </w:rPr>
              <w:t> </w:t>
            </w:r>
            <w:r>
              <w:rPr>
                <w:rFonts w:ascii="宋体" w:hAnsi="宋体" w:cs="宋体" w:eastAsia="宋体" w:hint="default"/>
                <w:sz w:val="18"/>
                <w:szCs w:val="18"/>
              </w:rPr>
              <w:t>原</w:t>
            </w:r>
            <w:r>
              <w:rPr>
                <w:rFonts w:ascii="宋体" w:hAnsi="宋体" w:cs="宋体" w:eastAsia="宋体" w:hint="default"/>
                <w:spacing w:val="-88"/>
                <w:sz w:val="18"/>
                <w:szCs w:val="18"/>
              </w:rPr>
              <w:t> </w:t>
            </w:r>
            <w:r>
              <w:rPr>
                <w:rFonts w:ascii="宋体" w:hAnsi="宋体" w:cs="宋体" w:eastAsia="宋体" w:hint="default"/>
                <w:sz w:val="18"/>
                <w:szCs w:val="18"/>
              </w:rPr>
              <w:t>则</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29" w:right="117"/>
              <w:jc w:val="both"/>
              <w:rPr>
                <w:rFonts w:ascii="宋体" w:hAnsi="宋体" w:cs="宋体" w:eastAsia="宋体" w:hint="default"/>
                <w:sz w:val="18"/>
                <w:szCs w:val="18"/>
              </w:rPr>
            </w:pPr>
            <w:r>
              <w:rPr>
                <w:rFonts w:ascii="宋体" w:hAnsi="宋体" w:cs="宋体" w:eastAsia="宋体" w:hint="default"/>
                <w:sz w:val="18"/>
                <w:szCs w:val="18"/>
              </w:rPr>
              <w:t>交易价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48" w:right="143"/>
              <w:jc w:val="both"/>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88"/>
                <w:sz w:val="18"/>
                <w:szCs w:val="18"/>
              </w:rPr>
              <w:t> </w:t>
            </w:r>
            <w:r>
              <w:rPr>
                <w:rFonts w:ascii="宋体" w:hAnsi="宋体" w:cs="宋体" w:eastAsia="宋体" w:hint="default"/>
                <w:sz w:val="18"/>
                <w:szCs w:val="18"/>
              </w:rPr>
              <w:t>否</w:t>
            </w:r>
            <w:r>
              <w:rPr>
                <w:rFonts w:ascii="宋体" w:hAnsi="宋体" w:cs="宋体" w:eastAsia="宋体" w:hint="default"/>
                <w:spacing w:val="-88"/>
                <w:sz w:val="18"/>
                <w:szCs w:val="18"/>
              </w:rPr>
              <w:t> </w:t>
            </w:r>
            <w:r>
              <w:rPr>
                <w:rFonts w:ascii="宋体" w:hAnsi="宋体" w:cs="宋体" w:eastAsia="宋体" w:hint="default"/>
                <w:sz w:val="18"/>
                <w:szCs w:val="18"/>
              </w:rPr>
              <w:t>关</w:t>
            </w:r>
            <w:r>
              <w:rPr>
                <w:rFonts w:ascii="宋体" w:hAnsi="宋体" w:cs="宋体" w:eastAsia="宋体" w:hint="default"/>
                <w:spacing w:val="-88"/>
                <w:sz w:val="18"/>
                <w:szCs w:val="18"/>
              </w:rPr>
              <w:t> </w:t>
            </w:r>
            <w:r>
              <w:rPr>
                <w:rFonts w:ascii="宋体" w:hAnsi="宋体" w:cs="宋体" w:eastAsia="宋体" w:hint="default"/>
                <w:sz w:val="18"/>
                <w:szCs w:val="18"/>
              </w:rPr>
              <w:t>联</w:t>
            </w:r>
            <w:r>
              <w:rPr>
                <w:rFonts w:ascii="宋体" w:hAnsi="宋体" w:cs="宋体" w:eastAsia="宋体" w:hint="default"/>
                <w:spacing w:val="-88"/>
                <w:sz w:val="18"/>
                <w:szCs w:val="18"/>
              </w:rPr>
              <w:t> </w:t>
            </w:r>
            <w:r>
              <w:rPr>
                <w:rFonts w:ascii="宋体" w:hAnsi="宋体" w:cs="宋体" w:eastAsia="宋体" w:hint="default"/>
                <w:sz w:val="18"/>
                <w:szCs w:val="18"/>
              </w:rPr>
              <w:t>交</w:t>
            </w:r>
            <w:r>
              <w:rPr>
                <w:rFonts w:ascii="宋体" w:hAnsi="宋体" w:cs="宋体" w:eastAsia="宋体" w:hint="default"/>
                <w:spacing w:val="-88"/>
                <w:sz w:val="18"/>
                <w:szCs w:val="18"/>
              </w:rPr>
              <w:t> </w:t>
            </w:r>
            <w:r>
              <w:rPr>
                <w:rFonts w:ascii="宋体" w:hAnsi="宋体" w:cs="宋体" w:eastAsia="宋体" w:hint="default"/>
                <w:sz w:val="18"/>
                <w:szCs w:val="18"/>
              </w:rPr>
              <w:t>易</w:t>
            </w:r>
          </w:p>
        </w:tc>
        <w:tc>
          <w:tcPr>
            <w:tcW w:w="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24" w:right="128"/>
              <w:jc w:val="both"/>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pacing w:val="-88"/>
                <w:sz w:val="18"/>
                <w:szCs w:val="18"/>
              </w:rPr>
              <w:t> </w:t>
            </w:r>
            <w:r>
              <w:rPr>
                <w:rFonts w:ascii="宋体" w:hAnsi="宋体" w:cs="宋体" w:eastAsia="宋体" w:hint="default"/>
                <w:sz w:val="18"/>
                <w:szCs w:val="18"/>
              </w:rPr>
              <w:t>联</w:t>
            </w:r>
            <w:r>
              <w:rPr>
                <w:rFonts w:ascii="宋体" w:hAnsi="宋体" w:cs="宋体" w:eastAsia="宋体" w:hint="default"/>
                <w:spacing w:val="-88"/>
                <w:sz w:val="18"/>
                <w:szCs w:val="18"/>
              </w:rPr>
              <w:t> </w:t>
            </w:r>
            <w:r>
              <w:rPr>
                <w:rFonts w:ascii="宋体" w:hAnsi="宋体" w:cs="宋体" w:eastAsia="宋体" w:hint="default"/>
                <w:sz w:val="18"/>
                <w:szCs w:val="18"/>
              </w:rPr>
              <w:t>关</w:t>
            </w:r>
            <w:r>
              <w:rPr>
                <w:rFonts w:ascii="宋体" w:hAnsi="宋体" w:cs="宋体" w:eastAsia="宋体" w:hint="default"/>
                <w:spacing w:val="-88"/>
                <w:sz w:val="18"/>
                <w:szCs w:val="18"/>
              </w:rPr>
              <w:t> </w:t>
            </w:r>
            <w:r>
              <w:rPr>
                <w:rFonts w:ascii="宋体" w:hAnsi="宋体" w:cs="宋体" w:eastAsia="宋体" w:hint="default"/>
                <w:sz w:val="18"/>
                <w:szCs w:val="18"/>
              </w:rPr>
              <w:t>系</w:t>
            </w:r>
          </w:p>
        </w:tc>
        <w:tc>
          <w:tcPr>
            <w:tcW w:w="2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940" w:right="122" w:hanging="812"/>
              <w:jc w:val="left"/>
              <w:rPr>
                <w:rFonts w:ascii="宋体" w:hAnsi="宋体" w:cs="宋体" w:eastAsia="宋体" w:hint="default"/>
                <w:sz w:val="18"/>
                <w:szCs w:val="18"/>
              </w:rPr>
            </w:pPr>
            <w:r>
              <w:rPr>
                <w:rFonts w:ascii="宋体" w:hAnsi="宋体" w:cs="宋体" w:eastAsia="宋体" w:hint="default"/>
                <w:spacing w:val="-2"/>
                <w:sz w:val="18"/>
                <w:szCs w:val="18"/>
              </w:rPr>
              <w:t>截至报告期末的执行情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况</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21" w:right="141" w:hanging="183"/>
              <w:jc w:val="left"/>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2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68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900"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105" w:right="261"/>
              <w:jc w:val="both"/>
              <w:rPr>
                <w:rFonts w:ascii="宋体" w:hAnsi="宋体" w:cs="宋体" w:eastAsia="宋体" w:hint="default"/>
                <w:sz w:val="18"/>
                <w:szCs w:val="18"/>
              </w:rPr>
            </w:pPr>
            <w:r>
              <w:rPr>
                <w:rFonts w:ascii="宋体" w:hAnsi="宋体" w:cs="宋体" w:eastAsia="宋体" w:hint="default"/>
                <w:sz w:val="18"/>
                <w:szCs w:val="18"/>
              </w:rPr>
              <w:t>二六三网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络通信股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苏州龙瑞创业投资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w w:val="101"/>
                <w:sz w:val="18"/>
                <w:szCs w:val="18"/>
              </w:rPr>
              <w:t>管理有限公司、苏州</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豪创投资管理有限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w w:val="101"/>
                <w:sz w:val="18"/>
                <w:szCs w:val="18"/>
              </w:rPr>
              <w:t>公司、苏州工业园区</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元禾秉胜股权投资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基金合伙企业（有限</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11"/>
                <w:w w:val="101"/>
                <w:sz w:val="18"/>
                <w:szCs w:val="18"/>
              </w:rPr>
              <w:t>合伙）及共青城龙遨</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投资中心（有限合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05" w:right="180"/>
              <w:jc w:val="both"/>
              <w:rPr>
                <w:rFonts w:ascii="宋体" w:hAnsi="宋体" w:cs="宋体" w:eastAsia="宋体" w:hint="default"/>
                <w:sz w:val="18"/>
                <w:szCs w:val="18"/>
              </w:rPr>
            </w:pPr>
            <w:r>
              <w:rPr>
                <w:rFonts w:ascii="宋体" w:hAnsi="宋体" w:cs="宋体" w:eastAsia="宋体" w:hint="default"/>
                <w:sz w:val="18"/>
                <w:szCs w:val="18"/>
              </w:rPr>
              <w:t>苏州龙遨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泛人工智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能高科技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投资中心</w:t>
            </w:r>
          </w:p>
          <w:p>
            <w:pPr>
              <w:pStyle w:val="TableParagraph"/>
              <w:spacing w:line="312" w:lineRule="auto" w:before="17"/>
              <w:ind w:left="105" w:right="95"/>
              <w:jc w:val="left"/>
              <w:rPr>
                <w:rFonts w:ascii="宋体" w:hAnsi="宋体" w:cs="宋体" w:eastAsia="宋体" w:hint="default"/>
                <w:sz w:val="18"/>
                <w:szCs w:val="18"/>
              </w:rPr>
            </w:pPr>
            <w:r>
              <w:rPr>
                <w:rFonts w:ascii="宋体" w:hAnsi="宋体" w:cs="宋体" w:eastAsia="宋体" w:hint="default"/>
                <w:sz w:val="18"/>
                <w:szCs w:val="18"/>
              </w:rPr>
              <w:t>（有限合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伙）</w:t>
            </w:r>
            <w:r>
              <w:rPr>
                <w:rFonts w:ascii="Times New Roman" w:hAnsi="Times New Roman" w:cs="Times New Roman" w:eastAsia="Times New Roman" w:hint="default"/>
                <w:spacing w:val="-12"/>
                <w:sz w:val="18"/>
                <w:szCs w:val="18"/>
              </w:rPr>
              <w:t>30%</w:t>
            </w:r>
            <w:r>
              <w:rPr>
                <w:rFonts w:ascii="宋体" w:hAnsi="宋体" w:cs="宋体" w:eastAsia="宋体" w:hint="default"/>
                <w:spacing w:val="-12"/>
                <w:sz w:val="18"/>
                <w:szCs w:val="18"/>
              </w:rPr>
              <w:t>的</w:t>
            </w:r>
            <w:r>
              <w:rPr>
                <w:rFonts w:ascii="宋体" w:hAnsi="宋体" w:cs="宋体" w:eastAsia="宋体" w:hint="default"/>
                <w:spacing w:val="-78"/>
                <w:sz w:val="18"/>
                <w:szCs w:val="18"/>
              </w:rPr>
              <w:t> </w:t>
            </w:r>
            <w:r>
              <w:rPr>
                <w:rFonts w:ascii="宋体" w:hAnsi="宋体" w:cs="宋体" w:eastAsia="宋体" w:hint="default"/>
                <w:sz w:val="18"/>
                <w:szCs w:val="18"/>
              </w:rPr>
              <w:t>股权</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0" w:right="233"/>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5" w:right="218"/>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21" w:lineRule="auto"/>
              <w:ind w:left="100" w:right="151"/>
              <w:jc w:val="both"/>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88"/>
                <w:sz w:val="18"/>
                <w:szCs w:val="18"/>
              </w:rPr>
              <w:t> </w:t>
            </w:r>
            <w:r>
              <w:rPr>
                <w:rFonts w:ascii="宋体" w:hAnsi="宋体" w:cs="宋体" w:eastAsia="宋体" w:hint="default"/>
                <w:sz w:val="18"/>
                <w:szCs w:val="18"/>
              </w:rPr>
              <w:t>适</w:t>
            </w:r>
            <w:r>
              <w:rPr>
                <w:rFonts w:ascii="宋体" w:hAnsi="宋体" w:cs="宋体" w:eastAsia="宋体" w:hint="default"/>
                <w:spacing w:val="-88"/>
                <w:sz w:val="18"/>
                <w:szCs w:val="18"/>
              </w:rPr>
              <w:t> </w:t>
            </w:r>
            <w:r>
              <w:rPr>
                <w:rFonts w:ascii="宋体" w:hAnsi="宋体" w:cs="宋体" w:eastAsia="宋体" w:hint="default"/>
                <w:sz w:val="18"/>
                <w:szCs w:val="18"/>
              </w:rPr>
              <w:t>用</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15,000</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79"/>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51"/>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日认缴出</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万元投资新设苏</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州龙遨，</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04" w:lineRule="auto" w:before="63"/>
              <w:ind w:left="105" w:right="94"/>
              <w:jc w:val="left"/>
              <w:rPr>
                <w:rFonts w:ascii="宋体" w:hAnsi="宋体" w:cs="宋体" w:eastAsia="宋体" w:hint="default"/>
                <w:sz w:val="18"/>
                <w:szCs w:val="18"/>
              </w:rPr>
            </w:pPr>
            <w:r>
              <w:rPr>
                <w:rFonts w:ascii="宋体" w:hAnsi="宋体" w:cs="宋体" w:eastAsia="宋体" w:hint="default"/>
                <w:sz w:val="18"/>
                <w:szCs w:val="18"/>
              </w:rPr>
              <w:t>日新增认缴出资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pacing w:val="-3"/>
                <w:sz w:val="18"/>
                <w:szCs w:val="18"/>
              </w:rPr>
              <w:t>万元，合计认缴出资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Times New Roman" w:hAnsi="Times New Roman" w:cs="Times New Roman" w:eastAsia="Times New Roman" w:hint="default"/>
                <w:w w:val="101"/>
                <w:sz w:val="18"/>
                <w:szCs w:val="18"/>
              </w:rPr>
              <w:t>15000</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3"/>
                <w:w w:val="101"/>
                <w:sz w:val="18"/>
                <w:szCs w:val="18"/>
              </w:rPr>
              <w:t>万元，持有苏州龙</w:t>
            </w:r>
            <w:r>
              <w:rPr>
                <w:rFonts w:ascii="宋体" w:hAnsi="宋体" w:cs="宋体" w:eastAsia="宋体" w:hint="default"/>
                <w:w w:val="101"/>
                <w:sz w:val="18"/>
                <w:szCs w:val="18"/>
              </w:rPr>
              <w:t> </w:t>
            </w:r>
            <w:r>
              <w:rPr>
                <w:rFonts w:ascii="宋体" w:hAnsi="宋体" w:cs="宋体" w:eastAsia="宋体" w:hint="default"/>
                <w:sz w:val="18"/>
                <w:szCs w:val="18"/>
              </w:rPr>
              <w:t>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的股份，截止报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告期末已支付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r>
              <w:rPr>
                <w:rFonts w:ascii="宋体" w:hAnsi="宋体" w:cs="宋体" w:eastAsia="宋体" w:hint="default"/>
                <w:spacing w:val="-83"/>
                <w:sz w:val="18"/>
                <w:szCs w:val="18"/>
              </w:rPr>
              <w:t> </w:t>
            </w:r>
            <w:r>
              <w:rPr>
                <w:rFonts w:ascii="宋体" w:hAnsi="宋体" w:cs="宋体" w:eastAsia="宋体" w:hint="default"/>
                <w:sz w:val="18"/>
                <w:szCs w:val="18"/>
              </w:rPr>
              <w:t>元。</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刊登于巨潮资讯网上</w:t>
            </w:r>
          </w:p>
          <w:p>
            <w:pPr>
              <w:pStyle w:val="TableParagraph"/>
              <w:spacing w:line="319" w:lineRule="auto" w:before="71"/>
              <w:ind w:left="105" w:right="166"/>
              <w:jc w:val="left"/>
              <w:rPr>
                <w:rFonts w:ascii="宋体" w:hAnsi="宋体" w:cs="宋体" w:eastAsia="宋体" w:hint="default"/>
                <w:sz w:val="18"/>
                <w:szCs w:val="18"/>
              </w:rPr>
            </w:pPr>
            <w:r>
              <w:rPr>
                <w:rFonts w:ascii="宋体" w:hAnsi="宋体" w:cs="宋体" w:eastAsia="宋体" w:hint="default"/>
                <w:spacing w:val="-2"/>
                <w:sz w:val="18"/>
                <w:szCs w:val="18"/>
              </w:rPr>
              <w:t>《关于增资苏州龙遨泛</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人工智能高科技投资中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心（有限合伙）的进展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公告》（公告编号：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Times New Roman" w:hAnsi="Times New Roman" w:cs="Times New Roman" w:eastAsia="Times New Roman" w:hint="default"/>
                <w:sz w:val="18"/>
                <w:szCs w:val="18"/>
              </w:rPr>
              <w:t>2019-005</w:t>
            </w:r>
            <w:r>
              <w:rPr>
                <w:rFonts w:ascii="宋体" w:hAnsi="宋体" w:cs="宋体" w:eastAsia="宋体" w:hint="default"/>
                <w:sz w:val="18"/>
                <w:szCs w:val="18"/>
              </w:rPr>
              <w:t>）</w:t>
            </w:r>
          </w:p>
        </w:tc>
      </w:tr>
      <w:tr>
        <w:trPr>
          <w:trHeight w:val="1652"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5" w:right="261"/>
              <w:jc w:val="both"/>
              <w:rPr>
                <w:rFonts w:ascii="宋体" w:hAnsi="宋体" w:cs="宋体" w:eastAsia="宋体" w:hint="default"/>
                <w:sz w:val="18"/>
                <w:szCs w:val="18"/>
              </w:rPr>
            </w:pPr>
            <w:r>
              <w:rPr>
                <w:rFonts w:ascii="宋体" w:hAnsi="宋体" w:cs="宋体" w:eastAsia="宋体" w:hint="default"/>
                <w:sz w:val="18"/>
                <w:szCs w:val="18"/>
              </w:rPr>
              <w:t>二六三网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络通信股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22"/>
              <w:jc w:val="left"/>
              <w:rPr>
                <w:rFonts w:ascii="宋体" w:hAnsi="宋体" w:cs="宋体" w:eastAsia="宋体" w:hint="default"/>
                <w:sz w:val="18"/>
                <w:szCs w:val="18"/>
              </w:rPr>
            </w:pPr>
            <w:r>
              <w:rPr>
                <w:rFonts w:ascii="宋体" w:hAnsi="宋体" w:cs="宋体" w:eastAsia="宋体" w:hint="default"/>
                <w:spacing w:val="-11"/>
                <w:w w:val="101"/>
                <w:sz w:val="18"/>
                <w:szCs w:val="18"/>
              </w:rPr>
              <w:t>沈晨岗、苏州龙遨泛</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人工智能高科技投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资中心（有限合伙）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1"/>
                <w:w w:val="101"/>
                <w:sz w:val="18"/>
                <w:szCs w:val="18"/>
              </w:rPr>
              <w:t>及飞书数字科技（上</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海）有限公司</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124"/>
              <w:jc w:val="both"/>
              <w:rPr>
                <w:rFonts w:ascii="宋体" w:hAnsi="宋体" w:cs="宋体" w:eastAsia="宋体" w:hint="default"/>
                <w:sz w:val="18"/>
                <w:szCs w:val="18"/>
              </w:rPr>
            </w:pPr>
            <w:r>
              <w:rPr>
                <w:rFonts w:ascii="宋体" w:hAnsi="宋体" w:cs="宋体" w:eastAsia="宋体" w:hint="default"/>
                <w:sz w:val="18"/>
                <w:szCs w:val="18"/>
              </w:rPr>
              <w:t>飞书数字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海）有限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2.5%</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的股份</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4" w:lineRule="auto"/>
              <w:ind w:left="100" w:right="233"/>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4" w:lineRule="auto"/>
              <w:ind w:left="105" w:right="218"/>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0" w:right="151"/>
              <w:jc w:val="both"/>
              <w:rPr>
                <w:rFonts w:ascii="宋体" w:hAnsi="宋体" w:cs="宋体" w:eastAsia="宋体" w:hint="default"/>
                <w:sz w:val="18"/>
                <w:szCs w:val="18"/>
              </w:rPr>
            </w:pPr>
            <w:r>
              <w:rPr>
                <w:rFonts w:ascii="宋体" w:hAnsi="宋体" w:cs="宋体" w:eastAsia="宋体" w:hint="default"/>
                <w:sz w:val="18"/>
                <w:szCs w:val="18"/>
              </w:rPr>
              <w:t>协</w:t>
            </w:r>
            <w:r>
              <w:rPr>
                <w:rFonts w:ascii="宋体" w:hAnsi="宋体" w:cs="宋体" w:eastAsia="宋体" w:hint="default"/>
                <w:spacing w:val="-88"/>
                <w:sz w:val="18"/>
                <w:szCs w:val="18"/>
              </w:rPr>
              <w:t> </w:t>
            </w:r>
            <w:r>
              <w:rPr>
                <w:rFonts w:ascii="宋体" w:hAnsi="宋体" w:cs="宋体" w:eastAsia="宋体" w:hint="default"/>
                <w:sz w:val="18"/>
                <w:szCs w:val="18"/>
              </w:rPr>
              <w:t>商</w:t>
            </w:r>
            <w:r>
              <w:rPr>
                <w:rFonts w:ascii="宋体" w:hAnsi="宋体" w:cs="宋体" w:eastAsia="宋体" w:hint="default"/>
                <w:spacing w:val="-88"/>
                <w:sz w:val="18"/>
                <w:szCs w:val="18"/>
              </w:rPr>
              <w:t> </w:t>
            </w:r>
            <w:r>
              <w:rPr>
                <w:rFonts w:ascii="宋体" w:hAnsi="宋体" w:cs="宋体" w:eastAsia="宋体" w:hint="default"/>
                <w:sz w:val="18"/>
                <w:szCs w:val="18"/>
              </w:rPr>
              <w:t>定</w:t>
            </w:r>
            <w:r>
              <w:rPr>
                <w:rFonts w:ascii="宋体" w:hAnsi="宋体" w:cs="宋体" w:eastAsia="宋体" w:hint="default"/>
                <w:spacing w:val="-88"/>
                <w:sz w:val="18"/>
                <w:szCs w:val="18"/>
              </w:rPr>
              <w:t> </w:t>
            </w:r>
            <w:r>
              <w:rPr>
                <w:rFonts w:ascii="宋体" w:hAnsi="宋体" w:cs="宋体" w:eastAsia="宋体" w:hint="default"/>
                <w:sz w:val="18"/>
                <w:szCs w:val="18"/>
              </w:rPr>
              <w:t>价</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4,000</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已支付股权转让款</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刊登于巨潮资讯网上</w:t>
            </w:r>
          </w:p>
          <w:p>
            <w:pPr>
              <w:pStyle w:val="TableParagraph"/>
              <w:spacing w:line="319" w:lineRule="auto" w:before="71"/>
              <w:ind w:left="105" w:right="166"/>
              <w:jc w:val="left"/>
              <w:rPr>
                <w:rFonts w:ascii="宋体" w:hAnsi="宋体" w:cs="宋体" w:eastAsia="宋体" w:hint="default"/>
                <w:sz w:val="18"/>
                <w:szCs w:val="18"/>
              </w:rPr>
            </w:pPr>
            <w:r>
              <w:rPr>
                <w:rFonts w:ascii="宋体" w:hAnsi="宋体" w:cs="宋体" w:eastAsia="宋体" w:hint="default"/>
                <w:spacing w:val="-2"/>
                <w:sz w:val="18"/>
                <w:szCs w:val="18"/>
              </w:rPr>
              <w:t>《关于对外投资暨受让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飞书数字部分股权的公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2019-083</w:t>
            </w:r>
            <w:r>
              <w:rPr>
                <w:rFonts w:ascii="宋体" w:hAnsi="宋体" w:cs="宋体" w:eastAsia="宋体" w:hint="default"/>
                <w:sz w:val="18"/>
                <w:szCs w:val="18"/>
              </w:rPr>
              <w:t>）</w:t>
            </w:r>
          </w:p>
        </w:tc>
      </w:tr>
    </w:tbl>
    <w:p>
      <w:pPr>
        <w:spacing w:after="0" w:line="319" w:lineRule="auto"/>
        <w:jc w:val="left"/>
        <w:rPr>
          <w:rFonts w:ascii="宋体" w:hAnsi="宋体" w:cs="宋体" w:eastAsia="宋体" w:hint="default"/>
          <w:sz w:val="18"/>
          <w:szCs w:val="18"/>
        </w:rPr>
        <w:sectPr>
          <w:pgSz w:w="16840" w:h="11910" w:orient="landscape"/>
          <w:pgMar w:header="906" w:footer="1018" w:top="1100" w:bottom="1200" w:left="820" w:right="780"/>
        </w:sectPr>
      </w:pPr>
    </w:p>
    <w:p>
      <w:pPr>
        <w:spacing w:line="240" w:lineRule="auto" w:before="9"/>
        <w:rPr>
          <w:rFonts w:ascii="宋体" w:hAnsi="宋体" w:cs="宋体" w:eastAsia="宋体" w:hint="default"/>
          <w:sz w:val="17"/>
          <w:szCs w:val="17"/>
        </w:rPr>
      </w:pPr>
    </w:p>
    <w:p>
      <w:pPr>
        <w:spacing w:line="511" w:lineRule="auto" w:before="26"/>
        <w:ind w:left="153" w:right="8582" w:firstLine="0"/>
        <w:jc w:val="left"/>
        <w:rPr>
          <w:rFonts w:ascii="宋体" w:hAnsi="宋体" w:cs="宋体" w:eastAsia="宋体" w:hint="default"/>
          <w:sz w:val="18"/>
          <w:szCs w:val="18"/>
        </w:rPr>
      </w:pPr>
      <w:bookmarkStart w:name="十八、社会责任情况" w:id="97"/>
      <w:bookmarkEnd w:id="97"/>
      <w:r>
        <w:rPr/>
      </w:r>
      <w:r>
        <w:rPr>
          <w:rFonts w:ascii="宋体" w:hAnsi="宋体" w:cs="宋体" w:eastAsia="宋体" w:hint="default"/>
          <w:b/>
          <w:bCs/>
          <w:sz w:val="24"/>
          <w:szCs w:val="24"/>
        </w:rPr>
        <w:t>十八、社会责任情况</w:t>
      </w:r>
      <w:r>
        <w:rPr>
          <w:rFonts w:ascii="宋体" w:hAnsi="宋体" w:cs="宋体" w:eastAsia="宋体" w:hint="default"/>
          <w:b/>
          <w:bCs/>
          <w:w w:val="99"/>
          <w:sz w:val="24"/>
          <w:szCs w:val="24"/>
        </w:rPr>
        <w:t> </w:t>
      </w:r>
      <w:bookmarkStart w:name="1、履行社会责任情况" w:id="98"/>
      <w:bookmarkEnd w:id="9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spacing w:val="-102"/>
          <w:sz w:val="21"/>
          <w:szCs w:val="21"/>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7"/>
          <w:szCs w:val="17"/>
        </w:rPr>
      </w:pPr>
    </w:p>
    <w:p>
      <w:pPr>
        <w:pStyle w:val="Heading4"/>
        <w:spacing w:line="240" w:lineRule="auto"/>
        <w:ind w:left="153" w:right="0"/>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153" w:right="0"/>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left="153" w:right="0"/>
        <w:jc w:val="left"/>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10"/>
        <w:rPr>
          <w:rFonts w:ascii="宋体" w:hAnsi="宋体" w:cs="宋体" w:eastAsia="宋体" w:hint="default"/>
          <w:b/>
          <w:bCs/>
          <w:sz w:val="26"/>
          <w:szCs w:val="26"/>
        </w:rPr>
      </w:pPr>
    </w:p>
    <w:p>
      <w:pPr>
        <w:pStyle w:val="BodyText"/>
        <w:spacing w:line="357" w:lineRule="auto"/>
        <w:ind w:left="153" w:right="5655"/>
        <w:jc w:val="left"/>
      </w:pPr>
      <w:r>
        <w:rPr>
          <w:spacing w:val="-3"/>
        </w:rPr>
        <w:t>上市公司及其子公司是否属于环境保护部门公布的重点排污单位</w:t>
      </w:r>
      <w:r>
        <w:rPr>
          <w:spacing w:val="-9"/>
        </w:rPr>
        <w:t> </w:t>
      </w:r>
      <w:r>
        <w:rPr>
          <w:spacing w:val="-9"/>
        </w:rPr>
      </w:r>
      <w:r>
        <w:rPr/>
        <w:t>否</w:t>
      </w:r>
    </w:p>
    <w:p>
      <w:pPr>
        <w:pStyle w:val="BodyText"/>
        <w:spacing w:line="316" w:lineRule="auto" w:before="26"/>
        <w:ind w:left="335" w:right="0"/>
        <w:jc w:val="left"/>
      </w:pPr>
      <w:r>
        <w:rPr>
          <w:spacing w:val="-3"/>
        </w:rPr>
        <w:t>经公司核查，公司及子公司不属于环境保护部门公布的重点排污单位。 </w:t>
      </w:r>
      <w:r>
        <w:rPr>
          <w:spacing w:val="-5"/>
        </w:rPr>
        <w:t>公司及子公司在日常生产经营中认真执行《中华人民共和国环境保护法》、《中华人民共和国水污染防治法》、《中华人</w:t>
      </w:r>
    </w:p>
    <w:p>
      <w:pPr>
        <w:pStyle w:val="BodyText"/>
        <w:spacing w:line="319" w:lineRule="auto" w:before="19"/>
        <w:ind w:left="153" w:right="0"/>
        <w:jc w:val="left"/>
      </w:pPr>
      <w:r>
        <w:rPr>
          <w:spacing w:val="-4"/>
        </w:rPr>
        <w:t>民共和国大气污染防治法》、《中华人民共和国固体废物污染防治法》等环保方面的法律法规，报告期内未出现因违法违规</w:t>
      </w:r>
      <w:r>
        <w:rPr>
          <w:spacing w:val="41"/>
        </w:rPr>
        <w:t> </w:t>
      </w:r>
      <w:r>
        <w:rPr>
          <w:spacing w:val="41"/>
        </w:rPr>
      </w:r>
      <w:r>
        <w:rPr>
          <w:spacing w:val="-3"/>
        </w:rPr>
        <w:t>而受到处罚的情况。</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十九、其他重大事项的说明" w:id="101"/>
      <w:bookmarkEnd w:id="101"/>
      <w:r>
        <w:rPr>
          <w:b w:val="0"/>
          <w:bCs w:val="0"/>
        </w:rPr>
      </w:r>
      <w:r>
        <w:rPr/>
        <w:t>十九、其他重大事项的说明</w:t>
      </w:r>
      <w:r>
        <w:rPr>
          <w:b w:val="0"/>
          <w:bCs w:val="0"/>
        </w:rPr>
      </w:r>
    </w:p>
    <w:p>
      <w:pPr>
        <w:spacing w:line="240" w:lineRule="auto" w:before="3"/>
        <w:rPr>
          <w:rFonts w:ascii="宋体" w:hAnsi="宋体" w:cs="宋体" w:eastAsia="宋体" w:hint="default"/>
          <w:b/>
          <w:bCs/>
          <w:sz w:val="27"/>
          <w:szCs w:val="27"/>
        </w:rPr>
      </w:pPr>
    </w:p>
    <w:p>
      <w:pPr>
        <w:pStyle w:val="BodyText"/>
        <w:spacing w:line="338" w:lineRule="auto"/>
        <w:ind w:left="153"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公司报告期不存在需要说明的其他重大事项。</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二十、公司子公司重大事项" w:id="102"/>
      <w:bookmarkEnd w:id="102"/>
      <w:r>
        <w:rPr>
          <w:b w:val="0"/>
          <w:bCs w:val="0"/>
        </w:rPr>
      </w:r>
      <w:r>
        <w:rPr/>
        <w:t>二十、公司子公司重大事项</w:t>
      </w:r>
      <w:r>
        <w:rPr>
          <w:b w:val="0"/>
          <w:bCs w:val="0"/>
        </w:rPr>
      </w:r>
    </w:p>
    <w:p>
      <w:pPr>
        <w:spacing w:line="240" w:lineRule="auto" w:before="7"/>
        <w:rPr>
          <w:rFonts w:ascii="宋体" w:hAnsi="宋体" w:cs="宋体" w:eastAsia="宋体" w:hint="default"/>
          <w:b/>
          <w:bCs/>
          <w:sz w:val="27"/>
          <w:szCs w:val="27"/>
        </w:rPr>
      </w:pPr>
    </w:p>
    <w:p>
      <w:pPr>
        <w:pStyle w:val="BodyText"/>
        <w:spacing w:line="333" w:lineRule="auto"/>
        <w:ind w:left="335" w:right="1029" w:hanging="18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1"/>
        </w:rPr>
        <w:t>详见公司分别于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30</w:t>
      </w:r>
      <w:r>
        <w:rPr>
          <w:spacing w:val="-1"/>
        </w:rPr>
        <w:t>日、</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10</w:t>
      </w:r>
      <w:r>
        <w:rPr>
          <w:spacing w:val="-1"/>
        </w:rPr>
        <w:t>日、</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4</w:t>
      </w:r>
      <w:r>
        <w:rPr>
          <w:spacing w:val="-1"/>
        </w:rPr>
        <w:t>日刊载于巨潮资讯网（</w:t>
      </w:r>
      <w:hyperlink r:id="rId22">
        <w:r>
          <w:rPr>
            <w:rFonts w:ascii="Times New Roman" w:hAnsi="Times New Roman" w:cs="Times New Roman" w:eastAsia="Times New Roman" w:hint="default"/>
            <w:spacing w:val="-1"/>
          </w:rPr>
          <w:t>www.chinfo.com.cn</w:t>
        </w:r>
      </w:hyperlink>
      <w:r>
        <w:rPr>
          <w:spacing w:val="-1"/>
        </w:rPr>
        <w:t>）、《中国证券</w:t>
      </w:r>
    </w:p>
    <w:p>
      <w:pPr>
        <w:pStyle w:val="BodyText"/>
        <w:spacing w:line="234" w:lineRule="exact"/>
        <w:ind w:left="153" w:right="0"/>
        <w:jc w:val="left"/>
      </w:pPr>
      <w:r>
        <w:rPr>
          <w:spacing w:val="-4"/>
        </w:rPr>
        <w:t>报》、《证券时报》上的《关于全资子公司名称变更暨完成工商变更登记的公告》（公告编号：</w:t>
      </w:r>
      <w:r>
        <w:rPr>
          <w:rFonts w:ascii="Times New Roman" w:hAnsi="Times New Roman" w:cs="Times New Roman" w:eastAsia="Times New Roman" w:hint="default"/>
          <w:spacing w:val="-4"/>
        </w:rPr>
        <w:t>2019-026</w:t>
      </w:r>
      <w:r>
        <w:rPr>
          <w:spacing w:val="-4"/>
        </w:rPr>
        <w:t>）和《关于全资孙</w:t>
      </w:r>
    </w:p>
    <w:p>
      <w:pPr>
        <w:pStyle w:val="BodyText"/>
        <w:spacing w:line="240" w:lineRule="auto" w:before="63"/>
        <w:ind w:left="153" w:right="0"/>
        <w:jc w:val="left"/>
      </w:pPr>
      <w:r>
        <w:rPr>
          <w:spacing w:val="-3"/>
        </w:rPr>
        <w:t>公司重大诉讼事项的公告》（公告编号：</w:t>
      </w:r>
      <w:r>
        <w:rPr>
          <w:rFonts w:ascii="Times New Roman" w:hAnsi="Times New Roman" w:cs="Times New Roman" w:eastAsia="Times New Roman" w:hint="default"/>
          <w:spacing w:val="-3"/>
        </w:rPr>
        <w:t>2019-042</w:t>
      </w:r>
      <w:r>
        <w:rPr>
          <w:spacing w:val="-3"/>
        </w:rPr>
        <w:t>）、《关于全资孙公司名称变更的公告》（公告编号：</w:t>
      </w:r>
      <w:r>
        <w:rPr>
          <w:rFonts w:ascii="Times New Roman" w:hAnsi="Times New Roman" w:cs="Times New Roman" w:eastAsia="Times New Roman" w:hint="default"/>
          <w:spacing w:val="-3"/>
        </w:rPr>
        <w:t>2019-052</w:t>
      </w:r>
      <w:r>
        <w:rPr>
          <w:spacing w:val="-3"/>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78"/>
        <w:ind w:left="2602" w:right="3575"/>
        <w:jc w:val="center"/>
        <w:rPr>
          <w:rFonts w:ascii="Times New Roman" w:hAnsi="Times New Roman" w:cs="Times New Roman" w:eastAsia="Times New Roman" w:hint="default"/>
        </w:rPr>
      </w:pPr>
      <w:r>
        <w:rPr/>
        <w:pict>
          <v:shape style="position:absolute;margin-left:535.574707pt;margin-top:30.886868pt;width:59.493346pt;height:26.794713pt;mso-position-horizontal-relative:page;mso-position-vertical-relative:paragraph;z-index:1240" type="#_x0000_t75" stroked="false">
            <v:imagedata r:id="rId23" o:title=""/>
          </v:shape>
        </w:pict>
      </w:r>
      <w:r>
        <w:rPr>
          <w:rFonts w:ascii="Times New Roman"/>
        </w:rPr>
        <w:t>47</w:t>
      </w:r>
    </w:p>
    <w:p>
      <w:pPr>
        <w:spacing w:after="0" w:line="240" w:lineRule="auto"/>
        <w:jc w:val="center"/>
        <w:rPr>
          <w:rFonts w:ascii="Times New Roman" w:hAnsi="Times New Roman" w:cs="Times New Roman" w:eastAsia="Times New Roman" w:hint="default"/>
        </w:rPr>
        <w:sectPr>
          <w:headerReference w:type="default" r:id="rId20"/>
          <w:footerReference w:type="default" r:id="rId21"/>
          <w:pgSz w:w="11910" w:h="16840"/>
          <w:pgMar w:header="914" w:footer="0" w:top="1120" w:bottom="0" w:left="980" w:right="0"/>
        </w:sectPr>
      </w:pPr>
    </w:p>
    <w:p>
      <w:pPr>
        <w:pStyle w:val="BodyText"/>
        <w:spacing w:line="240" w:lineRule="auto" w:before="16"/>
        <w:ind w:left="0" w:right="209"/>
        <w:jc w:val="right"/>
      </w:pPr>
      <w:r>
        <w:rPr/>
        <w:t>二六三网络通信股份有限公司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p>
      <w:pPr>
        <w:spacing w:line="20" w:lineRule="exact"/>
        <w:ind w:left="186" w:right="0" w:firstLine="0"/>
        <w:rPr>
          <w:rFonts w:ascii="宋体" w:hAnsi="宋体" w:cs="宋体" w:eastAsia="宋体" w:hint="default"/>
          <w:sz w:val="2"/>
          <w:szCs w:val="2"/>
        </w:rPr>
      </w:pPr>
      <w:r>
        <w:rPr>
          <w:rFonts w:ascii="宋体" w:hAnsi="宋体" w:cs="宋体" w:eastAsia="宋体" w:hint="default"/>
          <w:sz w:val="2"/>
          <w:szCs w:val="2"/>
        </w:rPr>
        <w:pict>
          <v:group style="width:701.5pt;height:.5pt;mso-position-horizontal-relative:char;mso-position-vertical-relative:line" coordorigin="0,0" coordsize="14030,10">
            <v:group style="position:absolute;left:5;top:5;width:14020;height:2" coordorigin="5,5" coordsize="14020,2">
              <v:shape style="position:absolute;left:5;top:5;width:14020;height:2" coordorigin="5,5" coordsize="14020,0" path="m5,5l14025,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1"/>
        <w:spacing w:line="240" w:lineRule="auto"/>
        <w:ind w:left="5253" w:right="5249"/>
        <w:jc w:val="center"/>
        <w:rPr>
          <w:b w:val="0"/>
          <w:bCs w:val="0"/>
        </w:rPr>
      </w:pPr>
      <w:bookmarkStart w:name="第六节股份变动及股东情况" w:id="103"/>
      <w:bookmarkEnd w:id="103"/>
      <w:r>
        <w:rPr>
          <w:b w:val="0"/>
          <w:bCs w:val="0"/>
        </w:rPr>
      </w:r>
      <w:bookmarkStart w:name="_bookmark5" w:id="104"/>
      <w:bookmarkEnd w:id="104"/>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headerReference w:type="default" r:id="rId24"/>
          <w:footerReference w:type="default" r:id="rId25"/>
          <w:pgSz w:w="16840" w:h="11910" w:orient="landscape"/>
          <w:pgMar w:header="0" w:footer="0" w:top="840" w:bottom="0" w:left="1220" w:right="1220"/>
        </w:sectPr>
      </w:pPr>
    </w:p>
    <w:p>
      <w:pPr>
        <w:pStyle w:val="Heading2"/>
        <w:spacing w:line="240" w:lineRule="auto" w:before="26"/>
        <w:ind w:left="220" w:right="0"/>
        <w:jc w:val="left"/>
        <w:rPr>
          <w:b w:val="0"/>
          <w:bCs w:val="0"/>
        </w:rPr>
      </w:pPr>
      <w:bookmarkStart w:name="一、股份变动情况" w:id="105"/>
      <w:bookmarkEnd w:id="105"/>
      <w:r>
        <w:rPr>
          <w:b w:val="0"/>
          <w:bCs w:val="0"/>
        </w:rPr>
      </w:r>
      <w:r>
        <w:rPr>
          <w:w w:val="95"/>
        </w:rPr>
        <w:t>一、股份变动情况</w:t>
      </w:r>
      <w:r>
        <w:rPr>
          <w:b w:val="0"/>
          <w:bCs w:val="0"/>
        </w:rPr>
      </w:r>
    </w:p>
    <w:p>
      <w:pPr>
        <w:pStyle w:val="Heading4"/>
        <w:spacing w:line="240" w:lineRule="auto" w:before="129"/>
        <w:ind w:left="220" w:right="0"/>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25"/>
          <w:szCs w:val="25"/>
        </w:rPr>
      </w:pPr>
    </w:p>
    <w:p>
      <w:pPr>
        <w:pStyle w:val="BodyText"/>
        <w:spacing w:line="240" w:lineRule="auto"/>
        <w:ind w:left="220" w:right="0"/>
        <w:jc w:val="left"/>
      </w:pPr>
      <w:r>
        <w:rPr/>
        <w:t>单位：股</w:t>
      </w:r>
    </w:p>
    <w:p>
      <w:pPr>
        <w:spacing w:after="0" w:line="240" w:lineRule="auto"/>
        <w:jc w:val="left"/>
        <w:sectPr>
          <w:type w:val="continuous"/>
          <w:pgSz w:w="16840" w:h="11910" w:orient="landscape"/>
          <w:pgMar w:top="1100" w:bottom="1220" w:left="1220" w:right="1220"/>
          <w:cols w:num="2" w:equalWidth="0">
            <w:col w:w="2146" w:space="11097"/>
            <w:col w:w="1157"/>
          </w:cols>
        </w:sectPr>
      </w:pPr>
    </w:p>
    <w:p>
      <w:pPr>
        <w:spacing w:line="240" w:lineRule="auto" w:before="0"/>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617"/>
        <w:gridCol w:w="1445"/>
        <w:gridCol w:w="1119"/>
        <w:gridCol w:w="1215"/>
        <w:gridCol w:w="744"/>
        <w:gridCol w:w="1445"/>
        <w:gridCol w:w="1412"/>
        <w:gridCol w:w="1445"/>
        <w:gridCol w:w="1623"/>
        <w:gridCol w:w="1114"/>
      </w:tblGrid>
      <w:tr>
        <w:trPr>
          <w:trHeight w:val="403" w:hRule="exact"/>
        </w:trPr>
        <w:tc>
          <w:tcPr>
            <w:tcW w:w="2617" w:type="dxa"/>
            <w:vMerge w:val="restart"/>
            <w:tcBorders>
              <w:top w:val="single" w:sz="4" w:space="0" w:color="000000"/>
              <w:left w:val="single" w:sz="4" w:space="0" w:color="000000"/>
              <w:right w:val="single" w:sz="4" w:space="0" w:color="000000"/>
            </w:tcBorders>
            <w:shd w:val="clear" w:color="auto" w:fill="D2D2D2"/>
          </w:tcPr>
          <w:p>
            <w:pPr/>
          </w:p>
        </w:tc>
        <w:tc>
          <w:tcPr>
            <w:tcW w:w="25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626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4" w:hRule="exact"/>
        </w:trPr>
        <w:tc>
          <w:tcPr>
            <w:tcW w:w="2617" w:type="dxa"/>
            <w:vMerge/>
            <w:tcBorders>
              <w:left w:val="single" w:sz="4" w:space="0" w:color="000000"/>
              <w:bottom w:val="single" w:sz="4" w:space="0" w:color="000000"/>
              <w:right w:val="single" w:sz="4" w:space="0" w:color="000000"/>
            </w:tcBorders>
            <w:shd w:val="clear" w:color="auto" w:fill="D2D2D2"/>
          </w:tcPr>
          <w:p>
            <w:pP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数量</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98" w:hRule="exact"/>
        </w:trPr>
        <w:tc>
          <w:tcPr>
            <w:tcW w:w="2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154,118,794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19.39%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83,510,616</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-38,531,355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44,979,261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199,098,055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14.71%</w:t>
            </w:r>
          </w:p>
        </w:tc>
      </w:tr>
      <w:tr>
        <w:trPr>
          <w:trHeight w:val="403" w:hRule="exact"/>
        </w:trPr>
        <w:tc>
          <w:tcPr>
            <w:tcW w:w="2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152,518,794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19.19%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82,390,616</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-38,021,355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44,369,261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196,888,055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14.54%</w:t>
            </w:r>
          </w:p>
        </w:tc>
      </w:tr>
      <w:tr>
        <w:trPr>
          <w:trHeight w:val="398" w:hRule="exact"/>
        </w:trPr>
        <w:tc>
          <w:tcPr>
            <w:tcW w:w="2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94"/>
              <w:jc w:val="righ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152,518,794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19.19%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82,390,616</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-38,021,355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44,369,261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196,888,055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14.54%</w:t>
            </w:r>
          </w:p>
        </w:tc>
      </w:tr>
      <w:tr>
        <w:trPr>
          <w:trHeight w:val="404" w:hRule="exact"/>
        </w:trPr>
        <w:tc>
          <w:tcPr>
            <w:tcW w:w="2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1,600,000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0.20%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1,120,000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-510,000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610,000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2,210,000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3" w:hRule="exact"/>
        </w:trPr>
        <w:tc>
          <w:tcPr>
            <w:tcW w:w="2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2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94"/>
              <w:jc w:val="right"/>
              <w:rPr>
                <w:rFonts w:ascii="宋体" w:hAnsi="宋体" w:cs="宋体" w:eastAsia="宋体" w:hint="default"/>
                <w:sz w:val="18"/>
                <w:szCs w:val="18"/>
              </w:rPr>
            </w:pPr>
            <w:r>
              <w:rPr>
                <w:rFonts w:ascii="宋体" w:hAnsi="宋体" w:cs="宋体" w:eastAsia="宋体" w:hint="default"/>
                <w:spacing w:val="-3"/>
                <w:sz w:val="18"/>
                <w:szCs w:val="18"/>
              </w:rPr>
              <w:t>境外自然人持股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1,600,000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0.20%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1,120,000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-510,000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610,000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2,210,000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4" w:hRule="exact"/>
        </w:trPr>
        <w:tc>
          <w:tcPr>
            <w:tcW w:w="2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640,861,426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80.61%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1,710,282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473,681,835</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38,531,355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513,923,472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1,154,784,898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85.29%</w:t>
            </w:r>
          </w:p>
        </w:tc>
      </w:tr>
      <w:tr>
        <w:trPr>
          <w:trHeight w:val="403" w:hRule="exact"/>
        </w:trPr>
        <w:tc>
          <w:tcPr>
            <w:tcW w:w="2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640,861,426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80.61%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1,710,282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473,681,835</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38,531,355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513,923,472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1,154,784,898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85.29%</w:t>
            </w:r>
          </w:p>
        </w:tc>
      </w:tr>
      <w:tr>
        <w:trPr>
          <w:trHeight w:val="403" w:hRule="exact"/>
        </w:trPr>
        <w:tc>
          <w:tcPr>
            <w:tcW w:w="2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9" w:hRule="exact"/>
        </w:trPr>
        <w:tc>
          <w:tcPr>
            <w:tcW w:w="2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794,980,220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1,710,282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557,192,451</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558,902,733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1,353,882,953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100.00%</w:t>
            </w:r>
          </w:p>
        </w:tc>
      </w:tr>
    </w:tbl>
    <w:p>
      <w:pPr>
        <w:spacing w:line="240" w:lineRule="auto" w:before="13"/>
        <w:rPr>
          <w:rFonts w:ascii="宋体" w:hAnsi="宋体" w:cs="宋体" w:eastAsia="宋体" w:hint="default"/>
          <w:sz w:val="7"/>
          <w:szCs w:val="7"/>
        </w:rPr>
      </w:pPr>
    </w:p>
    <w:p>
      <w:pPr>
        <w:pStyle w:val="BodyText"/>
        <w:spacing w:line="240" w:lineRule="auto" w:before="78"/>
        <w:ind w:left="5253" w:right="5249"/>
        <w:jc w:val="center"/>
        <w:rPr>
          <w:rFonts w:ascii="Times New Roman" w:hAnsi="Times New Roman" w:cs="Times New Roman" w:eastAsia="Times New Roman" w:hint="default"/>
        </w:rPr>
      </w:pPr>
      <w:r>
        <w:rPr>
          <w:rFonts w:ascii="Times New Roman"/>
        </w:rPr>
        <w:t>48</w: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spacing w:line="371" w:lineRule="exact"/>
        <w:ind w:left="1056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23"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100" w:bottom="1220" w:left="1220" w:right="1220"/>
        </w:sectPr>
      </w:pPr>
    </w:p>
    <w:p>
      <w:pPr>
        <w:spacing w:line="240" w:lineRule="auto" w:before="7"/>
        <w:rPr>
          <w:rFonts w:ascii="Times New Roman" w:hAnsi="Times New Roman" w:cs="Times New Roman" w:eastAsia="Times New Roman" w:hint="default"/>
          <w:sz w:val="23"/>
          <w:szCs w:val="23"/>
        </w:rPr>
      </w:pPr>
    </w:p>
    <w:p>
      <w:pPr>
        <w:pStyle w:val="BodyText"/>
        <w:spacing w:line="240" w:lineRule="auto" w:before="46"/>
        <w:ind w:left="153" w:right="0"/>
        <w:jc w:val="both"/>
      </w:pPr>
      <w:r>
        <w:rPr>
          <w:spacing w:val="-3"/>
        </w:rPr>
        <w:t>股份变动的原因</w:t>
      </w:r>
    </w:p>
    <w:p>
      <w:pPr>
        <w:pStyle w:val="BodyText"/>
        <w:spacing w:line="240" w:lineRule="auto" w:before="115"/>
        <w:ind w:left="153"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0" w:lineRule="auto" w:before="101"/>
        <w:ind w:left="153" w:right="1122"/>
        <w:jc w:val="both"/>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28</w:t>
      </w:r>
      <w:r>
        <w:rPr>
          <w:spacing w:val="-4"/>
        </w:rPr>
        <w:t>日公司第六届董事会第七次会议和第六届监事会第五次会议，审议通过《关于</w:t>
      </w:r>
      <w:r>
        <w:rPr>
          <w:rFonts w:ascii="Times New Roman" w:hAnsi="Times New Roman" w:cs="Times New Roman" w:eastAsia="Times New Roman" w:hint="default"/>
          <w:spacing w:val="-4"/>
        </w:rPr>
        <w:t>2018</w:t>
      </w:r>
      <w:r>
        <w:rPr>
          <w:spacing w:val="-4"/>
        </w:rPr>
        <w:t>年股票期权激励计划第</w:t>
      </w:r>
      <w:r>
        <w:rPr>
          <w:spacing w:val="66"/>
        </w:rPr>
        <w:t> </w:t>
      </w:r>
      <w:r>
        <w:rPr>
          <w:spacing w:val="66"/>
        </w:rPr>
      </w:r>
      <w:r>
        <w:rPr>
          <w:spacing w:val="-4"/>
        </w:rPr>
        <w:t>一个行权期行权条件成就的议案》，</w:t>
      </w:r>
      <w:r>
        <w:rPr>
          <w:rFonts w:ascii="Times New Roman" w:hAnsi="Times New Roman" w:cs="Times New Roman" w:eastAsia="Times New Roman" w:hint="default"/>
          <w:spacing w:val="-4"/>
        </w:rPr>
        <w:t>2018</w:t>
      </w:r>
      <w:r>
        <w:rPr>
          <w:spacing w:val="-4"/>
        </w:rPr>
        <w:t>年股票期权激励计划第一个行权期行权条件已经满足。截止</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spacing w:val="-2"/>
        </w:rPr>
        <w:t>年股票期权激励计划第一个行权期累计行权</w:t>
      </w:r>
      <w:r>
        <w:rPr>
          <w:rFonts w:ascii="Times New Roman" w:hAnsi="Times New Roman" w:cs="Times New Roman" w:eastAsia="Times New Roman" w:hint="default"/>
          <w:spacing w:val="-2"/>
        </w:rPr>
        <w:t>1,710,282</w:t>
      </w:r>
      <w:r>
        <w:rPr>
          <w:spacing w:val="-2"/>
        </w:rPr>
        <w:t>份，公司累计发行新股</w:t>
      </w:r>
      <w:r>
        <w:rPr>
          <w:rFonts w:ascii="Times New Roman" w:hAnsi="Times New Roman" w:cs="Times New Roman" w:eastAsia="Times New Roman" w:hint="default"/>
          <w:spacing w:val="-2"/>
        </w:rPr>
        <w:t>1,710,282</w:t>
      </w:r>
      <w:r>
        <w:rPr>
          <w:spacing w:val="-2"/>
        </w:rPr>
        <w:t>股。</w:t>
      </w:r>
    </w:p>
    <w:p>
      <w:pPr>
        <w:pStyle w:val="BodyText"/>
        <w:spacing w:line="300" w:lineRule="auto" w:before="13"/>
        <w:ind w:left="153" w:right="0"/>
        <w:jc w:val="left"/>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22</w:t>
      </w:r>
      <w:r>
        <w:rPr>
          <w:spacing w:val="-4"/>
        </w:rPr>
        <w:t>日公司</w:t>
      </w:r>
      <w:r>
        <w:rPr>
          <w:rFonts w:ascii="Times New Roman" w:hAnsi="Times New Roman" w:cs="Times New Roman" w:eastAsia="Times New Roman" w:hint="default"/>
          <w:spacing w:val="-4"/>
        </w:rPr>
        <w:t>2018</w:t>
      </w:r>
      <w:r>
        <w:rPr>
          <w:spacing w:val="-4"/>
        </w:rPr>
        <w:t>年度股东大会审议通过</w:t>
      </w:r>
      <w:r>
        <w:rPr>
          <w:rFonts w:ascii="Times New Roman" w:hAnsi="Times New Roman" w:cs="Times New Roman" w:eastAsia="Times New Roman" w:hint="default"/>
          <w:spacing w:val="-4"/>
        </w:rPr>
        <w:t>2018</w:t>
      </w:r>
      <w:r>
        <w:rPr>
          <w:spacing w:val="-4"/>
        </w:rPr>
        <w:t>年度权益分派方案，公司因实施</w:t>
      </w:r>
      <w:r>
        <w:rPr>
          <w:rFonts w:ascii="Times New Roman" w:hAnsi="Times New Roman" w:cs="Times New Roman" w:eastAsia="Times New Roman" w:hint="default"/>
          <w:spacing w:val="-4"/>
        </w:rPr>
        <w:t>2018</w:t>
      </w:r>
      <w:r>
        <w:rPr>
          <w:spacing w:val="-4"/>
        </w:rPr>
        <w:t>年股票期权激励计划新增股份 </w:t>
      </w:r>
      <w:r>
        <w:rPr>
          <w:rFonts w:ascii="Times New Roman" w:hAnsi="Times New Roman" w:cs="Times New Roman" w:eastAsia="Times New Roman" w:hint="default"/>
          <w:spacing w:val="-4"/>
        </w:rPr>
        <w:t>1,008,996</w:t>
      </w:r>
      <w:r>
        <w:rPr>
          <w:spacing w:val="-4"/>
        </w:rPr>
        <w:t>股，公司本次分配方案以最新总股本</w:t>
      </w:r>
      <w:r>
        <w:rPr>
          <w:rFonts w:ascii="Times New Roman" w:hAnsi="Times New Roman" w:cs="Times New Roman" w:eastAsia="Times New Roman" w:hint="default"/>
          <w:spacing w:val="-4"/>
        </w:rPr>
        <w:t>795,989,216</w:t>
      </w:r>
      <w:r>
        <w:rPr>
          <w:spacing w:val="-4"/>
        </w:rPr>
        <w:t>股为基数，向全体股东每</w:t>
      </w:r>
      <w:r>
        <w:rPr>
          <w:rFonts w:ascii="Times New Roman" w:hAnsi="Times New Roman" w:cs="Times New Roman" w:eastAsia="Times New Roman" w:hint="default"/>
          <w:spacing w:val="-4"/>
        </w:rPr>
        <w:t>10</w:t>
      </w:r>
      <w:r>
        <w:rPr>
          <w:spacing w:val="-4"/>
        </w:rPr>
        <w:t>股派发现金红利</w:t>
      </w:r>
      <w:r>
        <w:rPr>
          <w:rFonts w:ascii="Times New Roman" w:hAnsi="Times New Roman" w:cs="Times New Roman" w:eastAsia="Times New Roman" w:hint="default"/>
          <w:spacing w:val="-4"/>
        </w:rPr>
        <w:t>1.00</w:t>
      </w:r>
      <w:r>
        <w:rPr>
          <w:spacing w:val="-4"/>
        </w:rPr>
        <w:t>元人民币（含税），</w:t>
      </w:r>
      <w:r>
        <w:rPr>
          <w:spacing w:val="56"/>
        </w:rPr>
        <w:t> </w:t>
      </w:r>
      <w:r>
        <w:rPr>
          <w:spacing w:val="56"/>
        </w:rPr>
      </w:r>
      <w:r>
        <w:rPr>
          <w:spacing w:val="-4"/>
        </w:rPr>
        <w:t>送红股</w:t>
      </w:r>
      <w:r>
        <w:rPr>
          <w:rFonts w:ascii="Times New Roman" w:hAnsi="Times New Roman" w:cs="Times New Roman" w:eastAsia="Times New Roman" w:hint="default"/>
          <w:spacing w:val="-4"/>
        </w:rPr>
        <w:t>0</w:t>
      </w:r>
      <w:r>
        <w:rPr>
          <w:spacing w:val="-4"/>
        </w:rPr>
        <w:t>股（含税），以资本公积向全体股东每</w:t>
      </w:r>
      <w:r>
        <w:rPr>
          <w:rFonts w:ascii="Times New Roman" w:hAnsi="Times New Roman" w:cs="Times New Roman" w:eastAsia="Times New Roman" w:hint="default"/>
          <w:spacing w:val="-4"/>
        </w:rPr>
        <w:t>10 </w:t>
      </w:r>
      <w:r>
        <w:rPr>
          <w:spacing w:val="-3"/>
        </w:rPr>
        <w:t>股转增</w:t>
      </w:r>
      <w:r>
        <w:rPr>
          <w:rFonts w:ascii="Times New Roman" w:hAnsi="Times New Roman" w:cs="Times New Roman" w:eastAsia="Times New Roman" w:hint="default"/>
          <w:spacing w:val="-3"/>
        </w:rPr>
        <w:t>7</w:t>
      </w:r>
      <w:r>
        <w:rPr>
          <w:spacing w:val="-3"/>
        </w:rPr>
        <w:t>股，本次分红派息的股权登记日为</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14</w:t>
      </w:r>
      <w:r>
        <w:rPr>
          <w:spacing w:val="-3"/>
        </w:rPr>
        <w:t>日，以资本公积转</w:t>
      </w:r>
      <w:r>
        <w:rPr>
          <w:spacing w:val="-9"/>
        </w:rPr>
        <w:t> </w:t>
      </w:r>
      <w:r>
        <w:rPr>
          <w:spacing w:val="-9"/>
        </w:rPr>
      </w:r>
      <w:r>
        <w:rPr/>
        <w:t>增股本</w:t>
      </w:r>
      <w:r>
        <w:rPr>
          <w:rFonts w:ascii="Times New Roman" w:hAnsi="Times New Roman" w:cs="Times New Roman" w:eastAsia="Times New Roman" w:hint="default"/>
        </w:rPr>
        <w:t>557,192,451</w:t>
      </w:r>
      <w:r>
        <w:rPr/>
        <w:t>股。</w:t>
      </w:r>
    </w:p>
    <w:p>
      <w:pPr>
        <w:pStyle w:val="BodyText"/>
        <w:spacing w:line="300" w:lineRule="auto" w:before="56"/>
        <w:ind w:left="153" w:right="0"/>
        <w:jc w:val="left"/>
      </w:pPr>
      <w:r>
        <w:rPr>
          <w:spacing w:val="-4"/>
        </w:rPr>
        <w:t>（</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28</w:t>
      </w:r>
      <w:r>
        <w:rPr>
          <w:spacing w:val="-4"/>
        </w:rPr>
        <w:t>日召开第六届董事会第七次会议和第六届监事会第五次会议，审议通过了《关于</w:t>
      </w:r>
      <w:r>
        <w:rPr>
          <w:rFonts w:ascii="Times New Roman" w:hAnsi="Times New Roman" w:cs="Times New Roman" w:eastAsia="Times New Roman" w:hint="default"/>
          <w:spacing w:val="-4"/>
        </w:rPr>
        <w:t>2017</w:t>
      </w:r>
      <w:r>
        <w:rPr>
          <w:spacing w:val="-4"/>
        </w:rPr>
        <w:t>年限制性股票激励计</w:t>
      </w:r>
      <w:r>
        <w:rPr>
          <w:spacing w:val="68"/>
        </w:rPr>
        <w:t> </w:t>
      </w:r>
      <w:r>
        <w:rPr>
          <w:spacing w:val="68"/>
        </w:rPr>
      </w:r>
      <w:r>
        <w:rPr>
          <w:spacing w:val="-6"/>
          <w:w w:val="101"/>
        </w:rPr>
        <w:t>划第一个解除限售期解除限售条件成就的议案》。公司</w:t>
      </w:r>
      <w:r>
        <w:rPr>
          <w:rFonts w:ascii="Times New Roman" w:hAnsi="Times New Roman" w:cs="Times New Roman" w:eastAsia="Times New Roman" w:hint="default"/>
          <w:spacing w:val="-6"/>
          <w:w w:val="101"/>
        </w:rPr>
        <w:t>2017</w:t>
      </w:r>
      <w:r>
        <w:rPr>
          <w:spacing w:val="-6"/>
          <w:w w:val="101"/>
        </w:rPr>
        <w:t>年限制性股票激励计划第一个解除限售期解除限售条件已经满足，</w:t>
      </w:r>
      <w:r>
        <w:rPr>
          <w:spacing w:val="-54"/>
          <w:w w:val="101"/>
        </w:rPr>
        <w:t> </w:t>
      </w:r>
      <w:r>
        <w:rPr>
          <w:spacing w:val="-54"/>
          <w:w w:val="101"/>
        </w:rPr>
      </w:r>
      <w:r>
        <w:rPr>
          <w:spacing w:val="-3"/>
        </w:rPr>
        <w:t>本次限制性股票解除限售数量为</w:t>
      </w:r>
      <w:r>
        <w:rPr>
          <w:rFonts w:ascii="Times New Roman" w:hAnsi="Times New Roman" w:cs="Times New Roman" w:eastAsia="Times New Roman" w:hint="default"/>
          <w:spacing w:val="-3"/>
        </w:rPr>
        <w:t>323</w:t>
      </w:r>
      <w:r>
        <w:rPr>
          <w:spacing w:val="-3"/>
        </w:rPr>
        <w:t>万股，本次解锁的限制性股票上市流通日为</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31</w:t>
      </w:r>
      <w:r>
        <w:rPr>
          <w:spacing w:val="-3"/>
        </w:rPr>
        <w:t>日。</w:t>
      </w:r>
      <w:r>
        <w:rPr/>
      </w:r>
    </w:p>
    <w:p>
      <w:pPr>
        <w:pStyle w:val="BodyText"/>
        <w:spacing w:line="240" w:lineRule="auto" w:before="51"/>
        <w:ind w:left="153" w:right="0"/>
        <w:jc w:val="both"/>
      </w:pPr>
      <w:r>
        <w:rPr>
          <w:spacing w:val="-3"/>
        </w:rPr>
        <w:t>股份变动的批准情况</w:t>
      </w:r>
    </w:p>
    <w:p>
      <w:pPr>
        <w:pStyle w:val="BodyText"/>
        <w:spacing w:line="240" w:lineRule="auto" w:before="120"/>
        <w:ind w:left="153"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9" w:lineRule="auto" w:before="96"/>
        <w:ind w:left="153" w:right="1122"/>
        <w:jc w:val="both"/>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28</w:t>
      </w:r>
      <w:r>
        <w:rPr>
          <w:spacing w:val="-4"/>
        </w:rPr>
        <w:t>日公司第六届董事会第七次会议和第六届监事会第五次会议，审议通过《关于</w:t>
      </w:r>
      <w:r>
        <w:rPr>
          <w:rFonts w:ascii="Times New Roman" w:hAnsi="Times New Roman" w:cs="Times New Roman" w:eastAsia="Times New Roman" w:hint="default"/>
          <w:spacing w:val="-4"/>
        </w:rPr>
        <w:t>2018</w:t>
      </w:r>
      <w:r>
        <w:rPr>
          <w:spacing w:val="-4"/>
        </w:rPr>
        <w:t>年股票期权激励计划第</w:t>
      </w:r>
      <w:r>
        <w:rPr>
          <w:spacing w:val="67"/>
        </w:rPr>
        <w:t> </w:t>
      </w:r>
      <w:r>
        <w:rPr>
          <w:spacing w:val="67"/>
        </w:rPr>
      </w:r>
      <w:r>
        <w:rPr>
          <w:spacing w:val="-7"/>
          <w:w w:val="101"/>
        </w:rPr>
        <w:t>一个行权期行权条件成就的议案》，</w:t>
      </w:r>
      <w:r>
        <w:rPr>
          <w:rFonts w:ascii="Times New Roman" w:hAnsi="Times New Roman" w:cs="Times New Roman" w:eastAsia="Times New Roman" w:hint="default"/>
          <w:spacing w:val="-7"/>
          <w:w w:val="101"/>
        </w:rPr>
        <w:t>2018</w:t>
      </w:r>
      <w:r>
        <w:rPr>
          <w:spacing w:val="-7"/>
          <w:w w:val="101"/>
        </w:rPr>
        <w:t>年股票期权激励计划第一个行权期行权条件已经满足。独立董事发表了同意公司</w:t>
      </w:r>
      <w:r>
        <w:rPr>
          <w:rFonts w:ascii="Times New Roman" w:hAnsi="Times New Roman" w:cs="Times New Roman" w:eastAsia="Times New Roman" w:hint="default"/>
          <w:spacing w:val="-7"/>
          <w:w w:val="101"/>
        </w:rPr>
        <w:t>2018</w:t>
      </w:r>
      <w:r>
        <w:rPr>
          <w:rFonts w:ascii="Times New Roman" w:hAnsi="Times New Roman" w:cs="Times New Roman" w:eastAsia="Times New Roman" w:hint="default"/>
          <w:spacing w:val="-32"/>
          <w:w w:val="101"/>
        </w:rPr>
        <w:t> </w:t>
      </w:r>
      <w:r>
        <w:rPr>
          <w:rFonts w:ascii="Times New Roman" w:hAnsi="Times New Roman" w:cs="Times New Roman" w:eastAsia="Times New Roman" w:hint="default"/>
          <w:spacing w:val="-32"/>
          <w:w w:val="101"/>
        </w:rPr>
      </w:r>
      <w:r>
        <w:rPr>
          <w:spacing w:val="-4"/>
        </w:rPr>
        <w:t>年股票期权激励计划第一个可行权期内行权事项的安排的意见。北京市康达律师事务所律师经核查后认为，截至本法律意见</w:t>
      </w:r>
      <w:r>
        <w:rPr>
          <w:spacing w:val="38"/>
        </w:rPr>
        <w:t> </w:t>
      </w:r>
      <w:r>
        <w:rPr>
          <w:spacing w:val="38"/>
        </w:rPr>
      </w:r>
      <w:r>
        <w:rPr>
          <w:spacing w:val="-4"/>
        </w:rPr>
        <w:t>书出具之日，本次行权已经满足了相关规定中的行权条件，公司本次股票期权行权的上述具体情况符合《管理办法》、《备</w:t>
      </w:r>
      <w:r>
        <w:rPr>
          <w:spacing w:val="43"/>
        </w:rPr>
        <w:t> </w:t>
      </w:r>
      <w:r>
        <w:rPr>
          <w:spacing w:val="43"/>
        </w:rPr>
      </w:r>
      <w:r>
        <w:rPr>
          <w:spacing w:val="-3"/>
        </w:rPr>
        <w:t>忘录</w:t>
      </w:r>
      <w:r>
        <w:rPr>
          <w:rFonts w:ascii="Times New Roman" w:hAnsi="Times New Roman" w:cs="Times New Roman" w:eastAsia="Times New Roman" w:hint="default"/>
          <w:spacing w:val="-3"/>
        </w:rPr>
        <w:t>4</w:t>
      </w:r>
      <w:r>
        <w:rPr>
          <w:spacing w:val="-3"/>
        </w:rPr>
        <w:t>号》、《期权激励计划（草案）》、《期权激励计划考核管理办法》的相关规定。</w:t>
      </w:r>
    </w:p>
    <w:p>
      <w:pPr>
        <w:pStyle w:val="BodyText"/>
        <w:spacing w:line="300" w:lineRule="auto" w:before="5"/>
        <w:ind w:left="153" w:right="0"/>
        <w:jc w:val="left"/>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28</w:t>
      </w:r>
      <w:r>
        <w:rPr>
          <w:spacing w:val="-4"/>
        </w:rPr>
        <w:t>日公司第六届董事会第七次会议和第六届监事会第五次会议审议通过了《关于公司</w:t>
      </w:r>
      <w:r>
        <w:rPr>
          <w:rFonts w:ascii="Times New Roman" w:hAnsi="Times New Roman" w:cs="Times New Roman" w:eastAsia="Times New Roman" w:hint="default"/>
          <w:spacing w:val="-4"/>
        </w:rPr>
        <w:t>2018</w:t>
      </w:r>
      <w:r>
        <w:rPr>
          <w:spacing w:val="-4"/>
        </w:rPr>
        <w:t>年度利润分配预案</w:t>
      </w:r>
      <w:r>
        <w:rPr>
          <w:spacing w:val="67"/>
        </w:rPr>
        <w:t> </w:t>
      </w:r>
      <w:r>
        <w:rPr>
          <w:spacing w:val="67"/>
        </w:rPr>
      </w:r>
      <w:r>
        <w:rPr>
          <w:spacing w:val="-3"/>
        </w:rPr>
        <w:t>的议案》，</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22</w:t>
      </w:r>
      <w:r>
        <w:rPr>
          <w:spacing w:val="-3"/>
        </w:rPr>
        <w:t>日</w:t>
      </w:r>
      <w:r>
        <w:rPr>
          <w:rFonts w:ascii="Times New Roman" w:hAnsi="Times New Roman" w:cs="Times New Roman" w:eastAsia="Times New Roman" w:hint="default"/>
          <w:spacing w:val="-3"/>
        </w:rPr>
        <w:t>2018</w:t>
      </w:r>
      <w:r>
        <w:rPr>
          <w:spacing w:val="-3"/>
        </w:rPr>
        <w:t>年年度股东大会审议通过了《关于公司</w:t>
      </w:r>
      <w:r>
        <w:rPr>
          <w:rFonts w:ascii="Times New Roman" w:hAnsi="Times New Roman" w:cs="Times New Roman" w:eastAsia="Times New Roman" w:hint="default"/>
          <w:spacing w:val="-3"/>
        </w:rPr>
        <w:t>2018</w:t>
      </w:r>
      <w:r>
        <w:rPr>
          <w:spacing w:val="-3"/>
        </w:rPr>
        <w:t>年度利润分配预案的议案》。</w:t>
      </w:r>
    </w:p>
    <w:p>
      <w:pPr>
        <w:pStyle w:val="BodyText"/>
        <w:spacing w:line="300" w:lineRule="auto" w:before="13"/>
        <w:ind w:left="153" w:right="1037"/>
        <w:jc w:val="both"/>
      </w:pPr>
      <w:r>
        <w:rPr>
          <w:spacing w:val="-4"/>
        </w:rPr>
        <w:t>（</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28</w:t>
      </w:r>
      <w:r>
        <w:rPr>
          <w:spacing w:val="-4"/>
        </w:rPr>
        <w:t>日召开第六届董事会第七次会议和第六届监事会第五次会议，审议通过了《关于</w:t>
      </w:r>
      <w:r>
        <w:rPr>
          <w:rFonts w:ascii="Times New Roman" w:hAnsi="Times New Roman" w:cs="Times New Roman" w:eastAsia="Times New Roman" w:hint="default"/>
          <w:spacing w:val="-4"/>
        </w:rPr>
        <w:t>2017</w:t>
      </w:r>
      <w:r>
        <w:rPr>
          <w:spacing w:val="-4"/>
        </w:rPr>
        <w:t>年限制性股票激励计</w:t>
      </w:r>
      <w:r>
        <w:rPr>
          <w:spacing w:val="68"/>
        </w:rPr>
        <w:t> </w:t>
      </w:r>
      <w:r>
        <w:rPr>
          <w:spacing w:val="68"/>
        </w:rPr>
      </w:r>
      <w:r>
        <w:rPr>
          <w:spacing w:val="-4"/>
        </w:rPr>
        <w:t>划第一个解除限售期解除限售条件成就的议案》。独立董事发表了同意公司办理</w:t>
      </w:r>
      <w:r>
        <w:rPr>
          <w:rFonts w:ascii="Times New Roman" w:hAnsi="Times New Roman" w:cs="Times New Roman" w:eastAsia="Times New Roman" w:hint="default"/>
          <w:spacing w:val="-4"/>
        </w:rPr>
        <w:t>2017</w:t>
      </w:r>
      <w:r>
        <w:rPr>
          <w:spacing w:val="-4"/>
        </w:rPr>
        <w:t>年限制性股票激励计划第一个解除限售</w:t>
      </w:r>
      <w:r>
        <w:rPr>
          <w:spacing w:val="46"/>
        </w:rPr>
        <w:t> </w:t>
      </w:r>
      <w:r>
        <w:rPr>
          <w:spacing w:val="46"/>
        </w:rPr>
      </w:r>
      <w:r>
        <w:rPr>
          <w:spacing w:val="-6"/>
        </w:rPr>
        <w:t>期解除限售的相关事宜的意见。北京市康达律师事务所律师经核查后认为，本次解除限售的上述具体情况符合《管理办法》、</w:t>
      </w:r>
    </w:p>
    <w:p>
      <w:pPr>
        <w:pStyle w:val="BodyText"/>
        <w:spacing w:line="240" w:lineRule="auto" w:before="32"/>
        <w:ind w:left="153" w:right="0"/>
        <w:jc w:val="both"/>
      </w:pPr>
      <w:r>
        <w:rPr>
          <w:spacing w:val="-3"/>
        </w:rPr>
        <w:t>《中小板备忘录</w:t>
      </w:r>
      <w:r>
        <w:rPr>
          <w:rFonts w:ascii="Times New Roman" w:hAnsi="Times New Roman" w:cs="Times New Roman" w:eastAsia="Times New Roman" w:hint="default"/>
          <w:spacing w:val="-3"/>
        </w:rPr>
        <w:t>4</w:t>
      </w:r>
      <w:r>
        <w:rPr>
          <w:spacing w:val="-3"/>
        </w:rPr>
        <w:t>号》、《限制性股票激励计划（草案）》及《限制性股票激励计划考核管理办法》的相关规定。</w:t>
      </w:r>
    </w:p>
    <w:p>
      <w:pPr>
        <w:pStyle w:val="BodyText"/>
        <w:spacing w:line="312" w:lineRule="auto" w:before="63"/>
        <w:ind w:left="153" w:right="1036"/>
        <w:jc w:val="both"/>
      </w:pPr>
      <w:r>
        <w:rPr>
          <w:spacing w:val="-4"/>
        </w:rPr>
        <w:t>（</w:t>
      </w: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15</w:t>
      </w:r>
      <w:r>
        <w:rPr>
          <w:spacing w:val="-4"/>
        </w:rPr>
        <w:t>日公司第六届董事会第九次会议和第六届监事会第七次会议，审议通过《关于调整股票期权激励计划股票</w:t>
      </w:r>
      <w:r>
        <w:rPr>
          <w:spacing w:val="59"/>
        </w:rPr>
        <w:t> </w:t>
      </w:r>
      <w:r>
        <w:rPr>
          <w:spacing w:val="59"/>
        </w:rPr>
      </w:r>
      <w:r>
        <w:rPr>
          <w:spacing w:val="-4"/>
        </w:rPr>
        <w:t>期权行权价格和数量的议案》，独立董事发表了同意对公司股票期权激励计划股票期权行权价格数量进行调整的意见。北京</w:t>
      </w:r>
      <w:r>
        <w:rPr>
          <w:spacing w:val="43"/>
        </w:rPr>
        <w:t> </w:t>
      </w:r>
      <w:r>
        <w:rPr>
          <w:spacing w:val="43"/>
        </w:rPr>
      </w:r>
      <w:r>
        <w:rPr>
          <w:spacing w:val="-4"/>
        </w:rPr>
        <w:t>市康达律师事务所律师经核查后认为，本次调整股票期权行权价格和数量事宜的具体内容符合《管理办法》、《中小板备忘</w:t>
      </w:r>
      <w:r>
        <w:rPr>
          <w:spacing w:val="41"/>
        </w:rPr>
        <w:t> </w:t>
      </w:r>
      <w:r>
        <w:rPr>
          <w:spacing w:val="41"/>
        </w:rPr>
      </w:r>
      <w:r>
        <w:rPr/>
        <w:t>录第 </w:t>
      </w:r>
      <w:r>
        <w:rPr>
          <w:rFonts w:ascii="Times New Roman" w:hAnsi="Times New Roman" w:cs="Times New Roman" w:eastAsia="Times New Roman" w:hint="default"/>
        </w:rPr>
        <w:t>4   </w:t>
      </w:r>
      <w:r>
        <w:rPr>
          <w:spacing w:val="-8"/>
        </w:rPr>
        <w:t>号》等法律、法规及《</w:t>
      </w:r>
      <w:r>
        <w:rPr>
          <w:rFonts w:ascii="Times New Roman" w:hAnsi="Times New Roman" w:cs="Times New Roman" w:eastAsia="Times New Roman" w:hint="default"/>
          <w:spacing w:val="-8"/>
        </w:rPr>
        <w:t>2018    </w:t>
      </w:r>
      <w:r>
        <w:rPr>
          <w:spacing w:val="-9"/>
        </w:rPr>
        <w:t>年股票期权激励计划（草案）》、《</w:t>
      </w:r>
      <w:r>
        <w:rPr>
          <w:rFonts w:ascii="Times New Roman" w:hAnsi="Times New Roman" w:cs="Times New Roman" w:eastAsia="Times New Roman" w:hint="default"/>
          <w:spacing w:val="-9"/>
        </w:rPr>
        <w:t>2018  </w:t>
      </w:r>
      <w:r>
        <w:rPr>
          <w:rFonts w:ascii="Times New Roman" w:hAnsi="Times New Roman" w:cs="Times New Roman" w:eastAsia="Times New Roman" w:hint="default"/>
          <w:spacing w:val="16"/>
        </w:rPr>
        <w:t> </w:t>
      </w:r>
      <w:r>
        <w:rPr>
          <w:spacing w:val="-6"/>
        </w:rPr>
        <w:t>年限制性股票与股票期权激励计划（草案）》、</w:t>
      </w:r>
    </w:p>
    <w:p>
      <w:pPr>
        <w:pStyle w:val="BodyText"/>
        <w:spacing w:line="362" w:lineRule="auto" w:before="3"/>
        <w:ind w:left="153" w:right="7919"/>
        <w:jc w:val="left"/>
      </w:pPr>
      <w:r>
        <w:rPr>
          <w:spacing w:val="-3"/>
        </w:rPr>
        <w:t>《公司章程》的相关规定。</w:t>
      </w:r>
      <w:r>
        <w:rPr>
          <w:spacing w:val="-51"/>
        </w:rPr>
        <w:t> </w:t>
      </w:r>
      <w:r>
        <w:rPr>
          <w:spacing w:val="-51"/>
        </w:rPr>
      </w:r>
      <w:r>
        <w:rPr>
          <w:spacing w:val="-3"/>
        </w:rPr>
        <w:t>股份变动的过户情况</w:t>
      </w:r>
    </w:p>
    <w:p>
      <w:pPr>
        <w:pStyle w:val="BodyText"/>
        <w:spacing w:line="338" w:lineRule="auto" w:before="28"/>
        <w:ind w:left="153"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股份回购的实施进展情况</w:t>
      </w:r>
    </w:p>
    <w:p>
      <w:pPr>
        <w:pStyle w:val="BodyText"/>
        <w:spacing w:line="343" w:lineRule="auto" w:before="41"/>
        <w:ind w:left="153"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采用集中竞价方式减持回购股份的实施进展情况</w:t>
      </w:r>
    </w:p>
    <w:p>
      <w:pPr>
        <w:pStyle w:val="BodyText"/>
        <w:spacing w:line="338" w:lineRule="auto" w:before="37"/>
        <w:ind w:left="153" w:right="102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股份变动对最近一年和最近一期基本每股收益和稀释每股收益、归属于公司普通股股东的每股净资产等财务指标的影响</w:t>
      </w:r>
    </w:p>
    <w:p>
      <w:pPr>
        <w:pStyle w:val="BodyText"/>
        <w:spacing w:line="240" w:lineRule="auto" w:before="46"/>
        <w:ind w:left="153"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0" w:lineRule="auto" w:before="96"/>
        <w:ind w:left="153" w:right="0"/>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2018</w:t>
      </w:r>
      <w:r>
        <w:rPr>
          <w:spacing w:val="-3"/>
        </w:rPr>
        <w:t>年度基本每股收益和稀释每股收益为</w:t>
      </w:r>
      <w:r>
        <w:rPr>
          <w:rFonts w:ascii="Times New Roman" w:hAnsi="Times New Roman" w:cs="Times New Roman" w:eastAsia="Times New Roman" w:hint="default"/>
          <w:spacing w:val="-3"/>
        </w:rPr>
        <w:t>0.11</w:t>
      </w:r>
      <w:r>
        <w:rPr>
          <w:spacing w:val="-3"/>
        </w:rPr>
        <w:t>元</w:t>
      </w:r>
      <w:r>
        <w:rPr>
          <w:rFonts w:ascii="Times New Roman" w:hAnsi="Times New Roman" w:cs="Times New Roman" w:eastAsia="Times New Roman" w:hint="default"/>
          <w:spacing w:val="-3"/>
        </w:rPr>
        <w:t>/</w:t>
      </w:r>
      <w:r>
        <w:rPr>
          <w:spacing w:val="-3"/>
        </w:rPr>
        <w:t>股，每股净资产为</w:t>
      </w:r>
      <w:r>
        <w:rPr>
          <w:rFonts w:ascii="Times New Roman" w:hAnsi="Times New Roman" w:cs="Times New Roman" w:eastAsia="Times New Roman" w:hint="default"/>
          <w:spacing w:val="-3"/>
        </w:rPr>
        <w:t>2.43</w:t>
      </w:r>
      <w:r>
        <w:rPr>
          <w:spacing w:val="-3"/>
        </w:rPr>
        <w:t>元</w:t>
      </w:r>
      <w:r>
        <w:rPr>
          <w:rFonts w:ascii="Times New Roman" w:hAnsi="Times New Roman" w:cs="Times New Roman" w:eastAsia="Times New Roman" w:hint="default"/>
          <w:spacing w:val="-3"/>
        </w:rPr>
        <w:t>/</w:t>
      </w:r>
      <w:r>
        <w:rPr>
          <w:spacing w:val="-3"/>
        </w:rPr>
        <w:t>股；由于股份变动，</w:t>
      </w:r>
      <w:r>
        <w:rPr>
          <w:rFonts w:ascii="Times New Roman" w:hAnsi="Times New Roman" w:cs="Times New Roman" w:eastAsia="Times New Roman" w:hint="default"/>
          <w:spacing w:val="-3"/>
        </w:rPr>
        <w:t>2018</w:t>
      </w:r>
      <w:r>
        <w:rPr>
          <w:spacing w:val="-3"/>
        </w:rPr>
        <w:t>年度基本每股收益</w:t>
      </w:r>
      <w:r>
        <w:rPr/>
        <w:t> </w:t>
      </w:r>
      <w:r>
        <w:rPr/>
      </w:r>
      <w:r>
        <w:rPr>
          <w:spacing w:val="-3"/>
        </w:rPr>
        <w:t>和稀释每股收益降低至</w:t>
      </w:r>
      <w:r>
        <w:rPr>
          <w:rFonts w:ascii="Times New Roman" w:hAnsi="Times New Roman" w:cs="Times New Roman" w:eastAsia="Times New Roman" w:hint="default"/>
          <w:spacing w:val="-3"/>
        </w:rPr>
        <w:t>0.06</w:t>
      </w:r>
      <w:r>
        <w:rPr>
          <w:spacing w:val="-3"/>
        </w:rPr>
        <w:t>元</w:t>
      </w:r>
      <w:r>
        <w:rPr>
          <w:rFonts w:ascii="Times New Roman" w:hAnsi="Times New Roman" w:cs="Times New Roman" w:eastAsia="Times New Roman" w:hint="default"/>
          <w:spacing w:val="-3"/>
        </w:rPr>
        <w:t>/</w:t>
      </w:r>
      <w:r>
        <w:rPr>
          <w:spacing w:val="-3"/>
        </w:rPr>
        <w:t>股，每股净资产降低至</w:t>
      </w:r>
      <w:r>
        <w:rPr>
          <w:rFonts w:ascii="Times New Roman" w:hAnsi="Times New Roman" w:cs="Times New Roman" w:eastAsia="Times New Roman" w:hint="default"/>
          <w:spacing w:val="-3"/>
        </w:rPr>
        <w:t>1.43</w:t>
      </w:r>
      <w:r>
        <w:rPr>
          <w:spacing w:val="-3"/>
        </w:rPr>
        <w:t>元</w:t>
      </w:r>
      <w:r>
        <w:rPr>
          <w:rFonts w:ascii="Times New Roman" w:hAnsi="Times New Roman" w:cs="Times New Roman" w:eastAsia="Times New Roman" w:hint="default"/>
          <w:spacing w:val="-3"/>
        </w:rPr>
        <w:t>/</w:t>
      </w:r>
      <w:r>
        <w:rPr>
          <w:spacing w:val="-3"/>
        </w:rPr>
        <w:t>股。</w:t>
      </w:r>
      <w:r>
        <w:rPr/>
      </w:r>
    </w:p>
    <w:p>
      <w:pPr>
        <w:pStyle w:val="BodyText"/>
        <w:spacing w:line="300" w:lineRule="auto" w:before="13"/>
        <w:ind w:left="153" w:right="0"/>
        <w:jc w:val="left"/>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2019</w:t>
      </w:r>
      <w:r>
        <w:rPr>
          <w:spacing w:val="-3"/>
        </w:rPr>
        <w:t>年第三季度基本每股收益和稀释每股收益为</w:t>
      </w:r>
      <w:r>
        <w:rPr>
          <w:rFonts w:ascii="Times New Roman" w:hAnsi="Times New Roman" w:cs="Times New Roman" w:eastAsia="Times New Roman" w:hint="default"/>
          <w:spacing w:val="-3"/>
        </w:rPr>
        <w:t>0.07</w:t>
      </w:r>
      <w:r>
        <w:rPr>
          <w:spacing w:val="-3"/>
        </w:rPr>
        <w:t>元</w:t>
      </w:r>
      <w:r>
        <w:rPr>
          <w:rFonts w:ascii="Times New Roman" w:hAnsi="Times New Roman" w:cs="Times New Roman" w:eastAsia="Times New Roman" w:hint="default"/>
          <w:spacing w:val="-3"/>
        </w:rPr>
        <w:t>/</w:t>
      </w:r>
      <w:r>
        <w:rPr>
          <w:spacing w:val="-3"/>
        </w:rPr>
        <w:t>股，每股净资产为</w:t>
      </w:r>
      <w:r>
        <w:rPr>
          <w:rFonts w:ascii="Times New Roman" w:hAnsi="Times New Roman" w:cs="Times New Roman" w:eastAsia="Times New Roman" w:hint="default"/>
          <w:spacing w:val="-3"/>
        </w:rPr>
        <w:t>1.50</w:t>
      </w:r>
      <w:r>
        <w:rPr>
          <w:spacing w:val="-3"/>
        </w:rPr>
        <w:t>元</w:t>
      </w:r>
      <w:r>
        <w:rPr>
          <w:rFonts w:ascii="Times New Roman" w:hAnsi="Times New Roman" w:cs="Times New Roman" w:eastAsia="Times New Roman" w:hint="default"/>
          <w:spacing w:val="-3"/>
        </w:rPr>
        <w:t>/</w:t>
      </w:r>
      <w:r>
        <w:rPr>
          <w:spacing w:val="-3"/>
        </w:rPr>
        <w:t>股；上述股份变动对</w:t>
      </w:r>
      <w:r>
        <w:rPr>
          <w:rFonts w:ascii="Times New Roman" w:hAnsi="Times New Roman" w:cs="Times New Roman" w:eastAsia="Times New Roman" w:hint="default"/>
          <w:spacing w:val="-3"/>
        </w:rPr>
        <w:t>2019</w:t>
      </w:r>
      <w:r>
        <w:rPr>
          <w:spacing w:val="-3"/>
        </w:rPr>
        <w:t>年第三季度</w:t>
      </w:r>
      <w:r>
        <w:rPr>
          <w:spacing w:val="6"/>
        </w:rPr>
        <w:t> </w:t>
      </w:r>
      <w:r>
        <w:rPr>
          <w:spacing w:val="6"/>
        </w:rPr>
      </w:r>
      <w:r>
        <w:rPr>
          <w:spacing w:val="-3"/>
        </w:rPr>
        <w:t>基本每股收益和稀释每股收益无影响。</w:t>
      </w:r>
    </w:p>
    <w:p>
      <w:pPr>
        <w:spacing w:after="0" w:line="300" w:lineRule="auto"/>
        <w:jc w:val="left"/>
        <w:sectPr>
          <w:footerReference w:type="default" r:id="rId26"/>
          <w:pgSz w:w="11910" w:h="16840"/>
          <w:pgMar w:footer="1022" w:header="0" w:top="1120" w:bottom="1220" w:left="980" w:right="0"/>
          <w:pgNumType w:start="49"/>
        </w:sectPr>
      </w:pPr>
    </w:p>
    <w:p>
      <w:pPr>
        <w:spacing w:line="240" w:lineRule="auto" w:before="10"/>
        <w:rPr>
          <w:rFonts w:ascii="宋体" w:hAnsi="宋体" w:cs="宋体" w:eastAsia="宋体" w:hint="default"/>
          <w:sz w:val="20"/>
          <w:szCs w:val="20"/>
        </w:rPr>
      </w:pPr>
    </w:p>
    <w:p>
      <w:pPr>
        <w:pStyle w:val="BodyText"/>
        <w:spacing w:line="240" w:lineRule="auto" w:before="46"/>
        <w:ind w:left="313" w:right="5579"/>
        <w:jc w:val="left"/>
      </w:pPr>
      <w:r>
        <w:rPr>
          <w:spacing w:val="-3"/>
        </w:rPr>
        <w:t>公司认为必要或证券监管机构要求披露的其他内容</w:t>
      </w:r>
    </w:p>
    <w:p>
      <w:pPr>
        <w:pStyle w:val="BodyText"/>
        <w:spacing w:line="240" w:lineRule="auto" w:before="115"/>
        <w:ind w:left="313" w:right="557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left="313" w:right="5579"/>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1022" w:top="1120" w:bottom="1220" w:left="820" w:right="0"/>
        </w:sectPr>
      </w:pPr>
    </w:p>
    <w:p>
      <w:pPr>
        <w:pStyle w:val="BodyText"/>
        <w:spacing w:line="638" w:lineRule="auto" w:before="46"/>
        <w:ind w:left="313" w:right="0"/>
        <w:jc w:val="left"/>
      </w:pPr>
      <w:r>
        <w:rPr/>
        <w:pict>
          <v:shape style="position:absolute;margin-left:46.824001pt;margin-top:52.171715pt;width:501.6pt;height:545.2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5"/>
                    <w:gridCol w:w="1301"/>
                    <w:gridCol w:w="1124"/>
                    <w:gridCol w:w="1166"/>
                    <w:gridCol w:w="1162"/>
                    <w:gridCol w:w="1662"/>
                    <w:gridCol w:w="2516"/>
                  </w:tblGrid>
                  <w:tr>
                    <w:trPr>
                      <w:trHeight w:val="716" w:hRule="exact"/>
                    </w:trPr>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spacing w:val="-2"/>
                            <w:sz w:val="18"/>
                            <w:szCs w:val="18"/>
                          </w:rPr>
                          <w:t>期初限售股数</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88" w:right="99" w:hanging="178"/>
                          <w:jc w:val="left"/>
                          <w:rPr>
                            <w:rFonts w:ascii="宋体" w:hAnsi="宋体" w:cs="宋体" w:eastAsia="宋体" w:hint="default"/>
                            <w:sz w:val="18"/>
                            <w:szCs w:val="18"/>
                          </w:rPr>
                        </w:pPr>
                        <w:r>
                          <w:rPr>
                            <w:rFonts w:ascii="宋体" w:hAnsi="宋体" w:cs="宋体" w:eastAsia="宋体" w:hint="default"/>
                            <w:spacing w:val="-2"/>
                            <w:sz w:val="18"/>
                            <w:szCs w:val="18"/>
                          </w:rPr>
                          <w:t>本期增加限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售股数</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307" w:right="122" w:hanging="178"/>
                          <w:jc w:val="left"/>
                          <w:rPr>
                            <w:rFonts w:ascii="宋体" w:hAnsi="宋体" w:cs="宋体" w:eastAsia="宋体" w:hint="default"/>
                            <w:sz w:val="18"/>
                            <w:szCs w:val="18"/>
                          </w:rPr>
                        </w:pPr>
                        <w:r>
                          <w:rPr>
                            <w:rFonts w:ascii="宋体" w:hAnsi="宋体" w:cs="宋体" w:eastAsia="宋体" w:hint="default"/>
                            <w:spacing w:val="-2"/>
                            <w:sz w:val="18"/>
                            <w:szCs w:val="18"/>
                          </w:rPr>
                          <w:t>本期解除限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售股数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485" w:right="122" w:hanging="360"/>
                          <w:jc w:val="left"/>
                          <w:rPr>
                            <w:rFonts w:ascii="宋体" w:hAnsi="宋体" w:cs="宋体" w:eastAsia="宋体" w:hint="default"/>
                            <w:sz w:val="18"/>
                            <w:szCs w:val="18"/>
                          </w:rPr>
                        </w:pPr>
                        <w:r>
                          <w:rPr>
                            <w:rFonts w:ascii="宋体" w:hAnsi="宋体" w:cs="宋体" w:eastAsia="宋体" w:hint="default"/>
                            <w:spacing w:val="-2"/>
                            <w:sz w:val="18"/>
                            <w:szCs w:val="18"/>
                          </w:rPr>
                          <w:t>期末限售股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数</w:t>
                        </w: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3"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114,920,705</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59,619,493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174,540,198</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3,648,673</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2,384,071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5,692,744</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9"/>
                          <w:jc w:val="left"/>
                          <w:rPr>
                            <w:rFonts w:ascii="宋体" w:hAnsi="宋体" w:cs="宋体" w:eastAsia="宋体" w:hint="default"/>
                            <w:sz w:val="18"/>
                            <w:szCs w:val="18"/>
                          </w:rPr>
                        </w:pPr>
                        <w:r>
                          <w:rPr>
                            <w:rFonts w:ascii="宋体" w:hAnsi="宋体" w:cs="宋体" w:eastAsia="宋体" w:hint="default"/>
                            <w:spacing w:val="-2"/>
                            <w:sz w:val="18"/>
                            <w:szCs w:val="18"/>
                          </w:rPr>
                          <w:t>股权激励限售股、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高管锁定股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日股权激励限</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售股解除限售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1"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肖瑗</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2,057,051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1,184,936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2,901,987</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99"/>
                          <w:jc w:val="left"/>
                          <w:rPr>
                            <w:rFonts w:ascii="宋体" w:hAnsi="宋体" w:cs="宋体" w:eastAsia="宋体" w:hint="default"/>
                            <w:sz w:val="18"/>
                            <w:szCs w:val="18"/>
                          </w:rPr>
                        </w:pPr>
                        <w:r>
                          <w:rPr>
                            <w:rFonts w:ascii="宋体" w:hAnsi="宋体" w:cs="宋体" w:eastAsia="宋体" w:hint="default"/>
                            <w:spacing w:val="-2"/>
                            <w:sz w:val="18"/>
                            <w:szCs w:val="18"/>
                          </w:rPr>
                          <w:t>股权激励限售股、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高管锁定股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日股权激励限</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售股解除限售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5"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2,053,164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1,182,215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2,725,379</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99"/>
                          <w:jc w:val="left"/>
                          <w:rPr>
                            <w:rFonts w:ascii="宋体" w:hAnsi="宋体" w:cs="宋体" w:eastAsia="宋体" w:hint="default"/>
                            <w:sz w:val="18"/>
                            <w:szCs w:val="18"/>
                          </w:rPr>
                        </w:pPr>
                        <w:r>
                          <w:rPr>
                            <w:rFonts w:ascii="宋体" w:hAnsi="宋体" w:cs="宋体" w:eastAsia="宋体" w:hint="default"/>
                            <w:spacing w:val="-2"/>
                            <w:sz w:val="18"/>
                            <w:szCs w:val="18"/>
                          </w:rPr>
                          <w:t>股权激励限售股、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高管锁定股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日股权激励限</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售股解除限售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6"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1,800,243</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1,260,170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425,000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2,635,413</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99"/>
                          <w:jc w:val="left"/>
                          <w:rPr>
                            <w:rFonts w:ascii="宋体" w:hAnsi="宋体" w:cs="宋体" w:eastAsia="宋体" w:hint="default"/>
                            <w:sz w:val="18"/>
                            <w:szCs w:val="18"/>
                          </w:rPr>
                        </w:pPr>
                        <w:r>
                          <w:rPr>
                            <w:rFonts w:ascii="宋体" w:hAnsi="宋体" w:cs="宋体" w:eastAsia="宋体" w:hint="default"/>
                            <w:spacing w:val="-2"/>
                            <w:sz w:val="18"/>
                            <w:szCs w:val="18"/>
                          </w:rPr>
                          <w:t>股权激励限售股、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高管锁定股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日股权激励限</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售股解除限售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03"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1,837,621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648,834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2,486,455</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0"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pacing w:val="-3"/>
                            <w:sz w:val="18"/>
                          </w:rPr>
                          <w:t>JIE</w:t>
                        </w:r>
                        <w:r>
                          <w:rPr>
                            <w:rFonts w:ascii="Times New Roman"/>
                            <w:spacing w:val="11"/>
                            <w:sz w:val="18"/>
                          </w:rPr>
                          <w:t> </w:t>
                        </w:r>
                        <w:r>
                          <w:rPr>
                            <w:rFonts w:ascii="Times New Roman"/>
                            <w:spacing w:val="-3"/>
                            <w:sz w:val="18"/>
                          </w:rPr>
                          <w:t>ZHAO</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1,600,000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1,120,000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2,210,000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股权激励限售股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日股权激励限</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售股解除限售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6"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梁京</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1,500,000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1,050,000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425,000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2,125,000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股权激励限售股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日股权激励限</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售股解除限售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5"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杨平勇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1,200,000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840,000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1,700,000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股权激励限售股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日股权激励限</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售股解除限售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6"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627,001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392,999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850,000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股权激励限售股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日股权激励限</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售股解除限售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0"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600,000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420,000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850,000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股权激励限售股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日股权激励限</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售股解除限售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03"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谷莉</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134,561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94,193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228,754</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吴一彬</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119,314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32,811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152,125</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21,283,396</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21,283,396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日离任期满高</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管锁定股解除限售</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21,283,396</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r>
                  <w:tr>
                    <w:trPr>
                      <w:trHeight w:val="711"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737,065</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737,065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日离任期满高</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管锁定股解除限售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737,065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403" w:hRule="exact"/>
                    </w:trPr>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154,118,794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70,229,722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25,250,461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199,098,055</w:t>
                        </w: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
              </w:txbxContent>
            </v:textbox>
            <w10:wrap type="none"/>
          </v:shape>
        </w:pict>
      </w: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股</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56"/>
        <w:ind w:left="313" w:right="0"/>
        <w:jc w:val="left"/>
      </w:pPr>
      <w:r>
        <w:rPr/>
        <w:t>单位：</w:t>
      </w:r>
    </w:p>
    <w:p>
      <w:pPr>
        <w:spacing w:after="0" w:line="240" w:lineRule="auto"/>
        <w:jc w:val="left"/>
        <w:sectPr>
          <w:type w:val="continuous"/>
          <w:pgSz w:w="11910" w:h="16840"/>
          <w:pgMar w:top="1100" w:bottom="1220" w:left="820" w:right="0"/>
          <w:cols w:num="2" w:equalWidth="0">
            <w:col w:w="1697" w:space="7393"/>
            <w:col w:w="2000"/>
          </w:cols>
        </w:sectPr>
      </w:pPr>
    </w:p>
    <w:p>
      <w:pPr>
        <w:spacing w:line="240" w:lineRule="auto" w:before="1"/>
        <w:rPr>
          <w:rFonts w:ascii="宋体" w:hAnsi="宋体" w:cs="宋体" w:eastAsia="宋体" w:hint="default"/>
          <w:sz w:val="18"/>
          <w:szCs w:val="18"/>
        </w:rPr>
      </w:pPr>
    </w:p>
    <w:p>
      <w:pPr>
        <w:pStyle w:val="Heading2"/>
        <w:spacing w:line="240" w:lineRule="auto" w:before="26"/>
        <w:ind w:left="233" w:right="1161"/>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233" w:right="1161"/>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233" w:right="116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2358"/>
        <w:gridCol w:w="1801"/>
        <w:gridCol w:w="1124"/>
        <w:gridCol w:w="1037"/>
        <w:gridCol w:w="1801"/>
        <w:gridCol w:w="1191"/>
        <w:gridCol w:w="773"/>
      </w:tblGrid>
      <w:tr>
        <w:trPr>
          <w:trHeight w:val="715" w:hRule="exact"/>
        </w:trPr>
        <w:tc>
          <w:tcPr>
            <w:tcW w:w="2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股票及其衍生证券名称</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2"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1" w:right="132" w:hanging="178"/>
              <w:jc w:val="left"/>
              <w:rPr>
                <w:rFonts w:ascii="宋体" w:hAnsi="宋体" w:cs="宋体" w:eastAsia="宋体" w:hint="default"/>
                <w:sz w:val="18"/>
                <w:szCs w:val="18"/>
              </w:rPr>
            </w:pPr>
            <w:r>
              <w:rPr>
                <w:rFonts w:ascii="宋体" w:hAnsi="宋体" w:cs="宋体" w:eastAsia="宋体" w:hint="default"/>
                <w:spacing w:val="-2"/>
                <w:sz w:val="18"/>
                <w:szCs w:val="18"/>
              </w:rPr>
              <w:t>获准上市交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易数量</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5" w:right="104"/>
              <w:jc w:val="left"/>
              <w:rPr>
                <w:rFonts w:ascii="宋体" w:hAnsi="宋体" w:cs="宋体" w:eastAsia="宋体" w:hint="default"/>
                <w:sz w:val="18"/>
                <w:szCs w:val="18"/>
              </w:rPr>
            </w:pPr>
            <w:r>
              <w:rPr>
                <w:rFonts w:ascii="宋体" w:hAnsi="宋体" w:cs="宋体" w:eastAsia="宋体" w:hint="default"/>
                <w:sz w:val="18"/>
                <w:szCs w:val="18"/>
              </w:rPr>
              <w:t>交易终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止日期</w:t>
            </w:r>
          </w:p>
        </w:tc>
      </w:tr>
      <w:tr>
        <w:trPr>
          <w:trHeight w:val="398" w:hRule="exact"/>
        </w:trPr>
        <w:tc>
          <w:tcPr>
            <w:tcW w:w="1008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1028" w:hRule="exact"/>
        </w:trPr>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年股票期权激励计划</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sz w:val="18"/>
                <w:szCs w:val="18"/>
              </w:rPr>
              <w:t>（自主行权）</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7.65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1,008,996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1,008,996</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年股票期权激励计划</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sz w:val="18"/>
                <w:szCs w:val="18"/>
              </w:rPr>
              <w:t>（自主行权）</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701,286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701,286</w:t>
            </w: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08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可转换公司债券、分离交易的可转换公司债券、公司债类</w:t>
            </w:r>
          </w:p>
        </w:tc>
      </w:tr>
      <w:tr>
        <w:trPr>
          <w:trHeight w:val="398" w:hRule="exact"/>
        </w:trPr>
        <w:tc>
          <w:tcPr>
            <w:tcW w:w="1008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其他衍生证券类</w:t>
            </w:r>
          </w:p>
        </w:tc>
      </w:tr>
    </w:tbl>
    <w:p>
      <w:pPr>
        <w:pStyle w:val="BodyText"/>
        <w:spacing w:line="240" w:lineRule="auto" w:before="53"/>
        <w:ind w:left="233" w:right="1161"/>
        <w:jc w:val="left"/>
      </w:pPr>
      <w:r>
        <w:rPr>
          <w:spacing w:val="-3"/>
        </w:rPr>
        <w:t>报告期内证券发行（不含优先股）情况的说明</w:t>
      </w:r>
    </w:p>
    <w:p>
      <w:pPr>
        <w:pStyle w:val="BodyText"/>
        <w:spacing w:line="300" w:lineRule="auto" w:before="115"/>
        <w:ind w:left="233" w:right="1161"/>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28</w:t>
      </w:r>
      <w:r>
        <w:rPr>
          <w:spacing w:val="-3"/>
        </w:rPr>
        <w:t>日，公司第六届董事会第七次会议审议通过《关于</w:t>
      </w:r>
      <w:r>
        <w:rPr>
          <w:rFonts w:ascii="Times New Roman" w:hAnsi="Times New Roman" w:cs="Times New Roman" w:eastAsia="Times New Roman" w:hint="default"/>
          <w:spacing w:val="-3"/>
        </w:rPr>
        <w:t>2018</w:t>
      </w:r>
      <w:r>
        <w:rPr>
          <w:spacing w:val="-3"/>
        </w:rPr>
        <w:t>年股票期权激励计划第一个行权期行权条件成就</w:t>
      </w:r>
      <w:r>
        <w:rPr>
          <w:spacing w:val="82"/>
        </w:rPr>
        <w:t> </w:t>
      </w:r>
      <w:r>
        <w:rPr>
          <w:spacing w:val="82"/>
        </w:rPr>
      </w:r>
      <w:r>
        <w:rPr>
          <w:spacing w:val="-3"/>
        </w:rPr>
        <w:t>的议案》，</w:t>
      </w:r>
      <w:r>
        <w:rPr>
          <w:rFonts w:ascii="Times New Roman" w:hAnsi="Times New Roman" w:cs="Times New Roman" w:eastAsia="Times New Roman" w:hint="default"/>
          <w:spacing w:val="-3"/>
        </w:rPr>
        <w:t>2018</w:t>
      </w:r>
      <w:r>
        <w:rPr>
          <w:spacing w:val="-3"/>
        </w:rPr>
        <w:t>年股票期权激励计划第一个行权期行权条件已经满足，行权期限为自中国证券登记结算有限责任公司深圳</w:t>
      </w:r>
      <w:r>
        <w:rPr>
          <w:spacing w:val="71"/>
        </w:rPr>
        <w:t> </w:t>
      </w:r>
      <w:r>
        <w:rPr>
          <w:spacing w:val="71"/>
        </w:rPr>
      </w:r>
      <w:r>
        <w:rPr>
          <w:spacing w:val="-2"/>
        </w:rPr>
        <w:t>分公司的手续办理完成（即：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13</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14</w:t>
      </w:r>
      <w:r>
        <w:rPr>
          <w:spacing w:val="-2"/>
        </w:rPr>
        <w:t>日，</w:t>
      </w:r>
      <w:r>
        <w:rPr>
          <w:rFonts w:ascii="Times New Roman" w:hAnsi="Times New Roman" w:cs="Times New Roman" w:eastAsia="Times New Roman" w:hint="default"/>
          <w:spacing w:val="-2"/>
        </w:rPr>
        <w:t>2018</w:t>
      </w:r>
      <w:r>
        <w:rPr>
          <w:spacing w:val="-2"/>
        </w:rPr>
        <w:t>年股票期权激励计划</w:t>
      </w:r>
      <w:r>
        <w:rPr>
          <w:spacing w:val="44"/>
        </w:rPr>
        <w:t> </w:t>
      </w:r>
      <w:r>
        <w:rPr>
          <w:spacing w:val="44"/>
        </w:rPr>
      </w:r>
      <w:r>
        <w:rPr/>
        <w:t>累计行权</w:t>
      </w:r>
      <w:r>
        <w:rPr>
          <w:rFonts w:ascii="Times New Roman" w:hAnsi="Times New Roman" w:cs="Times New Roman" w:eastAsia="Times New Roman" w:hint="default"/>
        </w:rPr>
        <w:t>1,008,996</w:t>
      </w:r>
      <w:r>
        <w:rPr/>
        <w:t>份，行权价</w:t>
      </w:r>
      <w:r>
        <w:rPr>
          <w:rFonts w:ascii="Times New Roman" w:hAnsi="Times New Roman" w:cs="Times New Roman" w:eastAsia="Times New Roman" w:hint="default"/>
        </w:rPr>
        <w:t>7.65</w:t>
      </w:r>
      <w:r>
        <w:rPr/>
        <w:t>元</w:t>
      </w:r>
      <w:r>
        <w:rPr>
          <w:rFonts w:ascii="Times New Roman" w:hAnsi="Times New Roman" w:cs="Times New Roman" w:eastAsia="Times New Roman" w:hint="default"/>
        </w:rPr>
        <w:t>/</w:t>
      </w:r>
      <w:r>
        <w:rPr/>
        <w:t>股，公司总股本增发</w:t>
      </w:r>
      <w:r>
        <w:rPr>
          <w:rFonts w:ascii="Times New Roman" w:hAnsi="Times New Roman" w:cs="Times New Roman" w:eastAsia="Times New Roman" w:hint="default"/>
        </w:rPr>
        <w:t>1,008,996</w:t>
      </w:r>
      <w:r>
        <w:rPr/>
        <w:t>股，公司总股本由</w:t>
      </w:r>
      <w:r>
        <w:rPr>
          <w:rFonts w:ascii="Times New Roman" w:hAnsi="Times New Roman" w:cs="Times New Roman" w:eastAsia="Times New Roman" w:hint="default"/>
        </w:rPr>
        <w:t>794,980,220</w:t>
      </w:r>
      <w:r>
        <w:rPr/>
        <w:t>元增至</w:t>
      </w:r>
      <w:r>
        <w:rPr>
          <w:rFonts w:ascii="Times New Roman" w:hAnsi="Times New Roman" w:cs="Times New Roman" w:eastAsia="Times New Roman" w:hint="default"/>
        </w:rPr>
        <w:t>795,989,216</w:t>
      </w:r>
      <w:r>
        <w:rPr/>
        <w:t>元。</w:t>
      </w:r>
    </w:p>
    <w:p>
      <w:pPr>
        <w:pStyle w:val="BodyText"/>
        <w:spacing w:line="300" w:lineRule="auto" w:before="13"/>
        <w:ind w:left="233" w:right="1161"/>
        <w:jc w:val="left"/>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22</w:t>
      </w:r>
      <w:r>
        <w:rPr>
          <w:spacing w:val="-3"/>
        </w:rPr>
        <w:t>日，公司</w:t>
      </w:r>
      <w:r>
        <w:rPr>
          <w:rFonts w:ascii="Times New Roman" w:hAnsi="Times New Roman" w:cs="Times New Roman" w:eastAsia="Times New Roman" w:hint="default"/>
          <w:spacing w:val="-3"/>
        </w:rPr>
        <w:t>2018</w:t>
      </w:r>
      <w:r>
        <w:rPr>
          <w:spacing w:val="-3"/>
        </w:rPr>
        <w:t>年年度股东大会审议通过了《关于公司</w:t>
      </w:r>
      <w:r>
        <w:rPr>
          <w:rFonts w:ascii="Times New Roman" w:hAnsi="Times New Roman" w:cs="Times New Roman" w:eastAsia="Times New Roman" w:hint="default"/>
          <w:spacing w:val="-3"/>
        </w:rPr>
        <w:t>2018</w:t>
      </w:r>
      <w:r>
        <w:rPr>
          <w:spacing w:val="-3"/>
        </w:rPr>
        <w:t>年度利润分配预案的议案》。公司</w:t>
      </w:r>
      <w:r>
        <w:rPr>
          <w:rFonts w:ascii="Times New Roman" w:hAnsi="Times New Roman" w:cs="Times New Roman" w:eastAsia="Times New Roman" w:hint="default"/>
          <w:spacing w:val="-3"/>
        </w:rPr>
        <w:t>2018</w:t>
      </w:r>
      <w:r>
        <w:rPr>
          <w:spacing w:val="-3"/>
        </w:rPr>
        <w:t>年度权</w:t>
      </w:r>
      <w:r>
        <w:rPr>
          <w:spacing w:val="7"/>
        </w:rPr>
        <w:t> </w:t>
      </w:r>
      <w:r>
        <w:rPr>
          <w:spacing w:val="7"/>
        </w:rPr>
      </w:r>
      <w:r>
        <w:rPr>
          <w:spacing w:val="-3"/>
        </w:rPr>
        <w:t>益分派方案为：以股权登记日（</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14</w:t>
      </w:r>
      <w:r>
        <w:rPr>
          <w:spacing w:val="-3"/>
        </w:rPr>
        <w:t>日）总股本</w:t>
      </w:r>
      <w:r>
        <w:rPr>
          <w:rFonts w:ascii="Times New Roman" w:hAnsi="Times New Roman" w:cs="Times New Roman" w:eastAsia="Times New Roman" w:hint="default"/>
          <w:spacing w:val="-3"/>
        </w:rPr>
        <w:t>795,989,216</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1</w:t>
      </w:r>
      <w:r>
        <w:rPr>
          <w:spacing w:val="-3"/>
        </w:rPr>
        <w:t>元人民币</w:t>
      </w:r>
    </w:p>
    <w:p>
      <w:pPr>
        <w:pStyle w:val="BodyText"/>
        <w:spacing w:line="300" w:lineRule="auto" w:before="13"/>
        <w:ind w:left="233" w:right="1161"/>
        <w:jc w:val="left"/>
      </w:pPr>
      <w:r>
        <w:rPr>
          <w:spacing w:val="-3"/>
        </w:rPr>
        <w:t>，送红股</w:t>
      </w:r>
      <w:r>
        <w:rPr>
          <w:rFonts w:ascii="Times New Roman" w:hAnsi="Times New Roman" w:cs="Times New Roman" w:eastAsia="Times New Roman" w:hint="default"/>
          <w:spacing w:val="-3"/>
        </w:rPr>
        <w:t>0</w:t>
      </w:r>
      <w:r>
        <w:rPr>
          <w:spacing w:val="-3"/>
        </w:rPr>
        <w:t>股，向全体股东每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7</w:t>
      </w:r>
      <w:r>
        <w:rPr>
          <w:spacing w:val="-3"/>
        </w:rPr>
        <w:t>股。截止</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15</w:t>
      </w:r>
      <w:r>
        <w:rPr>
          <w:spacing w:val="-3"/>
        </w:rPr>
        <w:t>日，公司总股本因实施</w:t>
      </w:r>
      <w:r>
        <w:rPr>
          <w:rFonts w:ascii="Times New Roman" w:hAnsi="Times New Roman" w:cs="Times New Roman" w:eastAsia="Times New Roman" w:hint="default"/>
          <w:spacing w:val="-3"/>
        </w:rPr>
        <w:t>2018</w:t>
      </w:r>
      <w:r>
        <w:rPr>
          <w:spacing w:val="-3"/>
        </w:rPr>
        <w:t>年度权益分派增加</w:t>
      </w:r>
      <w:r>
        <w:rPr>
          <w:rFonts w:ascii="Times New Roman" w:hAnsi="Times New Roman" w:cs="Times New Roman" w:eastAsia="Times New Roman" w:hint="default"/>
          <w:spacing w:val="-3"/>
        </w:rPr>
        <w:t>557,192,451</w:t>
      </w:r>
      <w:r>
        <w:rPr>
          <w:spacing w:val="-3"/>
        </w:rPr>
        <w:t>股，</w:t>
      </w:r>
      <w:r>
        <w:rPr>
          <w:spacing w:val="16"/>
        </w:rPr>
        <w:t> </w:t>
      </w:r>
      <w:r>
        <w:rPr/>
        <w:t>公司总股本由</w:t>
      </w:r>
      <w:r>
        <w:rPr>
          <w:rFonts w:ascii="Times New Roman" w:hAnsi="Times New Roman" w:cs="Times New Roman" w:eastAsia="Times New Roman" w:hint="default"/>
        </w:rPr>
        <w:t>795,989,216</w:t>
      </w:r>
      <w:r>
        <w:rPr/>
        <w:t>元增至</w:t>
      </w:r>
      <w:r>
        <w:rPr>
          <w:rFonts w:ascii="Times New Roman" w:hAnsi="Times New Roman" w:cs="Times New Roman" w:eastAsia="Times New Roman" w:hint="default"/>
        </w:rPr>
        <w:t>1,353,181,667</w:t>
      </w:r>
      <w:r>
        <w:rPr/>
        <w:t>元。</w:t>
      </w:r>
    </w:p>
    <w:p>
      <w:pPr>
        <w:spacing w:line="240" w:lineRule="auto" w:before="11"/>
        <w:rPr>
          <w:rFonts w:ascii="宋体" w:hAnsi="宋体" w:cs="宋体" w:eastAsia="宋体" w:hint="default"/>
          <w:sz w:val="24"/>
          <w:szCs w:val="24"/>
        </w:rPr>
      </w:pPr>
    </w:p>
    <w:p>
      <w:pPr>
        <w:pStyle w:val="BodyText"/>
        <w:spacing w:line="300" w:lineRule="auto"/>
        <w:ind w:left="233" w:right="1208"/>
        <w:jc w:val="both"/>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15</w:t>
      </w:r>
      <w:r>
        <w:rPr>
          <w:spacing w:val="-3"/>
        </w:rPr>
        <w:t>日公司第六届董事会第九次会议和第六届监事会第七次会议审议通过《关于调整股票期权激励计划股票</w:t>
      </w:r>
      <w:r>
        <w:rPr>
          <w:spacing w:val="77"/>
        </w:rPr>
        <w:t> </w:t>
      </w:r>
      <w:r>
        <w:rPr>
          <w:spacing w:val="77"/>
        </w:rPr>
      </w:r>
      <w:r>
        <w:rPr>
          <w:spacing w:val="-3"/>
        </w:rPr>
        <w:t>期权行权价格和数量的议案》，对</w:t>
      </w:r>
      <w:r>
        <w:rPr>
          <w:rFonts w:ascii="Times New Roman" w:hAnsi="Times New Roman" w:cs="Times New Roman" w:eastAsia="Times New Roman" w:hint="default"/>
          <w:spacing w:val="-3"/>
        </w:rPr>
        <w:t>2018</w:t>
      </w:r>
      <w:r>
        <w:rPr>
          <w:spacing w:val="-3"/>
        </w:rPr>
        <w:t>年股票期权激励计划和</w:t>
      </w:r>
      <w:r>
        <w:rPr>
          <w:rFonts w:ascii="Times New Roman" w:hAnsi="Times New Roman" w:cs="Times New Roman" w:eastAsia="Times New Roman" w:hint="default"/>
          <w:spacing w:val="-3"/>
        </w:rPr>
        <w:t>2018</w:t>
      </w:r>
      <w:r>
        <w:rPr>
          <w:spacing w:val="-3"/>
        </w:rPr>
        <w:t>年限制性股票与期权计划中的股票期权行权价格和数量</w:t>
      </w:r>
      <w:r>
        <w:rPr>
          <w:spacing w:val="77"/>
        </w:rPr>
        <w:t> </w:t>
      </w:r>
      <w:r>
        <w:rPr>
          <w:spacing w:val="77"/>
        </w:rPr>
      </w:r>
      <w:r>
        <w:rPr>
          <w:spacing w:val="-3"/>
        </w:rPr>
        <w:t>进行调整，在公司</w:t>
      </w:r>
      <w:r>
        <w:rPr>
          <w:rFonts w:ascii="Times New Roman" w:hAnsi="Times New Roman" w:cs="Times New Roman" w:eastAsia="Times New Roman" w:hint="default"/>
          <w:spacing w:val="-3"/>
        </w:rPr>
        <w:t>2018</w:t>
      </w:r>
      <w:r>
        <w:rPr>
          <w:spacing w:val="-3"/>
        </w:rPr>
        <w:t>年度权益分派完成后，公司</w:t>
      </w:r>
      <w:r>
        <w:rPr>
          <w:rFonts w:ascii="Times New Roman" w:hAnsi="Times New Roman" w:cs="Times New Roman" w:eastAsia="Times New Roman" w:hint="default"/>
          <w:spacing w:val="-3"/>
        </w:rPr>
        <w:t>2018</w:t>
      </w:r>
      <w:r>
        <w:rPr>
          <w:spacing w:val="-3"/>
        </w:rPr>
        <w:t>年股票期权激励计划股票期权的行权价格调整为</w:t>
      </w:r>
      <w:r>
        <w:rPr>
          <w:rFonts w:ascii="Times New Roman" w:hAnsi="Times New Roman" w:cs="Times New Roman" w:eastAsia="Times New Roman" w:hint="default"/>
          <w:spacing w:val="-3"/>
        </w:rPr>
        <w:t>4.44</w:t>
      </w:r>
      <w:r>
        <w:rPr>
          <w:spacing w:val="-3"/>
        </w:rPr>
        <w:t>元</w:t>
      </w:r>
      <w:r>
        <w:rPr>
          <w:rFonts w:ascii="Times New Roman" w:hAnsi="Times New Roman" w:cs="Times New Roman" w:eastAsia="Times New Roman" w:hint="default"/>
          <w:spacing w:val="-3"/>
        </w:rPr>
        <w:t>/</w:t>
      </w:r>
      <w:r>
        <w:rPr>
          <w:spacing w:val="-3"/>
        </w:rPr>
        <w:t>份，行权数</w:t>
      </w:r>
      <w:r>
        <w:rPr>
          <w:spacing w:val="-1"/>
        </w:rPr>
        <w:t> </w:t>
      </w:r>
      <w:r>
        <w:rPr>
          <w:spacing w:val="-1"/>
        </w:rPr>
      </w:r>
      <w:r>
        <w:rPr>
          <w:spacing w:val="-2"/>
        </w:rPr>
        <w:t>量调整为</w:t>
      </w:r>
      <w:r>
        <w:rPr>
          <w:rFonts w:ascii="Times New Roman" w:hAnsi="Times New Roman" w:cs="Times New Roman" w:eastAsia="Times New Roman" w:hint="default"/>
          <w:spacing w:val="-2"/>
        </w:rPr>
        <w:t>3,435,706</w:t>
      </w:r>
      <w:r>
        <w:rPr>
          <w:spacing w:val="-2"/>
        </w:rPr>
        <w:t>份；</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2018</w:t>
      </w:r>
      <w:r>
        <w:rPr>
          <w:spacing w:val="-2"/>
        </w:rPr>
        <w:t>年股票期权激励计划累计行权</w:t>
      </w:r>
      <w:r>
        <w:rPr>
          <w:rFonts w:ascii="Times New Roman" w:hAnsi="Times New Roman" w:cs="Times New Roman" w:eastAsia="Times New Roman" w:hint="default"/>
          <w:spacing w:val="-2"/>
        </w:rPr>
        <w:t>701,286</w:t>
      </w:r>
      <w:r>
        <w:rPr>
          <w:spacing w:val="-2"/>
        </w:rPr>
        <w:t>份，行权价</w:t>
      </w:r>
      <w:r>
        <w:rPr>
          <w:rFonts w:ascii="Times New Roman" w:hAnsi="Times New Roman" w:cs="Times New Roman" w:eastAsia="Times New Roman" w:hint="default"/>
          <w:spacing w:val="-2"/>
        </w:rPr>
        <w:t>4.44</w:t>
      </w:r>
      <w:r>
        <w:rPr>
          <w:spacing w:val="-2"/>
        </w:rPr>
        <w:t>元</w:t>
      </w:r>
      <w:r>
        <w:rPr>
          <w:rFonts w:ascii="Times New Roman" w:hAnsi="Times New Roman" w:cs="Times New Roman" w:eastAsia="Times New Roman" w:hint="default"/>
          <w:spacing w:val="-2"/>
        </w:rPr>
        <w:t>/</w:t>
      </w:r>
      <w:r>
        <w:rPr>
          <w:spacing w:val="-2"/>
        </w:rPr>
        <w:t>股，</w:t>
      </w:r>
      <w:r>
        <w:rPr>
          <w:spacing w:val="48"/>
        </w:rPr>
        <w:t> </w:t>
      </w:r>
      <w:r>
        <w:rPr/>
        <w:t>公司总股本增发</w:t>
      </w:r>
      <w:r>
        <w:rPr>
          <w:rFonts w:ascii="Times New Roman" w:hAnsi="Times New Roman" w:cs="Times New Roman" w:eastAsia="Times New Roman" w:hint="default"/>
        </w:rPr>
        <w:t>701,286</w:t>
      </w:r>
      <w:r>
        <w:rPr/>
        <w:t>股，截止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日，公司总股本由</w:t>
      </w:r>
      <w:r>
        <w:rPr>
          <w:rFonts w:ascii="Times New Roman" w:hAnsi="Times New Roman" w:cs="Times New Roman" w:eastAsia="Times New Roman" w:hint="default"/>
        </w:rPr>
        <w:t>1,353,181,667</w:t>
      </w:r>
      <w:r>
        <w:rPr/>
        <w:t>元增至</w:t>
      </w:r>
      <w:r>
        <w:rPr>
          <w:rFonts w:ascii="Times New Roman" w:hAnsi="Times New Roman" w:cs="Times New Roman" w:eastAsia="Times New Roman" w:hint="default"/>
        </w:rPr>
        <w:t>1,353,882,953</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1"/>
        <w:ind w:left="233" w:right="1161"/>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33" w:right="116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233" w:right="277"/>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9"/>
        </w:rPr>
        <w:t> </w:t>
      </w:r>
      <w:r>
        <w:rPr/>
        <w:t>年</w:t>
      </w:r>
      <w:r>
        <w:rPr>
          <w:spacing w:val="-36"/>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36"/>
        </w:rPr>
        <w:t> </w:t>
      </w:r>
      <w:r>
        <w:rPr>
          <w:rFonts w:ascii="Times New Roman" w:hAnsi="Times New Roman" w:cs="Times New Roman" w:eastAsia="Times New Roman" w:hint="default"/>
        </w:rPr>
        <w:t>22</w:t>
      </w:r>
      <w:r>
        <w:rPr>
          <w:rFonts w:ascii="Times New Roman" w:hAnsi="Times New Roman" w:cs="Times New Roman" w:eastAsia="Times New Roman" w:hint="default"/>
          <w:spacing w:val="9"/>
        </w:rPr>
        <w:t> </w:t>
      </w:r>
      <w:r>
        <w:rPr>
          <w:spacing w:val="-4"/>
        </w:rPr>
        <w:t>日，公司</w:t>
      </w:r>
      <w:r>
        <w:rPr>
          <w:spacing w:val="-3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spacing w:val="-3"/>
        </w:rPr>
        <w:t>年年度股东大会审议通过了《关于公司</w:t>
      </w:r>
      <w:r>
        <w:rPr>
          <w:spacing w:val="-3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spacing w:val="-4"/>
        </w:rPr>
        <w:t>年度利润分配预案的议案》。公司</w:t>
      </w:r>
      <w:r>
        <w:rPr>
          <w:spacing w:val="-3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p>
    <w:p>
      <w:pPr>
        <w:pStyle w:val="BodyText"/>
        <w:spacing w:line="240" w:lineRule="auto" w:before="63"/>
        <w:ind w:left="233" w:right="277"/>
        <w:jc w:val="left"/>
        <w:rPr>
          <w:rFonts w:ascii="Times New Roman" w:hAnsi="Times New Roman" w:cs="Times New Roman" w:eastAsia="Times New Roman" w:hint="default"/>
        </w:rPr>
      </w:pPr>
      <w:r>
        <w:rPr/>
        <w:t>度权益分派方案为：以股权登记日（</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日）总股本</w:t>
      </w:r>
      <w:r>
        <w:rPr>
          <w:spacing w:val="-42"/>
        </w:rPr>
        <w:t> </w:t>
      </w:r>
      <w:r>
        <w:rPr>
          <w:rFonts w:ascii="Times New Roman" w:hAnsi="Times New Roman" w:cs="Times New Roman" w:eastAsia="Times New Roman" w:hint="default"/>
        </w:rPr>
        <w:t>795,989,216</w:t>
      </w:r>
      <w:r>
        <w:rPr>
          <w:rFonts w:ascii="Times New Roman" w:hAnsi="Times New Roman" w:cs="Times New Roman" w:eastAsia="Times New Roman" w:hint="default"/>
          <w:spacing w:val="-2"/>
        </w:rPr>
        <w:t> </w:t>
      </w:r>
      <w:r>
        <w:rPr/>
        <w:t>股为基数，向全体股东每</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spacing w:val="-3"/>
        </w:rPr>
        <w:t>股派发现金红利</w:t>
      </w:r>
      <w:r>
        <w:rPr>
          <w:spacing w:val="-42"/>
        </w:rPr>
        <w:t> </w:t>
      </w:r>
      <w:r>
        <w:rPr>
          <w:rFonts w:ascii="Times New Roman" w:hAnsi="Times New Roman" w:cs="Times New Roman" w:eastAsia="Times New Roman" w:hint="default"/>
        </w:rPr>
        <w:t>1</w:t>
      </w:r>
    </w:p>
    <w:p>
      <w:pPr>
        <w:pStyle w:val="BodyText"/>
        <w:spacing w:line="240" w:lineRule="auto" w:before="63"/>
        <w:ind w:left="233" w:right="277"/>
        <w:jc w:val="left"/>
      </w:pPr>
      <w:r>
        <w:rPr>
          <w:spacing w:val="-5"/>
        </w:rPr>
        <w:t>元人民币，送红股</w:t>
      </w:r>
      <w:r>
        <w:rPr>
          <w:spacing w:val="-40"/>
        </w:rPr>
        <w:t> </w:t>
      </w:r>
      <w:r>
        <w:rPr>
          <w:rFonts w:ascii="Times New Roman" w:hAnsi="Times New Roman" w:cs="Times New Roman" w:eastAsia="Times New Roman" w:hint="default"/>
        </w:rPr>
        <w:t>0</w:t>
      </w:r>
      <w:r>
        <w:rPr>
          <w:rFonts w:ascii="Times New Roman" w:hAnsi="Times New Roman" w:cs="Times New Roman" w:eastAsia="Times New Roman" w:hint="default"/>
          <w:spacing w:val="5"/>
        </w:rPr>
        <w:t> </w:t>
      </w:r>
      <w:r>
        <w:rPr>
          <w:spacing w:val="-5"/>
        </w:rPr>
        <w:t>股，向全体股东每</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股转增</w:t>
      </w:r>
      <w:r>
        <w:rPr>
          <w:spacing w:val="-40"/>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spacing w:val="-8"/>
        </w:rPr>
        <w:t>股。截止</w:t>
      </w:r>
      <w:r>
        <w:rPr>
          <w:spacing w:val="-4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0"/>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spacing w:val="-5"/>
        </w:rPr>
        <w:t>日，公司总股本因实施</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年度权益分派增加</w:t>
      </w:r>
    </w:p>
    <w:p>
      <w:pPr>
        <w:pStyle w:val="BodyText"/>
        <w:spacing w:line="240" w:lineRule="auto" w:before="63"/>
        <w:ind w:left="233" w:right="277"/>
        <w:jc w:val="left"/>
      </w:pPr>
      <w:r>
        <w:rPr>
          <w:rFonts w:ascii="Times New Roman" w:hAnsi="Times New Roman" w:cs="Times New Roman" w:eastAsia="Times New Roman" w:hint="default"/>
        </w:rPr>
        <w:t>557,192,451 </w:t>
      </w:r>
      <w:r>
        <w:rPr/>
        <w:t>股，公司总股本由 </w:t>
      </w:r>
      <w:r>
        <w:rPr>
          <w:rFonts w:ascii="Times New Roman" w:hAnsi="Times New Roman" w:cs="Times New Roman" w:eastAsia="Times New Roman" w:hint="default"/>
        </w:rPr>
        <w:t>795,989,216 </w:t>
      </w:r>
      <w:r>
        <w:rPr/>
        <w:t>元增至 </w:t>
      </w:r>
      <w:r>
        <w:rPr>
          <w:rFonts w:ascii="Times New Roman" w:hAnsi="Times New Roman" w:cs="Times New Roman" w:eastAsia="Times New Roman" w:hint="default"/>
        </w:rPr>
        <w:t>1,353,181,667</w:t>
      </w:r>
      <w:r>
        <w:rPr>
          <w:rFonts w:ascii="Times New Roman" w:hAnsi="Times New Roman" w:cs="Times New Roman" w:eastAsia="Times New Roman" w:hint="default"/>
          <w:spacing w:val="-21"/>
        </w:rPr>
        <w:t> </w:t>
      </w:r>
      <w:r>
        <w:rPr>
          <w:spacing w:val="-3"/>
        </w:rPr>
        <w:t>元。公司的股权结构、资产和负债结构无变化。（</w:t>
      </w:r>
      <w:r>
        <w:rPr>
          <w:rFonts w:ascii="Times New Roman" w:hAnsi="Times New Roman" w:cs="Times New Roman" w:eastAsia="Times New Roman" w:hint="default"/>
          <w:spacing w:val="-3"/>
        </w:rPr>
        <w:t>2</w:t>
      </w:r>
      <w:r>
        <w:rPr>
          <w:spacing w:val="-3"/>
        </w:rPr>
        <w:t>）报告</w:t>
      </w:r>
      <w:r>
        <w:rPr/>
      </w:r>
    </w:p>
    <w:p>
      <w:pPr>
        <w:pStyle w:val="BodyText"/>
        <w:spacing w:line="304" w:lineRule="auto" w:before="63"/>
        <w:ind w:left="233" w:right="277"/>
        <w:jc w:val="left"/>
      </w:pPr>
      <w:r>
        <w:rPr/>
        <w:t>期内，因实施</w:t>
      </w:r>
      <w:r>
        <w:rPr>
          <w:spacing w:val="-2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spacing w:val="-3"/>
        </w:rPr>
        <w:t>年股票期权激励计划，公司股本增发</w:t>
      </w:r>
      <w:r>
        <w:rPr>
          <w:spacing w:val="-27"/>
        </w:rPr>
        <w:t> </w:t>
      </w:r>
      <w:r>
        <w:rPr>
          <w:rFonts w:ascii="Times New Roman" w:hAnsi="Times New Roman" w:cs="Times New Roman" w:eastAsia="Times New Roman" w:hint="default"/>
        </w:rPr>
        <w:t>1,710,282</w:t>
      </w:r>
      <w:r>
        <w:rPr>
          <w:rFonts w:ascii="Times New Roman" w:hAnsi="Times New Roman" w:cs="Times New Roman" w:eastAsia="Times New Roman" w:hint="default"/>
          <w:spacing w:val="18"/>
        </w:rPr>
        <w:t> </w:t>
      </w:r>
      <w:r>
        <w:rPr>
          <w:spacing w:val="-3"/>
        </w:rPr>
        <w:t>股，故公司股本累计增加</w:t>
      </w:r>
      <w:r>
        <w:rPr>
          <w:spacing w:val="-27"/>
        </w:rPr>
        <w:t> </w:t>
      </w:r>
      <w:r>
        <w:rPr>
          <w:rFonts w:ascii="Times New Roman" w:hAnsi="Times New Roman" w:cs="Times New Roman" w:eastAsia="Times New Roman" w:hint="default"/>
        </w:rPr>
        <w:t>1,710,282</w:t>
      </w:r>
      <w:r>
        <w:rPr>
          <w:rFonts w:ascii="Times New Roman" w:hAnsi="Times New Roman" w:cs="Times New Roman" w:eastAsia="Times New Roman" w:hint="default"/>
          <w:spacing w:val="10"/>
        </w:rPr>
        <w:t> </w:t>
      </w:r>
      <w:r>
        <w:rPr>
          <w:spacing w:val="-3"/>
        </w:rPr>
        <w:t>股，公司控股股东持</w:t>
      </w:r>
      <w:r>
        <w:rPr>
          <w:spacing w:val="-81"/>
        </w:rPr>
        <w:t> </w:t>
      </w:r>
      <w:r>
        <w:rPr>
          <w:spacing w:val="-81"/>
        </w:rPr>
      </w:r>
      <w:r>
        <w:rPr/>
        <w:t>股比例下降</w:t>
      </w:r>
      <w:r>
        <w:rPr>
          <w:spacing w:val="9"/>
        </w:rPr>
        <w:t> </w:t>
      </w:r>
      <w:r>
        <w:rPr>
          <w:rFonts w:ascii="Times New Roman" w:hAnsi="Times New Roman" w:cs="Times New Roman" w:eastAsia="Times New Roman" w:hint="default"/>
          <w:spacing w:val="-3"/>
        </w:rPr>
        <w:t>0.02%</w:t>
      </w:r>
      <w:r>
        <w:rPr>
          <w:spacing w:val="-3"/>
        </w:rPr>
        <w:t>，资产和负债结构无变化。</w:t>
      </w:r>
    </w:p>
    <w:p>
      <w:pPr>
        <w:spacing w:after="0" w:line="304" w:lineRule="auto"/>
        <w:jc w:val="left"/>
        <w:sectPr>
          <w:pgSz w:w="11910" w:h="16840"/>
          <w:pgMar w:header="0" w:footer="1022" w:top="1120" w:bottom="122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36"/>
        <w:ind w:left="153" w:right="0"/>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left="153" w:right="0"/>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352"/>
        <w:jc w:val="right"/>
      </w:pPr>
      <w:r>
        <w:rPr>
          <w:spacing w:val="-2"/>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58"/>
        <w:gridCol w:w="912"/>
        <w:gridCol w:w="211"/>
        <w:gridCol w:w="937"/>
        <w:gridCol w:w="1138"/>
        <w:gridCol w:w="329"/>
        <w:gridCol w:w="785"/>
        <w:gridCol w:w="1128"/>
        <w:gridCol w:w="512"/>
        <w:gridCol w:w="574"/>
        <w:gridCol w:w="1013"/>
        <w:gridCol w:w="326"/>
        <w:gridCol w:w="649"/>
      </w:tblGrid>
      <w:tr>
        <w:trPr>
          <w:trHeight w:val="1340"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05" w:right="238"/>
              <w:jc w:val="both"/>
              <w:rPr>
                <w:rFonts w:ascii="宋体" w:hAnsi="宋体" w:cs="宋体" w:eastAsia="宋体" w:hint="default"/>
                <w:sz w:val="18"/>
                <w:szCs w:val="18"/>
              </w:rPr>
            </w:pPr>
            <w:r>
              <w:rPr>
                <w:rFonts w:ascii="宋体" w:hAnsi="宋体" w:cs="宋体" w:eastAsia="宋体" w:hint="default"/>
                <w:spacing w:val="-2"/>
                <w:sz w:val="18"/>
                <w:szCs w:val="18"/>
              </w:rPr>
              <w:t>报告期末普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通股股东总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数</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130,420</w:t>
            </w:r>
          </w:p>
        </w:tc>
        <w:tc>
          <w:tcPr>
            <w:tcW w:w="11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28"/>
              <w:jc w:val="both"/>
              <w:rPr>
                <w:rFonts w:ascii="宋体" w:hAnsi="宋体" w:cs="宋体" w:eastAsia="宋体" w:hint="default"/>
                <w:sz w:val="18"/>
                <w:szCs w:val="18"/>
              </w:rPr>
            </w:pPr>
            <w:r>
              <w:rPr>
                <w:rFonts w:ascii="宋体" w:hAnsi="宋体" w:cs="宋体" w:eastAsia="宋体" w:hint="default"/>
                <w:spacing w:val="-2"/>
                <w:sz w:val="18"/>
                <w:szCs w:val="18"/>
              </w:rPr>
              <w:t>年度报告披</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露日前上一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月末普通股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股东总数</w:t>
            </w:r>
          </w:p>
        </w:tc>
        <w:tc>
          <w:tcPr>
            <w:tcW w:w="14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7" w:right="0"/>
              <w:jc w:val="left"/>
              <w:rPr>
                <w:rFonts w:ascii="Times New Roman" w:hAnsi="Times New Roman" w:cs="Times New Roman" w:eastAsia="Times New Roman" w:hint="default"/>
                <w:sz w:val="18"/>
                <w:szCs w:val="18"/>
              </w:rPr>
            </w:pPr>
            <w:r>
              <w:rPr>
                <w:rFonts w:ascii="Times New Roman"/>
                <w:sz w:val="18"/>
              </w:rPr>
              <w:t>161,773</w:t>
            </w:r>
          </w:p>
        </w:tc>
        <w:tc>
          <w:tcPr>
            <w:tcW w:w="19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75"/>
              <w:jc w:val="left"/>
              <w:rPr>
                <w:rFonts w:ascii="宋体" w:hAnsi="宋体" w:cs="宋体" w:eastAsia="宋体" w:hint="default"/>
                <w:sz w:val="18"/>
                <w:szCs w:val="18"/>
              </w:rPr>
            </w:pPr>
            <w:r>
              <w:rPr>
                <w:rFonts w:ascii="宋体" w:hAnsi="宋体" w:cs="宋体" w:eastAsia="宋体" w:hint="default"/>
                <w:spacing w:val="-3"/>
                <w:sz w:val="18"/>
                <w:szCs w:val="18"/>
              </w:rPr>
              <w:t>报告期末表决权恢复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的优先股股东总数</w:t>
            </w:r>
          </w:p>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（如有）（参见注</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3" w:right="175"/>
              <w:jc w:val="both"/>
              <w:rPr>
                <w:rFonts w:ascii="宋体" w:hAnsi="宋体" w:cs="宋体" w:eastAsia="宋体" w:hint="default"/>
                <w:sz w:val="18"/>
                <w:szCs w:val="18"/>
              </w:rPr>
            </w:pPr>
            <w:r>
              <w:rPr>
                <w:rFonts w:ascii="宋体" w:hAnsi="宋体" w:cs="宋体" w:eastAsia="宋体" w:hint="default"/>
                <w:spacing w:val="-3"/>
                <w:sz w:val="18"/>
                <w:szCs w:val="18"/>
              </w:rPr>
              <w:t>年度报告披露日前上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一月末表决权恢复的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优先股股东总数（如</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977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403" w:hRule="exact"/>
        </w:trPr>
        <w:tc>
          <w:tcPr>
            <w:tcW w:w="12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6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9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97" w:right="108" w:hanging="183"/>
              <w:jc w:val="left"/>
              <w:rPr>
                <w:rFonts w:ascii="宋体" w:hAnsi="宋体" w:cs="宋体" w:eastAsia="宋体" w:hint="default"/>
                <w:sz w:val="18"/>
                <w:szCs w:val="18"/>
              </w:rPr>
            </w:pPr>
            <w:r>
              <w:rPr>
                <w:rFonts w:ascii="宋体" w:hAnsi="宋体" w:cs="宋体" w:eastAsia="宋体" w:hint="default"/>
                <w:spacing w:val="-2"/>
                <w:sz w:val="18"/>
                <w:szCs w:val="18"/>
              </w:rPr>
              <w:t>报告期末持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股数量</w:t>
            </w:r>
          </w:p>
        </w:tc>
        <w:tc>
          <w:tcPr>
            <w:tcW w:w="11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92" w:right="185"/>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情况</w:t>
            </w:r>
          </w:p>
        </w:tc>
        <w:tc>
          <w:tcPr>
            <w:tcW w:w="11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10" w:right="103"/>
              <w:jc w:val="center"/>
              <w:rPr>
                <w:rFonts w:ascii="宋体" w:hAnsi="宋体" w:cs="宋体" w:eastAsia="宋体" w:hint="default"/>
                <w:sz w:val="18"/>
                <w:szCs w:val="18"/>
              </w:rPr>
            </w:pPr>
            <w:r>
              <w:rPr>
                <w:rFonts w:ascii="宋体" w:hAnsi="宋体" w:cs="宋体" w:eastAsia="宋体" w:hint="default"/>
                <w:spacing w:val="-2"/>
                <w:sz w:val="18"/>
                <w:szCs w:val="18"/>
              </w:rPr>
              <w:t>持有有限售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10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72" w:right="176"/>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19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9"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624" w:hRule="exact"/>
        </w:trPr>
        <w:tc>
          <w:tcPr>
            <w:tcW w:w="1258" w:type="dxa"/>
            <w:vMerge/>
            <w:tcBorders>
              <w:left w:val="single" w:sz="4" w:space="0" w:color="000000"/>
              <w:bottom w:val="single" w:sz="4" w:space="0" w:color="000000"/>
              <w:right w:val="single" w:sz="4" w:space="0" w:color="000000"/>
            </w:tcBorders>
            <w:shd w:val="clear" w:color="auto" w:fill="D2D2D2"/>
          </w:tcPr>
          <w:p>
            <w:pPr/>
          </w:p>
        </w:tc>
        <w:tc>
          <w:tcPr>
            <w:tcW w:w="1124" w:type="dxa"/>
            <w:gridSpan w:val="2"/>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shd w:val="clear" w:color="auto" w:fill="D2D2D2"/>
          </w:tcPr>
          <w:p>
            <w:pPr/>
          </w:p>
        </w:tc>
        <w:tc>
          <w:tcPr>
            <w:tcW w:w="1114" w:type="dxa"/>
            <w:gridSpan w:val="2"/>
            <w:vMerge/>
            <w:tcBorders>
              <w:left w:val="single" w:sz="4" w:space="0" w:color="000000"/>
              <w:bottom w:val="single" w:sz="4" w:space="0" w:color="000000"/>
              <w:right w:val="single" w:sz="4" w:space="0" w:color="000000"/>
            </w:tcBorders>
            <w:shd w:val="clear" w:color="auto" w:fill="D2D2D2"/>
          </w:tcPr>
          <w:p>
            <w:pPr/>
          </w:p>
        </w:tc>
        <w:tc>
          <w:tcPr>
            <w:tcW w:w="1128" w:type="dxa"/>
            <w:vMerge/>
            <w:tcBorders>
              <w:left w:val="single" w:sz="4" w:space="0" w:color="000000"/>
              <w:bottom w:val="single" w:sz="4" w:space="0" w:color="000000"/>
              <w:right w:val="single" w:sz="4" w:space="0" w:color="000000"/>
            </w:tcBorders>
            <w:shd w:val="clear" w:color="auto" w:fill="D2D2D2"/>
          </w:tcPr>
          <w:p>
            <w:pPr/>
          </w:p>
        </w:tc>
        <w:tc>
          <w:tcPr>
            <w:tcW w:w="1085" w:type="dxa"/>
            <w:gridSpan w:val="2"/>
            <w:vMerge/>
            <w:tcBorders>
              <w:left w:val="single" w:sz="4" w:space="0" w:color="000000"/>
              <w:bottom w:val="single" w:sz="4" w:space="0" w:color="000000"/>
              <w:right w:val="single" w:sz="4" w:space="0" w:color="000000"/>
            </w:tcBorders>
            <w:shd w:val="clear" w:color="auto" w:fill="D2D2D2"/>
          </w:tcPr>
          <w:p>
            <w:pP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16.92%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229,140,264</w:t>
            </w:r>
          </w:p>
        </w:tc>
        <w:tc>
          <w:tcPr>
            <w:tcW w:w="1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92,245,991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174,540,198</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8" w:right="0"/>
              <w:jc w:val="left"/>
              <w:rPr>
                <w:rFonts w:ascii="Times New Roman" w:hAnsi="Times New Roman" w:cs="Times New Roman" w:eastAsia="Times New Roman" w:hint="default"/>
                <w:sz w:val="18"/>
                <w:szCs w:val="18"/>
              </w:rPr>
            </w:pPr>
            <w:r>
              <w:rPr>
                <w:rFonts w:ascii="Times New Roman"/>
                <w:sz w:val="18"/>
              </w:rPr>
              <w:t>54,600,066</w:t>
            </w:r>
          </w:p>
        </w:tc>
        <w:tc>
          <w:tcPr>
            <w:tcW w:w="1013" w:type="dxa"/>
            <w:tcBorders>
              <w:top w:val="single" w:sz="4" w:space="0" w:color="000000"/>
              <w:left w:val="single" w:sz="4" w:space="0" w:color="000000"/>
              <w:bottom w:val="single" w:sz="4" w:space="0" w:color="000000"/>
              <w:right w:val="single" w:sz="4" w:space="0" w:color="000000"/>
            </w:tcBorders>
          </w:tcPr>
          <w:p>
            <w:pPr/>
          </w:p>
        </w:tc>
        <w:tc>
          <w:tcPr>
            <w:tcW w:w="975" w:type="dxa"/>
            <w:gridSpan w:val="2"/>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陈晨</w:t>
            </w:r>
          </w:p>
        </w:tc>
        <w:tc>
          <w:tcPr>
            <w:tcW w:w="1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2.88%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39,000,000</w:t>
            </w:r>
          </w:p>
        </w:tc>
        <w:tc>
          <w:tcPr>
            <w:tcW w:w="1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10,820,000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8" w:right="0"/>
              <w:jc w:val="left"/>
              <w:rPr>
                <w:rFonts w:ascii="Times New Roman" w:hAnsi="Times New Roman" w:cs="Times New Roman" w:eastAsia="Times New Roman" w:hint="default"/>
                <w:sz w:val="18"/>
                <w:szCs w:val="18"/>
              </w:rPr>
            </w:pPr>
            <w:r>
              <w:rPr>
                <w:rFonts w:ascii="Times New Roman"/>
                <w:sz w:val="18"/>
              </w:rPr>
              <w:t>39,000,000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975"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1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2.33%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31,599,590</w:t>
            </w:r>
          </w:p>
        </w:tc>
        <w:tc>
          <w:tcPr>
            <w:tcW w:w="1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10,316,194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8" w:right="0"/>
              <w:jc w:val="left"/>
              <w:rPr>
                <w:rFonts w:ascii="Times New Roman" w:hAnsi="Times New Roman" w:cs="Times New Roman" w:eastAsia="Times New Roman" w:hint="default"/>
                <w:sz w:val="18"/>
                <w:szCs w:val="18"/>
              </w:rPr>
            </w:pPr>
            <w:r>
              <w:rPr>
                <w:rFonts w:ascii="Times New Roman"/>
                <w:sz w:val="18"/>
              </w:rPr>
              <w:t>31,599,590</w:t>
            </w:r>
          </w:p>
        </w:tc>
        <w:tc>
          <w:tcPr>
            <w:tcW w:w="1013" w:type="dxa"/>
            <w:tcBorders>
              <w:top w:val="single" w:sz="4" w:space="0" w:color="000000"/>
              <w:left w:val="single" w:sz="4" w:space="0" w:color="000000"/>
              <w:bottom w:val="single" w:sz="4" w:space="0" w:color="000000"/>
              <w:right w:val="single" w:sz="4" w:space="0" w:color="000000"/>
            </w:tcBorders>
          </w:tcPr>
          <w:p>
            <w:pPr/>
          </w:p>
        </w:tc>
        <w:tc>
          <w:tcPr>
            <w:tcW w:w="975"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冯树滔</w:t>
            </w:r>
          </w:p>
        </w:tc>
        <w:tc>
          <w:tcPr>
            <w:tcW w:w="1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1.49%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20,119,179</w:t>
            </w:r>
          </w:p>
        </w:tc>
        <w:tc>
          <w:tcPr>
            <w:tcW w:w="1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10,678,769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7" w:right="0"/>
              <w:jc w:val="left"/>
              <w:rPr>
                <w:rFonts w:ascii="Times New Roman" w:hAnsi="Times New Roman" w:cs="Times New Roman" w:eastAsia="Times New Roman" w:hint="default"/>
                <w:sz w:val="18"/>
                <w:szCs w:val="18"/>
              </w:rPr>
            </w:pPr>
            <w:r>
              <w:rPr>
                <w:rFonts w:ascii="Times New Roman"/>
                <w:sz w:val="18"/>
              </w:rPr>
              <w:t>20,119,179</w:t>
            </w:r>
          </w:p>
        </w:tc>
        <w:tc>
          <w:tcPr>
            <w:tcW w:w="1013" w:type="dxa"/>
            <w:tcBorders>
              <w:top w:val="single" w:sz="4" w:space="0" w:color="000000"/>
              <w:left w:val="single" w:sz="4" w:space="0" w:color="000000"/>
              <w:bottom w:val="single" w:sz="4" w:space="0" w:color="000000"/>
              <w:right w:val="single" w:sz="4" w:space="0" w:color="000000"/>
            </w:tcBorders>
          </w:tcPr>
          <w:p>
            <w:pPr/>
          </w:p>
        </w:tc>
        <w:tc>
          <w:tcPr>
            <w:tcW w:w="975" w:type="dxa"/>
            <w:gridSpan w:val="2"/>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张彤</w:t>
            </w:r>
          </w:p>
        </w:tc>
        <w:tc>
          <w:tcPr>
            <w:tcW w:w="1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1.20%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16,300,000</w:t>
            </w:r>
          </w:p>
        </w:tc>
        <w:tc>
          <w:tcPr>
            <w:tcW w:w="1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-1,200,000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8" w:right="0"/>
              <w:jc w:val="left"/>
              <w:rPr>
                <w:rFonts w:ascii="Times New Roman" w:hAnsi="Times New Roman" w:cs="Times New Roman" w:eastAsia="Times New Roman" w:hint="default"/>
                <w:sz w:val="18"/>
                <w:szCs w:val="18"/>
              </w:rPr>
            </w:pPr>
            <w:r>
              <w:rPr>
                <w:rFonts w:ascii="Times New Roman"/>
                <w:sz w:val="18"/>
              </w:rPr>
              <w:t>16,300,000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975" w:type="dxa"/>
            <w:gridSpan w:val="2"/>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38"/>
              <w:jc w:val="both"/>
              <w:rPr>
                <w:rFonts w:ascii="宋体" w:hAnsi="宋体" w:cs="宋体" w:eastAsia="宋体" w:hint="default"/>
                <w:sz w:val="18"/>
                <w:szCs w:val="18"/>
              </w:rPr>
            </w:pPr>
            <w:r>
              <w:rPr>
                <w:rFonts w:ascii="宋体" w:hAnsi="宋体" w:cs="宋体" w:eastAsia="宋体" w:hint="default"/>
                <w:spacing w:val="-2"/>
                <w:sz w:val="18"/>
                <w:szCs w:val="18"/>
              </w:rPr>
              <w:t>中央汇金资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产管理有限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责任公司</w:t>
            </w:r>
          </w:p>
        </w:tc>
        <w:tc>
          <w:tcPr>
            <w:tcW w:w="1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0.93%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12,625,730</w:t>
            </w:r>
          </w:p>
        </w:tc>
        <w:tc>
          <w:tcPr>
            <w:tcW w:w="1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5,198,830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12,625,730</w:t>
            </w:r>
          </w:p>
        </w:tc>
        <w:tc>
          <w:tcPr>
            <w:tcW w:w="1013" w:type="dxa"/>
            <w:tcBorders>
              <w:top w:val="single" w:sz="4" w:space="0" w:color="000000"/>
              <w:left w:val="single" w:sz="4" w:space="0" w:color="000000"/>
              <w:bottom w:val="single" w:sz="4" w:space="0" w:color="000000"/>
              <w:right w:val="single" w:sz="4" w:space="0" w:color="000000"/>
            </w:tcBorders>
          </w:tcPr>
          <w:p>
            <w:pPr/>
          </w:p>
        </w:tc>
        <w:tc>
          <w:tcPr>
            <w:tcW w:w="975" w:type="dxa"/>
            <w:gridSpan w:val="2"/>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张大庆</w:t>
            </w:r>
          </w:p>
        </w:tc>
        <w:tc>
          <w:tcPr>
            <w:tcW w:w="1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0.81%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10,957,000</w:t>
            </w:r>
          </w:p>
        </w:tc>
        <w:tc>
          <w:tcPr>
            <w:tcW w:w="1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772,000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8" w:right="0"/>
              <w:jc w:val="left"/>
              <w:rPr>
                <w:rFonts w:ascii="Times New Roman" w:hAnsi="Times New Roman" w:cs="Times New Roman" w:eastAsia="Times New Roman" w:hint="default"/>
                <w:sz w:val="18"/>
                <w:szCs w:val="18"/>
              </w:rPr>
            </w:pPr>
            <w:r>
              <w:rPr>
                <w:rFonts w:ascii="Times New Roman"/>
                <w:sz w:val="18"/>
              </w:rPr>
              <w:t>10,957,000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975"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金硕</w:t>
            </w:r>
          </w:p>
        </w:tc>
        <w:tc>
          <w:tcPr>
            <w:tcW w:w="1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0.63%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8,500,000</w:t>
            </w:r>
          </w:p>
        </w:tc>
        <w:tc>
          <w:tcPr>
            <w:tcW w:w="1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2,700,000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18"/>
                <w:szCs w:val="18"/>
              </w:rPr>
            </w:pPr>
            <w:r>
              <w:rPr>
                <w:rFonts w:ascii="Times New Roman"/>
                <w:sz w:val="18"/>
              </w:rPr>
              <w:t>8,500,000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975"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吴天舒</w:t>
            </w:r>
          </w:p>
        </w:tc>
        <w:tc>
          <w:tcPr>
            <w:tcW w:w="1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0.59%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8,012,975</w:t>
            </w:r>
          </w:p>
        </w:tc>
        <w:tc>
          <w:tcPr>
            <w:tcW w:w="1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-4,314,069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18"/>
                <w:szCs w:val="18"/>
              </w:rPr>
            </w:pPr>
            <w:r>
              <w:rPr>
                <w:rFonts w:ascii="Times New Roman"/>
                <w:sz w:val="18"/>
              </w:rPr>
              <w:t>8,012,975</w:t>
            </w:r>
          </w:p>
        </w:tc>
        <w:tc>
          <w:tcPr>
            <w:tcW w:w="1013" w:type="dxa"/>
            <w:tcBorders>
              <w:top w:val="single" w:sz="4" w:space="0" w:color="000000"/>
              <w:left w:val="single" w:sz="4" w:space="0" w:color="000000"/>
              <w:bottom w:val="single" w:sz="4" w:space="0" w:color="000000"/>
              <w:right w:val="single" w:sz="4" w:space="0" w:color="000000"/>
            </w:tcBorders>
          </w:tcPr>
          <w:p>
            <w:pPr/>
          </w:p>
        </w:tc>
        <w:tc>
          <w:tcPr>
            <w:tcW w:w="975" w:type="dxa"/>
            <w:gridSpan w:val="2"/>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宋凌</w:t>
            </w:r>
          </w:p>
        </w:tc>
        <w:tc>
          <w:tcPr>
            <w:tcW w:w="1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0.58%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7,880,000</w:t>
            </w:r>
          </w:p>
        </w:tc>
        <w:tc>
          <w:tcPr>
            <w:tcW w:w="11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-5,620,000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9" w:right="0"/>
              <w:jc w:val="left"/>
              <w:rPr>
                <w:rFonts w:ascii="Times New Roman" w:hAnsi="Times New Roman" w:cs="Times New Roman" w:eastAsia="Times New Roman" w:hint="default"/>
                <w:sz w:val="18"/>
                <w:szCs w:val="18"/>
              </w:rPr>
            </w:pPr>
            <w:r>
              <w:rPr>
                <w:rFonts w:ascii="Times New Roman"/>
                <w:sz w:val="18"/>
              </w:rPr>
              <w:t>7,880,000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975" w:type="dxa"/>
            <w:gridSpan w:val="2"/>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3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99"/>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售新股成为前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名股东的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情况（如有）（参见注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39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5" w:hRule="exact"/>
        </w:trPr>
        <w:tc>
          <w:tcPr>
            <w:tcW w:w="23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9"/>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动的说明</w:t>
            </w:r>
          </w:p>
        </w:tc>
        <w:tc>
          <w:tcPr>
            <w:tcW w:w="7390" w:type="dxa"/>
            <w:gridSpan w:val="10"/>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95"/>
              <w:jc w:val="left"/>
              <w:rPr>
                <w:rFonts w:ascii="宋体" w:hAnsi="宋体" w:cs="宋体" w:eastAsia="宋体" w:hint="default"/>
                <w:sz w:val="18"/>
                <w:szCs w:val="18"/>
              </w:rPr>
            </w:pPr>
            <w:r>
              <w:rPr>
                <w:rFonts w:ascii="宋体" w:hAnsi="宋体" w:cs="宋体" w:eastAsia="宋体" w:hint="default"/>
                <w:spacing w:val="-4"/>
                <w:sz w:val="18"/>
                <w:szCs w:val="18"/>
              </w:rPr>
              <w:t>前十名股东中的张彤和张大庆是胞兄弟关系，除上述情况外，本公司未知其他前十名股东中</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是否存在关联关系</w:t>
            </w:r>
          </w:p>
        </w:tc>
      </w:tr>
    </w:tbl>
    <w:p>
      <w:pPr>
        <w:spacing w:after="0" w:line="321" w:lineRule="auto"/>
        <w:jc w:val="left"/>
        <w:rPr>
          <w:rFonts w:ascii="宋体" w:hAnsi="宋体" w:cs="宋体" w:eastAsia="宋体" w:hint="default"/>
          <w:sz w:val="18"/>
          <w:szCs w:val="18"/>
        </w:rPr>
        <w:sectPr>
          <w:pgSz w:w="11910" w:h="16840"/>
          <w:pgMar w:header="0" w:footer="1022" w:top="1120" w:bottom="122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tbl>
      <w:tblPr>
        <w:tblW w:w="0" w:type="auto"/>
        <w:jc w:val="left"/>
        <w:tblInd w:w="148" w:type="dxa"/>
        <w:tblLayout w:type="fixed"/>
        <w:tblCellMar>
          <w:top w:w="0" w:type="dxa"/>
          <w:left w:w="0" w:type="dxa"/>
          <w:bottom w:w="0" w:type="dxa"/>
          <w:right w:w="0" w:type="dxa"/>
        </w:tblCellMar>
        <w:tblLook w:val="01E0"/>
      </w:tblPr>
      <w:tblGrid>
        <w:gridCol w:w="3020"/>
        <w:gridCol w:w="3237"/>
        <w:gridCol w:w="1753"/>
        <w:gridCol w:w="1763"/>
      </w:tblGrid>
      <w:tr>
        <w:trPr>
          <w:trHeight w:val="403" w:hRule="exact"/>
        </w:trPr>
        <w:tc>
          <w:tcPr>
            <w:tcW w:w="977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404" w:hRule="exact"/>
        </w:trPr>
        <w:tc>
          <w:tcPr>
            <w:tcW w:w="30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2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35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3" w:hRule="exact"/>
        </w:trPr>
        <w:tc>
          <w:tcPr>
            <w:tcW w:w="3020" w:type="dxa"/>
            <w:vMerge/>
            <w:tcBorders>
              <w:left w:val="single" w:sz="4" w:space="0" w:color="000000"/>
              <w:bottom w:val="single" w:sz="4" w:space="0" w:color="000000"/>
              <w:right w:val="single" w:sz="4" w:space="0" w:color="000000"/>
            </w:tcBorders>
            <w:shd w:val="clear" w:color="auto" w:fill="D2D2D2"/>
          </w:tcPr>
          <w:p>
            <w:pPr/>
          </w:p>
        </w:tc>
        <w:tc>
          <w:tcPr>
            <w:tcW w:w="3237" w:type="dxa"/>
            <w:vMerge/>
            <w:tcBorders>
              <w:left w:val="single" w:sz="4" w:space="0" w:color="000000"/>
              <w:bottom w:val="single" w:sz="4" w:space="0" w:color="000000"/>
              <w:right w:val="single" w:sz="4" w:space="0" w:color="000000"/>
            </w:tcBorders>
            <w:shd w:val="clear" w:color="auto" w:fill="D2D2D2"/>
          </w:tcPr>
          <w:p>
            <w:pP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02"/>
              <w:jc w:val="right"/>
              <w:rPr>
                <w:rFonts w:ascii="宋体" w:hAnsi="宋体" w:cs="宋体" w:eastAsia="宋体" w:hint="default"/>
                <w:sz w:val="18"/>
                <w:szCs w:val="18"/>
              </w:rPr>
            </w:pPr>
            <w:r>
              <w:rPr>
                <w:rFonts w:ascii="宋体" w:hAnsi="宋体" w:cs="宋体" w:eastAsia="宋体" w:hint="default"/>
                <w:spacing w:val="-2"/>
                <w:sz w:val="18"/>
                <w:szCs w:val="18"/>
              </w:rPr>
              <w:t>股份种类</w:t>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9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54,600,066</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50"/>
              <w:jc w:val="right"/>
              <w:rPr>
                <w:rFonts w:ascii="宋体" w:hAnsi="宋体" w:cs="宋体" w:eastAsia="宋体" w:hint="default"/>
                <w:sz w:val="18"/>
                <w:szCs w:val="18"/>
              </w:rPr>
            </w:pPr>
            <w:r>
              <w:rPr>
                <w:rFonts w:ascii="宋体" w:hAnsi="宋体" w:cs="宋体" w:eastAsia="宋体" w:hint="default"/>
                <w:spacing w:val="-2"/>
                <w:sz w:val="18"/>
                <w:szCs w:val="18"/>
              </w:rPr>
              <w:t>人民币普通股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54,600,066</w:t>
            </w:r>
          </w:p>
        </w:tc>
      </w:tr>
      <w:tr>
        <w:trPr>
          <w:trHeight w:val="403"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陈晨</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39,000,000</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50"/>
              <w:jc w:val="right"/>
              <w:rPr>
                <w:rFonts w:ascii="宋体" w:hAnsi="宋体" w:cs="宋体" w:eastAsia="宋体" w:hint="default"/>
                <w:sz w:val="18"/>
                <w:szCs w:val="18"/>
              </w:rPr>
            </w:pPr>
            <w:r>
              <w:rPr>
                <w:rFonts w:ascii="宋体" w:hAnsi="宋体" w:cs="宋体" w:eastAsia="宋体" w:hint="default"/>
                <w:spacing w:val="-2"/>
                <w:sz w:val="18"/>
                <w:szCs w:val="18"/>
              </w:rPr>
              <w:t>人民币普通股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39,000,000</w:t>
            </w:r>
          </w:p>
        </w:tc>
      </w:tr>
      <w:tr>
        <w:trPr>
          <w:trHeight w:val="403"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31,599,590</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50"/>
              <w:jc w:val="right"/>
              <w:rPr>
                <w:rFonts w:ascii="宋体" w:hAnsi="宋体" w:cs="宋体" w:eastAsia="宋体" w:hint="default"/>
                <w:sz w:val="18"/>
                <w:szCs w:val="18"/>
              </w:rPr>
            </w:pPr>
            <w:r>
              <w:rPr>
                <w:rFonts w:ascii="宋体" w:hAnsi="宋体" w:cs="宋体" w:eastAsia="宋体" w:hint="default"/>
                <w:spacing w:val="-2"/>
                <w:sz w:val="18"/>
                <w:szCs w:val="18"/>
              </w:rPr>
              <w:t>人民币普通股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31,599,590</w:t>
            </w:r>
          </w:p>
        </w:tc>
      </w:tr>
      <w:tr>
        <w:trPr>
          <w:trHeight w:val="403"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冯树滔</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20,119,179</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50"/>
              <w:jc w:val="right"/>
              <w:rPr>
                <w:rFonts w:ascii="宋体" w:hAnsi="宋体" w:cs="宋体" w:eastAsia="宋体" w:hint="default"/>
                <w:sz w:val="18"/>
                <w:szCs w:val="18"/>
              </w:rPr>
            </w:pPr>
            <w:r>
              <w:rPr>
                <w:rFonts w:ascii="宋体" w:hAnsi="宋体" w:cs="宋体" w:eastAsia="宋体" w:hint="default"/>
                <w:spacing w:val="-2"/>
                <w:sz w:val="18"/>
                <w:szCs w:val="18"/>
              </w:rPr>
              <w:t>人民币普通股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20,119,179</w:t>
            </w:r>
          </w:p>
        </w:tc>
      </w:tr>
      <w:tr>
        <w:trPr>
          <w:trHeight w:val="39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张彤</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16,300,000</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50"/>
              <w:jc w:val="right"/>
              <w:rPr>
                <w:rFonts w:ascii="宋体" w:hAnsi="宋体" w:cs="宋体" w:eastAsia="宋体" w:hint="default"/>
                <w:sz w:val="18"/>
                <w:szCs w:val="18"/>
              </w:rPr>
            </w:pPr>
            <w:r>
              <w:rPr>
                <w:rFonts w:ascii="宋体" w:hAnsi="宋体" w:cs="宋体" w:eastAsia="宋体" w:hint="default"/>
                <w:spacing w:val="-2"/>
                <w:sz w:val="18"/>
                <w:szCs w:val="18"/>
              </w:rPr>
              <w:t>人民币普通股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16,300,000</w:t>
            </w:r>
          </w:p>
        </w:tc>
      </w:tr>
      <w:tr>
        <w:trPr>
          <w:trHeight w:val="403"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中央汇金资产管理有限责任公司</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12,625,730</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50"/>
              <w:jc w:val="right"/>
              <w:rPr>
                <w:rFonts w:ascii="宋体" w:hAnsi="宋体" w:cs="宋体" w:eastAsia="宋体" w:hint="default"/>
                <w:sz w:val="18"/>
                <w:szCs w:val="18"/>
              </w:rPr>
            </w:pPr>
            <w:r>
              <w:rPr>
                <w:rFonts w:ascii="宋体" w:hAnsi="宋体" w:cs="宋体" w:eastAsia="宋体" w:hint="default"/>
                <w:spacing w:val="-2"/>
                <w:sz w:val="18"/>
                <w:szCs w:val="18"/>
              </w:rPr>
              <w:t>人民币普通股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12,625,730</w:t>
            </w:r>
          </w:p>
        </w:tc>
      </w:tr>
      <w:tr>
        <w:trPr>
          <w:trHeight w:val="403"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张大庆</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10,957,000</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50"/>
              <w:jc w:val="right"/>
              <w:rPr>
                <w:rFonts w:ascii="宋体" w:hAnsi="宋体" w:cs="宋体" w:eastAsia="宋体" w:hint="default"/>
                <w:sz w:val="18"/>
                <w:szCs w:val="18"/>
              </w:rPr>
            </w:pPr>
            <w:r>
              <w:rPr>
                <w:rFonts w:ascii="宋体" w:hAnsi="宋体" w:cs="宋体" w:eastAsia="宋体" w:hint="default"/>
                <w:spacing w:val="-2"/>
                <w:sz w:val="18"/>
                <w:szCs w:val="18"/>
              </w:rPr>
              <w:t>人民币普通股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10,957,000</w:t>
            </w:r>
          </w:p>
        </w:tc>
      </w:tr>
      <w:tr>
        <w:trPr>
          <w:trHeight w:val="404"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金硕</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8,500,000</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50"/>
              <w:jc w:val="right"/>
              <w:rPr>
                <w:rFonts w:ascii="宋体" w:hAnsi="宋体" w:cs="宋体" w:eastAsia="宋体" w:hint="default"/>
                <w:sz w:val="18"/>
                <w:szCs w:val="18"/>
              </w:rPr>
            </w:pPr>
            <w:r>
              <w:rPr>
                <w:rFonts w:ascii="宋体" w:hAnsi="宋体" w:cs="宋体" w:eastAsia="宋体" w:hint="default"/>
                <w:spacing w:val="-2"/>
                <w:sz w:val="18"/>
                <w:szCs w:val="18"/>
              </w:rPr>
              <w:t>人民币普通股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8,500,000</w:t>
            </w:r>
          </w:p>
        </w:tc>
      </w:tr>
      <w:tr>
        <w:trPr>
          <w:trHeight w:val="39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吴天舒</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8,012,975</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50"/>
              <w:jc w:val="right"/>
              <w:rPr>
                <w:rFonts w:ascii="宋体" w:hAnsi="宋体" w:cs="宋体" w:eastAsia="宋体" w:hint="default"/>
                <w:sz w:val="18"/>
                <w:szCs w:val="18"/>
              </w:rPr>
            </w:pPr>
            <w:r>
              <w:rPr>
                <w:rFonts w:ascii="宋体" w:hAnsi="宋体" w:cs="宋体" w:eastAsia="宋体" w:hint="default"/>
                <w:spacing w:val="-2"/>
                <w:sz w:val="18"/>
                <w:szCs w:val="18"/>
              </w:rPr>
              <w:t>人民币普通股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8,012,975</w:t>
            </w:r>
          </w:p>
        </w:tc>
      </w:tr>
      <w:tr>
        <w:trPr>
          <w:trHeight w:val="403"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宋凌</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7,880,000</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50"/>
              <w:jc w:val="right"/>
              <w:rPr>
                <w:rFonts w:ascii="宋体" w:hAnsi="宋体" w:cs="宋体" w:eastAsia="宋体" w:hint="default"/>
                <w:sz w:val="18"/>
                <w:szCs w:val="18"/>
              </w:rPr>
            </w:pPr>
            <w:r>
              <w:rPr>
                <w:rFonts w:ascii="宋体" w:hAnsi="宋体" w:cs="宋体" w:eastAsia="宋体" w:hint="default"/>
                <w:spacing w:val="-2"/>
                <w:sz w:val="18"/>
                <w:szCs w:val="18"/>
              </w:rPr>
              <w:t>人民币普通股</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7,880,000</w:t>
            </w:r>
          </w:p>
        </w:tc>
      </w:tr>
      <w:tr>
        <w:trPr>
          <w:trHeight w:val="1340" w:hRule="exact"/>
        </w:trPr>
        <w:tc>
          <w:tcPr>
            <w:tcW w:w="3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名无限售流通股股东之间，以</w:t>
            </w:r>
          </w:p>
          <w:p>
            <w:pPr>
              <w:pStyle w:val="TableParagraph"/>
              <w:spacing w:line="312" w:lineRule="auto" w:before="58"/>
              <w:ind w:left="105" w:right="95"/>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名无限售流通股股东和前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0"/>
                <w:sz w:val="18"/>
                <w:szCs w:val="18"/>
              </w:rPr>
              <w:t> </w:t>
            </w:r>
            <w:r>
              <w:rPr>
                <w:rFonts w:ascii="宋体" w:hAnsi="宋体" w:cs="宋体" w:eastAsia="宋体" w:hint="default"/>
                <w:spacing w:val="-3"/>
                <w:sz w:val="18"/>
                <w:szCs w:val="18"/>
              </w:rPr>
              <w:t>名股东之间关联关系或一致行动的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说明</w:t>
            </w:r>
          </w:p>
        </w:tc>
        <w:tc>
          <w:tcPr>
            <w:tcW w:w="67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05" w:right="153"/>
              <w:jc w:val="left"/>
              <w:rPr>
                <w:rFonts w:ascii="宋体" w:hAnsi="宋体" w:cs="宋体" w:eastAsia="宋体" w:hint="default"/>
                <w:sz w:val="18"/>
                <w:szCs w:val="18"/>
              </w:rPr>
            </w:pPr>
            <w:r>
              <w:rPr>
                <w:rFonts w:ascii="宋体" w:hAnsi="宋体" w:cs="宋体" w:eastAsia="宋体" w:hint="default"/>
                <w:spacing w:val="-3"/>
                <w:sz w:val="18"/>
                <w:szCs w:val="18"/>
              </w:rPr>
              <w:t>前十名股东中的张彤和张大庆是胞兄弟关系，除上述情况外，本公司未知其他前十</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名股东中是否存在关联关系。</w:t>
            </w:r>
          </w:p>
        </w:tc>
      </w:tr>
      <w:tr>
        <w:trPr>
          <w:trHeight w:val="715" w:hRule="exact"/>
        </w:trPr>
        <w:tc>
          <w:tcPr>
            <w:tcW w:w="3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08"/>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名普通股股东参与融资融券业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务情况说明（如有）（参见注</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p>
        </w:tc>
        <w:tc>
          <w:tcPr>
            <w:tcW w:w="67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4"/>
        <w:ind w:left="153"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名无限售条件普通股股东在报告期内是否进行约定购回交易</w:t>
      </w:r>
    </w:p>
    <w:p>
      <w:pPr>
        <w:pStyle w:val="BodyText"/>
        <w:spacing w:line="240" w:lineRule="auto" w:before="101"/>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6"/>
        <w:ind w:left="153"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名无限售条件普通股股东在报告期内未进行约定购回交易。</w:t>
      </w:r>
    </w:p>
    <w:p>
      <w:pPr>
        <w:spacing w:line="240" w:lineRule="auto" w:before="3"/>
        <w:rPr>
          <w:rFonts w:ascii="宋体" w:hAnsi="宋体" w:cs="宋体" w:eastAsia="宋体" w:hint="default"/>
          <w:sz w:val="25"/>
          <w:szCs w:val="25"/>
        </w:rPr>
      </w:pPr>
    </w:p>
    <w:p>
      <w:pPr>
        <w:pStyle w:val="Heading4"/>
        <w:spacing w:line="240" w:lineRule="auto"/>
        <w:ind w:left="153" w:right="0"/>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left="153" w:right="7919"/>
        <w:jc w:val="left"/>
      </w:pPr>
      <w:r>
        <w:rPr>
          <w:spacing w:val="-3"/>
        </w:rPr>
        <w:t>控股股东性质：自然人控股</w:t>
      </w:r>
      <w:r>
        <w:rPr>
          <w:spacing w:val="-51"/>
        </w:rPr>
        <w:t> </w:t>
      </w:r>
      <w:r>
        <w:rPr>
          <w:spacing w:val="-51"/>
        </w:rPr>
      </w:r>
      <w:r>
        <w:rPr/>
        <w:t>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304"/>
        <w:gridCol w:w="3846"/>
      </w:tblGrid>
      <w:tr>
        <w:trPr>
          <w:trHeight w:val="398"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7"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15 </w:t>
            </w:r>
            <w:r>
              <w:rPr>
                <w:rFonts w:ascii="宋体" w:hAnsi="宋体" w:cs="宋体" w:eastAsia="宋体" w:hint="default"/>
                <w:spacing w:val="-3"/>
                <w:sz w:val="18"/>
                <w:szCs w:val="18"/>
              </w:rPr>
              <w:t>日起至今担任二六三网络通信股份有限公司董事长，</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4"/>
                <w:sz w:val="18"/>
                <w:szCs w:val="18"/>
              </w:rPr>
              <w:t> </w:t>
            </w:r>
            <w:r>
              <w:rPr>
                <w:rFonts w:ascii="宋体" w:hAnsi="宋体" w:cs="宋体" w:eastAsia="宋体" w:hint="default"/>
                <w:spacing w:val="-3"/>
                <w:sz w:val="18"/>
                <w:szCs w:val="18"/>
              </w:rPr>
              <w:t>月，受聘为工业和信息化部信息通信经济专家委员会委员。</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38"/>
              <w:jc w:val="left"/>
              <w:rPr>
                <w:rFonts w:ascii="宋体" w:hAnsi="宋体" w:cs="宋体" w:eastAsia="宋体" w:hint="default"/>
                <w:sz w:val="18"/>
                <w:szCs w:val="18"/>
              </w:rPr>
            </w:pPr>
            <w:r>
              <w:rPr>
                <w:rFonts w:ascii="宋体" w:hAnsi="宋体" w:cs="宋体" w:eastAsia="宋体" w:hint="default"/>
                <w:spacing w:val="-3"/>
                <w:sz w:val="18"/>
                <w:szCs w:val="18"/>
              </w:rPr>
              <w:t>报告期内控股和参股的其他境内外上市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公司的股权情况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70"/>
        <w:ind w:left="153" w:right="0"/>
        <w:jc w:val="left"/>
      </w:pPr>
      <w:r>
        <w:rPr/>
        <w:t>控股股东报告期内变更</w:t>
      </w:r>
    </w:p>
    <w:p>
      <w:pPr>
        <w:pStyle w:val="BodyText"/>
        <w:spacing w:line="343" w:lineRule="auto" w:before="115"/>
        <w:ind w:left="153"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公司报告期控股股东未发生变更。</w:t>
      </w:r>
    </w:p>
    <w:p>
      <w:pPr>
        <w:spacing w:after="0" w:line="343" w:lineRule="auto"/>
        <w:jc w:val="left"/>
        <w:sectPr>
          <w:pgSz w:w="11910" w:h="16840"/>
          <w:pgMar w:header="0" w:footer="1022" w:top="1120" w:bottom="1220" w:left="980" w:right="0"/>
        </w:sectPr>
      </w:pPr>
    </w:p>
    <w:p>
      <w:pPr>
        <w:spacing w:line="240" w:lineRule="auto" w:before="3"/>
        <w:rPr>
          <w:rFonts w:ascii="宋体" w:hAnsi="宋体" w:cs="宋体" w:eastAsia="宋体" w:hint="default"/>
          <w:sz w:val="19"/>
          <w:szCs w:val="19"/>
        </w:rPr>
      </w:pPr>
    </w:p>
    <w:p>
      <w:pPr>
        <w:pStyle w:val="Heading4"/>
        <w:spacing w:line="240" w:lineRule="auto" w:before="36"/>
        <w:ind w:left="153" w:right="0"/>
        <w:jc w:val="left"/>
        <w:rPr>
          <w:b w:val="0"/>
          <w:bCs w:val="0"/>
        </w:rPr>
      </w:pPr>
      <w:bookmarkStart w:name="3、公司实际控制人及其一致行动人" w:id="115"/>
      <w:bookmarkEnd w:id="115"/>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left="153" w:right="7919"/>
        <w:jc w:val="left"/>
      </w:pPr>
      <w:r>
        <w:rPr>
          <w:spacing w:val="-3"/>
        </w:rPr>
        <w:t>实际控制人性质：境内自然人</w:t>
      </w:r>
      <w:r>
        <w:rPr>
          <w:spacing w:val="-50"/>
        </w:rPr>
        <w:t> </w:t>
      </w:r>
      <w:r>
        <w:rPr>
          <w:spacing w:val="-50"/>
        </w:rPr>
      </w:r>
      <w:r>
        <w:rPr>
          <w:spacing w:val="-3"/>
        </w:rPr>
        <w:t>实际控制人类型：自然人</w:t>
      </w: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012" w:right="103" w:hanging="903"/>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留权</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日起至今担任二六三网络通信股份有限公司董事长，</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pacing w:val="-8"/>
                <w:sz w:val="18"/>
                <w:szCs w:val="18"/>
              </w:rPr>
              <w:t>月，受聘为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工业和信息化部信息通信经济专家委员会委员。</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0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年曾控股的境内外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67"/>
        <w:ind w:left="153" w:right="0"/>
        <w:jc w:val="left"/>
      </w:pPr>
      <w:r>
        <w:rPr>
          <w:spacing w:val="-3"/>
        </w:rPr>
        <w:t>实际控制人报告期内变更</w:t>
      </w:r>
    </w:p>
    <w:p>
      <w:pPr>
        <w:pStyle w:val="BodyText"/>
        <w:spacing w:line="350" w:lineRule="auto" w:before="115"/>
        <w:ind w:left="153"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公司报告期实际控制人未发生变更。</w:t>
      </w:r>
      <w:r>
        <w:rPr>
          <w:spacing w:val="-39"/>
        </w:rPr>
        <w:t> </w:t>
      </w:r>
      <w:r>
        <w:rPr>
          <w:spacing w:val="-39"/>
        </w:rPr>
      </w:r>
      <w:r>
        <w:rPr>
          <w:spacing w:val="-3"/>
        </w:rPr>
        <w:t>公司与实际控制人之间的产权及控制关系的方框图</w:t>
      </w:r>
    </w:p>
    <w:p>
      <w:pPr>
        <w:spacing w:line="240" w:lineRule="auto" w:before="10"/>
        <w:rPr>
          <w:rFonts w:ascii="宋体" w:hAnsi="宋体" w:cs="宋体" w:eastAsia="宋体" w:hint="default"/>
          <w:sz w:val="15"/>
          <w:szCs w:val="15"/>
        </w:rPr>
      </w:pPr>
    </w:p>
    <w:p>
      <w:pPr>
        <w:spacing w:line="3032" w:lineRule="exact"/>
        <w:ind w:left="2212"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3487260" cy="1925574"/>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7" cstate="print"/>
                    <a:stretch>
                      <a:fillRect/>
                    </a:stretch>
                  </pic:blipFill>
                  <pic:spPr>
                    <a:xfrm>
                      <a:off x="0" y="0"/>
                      <a:ext cx="3487260" cy="1925574"/>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10"/>
        <w:rPr>
          <w:rFonts w:ascii="宋体" w:hAnsi="宋体" w:cs="宋体" w:eastAsia="宋体" w:hint="default"/>
          <w:sz w:val="16"/>
          <w:szCs w:val="16"/>
        </w:rPr>
      </w:pPr>
    </w:p>
    <w:p>
      <w:pPr>
        <w:pStyle w:val="Heading3"/>
        <w:spacing w:line="240" w:lineRule="auto"/>
        <w:ind w:right="0"/>
        <w:jc w:val="left"/>
      </w:pPr>
      <w:r>
        <w:rPr/>
        <w:t>实际控制人通过信托或其他资产管理方式控制公司</w:t>
      </w:r>
    </w:p>
    <w:p>
      <w:pPr>
        <w:spacing w:line="240" w:lineRule="auto" w:before="7"/>
        <w:rPr>
          <w:rFonts w:ascii="宋体" w:hAnsi="宋体" w:cs="宋体" w:eastAsia="宋体" w:hint="default"/>
          <w:sz w:val="19"/>
          <w:szCs w:val="19"/>
        </w:rPr>
      </w:pPr>
    </w:p>
    <w:p>
      <w:pPr>
        <w:pStyle w:val="BodyText"/>
        <w:spacing w:line="240" w:lineRule="auto"/>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left="153" w:right="0"/>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left="153" w:right="0"/>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0" w:footer="1022" w:top="112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spacing w:line="240" w:lineRule="auto"/>
        <w:ind w:left="3365" w:right="0"/>
        <w:jc w:val="left"/>
        <w:rPr>
          <w:b w:val="0"/>
          <w:bCs w:val="0"/>
        </w:rPr>
      </w:pPr>
      <w:bookmarkStart w:name="第七节优先股相关情况" w:id="118"/>
      <w:bookmarkEnd w:id="118"/>
      <w:r>
        <w:rPr>
          <w:b w:val="0"/>
          <w:bCs w:val="0"/>
        </w:rPr>
      </w:r>
      <w:bookmarkStart w:name="_bookmark6" w:id="119"/>
      <w:bookmarkEnd w:id="119"/>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6"/>
        <w:ind w:left="153"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报告期公司不存在优先股。</w:t>
      </w:r>
    </w:p>
    <w:p>
      <w:pPr>
        <w:spacing w:after="0" w:line="338" w:lineRule="auto"/>
        <w:jc w:val="left"/>
        <w:sectPr>
          <w:pgSz w:w="11910" w:h="16840"/>
          <w:pgMar w:header="0" w:footer="1022" w:top="112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spacing w:line="240" w:lineRule="auto"/>
        <w:ind w:left="2722" w:right="0"/>
        <w:jc w:val="left"/>
        <w:rPr>
          <w:b w:val="0"/>
          <w:bCs w:val="0"/>
        </w:rPr>
      </w:pPr>
      <w:bookmarkStart w:name="第八节可转换公司债券相关情况" w:id="120"/>
      <w:bookmarkEnd w:id="120"/>
      <w:r>
        <w:rPr>
          <w:b w:val="0"/>
          <w:bCs w:val="0"/>
        </w:rPr>
      </w:r>
      <w:bookmarkStart w:name="_bookmark7" w:id="121"/>
      <w:bookmarkEnd w:id="121"/>
      <w:r>
        <w:rPr>
          <w:b w:val="0"/>
          <w:bCs w:val="0"/>
        </w:rPr>
      </w:r>
      <w:r>
        <w:rPr/>
        <w:t>第八节可转换公司债券相关情况</w:t>
      </w:r>
      <w:r>
        <w:rPr>
          <w:b w:val="0"/>
          <w:bCs w:val="0"/>
        </w:rPr>
      </w:r>
    </w:p>
    <w:p>
      <w:pPr>
        <w:spacing w:line="240" w:lineRule="auto" w:before="12"/>
        <w:rPr>
          <w:rFonts w:ascii="宋体" w:hAnsi="宋体" w:cs="宋体" w:eastAsia="宋体" w:hint="default"/>
          <w:b/>
          <w:bCs/>
          <w:sz w:val="42"/>
          <w:szCs w:val="42"/>
        </w:rPr>
      </w:pPr>
    </w:p>
    <w:p>
      <w:pPr>
        <w:pStyle w:val="BodyText"/>
        <w:spacing w:line="338" w:lineRule="auto"/>
        <w:ind w:left="153"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报告期公司不存在可转换公司债券。</w:t>
      </w:r>
    </w:p>
    <w:p>
      <w:pPr>
        <w:spacing w:after="0" w:line="338" w:lineRule="auto"/>
        <w:jc w:val="left"/>
        <w:sectPr>
          <w:pgSz w:w="11910" w:h="16840"/>
          <w:pgMar w:header="0" w:footer="1022" w:top="112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spacing w:line="240" w:lineRule="auto"/>
        <w:ind w:left="2277" w:right="150"/>
        <w:jc w:val="left"/>
        <w:rPr>
          <w:b w:val="0"/>
          <w:bCs w:val="0"/>
        </w:rPr>
      </w:pPr>
      <w:bookmarkStart w:name="第九节董事、监事、高级管理人员和员工情况" w:id="122"/>
      <w:bookmarkEnd w:id="122"/>
      <w:r>
        <w:rPr>
          <w:b w:val="0"/>
          <w:bCs w:val="0"/>
        </w:rPr>
      </w:r>
      <w:bookmarkStart w:name="_bookmark8" w:id="123"/>
      <w:bookmarkEnd w:id="123"/>
      <w:r>
        <w:rPr>
          <w:b w:val="0"/>
          <w:bCs w:val="0"/>
        </w:rPr>
      </w:r>
      <w:r>
        <w:rPr/>
        <w:t>第九节董事、监事、高级管理人员和员工情况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left="673" w:right="150"/>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16" w:type="dxa"/>
        <w:tblLayout w:type="fixed"/>
        <w:tblCellMar>
          <w:top w:w="0" w:type="dxa"/>
          <w:left w:w="0" w:type="dxa"/>
          <w:bottom w:w="0" w:type="dxa"/>
          <w:right w:w="0" w:type="dxa"/>
        </w:tblCellMar>
        <w:tblLook w:val="01E0"/>
      </w:tblPr>
      <w:tblGrid>
        <w:gridCol w:w="1023"/>
        <w:gridCol w:w="913"/>
        <w:gridCol w:w="706"/>
        <w:gridCol w:w="470"/>
        <w:gridCol w:w="490"/>
        <w:gridCol w:w="999"/>
        <w:gridCol w:w="792"/>
        <w:gridCol w:w="1167"/>
        <w:gridCol w:w="821"/>
        <w:gridCol w:w="980"/>
        <w:gridCol w:w="1172"/>
        <w:gridCol w:w="1215"/>
      </w:tblGrid>
      <w:tr>
        <w:trPr>
          <w:trHeight w:val="1335" w:hRule="exact"/>
        </w:trPr>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167" w:right="161"/>
              <w:jc w:val="left"/>
              <w:rPr>
                <w:rFonts w:ascii="宋体" w:hAnsi="宋体" w:cs="宋体" w:eastAsia="宋体" w:hint="default"/>
                <w:sz w:val="18"/>
                <w:szCs w:val="18"/>
              </w:rPr>
            </w:pPr>
            <w:r>
              <w:rPr>
                <w:rFonts w:ascii="宋体" w:hAnsi="宋体" w:cs="宋体" w:eastAsia="宋体" w:hint="default"/>
                <w:sz w:val="18"/>
                <w:szCs w:val="18"/>
              </w:rPr>
              <w:t>任职</w:t>
            </w:r>
            <w:r>
              <w:rPr>
                <w:rFonts w:ascii="宋体" w:hAnsi="宋体" w:cs="宋体" w:eastAsia="宋体" w:hint="default"/>
                <w:spacing w:val="-86"/>
                <w:sz w:val="18"/>
                <w:szCs w:val="18"/>
              </w:rPr>
              <w:t> </w:t>
            </w:r>
            <w:r>
              <w:rPr>
                <w:rFonts w:ascii="宋体" w:hAnsi="宋体" w:cs="宋体" w:eastAsia="宋体" w:hint="default"/>
                <w:sz w:val="18"/>
                <w:szCs w:val="18"/>
              </w:rPr>
              <w:t>状态</w:t>
            </w:r>
          </w:p>
        </w:tc>
        <w:tc>
          <w:tcPr>
            <w:tcW w:w="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143" w:right="132"/>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88"/>
                <w:sz w:val="18"/>
                <w:szCs w:val="18"/>
              </w:rPr>
              <w:t> </w:t>
            </w:r>
            <w:r>
              <w:rPr>
                <w:rFonts w:ascii="宋体" w:hAnsi="宋体" w:cs="宋体" w:eastAsia="宋体" w:hint="default"/>
                <w:sz w:val="18"/>
                <w:szCs w:val="18"/>
              </w:rPr>
              <w:t>别</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153" w:right="14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龄</w:t>
            </w:r>
          </w:p>
        </w:tc>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317" w:right="128" w:hanging="183"/>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120" w:right="118"/>
              <w:jc w:val="left"/>
              <w:rPr>
                <w:rFonts w:ascii="宋体" w:hAnsi="宋体" w:cs="宋体" w:eastAsia="宋体" w:hint="default"/>
                <w:sz w:val="18"/>
                <w:szCs w:val="18"/>
              </w:rPr>
            </w:pPr>
            <w:r>
              <w:rPr>
                <w:rFonts w:ascii="宋体" w:hAnsi="宋体" w:cs="宋体" w:eastAsia="宋体" w:hint="default"/>
                <w:sz w:val="18"/>
                <w:szCs w:val="18"/>
              </w:rPr>
              <w:t>任期终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止日期</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34" w:right="132"/>
              <w:jc w:val="both"/>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p>
            <w:pPr>
              <w:pStyle w:val="TableParagraph"/>
              <w:spacing w:line="240" w:lineRule="auto" w:before="23"/>
              <w:ind w:left="13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2" w:lineRule="auto"/>
              <w:ind w:left="124" w:right="118"/>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21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216" w:right="127" w:hanging="87"/>
              <w:jc w:val="left"/>
              <w:rPr>
                <w:rFonts w:ascii="宋体" w:hAnsi="宋体" w:cs="宋体" w:eastAsia="宋体" w:hint="default"/>
                <w:sz w:val="18"/>
                <w:szCs w:val="18"/>
              </w:rPr>
            </w:pPr>
            <w:r>
              <w:rPr>
                <w:rFonts w:ascii="宋体" w:hAnsi="宋体" w:cs="宋体" w:eastAsia="宋体" w:hint="default"/>
                <w:spacing w:val="-2"/>
                <w:sz w:val="18"/>
                <w:szCs w:val="18"/>
              </w:rPr>
              <w:t>其他增减变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动（股）</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7"/>
              <w:ind w:left="9"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136,894,273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3,580,000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95,825,991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229,140,264</w:t>
            </w:r>
          </w:p>
        </w:tc>
      </w:tr>
      <w:tr>
        <w:trPr>
          <w:trHeight w:val="716"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pacing w:val="-5"/>
                <w:sz w:val="18"/>
                <w:szCs w:val="18"/>
              </w:rPr>
              <w:t>02</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4,464,897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3,125,428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7,590,325</w:t>
            </w:r>
          </w:p>
        </w:tc>
      </w:tr>
      <w:tr>
        <w:trPr>
          <w:trHeight w:val="71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94"/>
              <w:jc w:val="left"/>
              <w:rPr>
                <w:rFonts w:ascii="宋体" w:hAnsi="宋体" w:cs="宋体" w:eastAsia="宋体" w:hint="default"/>
                <w:sz w:val="18"/>
                <w:szCs w:val="18"/>
              </w:rPr>
            </w:pPr>
            <w:r>
              <w:rPr>
                <w:rFonts w:ascii="宋体" w:hAnsi="宋体" w:cs="宋体" w:eastAsia="宋体" w:hint="default"/>
                <w:spacing w:val="-7"/>
                <w:sz w:val="18"/>
                <w:szCs w:val="18"/>
              </w:rPr>
              <w:t>董事、副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47</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2,137,552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1,496,286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3,633,838</w:t>
            </w:r>
          </w:p>
        </w:tc>
      </w:tr>
      <w:tr>
        <w:trPr>
          <w:trHeight w:val="711"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pacing w:val="-3"/>
                <w:sz w:val="18"/>
              </w:rPr>
              <w:t>JIE</w:t>
            </w:r>
            <w:r>
              <w:rPr>
                <w:rFonts w:ascii="Times New Roman"/>
                <w:spacing w:val="11"/>
                <w:sz w:val="18"/>
              </w:rPr>
              <w:t> </w:t>
            </w:r>
            <w:r>
              <w:rPr>
                <w:rFonts w:ascii="Times New Roman"/>
                <w:spacing w:val="-3"/>
                <w:sz w:val="18"/>
              </w:rPr>
              <w:t>ZHAO</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94"/>
              <w:jc w:val="left"/>
              <w:rPr>
                <w:rFonts w:ascii="宋体" w:hAnsi="宋体" w:cs="宋体" w:eastAsia="宋体" w:hint="default"/>
                <w:sz w:val="18"/>
                <w:szCs w:val="18"/>
              </w:rPr>
            </w:pPr>
            <w:r>
              <w:rPr>
                <w:rFonts w:ascii="宋体" w:hAnsi="宋体" w:cs="宋体" w:eastAsia="宋体" w:hint="default"/>
                <w:spacing w:val="-7"/>
                <w:sz w:val="18"/>
                <w:szCs w:val="18"/>
              </w:rPr>
              <w:t>董事、副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61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1,600,000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1,120,000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2,692,000</w:t>
            </w:r>
          </w:p>
        </w:tc>
      </w:tr>
      <w:tr>
        <w:trPr>
          <w:trHeight w:val="71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257"/>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67</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257"/>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63</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pacing w:val="-5"/>
                <w:sz w:val="18"/>
                <w:szCs w:val="18"/>
              </w:rPr>
              <w:t>09</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6"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蒋必金</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0" w:right="257"/>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57</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3"/>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1"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0" w:right="257"/>
              <w:jc w:val="left"/>
              <w:rPr>
                <w:rFonts w:ascii="宋体" w:hAnsi="宋体" w:cs="宋体" w:eastAsia="宋体" w:hint="default"/>
                <w:sz w:val="18"/>
                <w:szCs w:val="18"/>
              </w:rPr>
            </w:pPr>
            <w:r>
              <w:rPr>
                <w:rFonts w:ascii="宋体" w:hAnsi="宋体" w:cs="宋体" w:eastAsia="宋体" w:hint="default"/>
                <w:sz w:val="18"/>
                <w:szCs w:val="18"/>
              </w:rPr>
              <w:t>监事会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主席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65"/>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2,450,161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1,365,113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3,315,274</w:t>
            </w:r>
          </w:p>
        </w:tc>
      </w:tr>
      <w:tr>
        <w:trPr>
          <w:trHeight w:val="716"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0" w:right="257"/>
              <w:jc w:val="left"/>
              <w:rPr>
                <w:rFonts w:ascii="宋体" w:hAnsi="宋体" w:cs="宋体" w:eastAsia="宋体" w:hint="default"/>
                <w:sz w:val="18"/>
                <w:szCs w:val="18"/>
              </w:rPr>
            </w:pPr>
            <w:r>
              <w:rPr>
                <w:rFonts w:ascii="宋体" w:hAnsi="宋体" w:cs="宋体" w:eastAsia="宋体" w:hint="default"/>
                <w:sz w:val="18"/>
                <w:szCs w:val="18"/>
              </w:rPr>
              <w:t>监事会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主席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吴一彬</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52</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119,314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83,520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152,834</w:t>
            </w:r>
          </w:p>
        </w:tc>
      </w:tr>
      <w:tr>
        <w:trPr>
          <w:trHeight w:val="716"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谷莉</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179,415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125,591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305,006</w:t>
            </w:r>
          </w:p>
        </w:tc>
      </w:tr>
      <w:tr>
        <w:trPr>
          <w:trHeight w:val="710"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梁京</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1,050,000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2,550,000</w:t>
            </w:r>
          </w:p>
        </w:tc>
      </w:tr>
      <w:tr>
        <w:trPr>
          <w:trHeight w:val="716"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肖瑗</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2,276,068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1,593,248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3,869,316</w:t>
            </w:r>
          </w:p>
        </w:tc>
      </w:tr>
      <w:tr>
        <w:trPr>
          <w:trHeight w:val="71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1,900,324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1,330,227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3,230,551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20" w:bottom="1220" w:left="460" w:right="0"/>
        </w:sectPr>
      </w:pPr>
    </w:p>
    <w:p>
      <w:pPr>
        <w:spacing w:line="240" w:lineRule="auto" w:before="1"/>
        <w:rPr>
          <w:rFonts w:ascii="宋体" w:hAnsi="宋体" w:cs="宋体" w:eastAsia="宋体" w:hint="default"/>
          <w:b/>
          <w:bCs/>
          <w:sz w:val="23"/>
          <w:szCs w:val="23"/>
        </w:rPr>
      </w:pPr>
    </w:p>
    <w:tbl>
      <w:tblPr>
        <w:tblW w:w="0" w:type="auto"/>
        <w:jc w:val="left"/>
        <w:tblInd w:w="116" w:type="dxa"/>
        <w:tblLayout w:type="fixed"/>
        <w:tblCellMar>
          <w:top w:w="0" w:type="dxa"/>
          <w:left w:w="0" w:type="dxa"/>
          <w:bottom w:w="0" w:type="dxa"/>
          <w:right w:w="0" w:type="dxa"/>
        </w:tblCellMar>
        <w:tblLook w:val="01E0"/>
      </w:tblPr>
      <w:tblGrid>
        <w:gridCol w:w="1023"/>
        <w:gridCol w:w="913"/>
        <w:gridCol w:w="706"/>
        <w:gridCol w:w="470"/>
        <w:gridCol w:w="490"/>
        <w:gridCol w:w="999"/>
        <w:gridCol w:w="792"/>
        <w:gridCol w:w="1167"/>
        <w:gridCol w:w="821"/>
        <w:gridCol w:w="980"/>
        <w:gridCol w:w="1172"/>
        <w:gridCol w:w="1215"/>
      </w:tblGrid>
      <w:tr>
        <w:trPr>
          <w:trHeight w:val="1340" w:hRule="exact"/>
        </w:trPr>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267"/>
              <w:jc w:val="right"/>
              <w:rPr>
                <w:rFonts w:ascii="宋体" w:hAnsi="宋体" w:cs="宋体" w:eastAsia="宋体" w:hint="default"/>
                <w:sz w:val="18"/>
                <w:szCs w:val="18"/>
              </w:rPr>
            </w:pPr>
            <w:r>
              <w:rPr>
                <w:rFonts w:ascii="宋体" w:hAnsi="宋体" w:cs="宋体" w:eastAsia="宋体" w:hint="default"/>
                <w:sz w:val="18"/>
                <w:szCs w:val="18"/>
              </w:rPr>
              <w:t>职务</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167" w:right="161"/>
              <w:jc w:val="left"/>
              <w:rPr>
                <w:rFonts w:ascii="宋体" w:hAnsi="宋体" w:cs="宋体" w:eastAsia="宋体" w:hint="default"/>
                <w:sz w:val="18"/>
                <w:szCs w:val="18"/>
              </w:rPr>
            </w:pPr>
            <w:r>
              <w:rPr>
                <w:rFonts w:ascii="宋体" w:hAnsi="宋体" w:cs="宋体" w:eastAsia="宋体" w:hint="default"/>
                <w:sz w:val="18"/>
                <w:szCs w:val="18"/>
              </w:rPr>
              <w:t>任职</w:t>
            </w:r>
            <w:r>
              <w:rPr>
                <w:rFonts w:ascii="宋体" w:hAnsi="宋体" w:cs="宋体" w:eastAsia="宋体" w:hint="default"/>
                <w:spacing w:val="-86"/>
                <w:sz w:val="18"/>
                <w:szCs w:val="18"/>
              </w:rPr>
              <w:t> </w:t>
            </w:r>
            <w:r>
              <w:rPr>
                <w:rFonts w:ascii="宋体" w:hAnsi="宋体" w:cs="宋体" w:eastAsia="宋体" w:hint="default"/>
                <w:sz w:val="18"/>
                <w:szCs w:val="18"/>
              </w:rPr>
              <w:t>状态</w:t>
            </w:r>
          </w:p>
        </w:tc>
        <w:tc>
          <w:tcPr>
            <w:tcW w:w="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143" w:right="132"/>
              <w:jc w:val="left"/>
              <w:rPr>
                <w:rFonts w:ascii="宋体" w:hAnsi="宋体" w:cs="宋体" w:eastAsia="宋体" w:hint="default"/>
                <w:sz w:val="18"/>
                <w:szCs w:val="18"/>
              </w:rPr>
            </w:pPr>
            <w:r>
              <w:rPr>
                <w:rFonts w:ascii="宋体" w:hAnsi="宋体" w:cs="宋体" w:eastAsia="宋体" w:hint="default"/>
                <w:sz w:val="18"/>
                <w:szCs w:val="18"/>
              </w:rPr>
              <w:t>性</w:t>
            </w:r>
            <w:r>
              <w:rPr>
                <w:rFonts w:ascii="宋体" w:hAnsi="宋体" w:cs="宋体" w:eastAsia="宋体" w:hint="default"/>
                <w:spacing w:val="-88"/>
                <w:sz w:val="18"/>
                <w:szCs w:val="18"/>
              </w:rPr>
              <w:t> </w:t>
            </w:r>
            <w:r>
              <w:rPr>
                <w:rFonts w:ascii="宋体" w:hAnsi="宋体" w:cs="宋体" w:eastAsia="宋体" w:hint="default"/>
                <w:sz w:val="18"/>
                <w:szCs w:val="18"/>
              </w:rPr>
              <w:t>别</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153" w:right="14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龄</w:t>
            </w:r>
          </w:p>
        </w:tc>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317" w:right="128" w:hanging="183"/>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120" w:right="118"/>
              <w:jc w:val="left"/>
              <w:rPr>
                <w:rFonts w:ascii="宋体" w:hAnsi="宋体" w:cs="宋体" w:eastAsia="宋体" w:hint="default"/>
                <w:sz w:val="18"/>
                <w:szCs w:val="18"/>
              </w:rPr>
            </w:pPr>
            <w:r>
              <w:rPr>
                <w:rFonts w:ascii="宋体" w:hAnsi="宋体" w:cs="宋体" w:eastAsia="宋体" w:hint="default"/>
                <w:sz w:val="18"/>
                <w:szCs w:val="18"/>
              </w:rPr>
              <w:t>任期终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止日期</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34" w:right="132"/>
              <w:jc w:val="both"/>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p>
            <w:pPr>
              <w:pStyle w:val="TableParagraph"/>
              <w:spacing w:line="240" w:lineRule="auto" w:before="26"/>
              <w:ind w:left="13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2" w:lineRule="auto"/>
              <w:ind w:left="124" w:right="118"/>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21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216" w:right="127" w:hanging="87"/>
              <w:jc w:val="left"/>
              <w:rPr>
                <w:rFonts w:ascii="宋体" w:hAnsi="宋体" w:cs="宋体" w:eastAsia="宋体" w:hint="default"/>
                <w:sz w:val="18"/>
                <w:szCs w:val="18"/>
              </w:rPr>
            </w:pPr>
            <w:r>
              <w:rPr>
                <w:rFonts w:ascii="宋体" w:hAnsi="宋体" w:cs="宋体" w:eastAsia="宋体" w:hint="default"/>
                <w:spacing w:val="-2"/>
                <w:sz w:val="18"/>
                <w:szCs w:val="18"/>
              </w:rPr>
              <w:t>其他增减变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动（股）</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10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367" w:lineRule="auto"/>
              <w:ind w:left="101" w:right="284"/>
              <w:jc w:val="left"/>
              <w:rPr>
                <w:rFonts w:ascii="Times New Roman" w:hAnsi="Times New Roman" w:cs="Times New Roman" w:eastAsia="Times New Roman" w:hint="default"/>
                <w:sz w:val="18"/>
                <w:szCs w:val="18"/>
              </w:rPr>
            </w:pPr>
            <w:r>
              <w:rPr>
                <w:rFonts w:ascii="Times New Roman"/>
                <w:spacing w:val="-3"/>
                <w:sz w:val="18"/>
              </w:rPr>
              <w:t>HAIBIN</w:t>
            </w:r>
            <w:r>
              <w:rPr>
                <w:rFonts w:ascii="Times New Roman"/>
                <w:spacing w:val="-34"/>
                <w:sz w:val="18"/>
              </w:rPr>
              <w:t> </w:t>
            </w:r>
            <w:r>
              <w:rPr>
                <w:rFonts w:ascii="Times New Roman"/>
                <w:spacing w:val="-34"/>
                <w:sz w:val="18"/>
              </w:rPr>
            </w:r>
            <w:r>
              <w:rPr>
                <w:rFonts w:ascii="Times New Roman"/>
                <w:sz w:val="18"/>
              </w:rPr>
              <w:t>CHEN</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257"/>
              <w:jc w:val="right"/>
              <w:rPr>
                <w:rFonts w:ascii="宋体" w:hAnsi="宋体" w:cs="宋体" w:eastAsia="宋体" w:hint="default"/>
                <w:sz w:val="18"/>
                <w:szCs w:val="18"/>
              </w:rPr>
            </w:pPr>
            <w:r>
              <w:rPr>
                <w:rFonts w:ascii="宋体" w:hAnsi="宋体" w:cs="宋体" w:eastAsia="宋体" w:hint="default"/>
                <w:spacing w:val="-2"/>
                <w:sz w:val="18"/>
                <w:szCs w:val="18"/>
              </w:rPr>
              <w:t>副总裁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225"/>
              <w:jc w:val="right"/>
              <w:rPr>
                <w:rFonts w:ascii="宋体" w:hAnsi="宋体" w:cs="宋体" w:eastAsia="宋体" w:hint="default"/>
                <w:sz w:val="18"/>
                <w:szCs w:val="18"/>
              </w:rPr>
            </w:pPr>
            <w:r>
              <w:rPr>
                <w:rFonts w:ascii="宋体" w:hAnsi="宋体" w:cs="宋体" w:eastAsia="宋体" w:hint="default"/>
                <w:sz w:val="18"/>
                <w:szCs w:val="18"/>
              </w:rPr>
              <w:t>离任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65"/>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55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6"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0" w:right="257"/>
              <w:jc w:val="left"/>
              <w:rPr>
                <w:rFonts w:ascii="宋体" w:hAnsi="宋体" w:cs="宋体" w:eastAsia="宋体" w:hint="default"/>
                <w:sz w:val="18"/>
                <w:szCs w:val="18"/>
              </w:rPr>
            </w:pPr>
            <w:r>
              <w:rPr>
                <w:rFonts w:ascii="宋体" w:hAnsi="宋体" w:cs="宋体" w:eastAsia="宋体" w:hint="default"/>
                <w:sz w:val="18"/>
                <w:szCs w:val="18"/>
              </w:rPr>
              <w:t>财务负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责人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51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315"/>
              <w:jc w:val="right"/>
              <w:rPr>
                <w:rFonts w:ascii="宋体" w:hAnsi="宋体" w:cs="宋体" w:eastAsia="宋体" w:hint="default"/>
                <w:sz w:val="18"/>
                <w:szCs w:val="18"/>
              </w:rPr>
            </w:pPr>
            <w:r>
              <w:rPr>
                <w:rFonts w:ascii="宋体" w:hAnsi="宋体" w:cs="宋体" w:eastAsia="宋体" w:hint="default"/>
                <w:sz w:val="18"/>
                <w:szCs w:val="18"/>
              </w:rPr>
              <w:t>至今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1,020,000</w:t>
            </w:r>
          </w:p>
        </w:tc>
      </w:tr>
      <w:tr>
        <w:trPr>
          <w:trHeight w:val="71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257"/>
              <w:jc w:val="left"/>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秘书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现任</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44</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315"/>
              <w:jc w:val="right"/>
              <w:rPr>
                <w:rFonts w:ascii="宋体" w:hAnsi="宋体" w:cs="宋体" w:eastAsia="宋体" w:hint="default"/>
                <w:sz w:val="18"/>
                <w:szCs w:val="18"/>
              </w:rPr>
            </w:pPr>
            <w:r>
              <w:rPr>
                <w:rFonts w:ascii="宋体" w:hAnsi="宋体" w:cs="宋体" w:eastAsia="宋体" w:hint="default"/>
                <w:sz w:val="18"/>
                <w:szCs w:val="18"/>
              </w:rPr>
              <w:t>至今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636,002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445,201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1,081,203</w:t>
            </w:r>
          </w:p>
        </w:tc>
      </w:tr>
      <w:tr>
        <w:trPr>
          <w:trHeight w:val="403" w:hRule="exact"/>
        </w:trPr>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91"/>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2"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3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154,758,006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4,158,000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107,980,605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258,580,611</w:t>
            </w:r>
          </w:p>
        </w:tc>
      </w:tr>
    </w:tbl>
    <w:p>
      <w:pPr>
        <w:spacing w:line="240" w:lineRule="auto" w:before="9"/>
        <w:rPr>
          <w:rFonts w:ascii="宋体" w:hAnsi="宋体" w:cs="宋体" w:eastAsia="宋体" w:hint="default"/>
          <w:b/>
          <w:bCs/>
          <w:sz w:val="17"/>
          <w:szCs w:val="17"/>
        </w:rPr>
      </w:pPr>
    </w:p>
    <w:p>
      <w:pPr>
        <w:pStyle w:val="Heading2"/>
        <w:spacing w:line="240" w:lineRule="auto" w:before="26"/>
        <w:ind w:left="673" w:right="150"/>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673" w:right="15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0"/>
        <w:rPr>
          <w:rFonts w:ascii="宋体" w:hAnsi="宋体" w:cs="宋体" w:eastAsia="宋体" w:hint="default"/>
          <w:sz w:val="6"/>
          <w:szCs w:val="6"/>
        </w:rPr>
      </w:pPr>
    </w:p>
    <w:tbl>
      <w:tblPr>
        <w:tblW w:w="0" w:type="auto"/>
        <w:jc w:val="left"/>
        <w:tblInd w:w="356" w:type="dxa"/>
        <w:tblLayout w:type="fixed"/>
        <w:tblCellMar>
          <w:top w:w="0" w:type="dxa"/>
          <w:left w:w="0" w:type="dxa"/>
          <w:bottom w:w="0" w:type="dxa"/>
          <w:right w:w="0" w:type="dxa"/>
        </w:tblCellMar>
        <w:tblLook w:val="01E0"/>
      </w:tblPr>
      <w:tblGrid>
        <w:gridCol w:w="1417"/>
        <w:gridCol w:w="1354"/>
        <w:gridCol w:w="1162"/>
        <w:gridCol w:w="1700"/>
        <w:gridCol w:w="4389"/>
      </w:tblGrid>
      <w:tr>
        <w:trPr>
          <w:trHeight w:val="401"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4"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因个人原因辞去总裁职务，仍担任公司董事</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梁京</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公司董事会决定聘任其担任公司总裁</w:t>
            </w:r>
          </w:p>
        </w:tc>
      </w:tr>
      <w:tr>
        <w:trPr>
          <w:trHeight w:val="710"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28"/>
              <w:jc w:val="left"/>
              <w:rPr>
                <w:rFonts w:ascii="宋体" w:hAnsi="宋体" w:cs="宋体" w:eastAsia="宋体" w:hint="default"/>
                <w:sz w:val="18"/>
                <w:szCs w:val="18"/>
              </w:rPr>
            </w:pPr>
            <w:r>
              <w:rPr>
                <w:rFonts w:ascii="宋体" w:hAnsi="宋体" w:cs="宋体" w:eastAsia="宋体" w:hint="default"/>
                <w:spacing w:val="-3"/>
                <w:sz w:val="18"/>
                <w:szCs w:val="18"/>
              </w:rPr>
              <w:t>因个人原因辞去监事会主席职务，不再担任公司其他</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职务</w:t>
            </w:r>
          </w:p>
        </w:tc>
      </w:tr>
      <w:tr>
        <w:trPr>
          <w:trHeight w:val="716"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105"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pacing w:val="-4"/>
                <w:sz w:val="18"/>
                <w:szCs w:val="18"/>
              </w:rPr>
              <w:t>年年度股东大会选举为公司监事，第六届监事会</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第六次会议被选举为监事会主席</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HAIBIN</w:t>
            </w:r>
            <w:r>
              <w:rPr>
                <w:rFonts w:ascii="Times New Roman"/>
                <w:spacing w:val="11"/>
                <w:sz w:val="18"/>
              </w:rPr>
              <w:t> </w:t>
            </w:r>
            <w:r>
              <w:rPr>
                <w:rFonts w:ascii="Times New Roman"/>
                <w:sz w:val="18"/>
              </w:rPr>
              <w:t>CHEN</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因个人原因辞去副总裁职务，不再担任公司其他职务</w:t>
            </w:r>
          </w:p>
        </w:tc>
      </w:tr>
    </w:tbl>
    <w:p>
      <w:pPr>
        <w:spacing w:line="240" w:lineRule="auto" w:before="9"/>
        <w:rPr>
          <w:rFonts w:ascii="宋体" w:hAnsi="宋体" w:cs="宋体" w:eastAsia="宋体" w:hint="default"/>
          <w:sz w:val="17"/>
          <w:szCs w:val="17"/>
        </w:rPr>
      </w:pPr>
    </w:p>
    <w:p>
      <w:pPr>
        <w:pStyle w:val="Heading2"/>
        <w:spacing w:line="240" w:lineRule="auto" w:before="26"/>
        <w:ind w:left="673" w:right="150"/>
        <w:jc w:val="left"/>
        <w:rPr>
          <w:b w:val="0"/>
          <w:bCs w:val="0"/>
        </w:rPr>
      </w:pPr>
      <w:bookmarkStart w:name="三、任职情况" w:id="126"/>
      <w:bookmarkEnd w:id="126"/>
      <w:r>
        <w:rPr>
          <w:b w:val="0"/>
          <w:bCs w:val="0"/>
        </w:rPr>
      </w:r>
      <w:r>
        <w:rPr/>
        <w:t>三、任职情况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673" w:right="150"/>
        <w:jc w:val="left"/>
      </w:pPr>
      <w:r>
        <w:rPr>
          <w:spacing w:val="-3"/>
        </w:rPr>
        <w:t>公司现任董事、监事、高级管理人员专业背景、主要工作经历以及目前在公司的主要职责</w:t>
      </w:r>
    </w:p>
    <w:p>
      <w:pPr>
        <w:spacing w:line="240" w:lineRule="auto" w:before="12"/>
        <w:rPr>
          <w:rFonts w:ascii="宋体" w:hAnsi="宋体" w:cs="宋体" w:eastAsia="宋体" w:hint="default"/>
          <w:sz w:val="17"/>
          <w:szCs w:val="17"/>
        </w:rPr>
      </w:pPr>
    </w:p>
    <w:p>
      <w:pPr>
        <w:pStyle w:val="BodyText"/>
        <w:spacing w:line="240" w:lineRule="auto"/>
        <w:ind w:left="673" w:right="150"/>
        <w:jc w:val="left"/>
      </w:pPr>
      <w:r>
        <w:rPr/>
        <w:t>（一）董事</w:t>
      </w:r>
    </w:p>
    <w:p>
      <w:pPr>
        <w:pStyle w:val="BodyText"/>
        <w:spacing w:line="240" w:lineRule="auto" w:before="67"/>
        <w:ind w:left="673" w:right="150"/>
        <w:jc w:val="left"/>
      </w:pPr>
      <w:r>
        <w:rPr>
          <w:rFonts w:ascii="Times New Roman" w:hAnsi="Times New Roman" w:cs="Times New Roman" w:eastAsia="Times New Roman" w:hint="default"/>
          <w:spacing w:val="-3"/>
        </w:rPr>
        <w:t>1.</w:t>
      </w:r>
      <w:r>
        <w:rPr>
          <w:spacing w:val="-3"/>
        </w:rPr>
        <w:t>李小龙先生，</w:t>
      </w:r>
      <w:r>
        <w:rPr>
          <w:rFonts w:ascii="Times New Roman" w:hAnsi="Times New Roman" w:cs="Times New Roman" w:eastAsia="Times New Roman" w:hint="default"/>
          <w:spacing w:val="-3"/>
        </w:rPr>
        <w:t>1965</w:t>
      </w:r>
      <w:r>
        <w:rPr>
          <w:spacing w:val="-3"/>
        </w:rPr>
        <w:t>年出生，中国国籍，大学本科学历。</w:t>
      </w:r>
      <w:r>
        <w:rPr>
          <w:rFonts w:ascii="Times New Roman" w:hAnsi="Times New Roman" w:cs="Times New Roman" w:eastAsia="Times New Roman" w:hint="default"/>
          <w:spacing w:val="-3"/>
        </w:rPr>
        <w:t>2003</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15</w:t>
      </w:r>
      <w:r>
        <w:rPr>
          <w:spacing w:val="-3"/>
        </w:rPr>
        <w:t>日起至今担任二六三网络通信股份有限公司董事长。</w:t>
      </w:r>
    </w:p>
    <w:p>
      <w:pPr>
        <w:pStyle w:val="BodyText"/>
        <w:spacing w:line="338" w:lineRule="auto" w:before="101"/>
        <w:ind w:left="673" w:right="150"/>
        <w:jc w:val="left"/>
      </w:pPr>
      <w:r>
        <w:rPr>
          <w:rFonts w:ascii="Times New Roman" w:hAnsi="Times New Roman" w:cs="Times New Roman" w:eastAsia="Times New Roman" w:hint="default"/>
          <w:spacing w:val="-3"/>
        </w:rPr>
        <w:t>2.</w:t>
      </w:r>
      <w:r>
        <w:rPr>
          <w:spacing w:val="-3"/>
        </w:rPr>
        <w:t>芦兵先生，</w:t>
      </w:r>
      <w:r>
        <w:rPr>
          <w:rFonts w:ascii="Times New Roman" w:hAnsi="Times New Roman" w:cs="Times New Roman" w:eastAsia="Times New Roman" w:hint="default"/>
          <w:spacing w:val="-3"/>
        </w:rPr>
        <w:t>1965</w:t>
      </w:r>
      <w:r>
        <w:rPr>
          <w:spacing w:val="-3"/>
        </w:rPr>
        <w:t>年出生，中国国籍，理学硕士。</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2</w:t>
      </w:r>
      <w:r>
        <w:rPr>
          <w:spacing w:val="-3"/>
        </w:rPr>
        <w:t>月加入二六三网络通信股份有限公司，历任广州分公司总经理、</w:t>
      </w:r>
      <w:r>
        <w:rPr>
          <w:spacing w:val="-2"/>
        </w:rPr>
        <w:t> </w:t>
      </w:r>
      <w:r>
        <w:rPr>
          <w:spacing w:val="-2"/>
        </w:rPr>
      </w:r>
      <w:r>
        <w:rPr>
          <w:spacing w:val="-3"/>
        </w:rPr>
        <w:t>公司副总经理、总裁等职务，</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2</w:t>
      </w:r>
      <w:r>
        <w:rPr>
          <w:spacing w:val="-3"/>
        </w:rPr>
        <w:t>月起至今担任公司董事，现任公司董事、职能中心总经理。</w:t>
      </w:r>
    </w:p>
    <w:p>
      <w:pPr>
        <w:pStyle w:val="BodyText"/>
        <w:spacing w:line="240" w:lineRule="auto" w:before="20"/>
        <w:ind w:left="673" w:right="150"/>
        <w:jc w:val="left"/>
        <w:rPr>
          <w:rFonts w:ascii="Times New Roman" w:hAnsi="Times New Roman" w:cs="Times New Roman" w:eastAsia="Times New Roman" w:hint="default"/>
        </w:rPr>
      </w:pPr>
      <w:r>
        <w:rPr>
          <w:rFonts w:ascii="Times New Roman" w:hAnsi="Times New Roman" w:cs="Times New Roman" w:eastAsia="Times New Roman" w:hint="default"/>
        </w:rPr>
        <w:t>3.JIE  </w:t>
      </w:r>
      <w:r>
        <w:rPr>
          <w:rFonts w:ascii="Times New Roman" w:hAnsi="Times New Roman" w:cs="Times New Roman" w:eastAsia="Times New Roman" w:hint="default"/>
          <w:spacing w:val="-3"/>
        </w:rPr>
        <w:t>ZHAO</w:t>
      </w:r>
      <w:r>
        <w:rPr>
          <w:spacing w:val="-3"/>
        </w:rPr>
        <w:t>先生</w:t>
      </w:r>
      <w:r>
        <w:rPr>
          <w:rFonts w:ascii="Times New Roman" w:hAnsi="Times New Roman" w:cs="Times New Roman" w:eastAsia="Times New Roman" w:hint="default"/>
          <w:spacing w:val="-3"/>
        </w:rPr>
        <w:t>,1959</w:t>
      </w:r>
      <w:r>
        <w:rPr>
          <w:spacing w:val="-3"/>
        </w:rPr>
        <w:t>年出生，美国国籍，美国辛辛那提大学计算机科学应用硕士。</w:t>
      </w:r>
      <w:r>
        <w:rPr>
          <w:rFonts w:ascii="Times New Roman" w:hAnsi="Times New Roman" w:cs="Times New Roman" w:eastAsia="Times New Roman" w:hint="default"/>
          <w:spacing w:val="-3"/>
        </w:rPr>
        <w:t>2003</w:t>
      </w:r>
      <w:r>
        <w:rPr>
          <w:spacing w:val="-3"/>
        </w:rPr>
        <w:t>年至今担任</w:t>
      </w:r>
      <w:r>
        <w:rPr>
          <w:rFonts w:ascii="Times New Roman" w:hAnsi="Times New Roman" w:cs="Times New Roman" w:eastAsia="Times New Roman" w:hint="default"/>
          <w:spacing w:val="-3"/>
        </w:rPr>
        <w:t>iTalk  </w:t>
      </w:r>
      <w:r>
        <w:rPr>
          <w:rFonts w:ascii="Times New Roman" w:hAnsi="Times New Roman" w:cs="Times New Roman" w:eastAsia="Times New Roman" w:hint="default"/>
        </w:rPr>
        <w:t>Global </w:t>
      </w:r>
      <w:r>
        <w:rPr>
          <w:rFonts w:ascii="Times New Roman" w:hAnsi="Times New Roman" w:cs="Times New Roman" w:eastAsia="Times New Roman" w:hint="default"/>
          <w:spacing w:val="2"/>
        </w:rPr>
        <w:t> </w:t>
      </w:r>
      <w:r>
        <w:rPr>
          <w:rFonts w:ascii="Times New Roman" w:hAnsi="Times New Roman" w:cs="Times New Roman" w:eastAsia="Times New Roman" w:hint="default"/>
        </w:rPr>
        <w:t>Communi-</w:t>
      </w:r>
    </w:p>
    <w:p>
      <w:pPr>
        <w:pStyle w:val="BodyText"/>
        <w:spacing w:line="338" w:lineRule="auto" w:before="101"/>
        <w:ind w:left="673" w:right="150"/>
        <w:jc w:val="left"/>
      </w:pPr>
      <w:r>
        <w:rPr>
          <w:rFonts w:ascii="Times New Roman" w:hAnsi="Times New Roman" w:cs="Times New Roman" w:eastAsia="Times New Roman" w:hint="default"/>
        </w:rPr>
        <w:t>-cationgs,Inc. </w:t>
      </w:r>
      <w:r>
        <w:rPr>
          <w:rFonts w:ascii="Times New Roman" w:hAnsi="Times New Roman" w:cs="Times New Roman" w:eastAsia="Times New Roman" w:hint="default"/>
          <w:spacing w:val="-3"/>
        </w:rPr>
        <w:t>CEO</w:t>
      </w:r>
      <w:r>
        <w:rPr>
          <w:spacing w:val="-3"/>
        </w:rPr>
        <w:t>。</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w:t>
      </w:r>
      <w:r>
        <w:rPr>
          <w:spacing w:val="-3"/>
        </w:rPr>
        <w:t>月起任公司董事、副总裁。</w:t>
      </w:r>
      <w:r>
        <w:rPr>
          <w:spacing w:val="-32"/>
        </w:rPr>
        <w:t> </w:t>
      </w:r>
      <w:r>
        <w:rPr>
          <w:spacing w:val="-32"/>
        </w:rPr>
      </w:r>
      <w:r>
        <w:rPr>
          <w:rFonts w:ascii="Times New Roman" w:hAnsi="Times New Roman" w:cs="Times New Roman" w:eastAsia="Times New Roman" w:hint="default"/>
          <w:spacing w:val="-3"/>
        </w:rPr>
        <w:t>4.</w:t>
      </w:r>
      <w:r>
        <w:rPr>
          <w:spacing w:val="-3"/>
        </w:rPr>
        <w:t>李玉杰先生，</w:t>
      </w:r>
      <w:r>
        <w:rPr>
          <w:rFonts w:ascii="Times New Roman" w:hAnsi="Times New Roman" w:cs="Times New Roman" w:eastAsia="Times New Roman" w:hint="default"/>
          <w:spacing w:val="-3"/>
        </w:rPr>
        <w:t>1973</w:t>
      </w:r>
      <w:r>
        <w:rPr>
          <w:spacing w:val="-3"/>
        </w:rPr>
        <w:t>年出生，中国国籍，重庆大学计算机本科毕业，中国人民大学</w:t>
      </w:r>
      <w:r>
        <w:rPr>
          <w:rFonts w:ascii="Times New Roman" w:hAnsi="Times New Roman" w:cs="Times New Roman" w:eastAsia="Times New Roman" w:hint="default"/>
          <w:spacing w:val="-3"/>
        </w:rPr>
        <w:t>MBA</w:t>
      </w:r>
      <w:r>
        <w:rPr>
          <w:spacing w:val="-3"/>
        </w:rPr>
        <w:t>，拥有二十多年的</w:t>
      </w:r>
      <w:r>
        <w:rPr>
          <w:rFonts w:ascii="Times New Roman" w:hAnsi="Times New Roman" w:cs="Times New Roman" w:eastAsia="Times New Roman" w:hint="default"/>
          <w:spacing w:val="-3"/>
        </w:rPr>
        <w:t>TMT</w:t>
      </w:r>
      <w:r>
        <w:rPr>
          <w:spacing w:val="-3"/>
        </w:rPr>
        <w:t>行业管理经</w:t>
      </w:r>
      <w:r>
        <w:rPr>
          <w:spacing w:val="77"/>
        </w:rPr>
        <w:t> </w:t>
      </w:r>
      <w:r>
        <w:rPr>
          <w:spacing w:val="77"/>
        </w:rPr>
      </w:r>
      <w:r>
        <w:rPr>
          <w:spacing w:val="-3"/>
        </w:rPr>
        <w:t>验，加入二六三前曾在埃森哲（</w:t>
      </w:r>
      <w:r>
        <w:rPr>
          <w:rFonts w:ascii="Times New Roman" w:hAnsi="Times New Roman" w:cs="Times New Roman" w:eastAsia="Times New Roman" w:hint="default"/>
          <w:spacing w:val="-3"/>
        </w:rPr>
        <w:t>Accenture</w:t>
      </w:r>
      <w:r>
        <w:rPr>
          <w:spacing w:val="-3"/>
        </w:rPr>
        <w:t>）公司任职；</w:t>
      </w:r>
      <w:r>
        <w:rPr>
          <w:rFonts w:ascii="Times New Roman" w:hAnsi="Times New Roman" w:cs="Times New Roman" w:eastAsia="Times New Roman" w:hint="default"/>
          <w:spacing w:val="-3"/>
        </w:rPr>
        <w:t>2010</w:t>
      </w:r>
      <w:r>
        <w:rPr>
          <w:spacing w:val="-3"/>
        </w:rPr>
        <w:t>年至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月担任公司企业会议事业部总经理，</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月担</w:t>
      </w:r>
      <w:r>
        <w:rPr>
          <w:spacing w:val="11"/>
        </w:rPr>
        <w:t> </w:t>
      </w:r>
      <w:r>
        <w:rPr>
          <w:spacing w:val="-3"/>
        </w:rPr>
        <w:t>任公司副总裁，</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月担任公司董事，现任公司董事、副总裁。</w:t>
      </w:r>
      <w:r>
        <w:rPr>
          <w:spacing w:val="5"/>
        </w:rPr>
        <w:t> </w:t>
      </w:r>
      <w:r>
        <w:rPr>
          <w:spacing w:val="5"/>
        </w:rPr>
      </w:r>
      <w:r>
        <w:rPr>
          <w:rFonts w:ascii="Times New Roman" w:hAnsi="Times New Roman" w:cs="Times New Roman" w:eastAsia="Times New Roman" w:hint="default"/>
          <w:spacing w:val="-3"/>
        </w:rPr>
        <w:t>5.</w:t>
      </w:r>
      <w:r>
        <w:rPr>
          <w:spacing w:val="-3"/>
        </w:rPr>
        <w:t>金玉丹先生，</w:t>
      </w:r>
      <w:r>
        <w:rPr>
          <w:rFonts w:ascii="Times New Roman" w:hAnsi="Times New Roman" w:cs="Times New Roman" w:eastAsia="Times New Roman" w:hint="default"/>
          <w:spacing w:val="-3"/>
        </w:rPr>
        <w:t>1957</w:t>
      </w:r>
      <w:r>
        <w:rPr>
          <w:spacing w:val="-3"/>
        </w:rPr>
        <w:t>年出生，中国国籍，硕士。</w:t>
      </w:r>
      <w:r>
        <w:rPr>
          <w:rFonts w:ascii="Times New Roman" w:hAnsi="Times New Roman" w:cs="Times New Roman" w:eastAsia="Times New Roman" w:hint="default"/>
          <w:spacing w:val="-3"/>
        </w:rPr>
        <w:t>2008</w:t>
      </w:r>
      <w:r>
        <w:rPr>
          <w:spacing w:val="-3"/>
        </w:rPr>
        <w:t>年至今任北京软银赛富投资顾问有限公司投资合伙人。</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9</w:t>
      </w:r>
      <w:r>
        <w:rPr>
          <w:spacing w:val="-3"/>
        </w:rPr>
        <w:t>月起任</w:t>
      </w:r>
      <w:r>
        <w:rPr>
          <w:spacing w:val="5"/>
        </w:rPr>
        <w:t> </w:t>
      </w:r>
      <w:r>
        <w:rPr>
          <w:spacing w:val="5"/>
        </w:rPr>
      </w:r>
      <w:r>
        <w:rPr>
          <w:spacing w:val="-3"/>
        </w:rPr>
        <w:t>公司独立董事。</w:t>
      </w:r>
    </w:p>
    <w:p>
      <w:pPr>
        <w:spacing w:after="0" w:line="338" w:lineRule="auto"/>
        <w:jc w:val="left"/>
        <w:sectPr>
          <w:pgSz w:w="11910" w:h="16840"/>
          <w:pgMar w:header="0" w:footer="1022" w:top="1120" w:bottom="1220" w:left="460" w:right="0"/>
        </w:sectPr>
      </w:pPr>
    </w:p>
    <w:p>
      <w:pPr>
        <w:spacing w:line="240" w:lineRule="auto" w:before="1"/>
        <w:rPr>
          <w:rFonts w:ascii="宋体" w:hAnsi="宋体" w:cs="宋体" w:eastAsia="宋体" w:hint="default"/>
          <w:sz w:val="17"/>
          <w:szCs w:val="17"/>
        </w:rPr>
      </w:pPr>
    </w:p>
    <w:p>
      <w:pPr>
        <w:pStyle w:val="BodyText"/>
        <w:spacing w:line="343" w:lineRule="auto" w:before="46"/>
        <w:ind w:left="153" w:right="0"/>
        <w:jc w:val="left"/>
      </w:pPr>
      <w:r>
        <w:rPr>
          <w:rFonts w:ascii="Times New Roman" w:hAnsi="Times New Roman" w:cs="Times New Roman" w:eastAsia="Times New Roman" w:hint="default"/>
          <w:spacing w:val="-3"/>
        </w:rPr>
        <w:t>6.</w:t>
      </w:r>
      <w:r>
        <w:rPr>
          <w:spacing w:val="-3"/>
        </w:rPr>
        <w:t>张克先生，</w:t>
      </w:r>
      <w:r>
        <w:rPr>
          <w:rFonts w:ascii="Times New Roman" w:hAnsi="Times New Roman" w:cs="Times New Roman" w:eastAsia="Times New Roman" w:hint="default"/>
          <w:spacing w:val="-3"/>
        </w:rPr>
        <w:t>1953</w:t>
      </w:r>
      <w:r>
        <w:rPr>
          <w:spacing w:val="-3"/>
        </w:rPr>
        <w:t>年出生，中国国籍，大学本科学历。中国注册会计师、高级会计师、澳洲会计师公会荣誉会员。</w:t>
      </w:r>
      <w:r>
        <w:rPr>
          <w:rFonts w:ascii="Times New Roman" w:hAnsi="Times New Roman" w:cs="Times New Roman" w:eastAsia="Times New Roman" w:hint="default"/>
          <w:spacing w:val="-3"/>
        </w:rPr>
        <w:t>1999</w:t>
      </w:r>
      <w:r>
        <w:rPr>
          <w:spacing w:val="-3"/>
        </w:rPr>
        <w:t>年至</w:t>
      </w:r>
      <w:r>
        <w:rPr>
          <w:spacing w:val="42"/>
        </w:rPr>
        <w:t> </w:t>
      </w:r>
      <w:r>
        <w:rPr>
          <w:spacing w:val="-3"/>
        </w:rPr>
        <w:t>今任信永中和会计师事务所董事长、创始合伙人。</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月起任公司独立董事。</w:t>
      </w:r>
      <w:r>
        <w:rPr>
          <w:spacing w:val="24"/>
        </w:rPr>
        <w:t> </w:t>
      </w:r>
      <w:r>
        <w:rPr>
          <w:spacing w:val="24"/>
        </w:rPr>
      </w:r>
      <w:r>
        <w:rPr>
          <w:rFonts w:ascii="Times New Roman" w:hAnsi="Times New Roman" w:cs="Times New Roman" w:eastAsia="Times New Roman" w:hint="default"/>
          <w:spacing w:val="-3"/>
        </w:rPr>
        <w:t>7.</w:t>
      </w:r>
      <w:r>
        <w:rPr>
          <w:spacing w:val="-3"/>
        </w:rPr>
        <w:t>蒋必金先生，</w:t>
      </w:r>
      <w:r>
        <w:rPr>
          <w:rFonts w:ascii="Times New Roman" w:hAnsi="Times New Roman" w:cs="Times New Roman" w:eastAsia="Times New Roman" w:hint="default"/>
          <w:spacing w:val="-3"/>
        </w:rPr>
        <w:t>1963</w:t>
      </w:r>
      <w:r>
        <w:rPr>
          <w:spacing w:val="-3"/>
        </w:rPr>
        <w:t>年出生，中国国籍，硕士。自</w:t>
      </w:r>
      <w:r>
        <w:rPr>
          <w:rFonts w:ascii="Times New Roman" w:hAnsi="Times New Roman" w:cs="Times New Roman" w:eastAsia="Times New Roman" w:hint="default"/>
          <w:spacing w:val="-3"/>
        </w:rPr>
        <w:t>1987</w:t>
      </w:r>
      <w:r>
        <w:rPr>
          <w:spacing w:val="-3"/>
        </w:rPr>
        <w:t>年以来</w:t>
      </w:r>
      <w:r>
        <w:rPr>
          <w:rFonts w:ascii="Times New Roman" w:hAnsi="Times New Roman" w:cs="Times New Roman" w:eastAsia="Times New Roman" w:hint="default"/>
          <w:spacing w:val="-3"/>
        </w:rPr>
        <w:t>,</w:t>
      </w:r>
      <w:r>
        <w:rPr>
          <w:spacing w:val="-3"/>
        </w:rPr>
        <w:t>一直就职于北大方正集团</w:t>
      </w:r>
      <w:r>
        <w:rPr>
          <w:rFonts w:ascii="Times New Roman" w:hAnsi="Times New Roman" w:cs="Times New Roman" w:eastAsia="Times New Roman" w:hint="default"/>
          <w:spacing w:val="-3"/>
        </w:rPr>
        <w:t>,</w:t>
      </w:r>
      <w:r>
        <w:rPr>
          <w:spacing w:val="-3"/>
        </w:rPr>
        <w:t>曾任北大方正集团技术服务部主任、</w:t>
      </w:r>
      <w:r>
        <w:rPr>
          <w:spacing w:val="53"/>
        </w:rPr>
        <w:t> </w:t>
      </w:r>
      <w:r>
        <w:rPr>
          <w:spacing w:val="53"/>
        </w:rPr>
      </w:r>
      <w:r>
        <w:rPr>
          <w:spacing w:val="-4"/>
        </w:rPr>
        <w:t>电子出版分公司总经理、北京北大方正电子有限公司高级副总裁、方正控股有限公司执行董事、北大方正集团公司副总裁等</w:t>
      </w:r>
      <w:r>
        <w:rPr>
          <w:spacing w:val="45"/>
        </w:rPr>
        <w:t> </w:t>
      </w:r>
      <w:r>
        <w:rPr>
          <w:spacing w:val="45"/>
        </w:rPr>
      </w:r>
      <w:r>
        <w:rPr/>
        <w:t>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月起担任本公司独立董事。</w:t>
      </w:r>
    </w:p>
    <w:p>
      <w:pPr>
        <w:pStyle w:val="BodyText"/>
        <w:spacing w:line="340" w:lineRule="auto" w:before="15"/>
        <w:ind w:left="153" w:right="1029"/>
        <w:jc w:val="left"/>
      </w:pPr>
      <w:r>
        <w:rPr/>
        <w:t>（二）监事</w:t>
      </w:r>
      <w:r>
        <w:rPr>
          <w:w w:val="101"/>
        </w:rPr>
        <w:t> </w:t>
      </w:r>
      <w:r>
        <w:rPr>
          <w:rFonts w:ascii="Times New Roman" w:hAnsi="Times New Roman" w:cs="Times New Roman" w:eastAsia="Times New Roman" w:hint="default"/>
          <w:spacing w:val="-3"/>
        </w:rPr>
        <w:t>1.</w:t>
      </w:r>
      <w:r>
        <w:rPr>
          <w:spacing w:val="-3"/>
        </w:rPr>
        <w:t>应华江先生，</w:t>
      </w:r>
      <w:r>
        <w:rPr>
          <w:rFonts w:ascii="Times New Roman" w:hAnsi="Times New Roman" w:cs="Times New Roman" w:eastAsia="Times New Roman" w:hint="default"/>
          <w:spacing w:val="-3"/>
        </w:rPr>
        <w:t>1969</w:t>
      </w:r>
      <w:r>
        <w:rPr>
          <w:spacing w:val="-3"/>
        </w:rPr>
        <w:t>年出生，中国国籍，</w:t>
      </w:r>
      <w:r>
        <w:rPr>
          <w:rFonts w:ascii="Times New Roman" w:hAnsi="Times New Roman" w:cs="Times New Roman" w:eastAsia="Times New Roman" w:hint="default"/>
          <w:spacing w:val="-3"/>
        </w:rPr>
        <w:t>1990</w:t>
      </w:r>
      <w:r>
        <w:rPr>
          <w:spacing w:val="-3"/>
        </w:rPr>
        <w:t>年毕业于北京大学。</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10</w:t>
      </w:r>
      <w:r>
        <w:rPr>
          <w:spacing w:val="-3"/>
        </w:rPr>
        <w:t>月至今任北明软件有限公司董事、总裁；</w:t>
      </w:r>
      <w:r>
        <w:rPr>
          <w:rFonts w:ascii="Times New Roman" w:hAnsi="Times New Roman" w:cs="Times New Roman" w:eastAsia="Times New Roman" w:hint="default"/>
          <w:spacing w:val="-3"/>
        </w:rPr>
        <w:t>2011</w:t>
      </w:r>
      <w:r>
        <w:rPr>
          <w:spacing w:val="-3"/>
        </w:rPr>
        <w:t>年</w:t>
      </w:r>
      <w:r>
        <w:rPr>
          <w:spacing w:val="61"/>
        </w:rPr>
        <w:t> </w:t>
      </w:r>
      <w:r>
        <w:rPr>
          <w:spacing w:val="-3"/>
        </w:rPr>
        <w:t>至</w:t>
      </w:r>
      <w:r>
        <w:rPr>
          <w:rFonts w:ascii="Times New Roman" w:hAnsi="Times New Roman" w:cs="Times New Roman" w:eastAsia="Times New Roman" w:hint="default"/>
          <w:spacing w:val="-3"/>
        </w:rPr>
        <w:t>2017</w:t>
      </w:r>
      <w:r>
        <w:rPr>
          <w:spacing w:val="-3"/>
        </w:rPr>
        <w:t>年任公司独立董事；</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月至今，任石家庄常山北明科技股份有限公司董事；</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月，任石家庄</w:t>
      </w:r>
      <w:r>
        <w:rPr>
          <w:spacing w:val="8"/>
        </w:rPr>
        <w:t> </w:t>
      </w:r>
      <w:r>
        <w:rPr>
          <w:spacing w:val="8"/>
        </w:rPr>
      </w:r>
      <w:r>
        <w:rPr>
          <w:spacing w:val="-3"/>
        </w:rPr>
        <w:t>常山纺织股份有限公司常务副总经理；</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10</w:t>
      </w:r>
      <w:r>
        <w:rPr>
          <w:spacing w:val="-3"/>
        </w:rPr>
        <w:t>月，任石家庄常山北明科技股份有限公司副董事长；</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7"/>
        </w:rPr>
        <w:t> </w:t>
      </w:r>
      <w:r>
        <w:rPr>
          <w:spacing w:val="-3"/>
        </w:rPr>
        <w:t>月至今，任石家庄常山北明科技股份有限公司总经理。</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月起任公司股东监事、监事会主席。</w:t>
      </w:r>
      <w:r>
        <w:rPr>
          <w:spacing w:val="47"/>
        </w:rPr>
        <w:t> </w:t>
      </w:r>
      <w:r>
        <w:rPr>
          <w:spacing w:val="47"/>
        </w:rPr>
      </w:r>
      <w:r>
        <w:rPr>
          <w:rFonts w:ascii="Times New Roman" w:hAnsi="Times New Roman" w:cs="Times New Roman" w:eastAsia="Times New Roman" w:hint="default"/>
          <w:spacing w:val="-3"/>
        </w:rPr>
        <w:t>2.</w:t>
      </w:r>
      <w:r>
        <w:rPr>
          <w:spacing w:val="-3"/>
        </w:rPr>
        <w:t>吴一彬女士，</w:t>
      </w:r>
      <w:r>
        <w:rPr>
          <w:rFonts w:ascii="Times New Roman" w:hAnsi="Times New Roman" w:cs="Times New Roman" w:eastAsia="Times New Roman" w:hint="default"/>
          <w:spacing w:val="-3"/>
        </w:rPr>
        <w:t>1968</w:t>
      </w:r>
      <w:r>
        <w:rPr>
          <w:spacing w:val="-3"/>
        </w:rPr>
        <w:t>年出生，中国国籍，大学本科学历，</w:t>
      </w:r>
      <w:r>
        <w:rPr>
          <w:rFonts w:ascii="Times New Roman" w:hAnsi="Times New Roman" w:cs="Times New Roman" w:eastAsia="Times New Roman" w:hint="default"/>
          <w:spacing w:val="-3"/>
        </w:rPr>
        <w:t>1990</w:t>
      </w:r>
      <w:r>
        <w:rPr>
          <w:spacing w:val="-3"/>
        </w:rPr>
        <w:t>年</w:t>
      </w:r>
      <w:r>
        <w:rPr>
          <w:rFonts w:ascii="Times New Roman" w:hAnsi="Times New Roman" w:cs="Times New Roman" w:eastAsia="Times New Roman" w:hint="default"/>
          <w:spacing w:val="-3"/>
        </w:rPr>
        <w:t>9</w:t>
      </w:r>
      <w:r>
        <w:rPr>
          <w:spacing w:val="-3"/>
        </w:rPr>
        <w:t>月至</w:t>
      </w:r>
      <w:r>
        <w:rPr>
          <w:rFonts w:ascii="Times New Roman" w:hAnsi="Times New Roman" w:cs="Times New Roman" w:eastAsia="Times New Roman" w:hint="default"/>
          <w:spacing w:val="-3"/>
        </w:rPr>
        <w:t>1992</w:t>
      </w:r>
      <w:r>
        <w:rPr>
          <w:spacing w:val="-3"/>
        </w:rPr>
        <w:t>年</w:t>
      </w:r>
      <w:r>
        <w:rPr>
          <w:rFonts w:ascii="Times New Roman" w:hAnsi="Times New Roman" w:cs="Times New Roman" w:eastAsia="Times New Roman" w:hint="default"/>
          <w:spacing w:val="-3"/>
        </w:rPr>
        <w:t>4</w:t>
      </w:r>
      <w:r>
        <w:rPr>
          <w:spacing w:val="-3"/>
        </w:rPr>
        <w:t>月任北京国营七零零厂企管办干部；</w:t>
      </w:r>
      <w:r>
        <w:rPr>
          <w:rFonts w:ascii="Times New Roman" w:hAnsi="Times New Roman" w:cs="Times New Roman" w:eastAsia="Times New Roman" w:hint="default"/>
          <w:spacing w:val="-3"/>
        </w:rPr>
        <w:t>1992</w:t>
      </w:r>
      <w:r>
        <w:rPr>
          <w:spacing w:val="-3"/>
        </w:rPr>
        <w:t>年</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18"/>
        </w:rPr>
        <w:t> </w:t>
      </w:r>
      <w:r>
        <w:rPr>
          <w:spacing w:val="-4"/>
        </w:rPr>
        <w:t>月至</w:t>
      </w:r>
      <w:r>
        <w:rPr>
          <w:rFonts w:ascii="Times New Roman" w:hAnsi="Times New Roman" w:cs="Times New Roman" w:eastAsia="Times New Roman" w:hint="default"/>
          <w:spacing w:val="-4"/>
        </w:rPr>
        <w:t>1993</w:t>
      </w:r>
      <w:r>
        <w:rPr>
          <w:spacing w:val="-4"/>
        </w:rPr>
        <w:t>年</w:t>
      </w:r>
      <w:r>
        <w:rPr>
          <w:rFonts w:ascii="Times New Roman" w:hAnsi="Times New Roman" w:cs="Times New Roman" w:eastAsia="Times New Roman" w:hint="default"/>
          <w:spacing w:val="-4"/>
        </w:rPr>
        <w:t>7</w:t>
      </w:r>
      <w:r>
        <w:rPr>
          <w:spacing w:val="-4"/>
        </w:rPr>
        <w:t>月在北京富豪食品有限公司任会计；</w:t>
      </w:r>
      <w:r>
        <w:rPr>
          <w:rFonts w:ascii="Times New Roman" w:hAnsi="Times New Roman" w:cs="Times New Roman" w:eastAsia="Times New Roman" w:hint="default"/>
          <w:spacing w:val="-4"/>
        </w:rPr>
        <w:t>1993</w:t>
      </w:r>
      <w:r>
        <w:rPr>
          <w:spacing w:val="-4"/>
        </w:rPr>
        <w:t>年</w:t>
      </w:r>
      <w:r>
        <w:rPr>
          <w:rFonts w:ascii="Times New Roman" w:hAnsi="Times New Roman" w:cs="Times New Roman" w:eastAsia="Times New Roman" w:hint="default"/>
          <w:spacing w:val="-4"/>
        </w:rPr>
        <w:t>7</w:t>
      </w:r>
      <w:r>
        <w:rPr>
          <w:spacing w:val="-4"/>
        </w:rPr>
        <w:t>月至</w:t>
      </w:r>
      <w:r>
        <w:rPr>
          <w:rFonts w:ascii="Times New Roman" w:hAnsi="Times New Roman" w:cs="Times New Roman" w:eastAsia="Times New Roman" w:hint="default"/>
          <w:spacing w:val="-4"/>
        </w:rPr>
        <w:t>2005</w:t>
      </w:r>
      <w:r>
        <w:rPr>
          <w:spacing w:val="-4"/>
        </w:rPr>
        <w:t>年</w:t>
      </w:r>
      <w:r>
        <w:rPr>
          <w:rFonts w:ascii="Times New Roman" w:hAnsi="Times New Roman" w:cs="Times New Roman" w:eastAsia="Times New Roman" w:hint="default"/>
          <w:spacing w:val="-4"/>
        </w:rPr>
        <w:t>4</w:t>
      </w:r>
      <w:r>
        <w:rPr>
          <w:spacing w:val="-4"/>
        </w:rPr>
        <w:t>月任北京海诚电讯技术有限公司财务部经理；</w:t>
      </w:r>
      <w:r>
        <w:rPr>
          <w:rFonts w:ascii="Times New Roman" w:hAnsi="Times New Roman" w:cs="Times New Roman" w:eastAsia="Times New Roman" w:hint="default"/>
          <w:spacing w:val="-4"/>
        </w:rPr>
        <w:t>2005</w:t>
      </w:r>
      <w:r>
        <w:rPr>
          <w:spacing w:val="-4"/>
        </w:rPr>
        <w:t>年</w:t>
      </w:r>
      <w:r>
        <w:rPr>
          <w:rFonts w:ascii="Times New Roman" w:hAnsi="Times New Roman" w:cs="Times New Roman" w:eastAsia="Times New Roman" w:hint="default"/>
          <w:spacing w:val="-4"/>
        </w:rPr>
        <w:t>4</w:t>
      </w:r>
      <w:r>
        <w:rPr>
          <w:rFonts w:ascii="Times New Roman" w:hAnsi="Times New Roman" w:cs="Times New Roman" w:eastAsia="Times New Roman" w:hint="default"/>
          <w:spacing w:val="5"/>
        </w:rPr>
        <w:t> </w:t>
      </w:r>
      <w:r>
        <w:rPr>
          <w:spacing w:val="-3"/>
        </w:rPr>
        <w:t>月至</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4</w:t>
      </w:r>
      <w:r>
        <w:rPr>
          <w:spacing w:val="-3"/>
        </w:rPr>
        <w:t>月在北京首都在线科技发展有限公司会计部担任总监；</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4</w:t>
      </w:r>
      <w:r>
        <w:rPr>
          <w:spacing w:val="-3"/>
        </w:rPr>
        <w:t>月至</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4</w:t>
      </w:r>
      <w:r>
        <w:rPr>
          <w:spacing w:val="-3"/>
        </w:rPr>
        <w:t>月任职北京海诚电讯技术有限公司</w:t>
      </w:r>
      <w:r>
        <w:rPr>
          <w:spacing w:val="3"/>
        </w:rPr>
        <w:t> </w:t>
      </w:r>
      <w:r>
        <w:rPr>
          <w:spacing w:val="3"/>
        </w:rPr>
      </w:r>
      <w:r>
        <w:rPr>
          <w:spacing w:val="-4"/>
        </w:rPr>
        <w:t>财务总监；</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12</w:t>
      </w:r>
      <w:r>
        <w:rPr>
          <w:spacing w:val="-4"/>
        </w:rPr>
        <w:t>月至</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2</w:t>
      </w:r>
      <w:r>
        <w:rPr>
          <w:spacing w:val="-4"/>
        </w:rPr>
        <w:t>月担任公司内部审计部负责人；</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2</w:t>
      </w:r>
      <w:r>
        <w:rPr>
          <w:spacing w:val="-4"/>
        </w:rPr>
        <w:t>月至</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5</w:t>
      </w:r>
      <w:r>
        <w:rPr>
          <w:spacing w:val="-4"/>
        </w:rPr>
        <w:t>月担任公司董事长助理。</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8</w:t>
      </w:r>
      <w:r>
        <w:rPr>
          <w:spacing w:val="-4"/>
        </w:rPr>
        <w:t>月起</w:t>
      </w:r>
      <w:r>
        <w:rPr>
          <w:spacing w:val="7"/>
        </w:rPr>
        <w:t> </w:t>
      </w:r>
      <w:r>
        <w:rPr/>
        <w:t>任公司监事。</w:t>
      </w:r>
      <w:r>
        <w:rPr>
          <w:spacing w:val="-86"/>
        </w:rPr>
        <w:t> </w:t>
      </w:r>
      <w:r>
        <w:rPr>
          <w:spacing w:val="-86"/>
        </w:rPr>
      </w:r>
      <w:r>
        <w:rPr>
          <w:rFonts w:ascii="Times New Roman" w:hAnsi="Times New Roman" w:cs="Times New Roman" w:eastAsia="Times New Roman" w:hint="default"/>
          <w:spacing w:val="-4"/>
        </w:rPr>
        <w:t>3.</w:t>
      </w:r>
      <w:r>
        <w:rPr>
          <w:spacing w:val="-4"/>
        </w:rPr>
        <w:t>谷莉女士，</w:t>
      </w:r>
      <w:r>
        <w:rPr>
          <w:rFonts w:ascii="Times New Roman" w:hAnsi="Times New Roman" w:cs="Times New Roman" w:eastAsia="Times New Roman" w:hint="default"/>
          <w:spacing w:val="-4"/>
        </w:rPr>
        <w:t>1974</w:t>
      </w:r>
      <w:r>
        <w:rPr>
          <w:spacing w:val="-4"/>
        </w:rPr>
        <w:t>年出生，中国国籍，大学专科学历。</w:t>
      </w:r>
      <w:r>
        <w:rPr>
          <w:rFonts w:ascii="Times New Roman" w:hAnsi="Times New Roman" w:cs="Times New Roman" w:eastAsia="Times New Roman" w:hint="default"/>
          <w:spacing w:val="-4"/>
        </w:rPr>
        <w:t>1997</w:t>
      </w:r>
      <w:r>
        <w:rPr>
          <w:spacing w:val="-4"/>
        </w:rPr>
        <w:t>年</w:t>
      </w:r>
      <w:r>
        <w:rPr>
          <w:rFonts w:ascii="Times New Roman" w:hAnsi="Times New Roman" w:cs="Times New Roman" w:eastAsia="Times New Roman" w:hint="default"/>
          <w:spacing w:val="-4"/>
        </w:rPr>
        <w:t>8</w:t>
      </w:r>
      <w:r>
        <w:rPr>
          <w:spacing w:val="-4"/>
        </w:rPr>
        <w:t>月至</w:t>
      </w:r>
      <w:r>
        <w:rPr>
          <w:rFonts w:ascii="Times New Roman" w:hAnsi="Times New Roman" w:cs="Times New Roman" w:eastAsia="Times New Roman" w:hint="default"/>
          <w:spacing w:val="-4"/>
        </w:rPr>
        <w:t>1999</w:t>
      </w:r>
      <w:r>
        <w:rPr>
          <w:spacing w:val="-4"/>
        </w:rPr>
        <w:t>年</w:t>
      </w:r>
      <w:r>
        <w:rPr>
          <w:rFonts w:ascii="Times New Roman" w:hAnsi="Times New Roman" w:cs="Times New Roman" w:eastAsia="Times New Roman" w:hint="default"/>
          <w:spacing w:val="-4"/>
        </w:rPr>
        <w:t>9</w:t>
      </w:r>
      <w:r>
        <w:rPr>
          <w:spacing w:val="-4"/>
        </w:rPr>
        <w:t>月任海诚电讯会计</w:t>
      </w:r>
      <w:r>
        <w:rPr>
          <w:rFonts w:ascii="Times New Roman" w:hAnsi="Times New Roman" w:cs="Times New Roman" w:eastAsia="Times New Roman" w:hint="default"/>
          <w:spacing w:val="-4"/>
        </w:rPr>
        <w:t>,1999</w:t>
      </w:r>
      <w:r>
        <w:rPr>
          <w:spacing w:val="-4"/>
        </w:rPr>
        <w:t>年</w:t>
      </w:r>
      <w:r>
        <w:rPr>
          <w:rFonts w:ascii="Times New Roman" w:hAnsi="Times New Roman" w:cs="Times New Roman" w:eastAsia="Times New Roman" w:hint="default"/>
          <w:spacing w:val="-4"/>
        </w:rPr>
        <w:t>9</w:t>
      </w:r>
      <w:r>
        <w:rPr>
          <w:spacing w:val="-4"/>
        </w:rPr>
        <w:t>月至</w:t>
      </w:r>
      <w:r>
        <w:rPr>
          <w:rFonts w:ascii="Times New Roman" w:hAnsi="Times New Roman" w:cs="Times New Roman" w:eastAsia="Times New Roman" w:hint="default"/>
          <w:spacing w:val="-4"/>
        </w:rPr>
        <w:t>2004</w:t>
      </w:r>
      <w:r>
        <w:rPr>
          <w:spacing w:val="-4"/>
        </w:rPr>
        <w:t>年</w:t>
      </w:r>
      <w:r>
        <w:rPr>
          <w:rFonts w:ascii="Times New Roman" w:hAnsi="Times New Roman" w:cs="Times New Roman" w:eastAsia="Times New Roman" w:hint="default"/>
          <w:spacing w:val="-4"/>
        </w:rPr>
        <w:t>9</w:t>
      </w:r>
      <w:r>
        <w:rPr>
          <w:spacing w:val="-4"/>
        </w:rPr>
        <w:t>月任北京</w:t>
      </w:r>
      <w:r>
        <w:rPr>
          <w:spacing w:val="10"/>
        </w:rPr>
        <w:t> </w:t>
      </w:r>
      <w:r>
        <w:rPr>
          <w:spacing w:val="10"/>
        </w:rPr>
      </w:r>
      <w:r>
        <w:rPr>
          <w:spacing w:val="-3"/>
        </w:rPr>
        <w:t>首都在线科技发展股份有限公司会计</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9</w:t>
      </w:r>
      <w:r>
        <w:rPr>
          <w:spacing w:val="-3"/>
        </w:rPr>
        <w:t>月至</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12</w:t>
      </w:r>
      <w:r>
        <w:rPr>
          <w:spacing w:val="-3"/>
        </w:rPr>
        <w:t>月任二六三网络通信股份有限公司会计</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w:t>
      </w:r>
      <w:r>
        <w:rPr>
          <w:spacing w:val="-3"/>
        </w:rPr>
        <w:t>月至</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w:t>
      </w:r>
      <w:r>
        <w:rPr>
          <w:spacing w:val="-3"/>
        </w:rPr>
        <w:t>月</w:t>
      </w:r>
      <w:r>
        <w:rPr>
          <w:spacing w:val="12"/>
        </w:rPr>
        <w:t> </w:t>
      </w:r>
      <w:r>
        <w:rPr>
          <w:spacing w:val="-3"/>
        </w:rPr>
        <w:t>任北京亿泰利丰网络科技有限公司财务主管</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w:t>
      </w:r>
      <w:r>
        <w:rPr>
          <w:spacing w:val="-3"/>
        </w:rPr>
        <w:t>月至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月任爱涛信科国际通信技术</w:t>
      </w:r>
      <w:r>
        <w:rPr>
          <w:rFonts w:ascii="Times New Roman" w:hAnsi="Times New Roman" w:cs="Times New Roman" w:eastAsia="Times New Roman" w:hint="default"/>
          <w:spacing w:val="-3"/>
        </w:rPr>
        <w:t>(</w:t>
      </w:r>
      <w:r>
        <w:rPr>
          <w:spacing w:val="-3"/>
        </w:rPr>
        <w:t>北京</w:t>
      </w:r>
      <w:r>
        <w:rPr>
          <w:rFonts w:ascii="Times New Roman" w:hAnsi="Times New Roman" w:cs="Times New Roman" w:eastAsia="Times New Roman" w:hint="default"/>
          <w:spacing w:val="-3"/>
        </w:rPr>
        <w:t>)</w:t>
      </w:r>
      <w:r>
        <w:rPr>
          <w:spacing w:val="-3"/>
        </w:rPr>
        <w:t>有限公司财务主</w:t>
      </w:r>
      <w:r>
        <w:rPr>
          <w:spacing w:val="79"/>
        </w:rPr>
        <w:t> </w:t>
      </w:r>
      <w:r>
        <w:rPr>
          <w:spacing w:val="79"/>
        </w:rPr>
      </w:r>
      <w:r>
        <w:rPr>
          <w:spacing w:val="-3"/>
        </w:rPr>
        <w:t>管</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w:t>
      </w:r>
      <w:r>
        <w:rPr>
          <w:spacing w:val="-3"/>
        </w:rPr>
        <w:t>月至</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7</w:t>
      </w:r>
      <w:r>
        <w:rPr>
          <w:spacing w:val="-3"/>
        </w:rPr>
        <w:t>月任北京二六三网络科技有限公司财务经理</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8</w:t>
      </w:r>
      <w:r>
        <w:rPr>
          <w:spacing w:val="-3"/>
        </w:rPr>
        <w:t>月至今</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月任二六三网络通信股份有限公</w:t>
      </w:r>
      <w:r>
        <w:rPr>
          <w:spacing w:val="14"/>
        </w:rPr>
        <w:t> </w:t>
      </w:r>
      <w:r>
        <w:rPr>
          <w:spacing w:val="14"/>
        </w:rPr>
      </w:r>
      <w:r>
        <w:rPr>
          <w:spacing w:val="-3"/>
        </w:rPr>
        <w:t>司内审部项目经理，</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月至今任公司内审负责人。</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月起任公司职工代表监事。</w:t>
      </w:r>
    </w:p>
    <w:p>
      <w:pPr>
        <w:pStyle w:val="BodyText"/>
        <w:spacing w:line="240" w:lineRule="auto" w:before="17"/>
        <w:ind w:left="153" w:right="0"/>
        <w:jc w:val="left"/>
      </w:pPr>
      <w:r>
        <w:rPr>
          <w:spacing w:val="-3"/>
        </w:rPr>
        <w:t>（三）高级管理人员</w:t>
      </w:r>
    </w:p>
    <w:p>
      <w:pPr>
        <w:pStyle w:val="BodyText"/>
        <w:spacing w:line="240" w:lineRule="auto" w:before="115"/>
        <w:ind w:left="153" w:right="0"/>
        <w:jc w:val="left"/>
      </w:pPr>
      <w:r>
        <w:rPr>
          <w:rFonts w:ascii="Times New Roman" w:hAnsi="Times New Roman" w:cs="Times New Roman" w:eastAsia="Times New Roman" w:hint="default"/>
          <w:spacing w:val="-3"/>
        </w:rPr>
        <w:t>1.</w:t>
      </w:r>
      <w:r>
        <w:rPr>
          <w:spacing w:val="-3"/>
        </w:rPr>
        <w:t>梁京先生，</w:t>
      </w:r>
      <w:r>
        <w:rPr>
          <w:rFonts w:ascii="Times New Roman" w:hAnsi="Times New Roman" w:cs="Times New Roman" w:eastAsia="Times New Roman" w:hint="default"/>
          <w:spacing w:val="-3"/>
        </w:rPr>
        <w:t>1965</w:t>
      </w:r>
      <w:r>
        <w:rPr>
          <w:spacing w:val="-3"/>
        </w:rPr>
        <w:t>年出生，中国国籍，工学硕士。</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w:t>
      </w:r>
      <w:r>
        <w:rPr>
          <w:spacing w:val="-3"/>
        </w:rPr>
        <w:t>月至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5</w:t>
      </w:r>
      <w:r>
        <w:rPr>
          <w:spacing w:val="-3"/>
        </w:rPr>
        <w:t>月担任中国联通（香港）运营公司董事总经理一职；</w:t>
      </w:r>
    </w:p>
    <w:p>
      <w:pPr>
        <w:pStyle w:val="BodyText"/>
        <w:spacing w:line="240" w:lineRule="auto" w:before="101"/>
        <w:ind w:left="153" w:right="0"/>
        <w:jc w:val="left"/>
      </w:pP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5</w:t>
      </w:r>
      <w:r>
        <w:rPr>
          <w:spacing w:val="-3"/>
        </w:rPr>
        <w:t>月至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10</w:t>
      </w:r>
      <w:r>
        <w:rPr>
          <w:spacing w:val="-3"/>
        </w:rPr>
        <w:t>月任中国联通国际业务部副总经理。</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月起任公司总裁。</w:t>
      </w:r>
    </w:p>
    <w:p>
      <w:pPr>
        <w:pStyle w:val="BodyText"/>
        <w:spacing w:line="240" w:lineRule="auto" w:before="101"/>
        <w:ind w:left="153" w:right="0"/>
        <w:jc w:val="left"/>
      </w:pPr>
      <w:r>
        <w:rPr>
          <w:rFonts w:ascii="Times New Roman" w:hAnsi="Times New Roman" w:cs="Times New Roman" w:eastAsia="Times New Roman" w:hint="default"/>
          <w:spacing w:val="-3"/>
        </w:rPr>
        <w:t>2.</w:t>
      </w:r>
      <w:r>
        <w:rPr>
          <w:spacing w:val="-3"/>
        </w:rPr>
        <w:t>肖瑗先生，</w:t>
      </w:r>
      <w:r>
        <w:rPr>
          <w:rFonts w:ascii="Times New Roman" w:hAnsi="Times New Roman" w:cs="Times New Roman" w:eastAsia="Times New Roman" w:hint="default"/>
          <w:spacing w:val="-3"/>
        </w:rPr>
        <w:t>1965</w:t>
      </w:r>
      <w:r>
        <w:rPr>
          <w:spacing w:val="-3"/>
        </w:rPr>
        <w:t>年出生，中国国籍，工学硕士。</w:t>
      </w:r>
      <w:r>
        <w:rPr>
          <w:rFonts w:ascii="Times New Roman" w:hAnsi="Times New Roman" w:cs="Times New Roman" w:eastAsia="Times New Roman" w:hint="default"/>
          <w:spacing w:val="-3"/>
        </w:rPr>
        <w:t>2006</w:t>
      </w:r>
      <w:r>
        <w:rPr>
          <w:spacing w:val="-3"/>
        </w:rPr>
        <w:t>年加入公司，现任公司副总裁。</w:t>
      </w:r>
    </w:p>
    <w:p>
      <w:pPr>
        <w:pStyle w:val="BodyText"/>
        <w:spacing w:line="240" w:lineRule="auto" w:before="101"/>
        <w:ind w:left="153" w:right="0"/>
        <w:jc w:val="left"/>
      </w:pPr>
      <w:r>
        <w:rPr>
          <w:rFonts w:ascii="Times New Roman" w:hAnsi="Times New Roman" w:cs="Times New Roman" w:eastAsia="Times New Roman" w:hint="default"/>
        </w:rPr>
        <w:t>3.JIE </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3"/>
        </w:rPr>
        <w:t>ZHAO</w:t>
      </w:r>
      <w:r>
        <w:rPr>
          <w:spacing w:val="-3"/>
        </w:rPr>
        <w:t>先生，公司副总裁，详见上文简历。</w:t>
      </w:r>
    </w:p>
    <w:p>
      <w:pPr>
        <w:pStyle w:val="BodyText"/>
        <w:spacing w:line="240" w:lineRule="auto" w:before="101"/>
        <w:ind w:left="153" w:right="0"/>
        <w:jc w:val="left"/>
      </w:pPr>
      <w:r>
        <w:rPr>
          <w:rFonts w:ascii="Times New Roman" w:hAnsi="Times New Roman" w:cs="Times New Roman" w:eastAsia="Times New Roman" w:hint="default"/>
          <w:spacing w:val="-3"/>
        </w:rPr>
        <w:t>4.</w:t>
      </w:r>
      <w:r>
        <w:rPr>
          <w:spacing w:val="-3"/>
        </w:rPr>
        <w:t>李玉杰先生，公司副总裁，详见上文简历。</w:t>
      </w:r>
    </w:p>
    <w:p>
      <w:pPr>
        <w:pStyle w:val="BodyText"/>
        <w:spacing w:line="336" w:lineRule="auto" w:before="101"/>
        <w:ind w:left="153" w:right="0"/>
        <w:jc w:val="left"/>
      </w:pPr>
      <w:r>
        <w:rPr>
          <w:rFonts w:ascii="Times New Roman" w:hAnsi="Times New Roman" w:cs="Times New Roman" w:eastAsia="Times New Roman" w:hint="default"/>
          <w:spacing w:val="-4"/>
        </w:rPr>
        <w:t>5.</w:t>
      </w:r>
      <w:r>
        <w:rPr>
          <w:spacing w:val="-4"/>
        </w:rPr>
        <w:t>忻卫敏先生，</w:t>
      </w:r>
      <w:r>
        <w:rPr>
          <w:rFonts w:ascii="Times New Roman" w:hAnsi="Times New Roman" w:cs="Times New Roman" w:eastAsia="Times New Roman" w:hint="default"/>
          <w:spacing w:val="-4"/>
        </w:rPr>
        <w:t>1974</w:t>
      </w:r>
      <w:r>
        <w:rPr>
          <w:spacing w:val="-4"/>
        </w:rPr>
        <w:t>年出生，中国国籍，本科学历。</w:t>
      </w:r>
      <w:r>
        <w:rPr>
          <w:rFonts w:ascii="Times New Roman" w:hAnsi="Times New Roman" w:cs="Times New Roman" w:eastAsia="Times New Roman" w:hint="default"/>
          <w:spacing w:val="-4"/>
        </w:rPr>
        <w:t>2008</w:t>
      </w:r>
      <w:r>
        <w:rPr>
          <w:spacing w:val="-4"/>
        </w:rPr>
        <w:t>年至</w:t>
      </w:r>
      <w:r>
        <w:rPr>
          <w:rFonts w:ascii="Times New Roman" w:hAnsi="Times New Roman" w:cs="Times New Roman" w:eastAsia="Times New Roman" w:hint="default"/>
          <w:spacing w:val="-4"/>
        </w:rPr>
        <w:t>2012</w:t>
      </w:r>
      <w:r>
        <w:rPr>
          <w:spacing w:val="-4"/>
        </w:rPr>
        <w:t>年担任上海翰平网络技术有限公司总经理</w:t>
      </w:r>
      <w:r>
        <w:rPr>
          <w:rFonts w:ascii="Times New Roman" w:hAnsi="Times New Roman" w:cs="Times New Roman" w:eastAsia="Times New Roman" w:hint="default"/>
          <w:spacing w:val="-4"/>
        </w:rPr>
        <w:t>;2012</w:t>
      </w:r>
      <w:r>
        <w:rPr>
          <w:spacing w:val="-4"/>
        </w:rPr>
        <w:t>年至今任上</w:t>
      </w:r>
      <w:r>
        <w:rPr>
          <w:spacing w:val="72"/>
        </w:rPr>
        <w:t> </w:t>
      </w:r>
      <w:r>
        <w:rPr>
          <w:spacing w:val="72"/>
        </w:rPr>
      </w:r>
      <w:r>
        <w:rPr>
          <w:spacing w:val="-3"/>
        </w:rPr>
        <w:t>海二六三通信有限公司总经理</w:t>
      </w:r>
      <w:r>
        <w:rPr>
          <w:rFonts w:ascii="Times New Roman" w:hAnsi="Times New Roman" w:cs="Times New Roman" w:eastAsia="Times New Roman" w:hint="default"/>
          <w:spacing w:val="-3"/>
        </w:rPr>
        <w:t>,</w:t>
      </w:r>
      <w:r>
        <w:rPr>
          <w:spacing w:val="-3"/>
        </w:rPr>
        <w:t>现任公司副总裁。</w:t>
      </w:r>
      <w:r>
        <w:rPr>
          <w:spacing w:val="-21"/>
        </w:rPr>
        <w:t> </w:t>
      </w:r>
      <w:r>
        <w:rPr>
          <w:spacing w:val="-21"/>
        </w:rPr>
      </w:r>
      <w:r>
        <w:rPr>
          <w:rFonts w:ascii="Times New Roman" w:hAnsi="Times New Roman" w:cs="Times New Roman" w:eastAsia="Times New Roman" w:hint="default"/>
          <w:spacing w:val="-3"/>
        </w:rPr>
        <w:t>6.</w:t>
      </w:r>
      <w:r>
        <w:rPr>
          <w:spacing w:val="-3"/>
        </w:rPr>
        <w:t>李光千先生，</w:t>
      </w:r>
      <w:r>
        <w:rPr>
          <w:rFonts w:ascii="Times New Roman" w:hAnsi="Times New Roman" w:cs="Times New Roman" w:eastAsia="Times New Roman" w:hint="default"/>
          <w:spacing w:val="-3"/>
        </w:rPr>
        <w:t>1969</w:t>
      </w:r>
      <w:r>
        <w:rPr>
          <w:spacing w:val="-3"/>
        </w:rPr>
        <w:t>年出生，中国国籍，大学本科学历。</w:t>
      </w:r>
      <w:r>
        <w:rPr>
          <w:rFonts w:ascii="Times New Roman" w:hAnsi="Times New Roman" w:cs="Times New Roman" w:eastAsia="Times New Roman" w:hint="default"/>
          <w:spacing w:val="-3"/>
        </w:rPr>
        <w:t>2012</w:t>
      </w:r>
      <w:r>
        <w:rPr>
          <w:spacing w:val="-3"/>
        </w:rPr>
        <w:t>年至</w:t>
      </w:r>
      <w:r>
        <w:rPr>
          <w:rFonts w:ascii="Times New Roman" w:hAnsi="Times New Roman" w:cs="Times New Roman" w:eastAsia="Times New Roman" w:hint="default"/>
          <w:spacing w:val="-3"/>
        </w:rPr>
        <w:t>2016</w:t>
      </w:r>
      <w:r>
        <w:rPr>
          <w:spacing w:val="-3"/>
        </w:rPr>
        <w:t>年，在博彦科技股份有限公司担任财务负责人。</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spacing w:val="-3"/>
        </w:rPr>
        <w:t>年</w:t>
      </w:r>
      <w:r>
        <w:rPr>
          <w:rFonts w:ascii="Times New Roman" w:hAnsi="Times New Roman" w:cs="Times New Roman" w:eastAsia="Times New Roman" w:hint="default"/>
          <w:spacing w:val="-3"/>
        </w:rPr>
        <w:t>6</w:t>
      </w:r>
      <w:r>
        <w:rPr>
          <w:spacing w:val="-3"/>
        </w:rPr>
        <w:t>月起，在二六三网络通信股份有限公司担任财务负责人。</w:t>
      </w:r>
      <w:r>
        <w:rPr>
          <w:spacing w:val="-6"/>
        </w:rPr>
        <w:t> </w:t>
      </w:r>
      <w:r>
        <w:rPr>
          <w:spacing w:val="-6"/>
        </w:rPr>
      </w:r>
      <w:r>
        <w:rPr>
          <w:rFonts w:ascii="Times New Roman" w:hAnsi="Times New Roman" w:cs="Times New Roman" w:eastAsia="Times New Roman" w:hint="default"/>
          <w:spacing w:val="-3"/>
        </w:rPr>
        <w:t>7.</w:t>
      </w:r>
      <w:r>
        <w:rPr>
          <w:spacing w:val="-3"/>
        </w:rPr>
        <w:t>李波先生，</w:t>
      </w:r>
      <w:r>
        <w:rPr>
          <w:rFonts w:ascii="Times New Roman" w:hAnsi="Times New Roman" w:cs="Times New Roman" w:eastAsia="Times New Roman" w:hint="default"/>
          <w:spacing w:val="-3"/>
        </w:rPr>
        <w:t>1976</w:t>
      </w:r>
      <w:r>
        <w:rPr>
          <w:spacing w:val="-3"/>
        </w:rPr>
        <w:t>年出生，中国国籍，工商管理硕士。</w:t>
      </w:r>
      <w:r>
        <w:rPr>
          <w:rFonts w:ascii="Times New Roman" w:hAnsi="Times New Roman" w:cs="Times New Roman" w:eastAsia="Times New Roman" w:hint="default"/>
          <w:spacing w:val="-3"/>
        </w:rPr>
        <w:t>1999</w:t>
      </w:r>
      <w:r>
        <w:rPr>
          <w:spacing w:val="-3"/>
        </w:rPr>
        <w:t>年至</w:t>
      </w:r>
      <w:r>
        <w:rPr>
          <w:rFonts w:ascii="Times New Roman" w:hAnsi="Times New Roman" w:cs="Times New Roman" w:eastAsia="Times New Roman" w:hint="default"/>
          <w:spacing w:val="-3"/>
        </w:rPr>
        <w:t>2006</w:t>
      </w:r>
      <w:r>
        <w:rPr>
          <w:spacing w:val="-3"/>
        </w:rPr>
        <w:t>年任职于公司法务部，</w:t>
      </w:r>
      <w:r>
        <w:rPr>
          <w:rFonts w:ascii="Times New Roman" w:hAnsi="Times New Roman" w:cs="Times New Roman" w:eastAsia="Times New Roman" w:hint="default"/>
          <w:spacing w:val="-3"/>
        </w:rPr>
        <w:t>2006</w:t>
      </w:r>
      <w:r>
        <w:rPr>
          <w:spacing w:val="-3"/>
        </w:rPr>
        <w:t>年至</w:t>
      </w:r>
      <w:r>
        <w:rPr>
          <w:rFonts w:ascii="Times New Roman" w:hAnsi="Times New Roman" w:cs="Times New Roman" w:eastAsia="Times New Roman" w:hint="default"/>
          <w:spacing w:val="-3"/>
        </w:rPr>
        <w:t>2007</w:t>
      </w:r>
      <w:r>
        <w:rPr>
          <w:spacing w:val="-3"/>
        </w:rPr>
        <w:t>年任职于百度在线</w:t>
      </w:r>
      <w:r>
        <w:rPr>
          <w:spacing w:val="66"/>
        </w:rPr>
        <w:t> </w:t>
      </w:r>
      <w:r>
        <w:rPr>
          <w:spacing w:val="66"/>
        </w:rPr>
      </w:r>
      <w:r>
        <w:rPr>
          <w:spacing w:val="-4"/>
        </w:rPr>
        <w:t>网络技术（北京）有限公司法务部，</w:t>
      </w:r>
      <w:r>
        <w:rPr>
          <w:rFonts w:ascii="Times New Roman" w:hAnsi="Times New Roman" w:cs="Times New Roman" w:eastAsia="Times New Roman" w:hint="default"/>
          <w:spacing w:val="-4"/>
        </w:rPr>
        <w:t>2007</w:t>
      </w:r>
      <w:r>
        <w:rPr>
          <w:spacing w:val="-4"/>
        </w:rPr>
        <w:t>年起任职于公司法务证券部担任法务证券部总监。</w:t>
      </w:r>
      <w:r>
        <w:rPr>
          <w:rFonts w:ascii="Times New Roman" w:hAnsi="Times New Roman" w:cs="Times New Roman" w:eastAsia="Times New Roman" w:hint="default"/>
          <w:spacing w:val="-4"/>
        </w:rPr>
        <w:t>2007</w:t>
      </w:r>
      <w:r>
        <w:rPr>
          <w:spacing w:val="-4"/>
        </w:rPr>
        <w:t>年获得深交所董事会秘书资</w:t>
      </w:r>
      <w:r>
        <w:rPr>
          <w:spacing w:val="57"/>
        </w:rPr>
        <w:t> </w:t>
      </w:r>
      <w:r>
        <w:rPr>
          <w:spacing w:val="57"/>
        </w:rPr>
      </w:r>
      <w:r>
        <w:rPr/>
        <w:t>格。</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月起，担任公司董事会秘书。</w:t>
      </w:r>
    </w:p>
    <w:p>
      <w:pPr>
        <w:pStyle w:val="BodyText"/>
        <w:spacing w:line="240" w:lineRule="auto" w:before="146"/>
        <w:ind w:left="153" w:right="0"/>
        <w:jc w:val="left"/>
      </w:pPr>
      <w:r>
        <w:rPr>
          <w:spacing w:val="-3"/>
        </w:rPr>
        <w:t>在股东单位任职情况</w:t>
      </w:r>
    </w:p>
    <w:p>
      <w:pPr>
        <w:spacing w:line="240" w:lineRule="auto" w:before="12"/>
        <w:rPr>
          <w:rFonts w:ascii="宋体" w:hAnsi="宋体" w:cs="宋体" w:eastAsia="宋体" w:hint="default"/>
          <w:sz w:val="17"/>
          <w:szCs w:val="17"/>
        </w:rPr>
      </w:pPr>
    </w:p>
    <w:p>
      <w:pPr>
        <w:pStyle w:val="BodyText"/>
        <w:spacing w:line="448" w:lineRule="auto"/>
        <w:ind w:left="153" w:right="791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在其他单位任职情况</w:t>
      </w:r>
    </w:p>
    <w:p>
      <w:pPr>
        <w:pStyle w:val="BodyText"/>
        <w:spacing w:line="240" w:lineRule="auto" w:before="79"/>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0" w:footer="1022" w:top="1120" w:bottom="122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033"/>
        <w:gridCol w:w="3251"/>
        <w:gridCol w:w="1311"/>
        <w:gridCol w:w="1739"/>
        <w:gridCol w:w="902"/>
        <w:gridCol w:w="1513"/>
      </w:tblGrid>
      <w:tr>
        <w:trPr>
          <w:trHeight w:val="715" w:hRule="exact"/>
        </w:trPr>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1" w:right="142" w:hanging="178"/>
              <w:jc w:val="left"/>
              <w:rPr>
                <w:rFonts w:ascii="宋体" w:hAnsi="宋体" w:cs="宋体" w:eastAsia="宋体" w:hint="default"/>
                <w:sz w:val="18"/>
                <w:szCs w:val="18"/>
              </w:rPr>
            </w:pPr>
            <w:r>
              <w:rPr>
                <w:rFonts w:ascii="宋体" w:hAnsi="宋体" w:cs="宋体" w:eastAsia="宋体" w:hint="default"/>
                <w:sz w:val="18"/>
                <w:szCs w:val="18"/>
              </w:rPr>
              <w:t>任职人员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姓名</w:t>
            </w:r>
          </w:p>
        </w:tc>
        <w:tc>
          <w:tcPr>
            <w:tcW w:w="3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8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93" w:right="99" w:hanging="178"/>
              <w:jc w:val="left"/>
              <w:rPr>
                <w:rFonts w:ascii="宋体" w:hAnsi="宋体" w:cs="宋体" w:eastAsia="宋体" w:hint="default"/>
                <w:sz w:val="18"/>
                <w:szCs w:val="18"/>
              </w:rPr>
            </w:pPr>
            <w:r>
              <w:rPr>
                <w:rFonts w:ascii="宋体" w:hAnsi="宋体" w:cs="宋体" w:eastAsia="宋体" w:hint="default"/>
                <w:spacing w:val="-2"/>
                <w:sz w:val="18"/>
                <w:szCs w:val="18"/>
              </w:rPr>
              <w:t>在其他单位担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任的职务</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77" w:right="170"/>
              <w:jc w:val="left"/>
              <w:rPr>
                <w:rFonts w:ascii="宋体" w:hAnsi="宋体" w:cs="宋体" w:eastAsia="宋体" w:hint="default"/>
                <w:sz w:val="18"/>
                <w:szCs w:val="18"/>
              </w:rPr>
            </w:pPr>
            <w:r>
              <w:rPr>
                <w:rFonts w:ascii="宋体" w:hAnsi="宋体" w:cs="宋体" w:eastAsia="宋体" w:hint="default"/>
                <w:sz w:val="18"/>
                <w:szCs w:val="18"/>
              </w:rPr>
              <w:t>任期终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止日期</w:t>
            </w:r>
          </w:p>
        </w:tc>
        <w:tc>
          <w:tcPr>
            <w:tcW w:w="1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11" w:right="113" w:hanging="87"/>
              <w:jc w:val="left"/>
              <w:rPr>
                <w:rFonts w:ascii="宋体" w:hAnsi="宋体" w:cs="宋体" w:eastAsia="宋体" w:hint="default"/>
                <w:sz w:val="18"/>
                <w:szCs w:val="18"/>
              </w:rPr>
            </w:pPr>
            <w:r>
              <w:rPr>
                <w:rFonts w:ascii="宋体" w:hAnsi="宋体" w:cs="宋体" w:eastAsia="宋体" w:hint="default"/>
                <w:spacing w:val="-3"/>
                <w:sz w:val="18"/>
                <w:szCs w:val="18"/>
              </w:rPr>
              <w:t>在其他单位是否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399"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北京二六三网络科技有限公司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Glabal</w:t>
            </w:r>
            <w:r>
              <w:rPr>
                <w:rFonts w:ascii="Times New Roman"/>
                <w:spacing w:val="-10"/>
                <w:sz w:val="18"/>
              </w:rPr>
              <w:t> </w:t>
            </w:r>
            <w:r>
              <w:rPr>
                <w:rFonts w:ascii="Times New Roman"/>
                <w:sz w:val="18"/>
              </w:rPr>
              <w:t>Communiacations,Lnc.</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南京龙骏投资管理有限公司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欢喜传媒集团有限公司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北京致远互联软件股份有限公司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Times New Roman" w:hAnsi="Times New Roman" w:cs="Times New Roman" w:eastAsia="Times New Roman" w:hint="default"/>
                <w:sz w:val="18"/>
                <w:szCs w:val="18"/>
              </w:rPr>
            </w:pPr>
            <w:r>
              <w:rPr>
                <w:rFonts w:ascii="Times New Roman"/>
                <w:spacing w:val="-6"/>
                <w:sz w:val="18"/>
              </w:rPr>
              <w:t>PANFAITH  </w:t>
            </w:r>
            <w:r>
              <w:rPr>
                <w:rFonts w:ascii="Times New Roman"/>
                <w:spacing w:val="-3"/>
                <w:sz w:val="18"/>
              </w:rPr>
              <w:t>INVESTMENTS</w:t>
            </w:r>
            <w:r>
              <w:rPr>
                <w:rFonts w:ascii="Times New Roman"/>
                <w:spacing w:val="23"/>
                <w:sz w:val="18"/>
              </w:rPr>
              <w:t> </w:t>
            </w:r>
            <w:r>
              <w:rPr>
                <w:rFonts w:ascii="Times New Roman"/>
                <w:spacing w:val="-3"/>
                <w:sz w:val="18"/>
              </w:rPr>
              <w:t>LIMITED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Mobile</w:t>
            </w:r>
            <w:r>
              <w:rPr>
                <w:rFonts w:ascii="Times New Roman"/>
                <w:spacing w:val="-6"/>
                <w:sz w:val="18"/>
              </w:rPr>
              <w:t> </w:t>
            </w:r>
            <w:r>
              <w:rPr>
                <w:rFonts w:ascii="Times New Roman"/>
                <w:sz w:val="18"/>
              </w:rPr>
              <w:t>Corporation</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iTalkBB</w:t>
            </w:r>
            <w:r>
              <w:rPr>
                <w:rFonts w:ascii="Times New Roman"/>
                <w:spacing w:val="29"/>
                <w:sz w:val="18"/>
              </w:rPr>
              <w:t> </w:t>
            </w:r>
            <w:r>
              <w:rPr>
                <w:rFonts w:ascii="Times New Roman"/>
                <w:spacing w:val="-3"/>
                <w:sz w:val="18"/>
              </w:rPr>
              <w:t>Canada,Inc.</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iTalkBB </w:t>
            </w:r>
            <w:r>
              <w:rPr>
                <w:rFonts w:ascii="Times New Roman"/>
                <w:sz w:val="18"/>
              </w:rPr>
              <w:t>Australia Pty</w:t>
            </w:r>
            <w:r>
              <w:rPr>
                <w:rFonts w:ascii="Times New Roman"/>
                <w:spacing w:val="-11"/>
                <w:sz w:val="18"/>
              </w:rPr>
              <w:t> </w:t>
            </w:r>
            <w:r>
              <w:rPr>
                <w:rFonts w:ascii="Times New Roman"/>
                <w:sz w:val="18"/>
              </w:rPr>
              <w:t>Ltd.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1"/>
              <w:ind w:left="105" w:right="645"/>
              <w:jc w:val="left"/>
              <w:rPr>
                <w:rFonts w:ascii="Times New Roman" w:hAnsi="Times New Roman" w:cs="Times New Roman" w:eastAsia="Times New Roman" w:hint="default"/>
                <w:sz w:val="18"/>
                <w:szCs w:val="18"/>
              </w:rPr>
            </w:pPr>
            <w:r>
              <w:rPr>
                <w:rFonts w:ascii="Times New Roman"/>
                <w:sz w:val="18"/>
              </w:rPr>
              <w:t>Digital </w:t>
            </w:r>
            <w:r>
              <w:rPr>
                <w:rFonts w:ascii="Times New Roman"/>
                <w:spacing w:val="-3"/>
                <w:sz w:val="18"/>
              </w:rPr>
              <w:t>Technology </w:t>
            </w:r>
            <w:r>
              <w:rPr>
                <w:rFonts w:ascii="Times New Roman"/>
                <w:sz w:val="18"/>
              </w:rPr>
              <w:t>Marketing</w:t>
            </w:r>
            <w:r>
              <w:rPr>
                <w:rFonts w:ascii="Times New Roman"/>
                <w:spacing w:val="3"/>
                <w:sz w:val="18"/>
              </w:rPr>
              <w:t> </w:t>
            </w:r>
            <w:r>
              <w:rPr>
                <w:rFonts w:ascii="Times New Roman"/>
                <w:sz w:val="18"/>
              </w:rPr>
              <w:t>and</w:t>
            </w:r>
            <w:r>
              <w:rPr>
                <w:rFonts w:ascii="Times New Roman"/>
                <w:w w:val="101"/>
                <w:sz w:val="18"/>
              </w:rPr>
              <w:t> </w:t>
            </w:r>
            <w:r>
              <w:rPr>
                <w:rFonts w:ascii="Times New Roman"/>
                <w:spacing w:val="-3"/>
                <w:sz w:val="18"/>
              </w:rPr>
              <w:t>Information,Inc.</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iTalkBB </w:t>
            </w:r>
            <w:r>
              <w:rPr>
                <w:rFonts w:ascii="Times New Roman"/>
                <w:sz w:val="18"/>
              </w:rPr>
              <w:t>Singapore Pte,</w:t>
            </w:r>
            <w:r>
              <w:rPr>
                <w:rFonts w:ascii="Times New Roman"/>
                <w:spacing w:val="11"/>
                <w:sz w:val="18"/>
              </w:rPr>
              <w:t> </w:t>
            </w:r>
            <w:r>
              <w:rPr>
                <w:rFonts w:ascii="Times New Roman"/>
                <w:spacing w:val="-3"/>
                <w:sz w:val="18"/>
              </w:rPr>
              <w:t>Ltd.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二六三软件技术（北京）有限公司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JIE</w:t>
            </w:r>
            <w:r>
              <w:rPr>
                <w:rFonts w:ascii="Times New Roman"/>
                <w:spacing w:val="11"/>
                <w:sz w:val="18"/>
              </w:rPr>
              <w:t> </w:t>
            </w:r>
            <w:r>
              <w:rPr>
                <w:rFonts w:ascii="Times New Roman"/>
                <w:spacing w:val="-3"/>
                <w:sz w:val="18"/>
              </w:rPr>
              <w:t>ZHAO</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北京二六三网络科技有限公司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pacing w:val="-3"/>
                <w:sz w:val="18"/>
              </w:rPr>
              <w:t>JIE</w:t>
            </w:r>
            <w:r>
              <w:rPr>
                <w:rFonts w:ascii="Times New Roman"/>
                <w:spacing w:val="11"/>
                <w:sz w:val="18"/>
              </w:rPr>
              <w:t> </w:t>
            </w:r>
            <w:r>
              <w:rPr>
                <w:rFonts w:ascii="Times New Roman"/>
                <w:spacing w:val="-3"/>
                <w:sz w:val="18"/>
              </w:rPr>
              <w:t>ZHAO</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Global</w:t>
            </w:r>
            <w:r>
              <w:rPr>
                <w:rFonts w:ascii="Times New Roman"/>
                <w:spacing w:val="-13"/>
                <w:sz w:val="18"/>
              </w:rPr>
              <w:t> </w:t>
            </w:r>
            <w:r>
              <w:rPr>
                <w:rFonts w:ascii="Times New Roman"/>
                <w:sz w:val="18"/>
              </w:rPr>
              <w:t>Communications,Inc.</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JIE</w:t>
            </w:r>
            <w:r>
              <w:rPr>
                <w:rFonts w:ascii="Times New Roman"/>
                <w:spacing w:val="11"/>
                <w:sz w:val="18"/>
              </w:rPr>
              <w:t> </w:t>
            </w:r>
            <w:r>
              <w:rPr>
                <w:rFonts w:ascii="Times New Roman"/>
                <w:spacing w:val="-3"/>
                <w:sz w:val="18"/>
              </w:rPr>
              <w:t>ZHAO</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北京爱涛视讯科技有限公司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JIE</w:t>
            </w:r>
            <w:r>
              <w:rPr>
                <w:rFonts w:ascii="Times New Roman"/>
                <w:spacing w:val="11"/>
                <w:sz w:val="18"/>
              </w:rPr>
              <w:t> </w:t>
            </w:r>
            <w:r>
              <w:rPr>
                <w:rFonts w:ascii="Times New Roman"/>
                <w:spacing w:val="-3"/>
                <w:sz w:val="18"/>
              </w:rPr>
              <w:t>ZHAO</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iTalkBB</w:t>
            </w:r>
            <w:r>
              <w:rPr>
                <w:rFonts w:ascii="Times New Roman"/>
                <w:spacing w:val="29"/>
                <w:sz w:val="18"/>
              </w:rPr>
              <w:t> </w:t>
            </w:r>
            <w:r>
              <w:rPr>
                <w:rFonts w:ascii="Times New Roman"/>
                <w:spacing w:val="-3"/>
                <w:sz w:val="18"/>
              </w:rPr>
              <w:t>Canada,Inc.</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JIE</w:t>
            </w:r>
            <w:r>
              <w:rPr>
                <w:rFonts w:ascii="Times New Roman"/>
                <w:spacing w:val="11"/>
                <w:sz w:val="18"/>
              </w:rPr>
              <w:t> </w:t>
            </w:r>
            <w:r>
              <w:rPr>
                <w:rFonts w:ascii="Times New Roman"/>
                <w:spacing w:val="-3"/>
                <w:sz w:val="18"/>
              </w:rPr>
              <w:t>ZHAO</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iTalkBB </w:t>
            </w:r>
            <w:r>
              <w:rPr>
                <w:rFonts w:ascii="Times New Roman"/>
                <w:sz w:val="18"/>
              </w:rPr>
              <w:t>Australia Pty</w:t>
            </w:r>
            <w:r>
              <w:rPr>
                <w:rFonts w:ascii="Times New Roman"/>
                <w:spacing w:val="-11"/>
                <w:sz w:val="18"/>
              </w:rPr>
              <w:t> </w:t>
            </w:r>
            <w:r>
              <w:rPr>
                <w:rFonts w:ascii="Times New Roman"/>
                <w:sz w:val="18"/>
              </w:rPr>
              <w:t>Ltd.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pacing w:val="-3"/>
                <w:sz w:val="18"/>
              </w:rPr>
              <w:t>JIE</w:t>
            </w:r>
            <w:r>
              <w:rPr>
                <w:rFonts w:ascii="Times New Roman"/>
                <w:spacing w:val="11"/>
                <w:sz w:val="18"/>
              </w:rPr>
              <w:t> </w:t>
            </w:r>
            <w:r>
              <w:rPr>
                <w:rFonts w:ascii="Times New Roman"/>
                <w:spacing w:val="-3"/>
                <w:sz w:val="18"/>
              </w:rPr>
              <w:t>ZHAO</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0"/>
              <w:ind w:left="105" w:right="645"/>
              <w:jc w:val="left"/>
              <w:rPr>
                <w:rFonts w:ascii="Times New Roman" w:hAnsi="Times New Roman" w:cs="Times New Roman" w:eastAsia="Times New Roman" w:hint="default"/>
                <w:sz w:val="18"/>
                <w:szCs w:val="18"/>
              </w:rPr>
            </w:pPr>
            <w:r>
              <w:rPr>
                <w:rFonts w:ascii="Times New Roman"/>
                <w:sz w:val="18"/>
              </w:rPr>
              <w:t>Digital </w:t>
            </w:r>
            <w:r>
              <w:rPr>
                <w:rFonts w:ascii="Times New Roman"/>
                <w:spacing w:val="-3"/>
                <w:sz w:val="18"/>
              </w:rPr>
              <w:t>Technology </w:t>
            </w:r>
            <w:r>
              <w:rPr>
                <w:rFonts w:ascii="Times New Roman"/>
                <w:sz w:val="18"/>
              </w:rPr>
              <w:t>Marketing</w:t>
            </w:r>
            <w:r>
              <w:rPr>
                <w:rFonts w:ascii="Times New Roman"/>
                <w:spacing w:val="3"/>
                <w:sz w:val="18"/>
              </w:rPr>
              <w:t> </w:t>
            </w:r>
            <w:r>
              <w:rPr>
                <w:rFonts w:ascii="Times New Roman"/>
                <w:sz w:val="18"/>
              </w:rPr>
              <w:t>and</w:t>
            </w:r>
            <w:r>
              <w:rPr>
                <w:rFonts w:ascii="Times New Roman"/>
                <w:w w:val="101"/>
                <w:sz w:val="18"/>
              </w:rPr>
              <w:t> </w:t>
            </w:r>
            <w:r>
              <w:rPr>
                <w:rFonts w:ascii="Times New Roman"/>
                <w:spacing w:val="-3"/>
                <w:sz w:val="18"/>
              </w:rPr>
              <w:t>Information,Inc.</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JIE</w:t>
            </w:r>
            <w:r>
              <w:rPr>
                <w:rFonts w:ascii="Times New Roman"/>
                <w:spacing w:val="11"/>
                <w:sz w:val="18"/>
              </w:rPr>
              <w:t> </w:t>
            </w:r>
            <w:r>
              <w:rPr>
                <w:rFonts w:ascii="Times New Roman"/>
                <w:spacing w:val="-3"/>
                <w:sz w:val="18"/>
              </w:rPr>
              <w:t>ZHAO</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Mobile</w:t>
            </w:r>
            <w:r>
              <w:rPr>
                <w:rFonts w:ascii="Times New Roman"/>
                <w:spacing w:val="-6"/>
                <w:sz w:val="18"/>
              </w:rPr>
              <w:t> </w:t>
            </w:r>
            <w:r>
              <w:rPr>
                <w:rFonts w:ascii="Times New Roman"/>
                <w:sz w:val="18"/>
              </w:rPr>
              <w:t>Corporation</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JIE</w:t>
            </w:r>
            <w:r>
              <w:rPr>
                <w:rFonts w:ascii="Times New Roman"/>
                <w:spacing w:val="11"/>
                <w:sz w:val="18"/>
              </w:rPr>
              <w:t> </w:t>
            </w:r>
            <w:r>
              <w:rPr>
                <w:rFonts w:ascii="Times New Roman"/>
                <w:spacing w:val="-3"/>
                <w:sz w:val="18"/>
              </w:rPr>
              <w:t>ZHAO</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iTalkBB </w:t>
            </w:r>
            <w:r>
              <w:rPr>
                <w:rFonts w:ascii="Times New Roman"/>
                <w:sz w:val="18"/>
              </w:rPr>
              <w:t>Singapore Pte,</w:t>
            </w:r>
            <w:r>
              <w:rPr>
                <w:rFonts w:ascii="Times New Roman"/>
                <w:spacing w:val="11"/>
                <w:sz w:val="18"/>
              </w:rPr>
              <w:t> </w:t>
            </w:r>
            <w:r>
              <w:rPr>
                <w:rFonts w:ascii="Times New Roman"/>
                <w:spacing w:val="-3"/>
                <w:sz w:val="18"/>
              </w:rPr>
              <w:t>Ltd.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JIE</w:t>
            </w:r>
            <w:r>
              <w:rPr>
                <w:rFonts w:ascii="Times New Roman"/>
                <w:spacing w:val="11"/>
                <w:sz w:val="18"/>
              </w:rPr>
              <w:t> </w:t>
            </w:r>
            <w:r>
              <w:rPr>
                <w:rFonts w:ascii="Times New Roman"/>
                <w:spacing w:val="-3"/>
                <w:sz w:val="18"/>
              </w:rPr>
              <w:t>ZHAO</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FREEDOM</w:t>
            </w:r>
            <w:r>
              <w:rPr>
                <w:rFonts w:ascii="Times New Roman"/>
                <w:spacing w:val="29"/>
                <w:sz w:val="18"/>
              </w:rPr>
              <w:t> </w:t>
            </w:r>
            <w:r>
              <w:rPr>
                <w:rFonts w:ascii="Times New Roman"/>
                <w:spacing w:val="-3"/>
                <w:sz w:val="18"/>
              </w:rPr>
              <w:t>ENTERPRISE,LLC</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pacing w:val="-3"/>
                <w:sz w:val="18"/>
              </w:rPr>
              <w:t>JIE</w:t>
            </w:r>
            <w:r>
              <w:rPr>
                <w:rFonts w:ascii="Times New Roman"/>
                <w:spacing w:val="12"/>
                <w:sz w:val="18"/>
              </w:rPr>
              <w:t> </w:t>
            </w:r>
            <w:r>
              <w:rPr>
                <w:rFonts w:ascii="Times New Roman"/>
                <w:spacing w:val="-3"/>
                <w:sz w:val="18"/>
              </w:rPr>
              <w:t>ZHAO</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pacing w:val="-3"/>
                <w:sz w:val="18"/>
              </w:rPr>
              <w:t>iTalkBB </w:t>
            </w:r>
            <w:r>
              <w:rPr>
                <w:rFonts w:ascii="Times New Roman"/>
                <w:sz w:val="18"/>
              </w:rPr>
              <w:t>Media</w:t>
            </w:r>
            <w:r>
              <w:rPr>
                <w:rFonts w:ascii="Times New Roman"/>
                <w:spacing w:val="13"/>
                <w:sz w:val="18"/>
              </w:rPr>
              <w:t> </w:t>
            </w:r>
            <w:r>
              <w:rPr>
                <w:rFonts w:ascii="Times New Roman"/>
                <w:spacing w:val="-4"/>
                <w:sz w:val="18"/>
              </w:rPr>
              <w:t>Inc.</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JIE</w:t>
            </w:r>
            <w:r>
              <w:rPr>
                <w:rFonts w:ascii="Times New Roman"/>
                <w:spacing w:val="11"/>
                <w:sz w:val="18"/>
              </w:rPr>
              <w:t> </w:t>
            </w:r>
            <w:r>
              <w:rPr>
                <w:rFonts w:ascii="Times New Roman"/>
                <w:spacing w:val="-3"/>
                <w:sz w:val="18"/>
              </w:rPr>
              <w:t>ZHAO</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Media</w:t>
            </w:r>
            <w:r>
              <w:rPr>
                <w:rFonts w:ascii="Times New Roman"/>
                <w:spacing w:val="-5"/>
                <w:sz w:val="18"/>
              </w:rPr>
              <w:t> </w:t>
            </w:r>
            <w:r>
              <w:rPr>
                <w:rFonts w:ascii="Times New Roman"/>
                <w:sz w:val="18"/>
              </w:rPr>
              <w:t>Corporation</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JIE</w:t>
            </w:r>
            <w:r>
              <w:rPr>
                <w:rFonts w:ascii="Times New Roman"/>
                <w:spacing w:val="11"/>
                <w:sz w:val="18"/>
              </w:rPr>
              <w:t> </w:t>
            </w:r>
            <w:r>
              <w:rPr>
                <w:rFonts w:ascii="Times New Roman"/>
                <w:spacing w:val="-3"/>
                <w:sz w:val="18"/>
              </w:rPr>
              <w:t>ZHAO</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iTalkBB </w:t>
            </w:r>
            <w:r>
              <w:rPr>
                <w:rFonts w:ascii="Times New Roman"/>
                <w:spacing w:val="-8"/>
                <w:sz w:val="18"/>
              </w:rPr>
              <w:t>VIP,</w:t>
            </w:r>
            <w:r>
              <w:rPr>
                <w:rFonts w:ascii="Times New Roman"/>
                <w:spacing w:val="22"/>
                <w:sz w:val="18"/>
              </w:rPr>
              <w:t> </w:t>
            </w:r>
            <w:r>
              <w:rPr>
                <w:rFonts w:ascii="Times New Roman"/>
                <w:spacing w:val="-4"/>
                <w:sz w:val="18"/>
              </w:rPr>
              <w:t>Inc.</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JIE</w:t>
            </w:r>
            <w:r>
              <w:rPr>
                <w:rFonts w:ascii="Times New Roman"/>
                <w:spacing w:val="11"/>
                <w:sz w:val="18"/>
              </w:rPr>
              <w:t> </w:t>
            </w:r>
            <w:r>
              <w:rPr>
                <w:rFonts w:ascii="Times New Roman"/>
                <w:spacing w:val="-3"/>
                <w:sz w:val="18"/>
              </w:rPr>
              <w:t>ZHAO</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Holdings,</w:t>
            </w:r>
            <w:r>
              <w:rPr>
                <w:rFonts w:ascii="Times New Roman"/>
                <w:spacing w:val="5"/>
                <w:sz w:val="18"/>
              </w:rPr>
              <w:t> </w:t>
            </w:r>
            <w:r>
              <w:rPr>
                <w:rFonts w:ascii="Times New Roman"/>
                <w:spacing w:val="-4"/>
                <w:sz w:val="18"/>
              </w:rPr>
              <w:t>LLC</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pacing w:val="-3"/>
                <w:sz w:val="18"/>
              </w:rPr>
              <w:t>JIE</w:t>
            </w:r>
            <w:r>
              <w:rPr>
                <w:rFonts w:ascii="Times New Roman"/>
                <w:spacing w:val="11"/>
                <w:sz w:val="18"/>
              </w:rPr>
              <w:t> </w:t>
            </w:r>
            <w:r>
              <w:rPr>
                <w:rFonts w:ascii="Times New Roman"/>
                <w:spacing w:val="-3"/>
                <w:sz w:val="18"/>
              </w:rPr>
              <w:t>ZHAO</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National China Garden</w:t>
            </w:r>
            <w:r>
              <w:rPr>
                <w:rFonts w:ascii="Times New Roman"/>
                <w:spacing w:val="-12"/>
                <w:sz w:val="18"/>
              </w:rPr>
              <w:t> </w:t>
            </w:r>
            <w:r>
              <w:rPr>
                <w:rFonts w:ascii="Times New Roman"/>
                <w:sz w:val="18"/>
              </w:rPr>
              <w:t>Foundation</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中信出版集团股份有限公司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信永中和会计师事务所</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创始合伙人</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94"/>
              <w:jc w:val="left"/>
              <w:rPr>
                <w:rFonts w:ascii="宋体" w:hAnsi="宋体" w:cs="宋体" w:eastAsia="宋体" w:hint="default"/>
                <w:sz w:val="18"/>
                <w:szCs w:val="18"/>
              </w:rPr>
            </w:pPr>
            <w:r>
              <w:rPr>
                <w:rFonts w:ascii="宋体" w:hAnsi="宋体" w:cs="宋体" w:eastAsia="宋体" w:hint="default"/>
                <w:spacing w:val="-4"/>
                <w:sz w:val="18"/>
                <w:szCs w:val="18"/>
              </w:rPr>
              <w:t>信永中和（北京）国际投资管理有限责</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任公司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北京信永方略管理咨询有限责任公司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0" w:footer="1022" w:top="1120" w:bottom="122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033"/>
        <w:gridCol w:w="3251"/>
        <w:gridCol w:w="1311"/>
        <w:gridCol w:w="1739"/>
        <w:gridCol w:w="902"/>
        <w:gridCol w:w="1513"/>
      </w:tblGrid>
      <w:tr>
        <w:trPr>
          <w:trHeight w:val="715" w:hRule="exact"/>
        </w:trPr>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1" w:right="142" w:hanging="178"/>
              <w:jc w:val="left"/>
              <w:rPr>
                <w:rFonts w:ascii="宋体" w:hAnsi="宋体" w:cs="宋体" w:eastAsia="宋体" w:hint="default"/>
                <w:sz w:val="18"/>
                <w:szCs w:val="18"/>
              </w:rPr>
            </w:pPr>
            <w:r>
              <w:rPr>
                <w:rFonts w:ascii="宋体" w:hAnsi="宋体" w:cs="宋体" w:eastAsia="宋体" w:hint="default"/>
                <w:sz w:val="18"/>
                <w:szCs w:val="18"/>
              </w:rPr>
              <w:t>任职人员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姓名</w:t>
            </w:r>
          </w:p>
        </w:tc>
        <w:tc>
          <w:tcPr>
            <w:tcW w:w="3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8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93" w:right="99" w:hanging="178"/>
              <w:jc w:val="left"/>
              <w:rPr>
                <w:rFonts w:ascii="宋体" w:hAnsi="宋体" w:cs="宋体" w:eastAsia="宋体" w:hint="default"/>
                <w:sz w:val="18"/>
                <w:szCs w:val="18"/>
              </w:rPr>
            </w:pPr>
            <w:r>
              <w:rPr>
                <w:rFonts w:ascii="宋体" w:hAnsi="宋体" w:cs="宋体" w:eastAsia="宋体" w:hint="default"/>
                <w:spacing w:val="-2"/>
                <w:sz w:val="18"/>
                <w:szCs w:val="18"/>
              </w:rPr>
              <w:t>在其他单位担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任的职务</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77" w:right="170"/>
              <w:jc w:val="left"/>
              <w:rPr>
                <w:rFonts w:ascii="宋体" w:hAnsi="宋体" w:cs="宋体" w:eastAsia="宋体" w:hint="default"/>
                <w:sz w:val="18"/>
                <w:szCs w:val="18"/>
              </w:rPr>
            </w:pPr>
            <w:r>
              <w:rPr>
                <w:rFonts w:ascii="宋体" w:hAnsi="宋体" w:cs="宋体" w:eastAsia="宋体" w:hint="default"/>
                <w:sz w:val="18"/>
                <w:szCs w:val="18"/>
              </w:rPr>
              <w:t>任期终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止日期</w:t>
            </w:r>
          </w:p>
        </w:tc>
        <w:tc>
          <w:tcPr>
            <w:tcW w:w="1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11" w:right="113" w:hanging="87"/>
              <w:jc w:val="left"/>
              <w:rPr>
                <w:rFonts w:ascii="宋体" w:hAnsi="宋体" w:cs="宋体" w:eastAsia="宋体" w:hint="default"/>
                <w:sz w:val="18"/>
                <w:szCs w:val="18"/>
              </w:rPr>
            </w:pPr>
            <w:r>
              <w:rPr>
                <w:rFonts w:ascii="宋体" w:hAnsi="宋体" w:cs="宋体" w:eastAsia="宋体" w:hint="default"/>
                <w:spacing w:val="-3"/>
                <w:sz w:val="18"/>
                <w:szCs w:val="18"/>
              </w:rPr>
              <w:t>在其他单位是否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399"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慧聪集团有限公司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中国中煤能源股份有限公司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中国建设科技集团股份有限公司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北京软银赛富投资顾问有限公司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投资合伙人</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江苏泛亚微透科技股份有限公司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湖南丰惠肥业有限公司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常州第六元素材料科技股份有限公司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常州赛富高新创业投资管理有限公司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丹拓（深圳）投资管理有限公司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08"/>
              <w:jc w:val="left"/>
              <w:rPr>
                <w:rFonts w:ascii="宋体" w:hAnsi="宋体" w:cs="宋体" w:eastAsia="宋体" w:hint="default"/>
                <w:sz w:val="18"/>
                <w:szCs w:val="18"/>
              </w:rPr>
            </w:pPr>
            <w:r>
              <w:rPr>
                <w:rFonts w:ascii="宋体" w:hAnsi="宋体" w:cs="宋体" w:eastAsia="宋体" w:hint="default"/>
                <w:spacing w:val="-2"/>
                <w:sz w:val="18"/>
                <w:szCs w:val="18"/>
              </w:rPr>
              <w:t>执行董事、总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经理</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汇英阳光（常州）影视传媒有限公司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北京丹拓信息技术有限公司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9"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北京北明伟业控股有限公司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石家庄常山北明科技股份有限公司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上海奈盛通信科技有限公司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深圳市日升科技有限公司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105" w:right="402"/>
              <w:jc w:val="left"/>
              <w:rPr>
                <w:rFonts w:ascii="Times New Roman" w:hAnsi="Times New Roman" w:cs="Times New Roman" w:eastAsia="Times New Roman" w:hint="default"/>
                <w:sz w:val="18"/>
                <w:szCs w:val="18"/>
              </w:rPr>
            </w:pPr>
            <w:r>
              <w:rPr>
                <w:rFonts w:ascii="Times New Roman"/>
                <w:sz w:val="18"/>
              </w:rPr>
              <w:t>263</w:t>
            </w:r>
            <w:r>
              <w:rPr>
                <w:rFonts w:ascii="Times New Roman"/>
                <w:spacing w:val="23"/>
                <w:sz w:val="18"/>
              </w:rPr>
              <w:t> </w:t>
            </w:r>
            <w:r>
              <w:rPr>
                <w:rFonts w:ascii="Times New Roman"/>
                <w:spacing w:val="-4"/>
                <w:sz w:val="18"/>
              </w:rPr>
              <w:t>GLOBAL</w:t>
            </w:r>
            <w:r>
              <w:rPr>
                <w:rFonts w:ascii="Times New Roman"/>
                <w:spacing w:val="9"/>
                <w:sz w:val="18"/>
              </w:rPr>
              <w:t> </w:t>
            </w:r>
            <w:r>
              <w:rPr>
                <w:rFonts w:ascii="Times New Roman"/>
                <w:spacing w:val="-4"/>
                <w:sz w:val="18"/>
              </w:rPr>
              <w:t>COMMUNICATIONS</w:t>
            </w:r>
            <w:r>
              <w:rPr>
                <w:rFonts w:ascii="Times New Roman"/>
                <w:spacing w:val="-36"/>
                <w:sz w:val="18"/>
              </w:rPr>
              <w:t> </w:t>
            </w:r>
            <w:r>
              <w:rPr>
                <w:rFonts w:ascii="Times New Roman"/>
                <w:spacing w:val="-36"/>
                <w:sz w:val="18"/>
              </w:rPr>
            </w:r>
            <w:r>
              <w:rPr>
                <w:rFonts w:ascii="Times New Roman"/>
                <w:spacing w:val="-3"/>
                <w:sz w:val="18"/>
              </w:rPr>
              <w:t>LIMITED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二六三增值通信香港有限公司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北京二六三企业通信有限公司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上海二六三通信有限公司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北京二六三网络科技有限公司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北京爱涛视讯科技有限公司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pacing w:val="-3"/>
                <w:sz w:val="18"/>
                <w:szCs w:val="18"/>
              </w:rPr>
              <w:t>展动科技（北京）有限公司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北京二六三企业通信有限公司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08"/>
              <w:jc w:val="left"/>
              <w:rPr>
                <w:rFonts w:ascii="宋体" w:hAnsi="宋体" w:cs="宋体" w:eastAsia="宋体" w:hint="default"/>
                <w:sz w:val="18"/>
                <w:szCs w:val="18"/>
              </w:rPr>
            </w:pPr>
            <w:r>
              <w:rPr>
                <w:rFonts w:ascii="宋体" w:hAnsi="宋体" w:cs="宋体" w:eastAsia="宋体" w:hint="default"/>
                <w:spacing w:val="-2"/>
                <w:sz w:val="18"/>
                <w:szCs w:val="18"/>
              </w:rPr>
              <w:t>执行董事、总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经理</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梁京</w:t>
            </w:r>
          </w:p>
        </w:tc>
        <w:tc>
          <w:tcPr>
            <w:tcW w:w="3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广州二六三通信有限公司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46"/>
        <w:ind w:left="153" w:right="0"/>
        <w:jc w:val="left"/>
      </w:pPr>
      <w:r>
        <w:rPr>
          <w:spacing w:val="-3"/>
        </w:rPr>
        <w:t>公司现任及报告期内离任董事、监事和高级管理人员近三年证券监管机构处罚的情况</w:t>
      </w:r>
    </w:p>
    <w:p>
      <w:pPr>
        <w:spacing w:line="240" w:lineRule="auto" w:before="8"/>
        <w:rPr>
          <w:rFonts w:ascii="宋体" w:hAnsi="宋体" w:cs="宋体" w:eastAsia="宋体" w:hint="default"/>
          <w:sz w:val="14"/>
          <w:szCs w:val="14"/>
        </w:rPr>
      </w:pPr>
    </w:p>
    <w:p>
      <w:pPr>
        <w:pStyle w:val="BodyText"/>
        <w:spacing w:line="240" w:lineRule="auto"/>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0" w:footer="1022" w:top="1120" w:bottom="1220" w:left="980" w:right="0"/>
        </w:sectPr>
      </w:pPr>
    </w:p>
    <w:p>
      <w:pPr>
        <w:spacing w:line="240" w:lineRule="auto" w:before="9"/>
        <w:rPr>
          <w:rFonts w:ascii="宋体" w:hAnsi="宋体" w:cs="宋体" w:eastAsia="宋体" w:hint="default"/>
          <w:sz w:val="17"/>
          <w:szCs w:val="17"/>
        </w:rPr>
      </w:pPr>
    </w:p>
    <w:p>
      <w:pPr>
        <w:pStyle w:val="Heading2"/>
        <w:spacing w:line="240" w:lineRule="auto" w:before="26"/>
        <w:ind w:left="193" w:right="48"/>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ind w:left="193" w:right="48"/>
        <w:jc w:val="left"/>
      </w:pPr>
      <w:r>
        <w:rPr>
          <w:spacing w:val="-3"/>
        </w:rPr>
        <w:t>董事、监事、高级管理人员报酬的决策程序、确定依据、实际支付情况</w:t>
      </w:r>
    </w:p>
    <w:p>
      <w:pPr>
        <w:pStyle w:val="BodyText"/>
        <w:spacing w:line="357" w:lineRule="auto" w:before="115"/>
        <w:ind w:left="193" w:right="48"/>
        <w:jc w:val="left"/>
      </w:pPr>
      <w:r>
        <w:rPr>
          <w:spacing w:val="-3"/>
        </w:rPr>
        <w:t>（一）决策程序</w:t>
      </w:r>
      <w:r>
        <w:rPr>
          <w:spacing w:val="-68"/>
        </w:rPr>
        <w:t> </w:t>
      </w:r>
      <w:r>
        <w:rPr>
          <w:spacing w:val="-68"/>
        </w:rPr>
      </w:r>
      <w:r>
        <w:rPr>
          <w:spacing w:val="-4"/>
        </w:rPr>
        <w:t>公司建立了完善的高级管理人员绩效考核和薪酬体系，高级管理人员的工作绩效与其报酬直接挂钩。董事会薪酬与考核委员</w:t>
      </w:r>
      <w:r>
        <w:rPr>
          <w:spacing w:val="43"/>
        </w:rPr>
        <w:t> </w:t>
      </w:r>
      <w:r>
        <w:rPr>
          <w:spacing w:val="43"/>
        </w:rPr>
      </w:r>
      <w:r>
        <w:rPr>
          <w:spacing w:val="-3"/>
        </w:rPr>
        <w:t>会负责对高级管理人员的工作能力、履职情况、责任目标完成情况等进行年终考评，制定薪酬方案。</w:t>
      </w:r>
    </w:p>
    <w:p>
      <w:pPr>
        <w:pStyle w:val="BodyText"/>
        <w:spacing w:line="357" w:lineRule="auto" w:before="26"/>
        <w:ind w:left="193" w:right="4065"/>
        <w:jc w:val="left"/>
      </w:pPr>
      <w:r>
        <w:rPr>
          <w:spacing w:val="-3"/>
        </w:rPr>
        <w:t>（二）确定依据</w:t>
      </w:r>
      <w:r>
        <w:rPr>
          <w:spacing w:val="-68"/>
        </w:rPr>
        <w:t> </w:t>
      </w:r>
      <w:r>
        <w:rPr>
          <w:spacing w:val="-68"/>
        </w:rPr>
      </w:r>
      <w:r>
        <w:rPr>
          <w:spacing w:val="-3"/>
        </w:rPr>
        <w:t>公司董事、监事和高级管理人员报酬依据公司的经营业绩和绩效考核指标来确定。</w:t>
      </w:r>
    </w:p>
    <w:p>
      <w:pPr>
        <w:pStyle w:val="BodyText"/>
        <w:spacing w:line="357" w:lineRule="auto" w:before="22"/>
        <w:ind w:left="193" w:right="4065"/>
        <w:jc w:val="left"/>
      </w:pPr>
      <w:r>
        <w:rPr>
          <w:spacing w:val="-3"/>
        </w:rPr>
        <w:t>（三）支付情况</w:t>
      </w:r>
      <w:r>
        <w:rPr>
          <w:spacing w:val="-68"/>
        </w:rPr>
        <w:t> </w:t>
      </w:r>
      <w:r>
        <w:rPr>
          <w:spacing w:val="-68"/>
        </w:rPr>
      </w:r>
      <w:r>
        <w:rPr>
          <w:spacing w:val="-3"/>
        </w:rPr>
        <w:t>公司董事、监事和高级管理人员报酬依据绩效考核指标完成情况支付。</w:t>
      </w:r>
      <w:r>
        <w:rPr>
          <w:spacing w:val="2"/>
        </w:rPr>
        <w:t> </w:t>
      </w:r>
      <w:r>
        <w:rPr>
          <w:spacing w:val="2"/>
        </w:rPr>
      </w:r>
      <w:r>
        <w:rPr>
          <w:spacing w:val="-3"/>
        </w:rPr>
        <w:t>公司报告期内董事、监事和高级管理人员报酬情况</w:t>
      </w:r>
    </w:p>
    <w:p>
      <w:pPr>
        <w:pStyle w:val="BodyText"/>
        <w:spacing w:line="240" w:lineRule="auto" w:before="113"/>
        <w:ind w:left="0" w:right="1122"/>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441"/>
        <w:gridCol w:w="1589"/>
        <w:gridCol w:w="1148"/>
        <w:gridCol w:w="1368"/>
        <w:gridCol w:w="1364"/>
        <w:gridCol w:w="1369"/>
        <w:gridCol w:w="1369"/>
      </w:tblGrid>
      <w:tr>
        <w:trPr>
          <w:trHeight w:val="71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39" w:right="132"/>
              <w:jc w:val="left"/>
              <w:rPr>
                <w:rFonts w:ascii="宋体" w:hAnsi="宋体" w:cs="宋体" w:eastAsia="宋体" w:hint="default"/>
                <w:sz w:val="18"/>
                <w:szCs w:val="18"/>
              </w:rPr>
            </w:pPr>
            <w:r>
              <w:rPr>
                <w:rFonts w:ascii="宋体" w:hAnsi="宋体" w:cs="宋体" w:eastAsia="宋体" w:hint="default"/>
                <w:spacing w:val="-2"/>
                <w:sz w:val="18"/>
                <w:szCs w:val="18"/>
              </w:rPr>
              <w:t>从公司获得的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税前报酬总额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39" w:right="132"/>
              <w:jc w:val="left"/>
              <w:rPr>
                <w:rFonts w:ascii="宋体" w:hAnsi="宋体" w:cs="宋体" w:eastAsia="宋体" w:hint="default"/>
                <w:sz w:val="18"/>
                <w:szCs w:val="18"/>
              </w:rPr>
            </w:pPr>
            <w:r>
              <w:rPr>
                <w:rFonts w:ascii="宋体" w:hAnsi="宋体" w:cs="宋体" w:eastAsia="宋体" w:hint="default"/>
                <w:spacing w:val="-2"/>
                <w:sz w:val="18"/>
                <w:szCs w:val="18"/>
              </w:rPr>
              <w:t>是否在公司关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联方获取报酬</w:t>
            </w:r>
          </w:p>
        </w:tc>
      </w:tr>
      <w:tr>
        <w:trPr>
          <w:trHeight w:val="398"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129.6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105.6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JIE</w:t>
            </w:r>
            <w:r>
              <w:rPr>
                <w:rFonts w:ascii="Times New Roman"/>
                <w:spacing w:val="11"/>
                <w:sz w:val="18"/>
              </w:rPr>
              <w:t> </w:t>
            </w:r>
            <w:r>
              <w:rPr>
                <w:rFonts w:ascii="Times New Roman"/>
                <w:spacing w:val="-3"/>
                <w:sz w:val="18"/>
              </w:rPr>
              <w:t>ZHAO</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61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215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92.4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67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20.4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63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z w:val="18"/>
              </w:rPr>
              <w:t>20.4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蒋必金</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57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20.4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56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4.81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10.8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吴一彬</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z w:val="18"/>
              </w:rPr>
              <w:t>15.6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谷莉</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21.4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梁京</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104.5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肖瑗</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92.4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z w:val="18"/>
              </w:rPr>
              <w:t>92.4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HAIBIN</w:t>
            </w:r>
            <w:r>
              <w:rPr>
                <w:rFonts w:ascii="Times New Roman"/>
                <w:spacing w:val="12"/>
                <w:sz w:val="18"/>
              </w:rPr>
              <w:t> </w:t>
            </w:r>
            <w:r>
              <w:rPr>
                <w:rFonts w:ascii="Times New Roman"/>
                <w:sz w:val="18"/>
              </w:rPr>
              <w:t>CHEN</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46.2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1" w:hRule="exact"/>
        </w:trPr>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1"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1,105.91</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619"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0" w:footer="1022" w:top="1120" w:bottom="1220" w:left="94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before="46"/>
        <w:ind w:left="493" w:right="714"/>
        <w:jc w:val="left"/>
      </w:pPr>
      <w:r>
        <w:rPr>
          <w:spacing w:val="-3"/>
        </w:rPr>
        <w:t>公司董事、高级管理人员报告期内被授予的股权激励情况</w:t>
      </w:r>
    </w:p>
    <w:p>
      <w:pPr>
        <w:spacing w:line="240" w:lineRule="auto" w:before="12"/>
        <w:rPr>
          <w:rFonts w:ascii="宋体" w:hAnsi="宋体" w:cs="宋体" w:eastAsia="宋体" w:hint="default"/>
          <w:sz w:val="17"/>
          <w:szCs w:val="17"/>
        </w:rPr>
      </w:pPr>
    </w:p>
    <w:p>
      <w:pPr>
        <w:pStyle w:val="BodyText"/>
        <w:spacing w:line="240" w:lineRule="auto"/>
        <w:ind w:left="493" w:right="721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
        <w:rPr>
          <w:rFonts w:ascii="宋体" w:hAnsi="宋体" w:cs="宋体" w:eastAsia="宋体" w:hint="default"/>
          <w:sz w:val="10"/>
          <w:szCs w:val="10"/>
        </w:rPr>
      </w:pPr>
    </w:p>
    <w:p>
      <w:pPr>
        <w:pStyle w:val="BodyText"/>
        <w:spacing w:line="240" w:lineRule="auto" w:before="46"/>
        <w:ind w:left="0" w:right="1122"/>
        <w:jc w:val="right"/>
      </w:pPr>
      <w:r>
        <w:rPr>
          <w:spacing w:val="-2"/>
        </w:rPr>
        <w:t>单位：股</w:t>
      </w:r>
    </w:p>
    <w:p>
      <w:pPr>
        <w:spacing w:line="240" w:lineRule="auto" w:before="13"/>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123"/>
        <w:gridCol w:w="946"/>
        <w:gridCol w:w="826"/>
        <w:gridCol w:w="841"/>
        <w:gridCol w:w="1018"/>
        <w:gridCol w:w="797"/>
        <w:gridCol w:w="1095"/>
        <w:gridCol w:w="946"/>
        <w:gridCol w:w="869"/>
        <w:gridCol w:w="869"/>
        <w:gridCol w:w="1081"/>
      </w:tblGrid>
      <w:tr>
        <w:trPr>
          <w:trHeight w:val="1652"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39" w:right="132"/>
              <w:jc w:val="both"/>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内可行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权股数</w:t>
            </w:r>
          </w:p>
        </w:tc>
        <w:tc>
          <w:tcPr>
            <w:tcW w:w="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43" w:right="142"/>
              <w:jc w:val="both"/>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内已行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权股数</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00" w:right="12" w:firstLine="38"/>
              <w:jc w:val="left"/>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w w:val="101"/>
                <w:sz w:val="18"/>
                <w:szCs w:val="18"/>
              </w:rPr>
              <w:t> </w:t>
            </w:r>
            <w:r>
              <w:rPr>
                <w:rFonts w:ascii="宋体" w:hAnsi="宋体" w:cs="宋体" w:eastAsia="宋体" w:hint="default"/>
                <w:sz w:val="18"/>
                <w:szCs w:val="18"/>
              </w:rPr>
              <w:t>已行权股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数行权价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格（元</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124" w:right="118"/>
              <w:jc w:val="left"/>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末市价</w:t>
            </w:r>
          </w:p>
          <w:p>
            <w:pPr>
              <w:pStyle w:val="TableParagraph"/>
              <w:spacing w:line="304" w:lineRule="auto" w:before="22"/>
              <w:ind w:left="216" w:right="182" w:hanging="24"/>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股）</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82" w:right="175"/>
              <w:jc w:val="both"/>
              <w:rPr>
                <w:rFonts w:ascii="宋体" w:hAnsi="宋体" w:cs="宋体" w:eastAsia="宋体" w:hint="default"/>
                <w:sz w:val="18"/>
                <w:szCs w:val="18"/>
              </w:rPr>
            </w:pPr>
            <w:r>
              <w:rPr>
                <w:rFonts w:ascii="宋体" w:hAnsi="宋体" w:cs="宋体" w:eastAsia="宋体" w:hint="default"/>
                <w:sz w:val="18"/>
                <w:szCs w:val="18"/>
              </w:rPr>
              <w:t>期初持有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限制性股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票数量</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10" w:right="99"/>
              <w:jc w:val="center"/>
              <w:rPr>
                <w:rFonts w:ascii="宋体" w:hAnsi="宋体" w:cs="宋体" w:eastAsia="宋体" w:hint="default"/>
                <w:sz w:val="18"/>
                <w:szCs w:val="18"/>
              </w:rPr>
            </w:pPr>
            <w:r>
              <w:rPr>
                <w:rFonts w:ascii="宋体" w:hAnsi="宋体" w:cs="宋体" w:eastAsia="宋体" w:hint="default"/>
                <w:spacing w:val="-2"/>
                <w:sz w:val="18"/>
                <w:szCs w:val="18"/>
              </w:rPr>
              <w:t>本期已解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锁股份数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3" w:right="151"/>
              <w:jc w:val="center"/>
              <w:rPr>
                <w:rFonts w:ascii="宋体" w:hAnsi="宋体" w:cs="宋体" w:eastAsia="宋体" w:hint="default"/>
                <w:sz w:val="18"/>
                <w:szCs w:val="18"/>
              </w:rPr>
            </w:pPr>
            <w:r>
              <w:rPr>
                <w:rFonts w:ascii="宋体" w:hAnsi="宋体" w:cs="宋体" w:eastAsia="宋体" w:hint="default"/>
                <w:spacing w:val="-2"/>
                <w:sz w:val="18"/>
                <w:szCs w:val="18"/>
              </w:rPr>
              <w:t>报告期</w:t>
            </w:r>
            <w:r>
              <w:rPr>
                <w:rFonts w:ascii="宋体" w:hAnsi="宋体" w:cs="宋体" w:eastAsia="宋体" w:hint="default"/>
                <w:w w:val="101"/>
                <w:sz w:val="18"/>
                <w:szCs w:val="18"/>
              </w:rPr>
              <w:t> </w:t>
            </w:r>
            <w:r>
              <w:rPr>
                <w:rFonts w:ascii="宋体" w:hAnsi="宋体" w:cs="宋体" w:eastAsia="宋体" w:hint="default"/>
                <w:spacing w:val="-2"/>
                <w:sz w:val="18"/>
                <w:szCs w:val="18"/>
              </w:rPr>
              <w:t>新授予</w:t>
            </w:r>
            <w:r>
              <w:rPr>
                <w:rFonts w:ascii="宋体" w:hAnsi="宋体" w:cs="宋体" w:eastAsia="宋体" w:hint="default"/>
                <w:w w:val="101"/>
                <w:sz w:val="18"/>
                <w:szCs w:val="18"/>
              </w:rPr>
              <w:t> </w:t>
            </w:r>
            <w:r>
              <w:rPr>
                <w:rFonts w:ascii="宋体" w:hAnsi="宋体" w:cs="宋体" w:eastAsia="宋体" w:hint="default"/>
                <w:spacing w:val="-2"/>
                <w:sz w:val="18"/>
                <w:szCs w:val="18"/>
              </w:rPr>
              <w:t>限制性</w:t>
            </w:r>
            <w:r>
              <w:rPr>
                <w:rFonts w:ascii="宋体" w:hAnsi="宋体" w:cs="宋体" w:eastAsia="宋体" w:hint="default"/>
                <w:w w:val="101"/>
                <w:sz w:val="18"/>
                <w:szCs w:val="18"/>
              </w:rPr>
              <w:t> </w:t>
            </w:r>
            <w:r>
              <w:rPr>
                <w:rFonts w:ascii="宋体" w:hAnsi="宋体" w:cs="宋体" w:eastAsia="宋体" w:hint="default"/>
                <w:spacing w:val="-2"/>
                <w:sz w:val="18"/>
                <w:szCs w:val="18"/>
              </w:rPr>
              <w:t>股票数</w:t>
            </w:r>
            <w:r>
              <w:rPr>
                <w:rFonts w:ascii="宋体" w:hAnsi="宋体" w:cs="宋体" w:eastAsia="宋体" w:hint="default"/>
                <w:w w:val="101"/>
                <w:sz w:val="18"/>
                <w:szCs w:val="18"/>
              </w:rPr>
              <w:t> </w:t>
            </w:r>
            <w:r>
              <w:rPr>
                <w:rFonts w:ascii="宋体" w:hAnsi="宋体" w:cs="宋体" w:eastAsia="宋体" w:hint="default"/>
                <w:sz w:val="18"/>
                <w:szCs w:val="18"/>
              </w:rPr>
              <w:t>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34" w:right="129" w:firstLine="28"/>
              <w:jc w:val="both"/>
              <w:rPr>
                <w:rFonts w:ascii="宋体" w:hAnsi="宋体" w:cs="宋体" w:eastAsia="宋体" w:hint="default"/>
                <w:sz w:val="18"/>
                <w:szCs w:val="18"/>
              </w:rPr>
            </w:pPr>
            <w:r>
              <w:rPr>
                <w:rFonts w:ascii="宋体" w:hAnsi="宋体" w:cs="宋体" w:eastAsia="宋体" w:hint="default"/>
                <w:sz w:val="18"/>
                <w:szCs w:val="18"/>
              </w:rPr>
              <w:t>限制性</w:t>
            </w:r>
            <w:r>
              <w:rPr>
                <w:rFonts w:ascii="宋体" w:hAnsi="宋体" w:cs="宋体" w:eastAsia="宋体" w:hint="default"/>
                <w:w w:val="101"/>
                <w:sz w:val="18"/>
                <w:szCs w:val="18"/>
              </w:rPr>
              <w:t> </w:t>
            </w:r>
            <w:r>
              <w:rPr>
                <w:rFonts w:ascii="宋体" w:hAnsi="宋体" w:cs="宋体" w:eastAsia="宋体" w:hint="default"/>
                <w:sz w:val="18"/>
                <w:szCs w:val="18"/>
              </w:rPr>
              <w:t>股票的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授予价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77" w:right="166"/>
              <w:jc w:val="both"/>
              <w:rPr>
                <w:rFonts w:ascii="宋体" w:hAnsi="宋体" w:cs="宋体" w:eastAsia="宋体" w:hint="default"/>
                <w:sz w:val="18"/>
                <w:szCs w:val="18"/>
              </w:rPr>
            </w:pPr>
            <w:r>
              <w:rPr>
                <w:rFonts w:ascii="宋体" w:hAnsi="宋体" w:cs="宋体" w:eastAsia="宋体" w:hint="default"/>
                <w:sz w:val="18"/>
                <w:szCs w:val="18"/>
              </w:rPr>
              <w:t>期末持有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限制性股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票数量</w:t>
            </w:r>
          </w:p>
        </w:tc>
      </w:tr>
      <w:tr>
        <w:trPr>
          <w:trHeight w:val="403"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2,040,000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1,700,000</w:t>
            </w:r>
          </w:p>
        </w:tc>
      </w:tr>
      <w:tr>
        <w:trPr>
          <w:trHeight w:val="710"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李玉杰</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6" w:right="103"/>
              <w:jc w:val="left"/>
              <w:rPr>
                <w:rFonts w:ascii="宋体" w:hAnsi="宋体" w:cs="宋体" w:eastAsia="宋体" w:hint="default"/>
                <w:sz w:val="18"/>
                <w:szCs w:val="18"/>
              </w:rPr>
            </w:pPr>
            <w:r>
              <w:rPr>
                <w:rFonts w:ascii="宋体" w:hAnsi="宋体" w:cs="宋体" w:eastAsia="宋体" w:hint="default"/>
                <w:sz w:val="18"/>
                <w:szCs w:val="18"/>
              </w:rPr>
              <w:t>董事、副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总裁</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3,060,000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510,000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2,550,000</w:t>
            </w:r>
          </w:p>
        </w:tc>
      </w:tr>
      <w:tr>
        <w:trPr>
          <w:trHeight w:val="716"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pacing w:val="-3"/>
                <w:sz w:val="18"/>
              </w:rPr>
              <w:t>JIE</w:t>
            </w:r>
            <w:r>
              <w:rPr>
                <w:rFonts w:ascii="Times New Roman"/>
                <w:spacing w:val="11"/>
                <w:sz w:val="18"/>
              </w:rPr>
              <w:t> </w:t>
            </w:r>
            <w:r>
              <w:rPr>
                <w:rFonts w:ascii="Times New Roman"/>
                <w:spacing w:val="-3"/>
                <w:sz w:val="18"/>
              </w:rPr>
              <w:t>ZHAO</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6" w:right="103"/>
              <w:jc w:val="left"/>
              <w:rPr>
                <w:rFonts w:ascii="宋体" w:hAnsi="宋体" w:cs="宋体" w:eastAsia="宋体" w:hint="default"/>
                <w:sz w:val="18"/>
                <w:szCs w:val="18"/>
              </w:rPr>
            </w:pPr>
            <w:r>
              <w:rPr>
                <w:rFonts w:ascii="宋体" w:hAnsi="宋体" w:cs="宋体" w:eastAsia="宋体" w:hint="default"/>
                <w:sz w:val="18"/>
                <w:szCs w:val="18"/>
              </w:rPr>
              <w:t>董事、副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总裁</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2,720,000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510,000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2,210,000</w:t>
            </w:r>
          </w:p>
        </w:tc>
      </w:tr>
      <w:tr>
        <w:trPr>
          <w:trHeight w:val="403"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梁京</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2,550,000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2,125,000</w:t>
            </w:r>
          </w:p>
        </w:tc>
      </w:tr>
      <w:tr>
        <w:trPr>
          <w:trHeight w:val="403"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肖瑗</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2,380,000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2,040,000</w:t>
            </w:r>
          </w:p>
        </w:tc>
      </w:tr>
      <w:tr>
        <w:trPr>
          <w:trHeight w:val="399"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2,550,000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2,125,000</w:t>
            </w:r>
          </w:p>
        </w:tc>
      </w:tr>
      <w:tr>
        <w:trPr>
          <w:trHeight w:val="715"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李光千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6" w:right="103"/>
              <w:jc w:val="left"/>
              <w:rPr>
                <w:rFonts w:ascii="宋体" w:hAnsi="宋体" w:cs="宋体" w:eastAsia="宋体" w:hint="default"/>
                <w:sz w:val="18"/>
                <w:szCs w:val="18"/>
              </w:rPr>
            </w:pPr>
            <w:r>
              <w:rPr>
                <w:rFonts w:ascii="宋体" w:hAnsi="宋体" w:cs="宋体" w:eastAsia="宋体" w:hint="default"/>
                <w:sz w:val="18"/>
                <w:szCs w:val="18"/>
              </w:rPr>
              <w:t>财务负责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1,020,000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170,000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850,000</w:t>
            </w:r>
          </w:p>
        </w:tc>
      </w:tr>
      <w:tr>
        <w:trPr>
          <w:trHeight w:val="715"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6" w:right="103"/>
              <w:jc w:val="left"/>
              <w:rPr>
                <w:rFonts w:ascii="宋体" w:hAnsi="宋体" w:cs="宋体" w:eastAsia="宋体" w:hint="default"/>
                <w:sz w:val="18"/>
                <w:szCs w:val="18"/>
              </w:rPr>
            </w:pPr>
            <w:r>
              <w:rPr>
                <w:rFonts w:ascii="宋体" w:hAnsi="宋体" w:cs="宋体" w:eastAsia="宋体" w:hint="default"/>
                <w:sz w:val="18"/>
                <w:szCs w:val="18"/>
              </w:rPr>
              <w:t>董事会秘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1,020,000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170,000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850,000</w:t>
            </w:r>
          </w:p>
        </w:tc>
      </w:tr>
      <w:tr>
        <w:trPr>
          <w:trHeight w:val="404"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17,340,000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2,890,000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14,450,000</w:t>
            </w:r>
          </w:p>
        </w:tc>
      </w:tr>
      <w:tr>
        <w:trPr>
          <w:trHeight w:val="1022" w:hRule="exact"/>
        </w:trPr>
        <w:tc>
          <w:tcPr>
            <w:tcW w:w="2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834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日实施</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年度权益分派资本公积转增股本（每</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股），期初持有限制性</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股票数量为转增调整后数量，</w:t>
            </w:r>
            <w:r>
              <w:rPr>
                <w:rFonts w:ascii="Times New Roman" w:hAnsi="Times New Roman" w:cs="Times New Roman" w:eastAsia="Times New Roman" w:hint="default"/>
                <w:sz w:val="18"/>
                <w:szCs w:val="18"/>
              </w:rPr>
              <w:t>2017 </w:t>
            </w:r>
            <w:r>
              <w:rPr>
                <w:rFonts w:ascii="宋体" w:hAnsi="宋体" w:cs="宋体" w:eastAsia="宋体" w:hint="default"/>
                <w:spacing w:val="-3"/>
                <w:sz w:val="18"/>
                <w:szCs w:val="18"/>
              </w:rPr>
              <w:t>年限制性股票激励计划第一个解除限售期解除限售股份于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5</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日上市流通，报告期内未授予新的限制性股票。</w:t>
            </w:r>
          </w:p>
        </w:tc>
      </w:tr>
    </w:tbl>
    <w:p>
      <w:pPr>
        <w:spacing w:after="0" w:line="240" w:lineRule="auto"/>
        <w:jc w:val="left"/>
        <w:rPr>
          <w:rFonts w:ascii="宋体" w:hAnsi="宋体" w:cs="宋体" w:eastAsia="宋体" w:hint="default"/>
          <w:sz w:val="18"/>
          <w:szCs w:val="18"/>
        </w:rPr>
        <w:sectPr>
          <w:pgSz w:w="11910" w:h="16840"/>
          <w:pgMar w:header="0" w:footer="1022" w:top="1120" w:bottom="1220" w:left="640" w:right="0"/>
        </w:sectPr>
      </w:pPr>
    </w:p>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五、公司员工情况" w:id="128"/>
      <w:bookmarkEnd w:id="128"/>
      <w:r>
        <w:rPr>
          <w:b w:val="0"/>
          <w:bCs w:val="0"/>
        </w:rPr>
      </w:r>
      <w:r>
        <w:rPr/>
        <w:t>五、公司员工情况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left="153" w:right="0"/>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65</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974</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1,060</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1,122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4"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z w:val="18"/>
              </w:rPr>
              <w:t>339</w:t>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595</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37</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89</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1,060</w:t>
            </w:r>
          </w:p>
        </w:tc>
      </w:tr>
      <w:tr>
        <w:trPr>
          <w:trHeight w:val="394"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硕士研究生及以上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107</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597</w:t>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269</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87</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1,060</w:t>
            </w:r>
          </w:p>
        </w:tc>
      </w:tr>
    </w:tbl>
    <w:p>
      <w:pPr>
        <w:spacing w:line="240" w:lineRule="auto" w:before="3"/>
        <w:rPr>
          <w:rFonts w:ascii="宋体" w:hAnsi="宋体" w:cs="宋体" w:eastAsia="宋体" w:hint="default"/>
          <w:b/>
          <w:bCs/>
          <w:sz w:val="19"/>
          <w:szCs w:val="19"/>
        </w:rPr>
      </w:pPr>
    </w:p>
    <w:p>
      <w:pPr>
        <w:pStyle w:val="Heading4"/>
        <w:spacing w:line="240" w:lineRule="auto" w:before="36"/>
        <w:ind w:left="153" w:right="0"/>
        <w:jc w:val="both"/>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153" w:right="1123"/>
        <w:jc w:val="both"/>
      </w:pPr>
      <w:r>
        <w:rPr>
          <w:spacing w:val="-4"/>
        </w:rPr>
        <w:t>公司及控股子公司实行劳动合同制，与员工签订《劳动合同》，员工按照与公司签订的劳动合同承担义务和享受权利。公司</w:t>
      </w:r>
      <w:r>
        <w:rPr>
          <w:spacing w:val="40"/>
        </w:rPr>
        <w:t> </w:t>
      </w:r>
      <w:r>
        <w:rPr>
          <w:spacing w:val="40"/>
        </w:rPr>
      </w:r>
      <w:r>
        <w:rPr>
          <w:spacing w:val="-4"/>
        </w:rPr>
        <w:t>根据相关法律、法规之规定执行劳动保护制度、社会保障制度，公司员工参加基本养老保险、基本医疗保险、失业保险、生</w:t>
      </w:r>
      <w:r>
        <w:rPr>
          <w:spacing w:val="40"/>
        </w:rPr>
        <w:t> </w:t>
      </w:r>
      <w:r>
        <w:rPr>
          <w:spacing w:val="40"/>
        </w:rPr>
      </w:r>
      <w:r>
        <w:rPr>
          <w:spacing w:val="-3"/>
        </w:rPr>
        <w:t>育保险、工伤保险等各类社会保险。</w:t>
      </w:r>
    </w:p>
    <w:p>
      <w:pPr>
        <w:spacing w:line="240" w:lineRule="auto" w:before="8"/>
        <w:rPr>
          <w:rFonts w:ascii="宋体" w:hAnsi="宋体" w:cs="宋体" w:eastAsia="宋体" w:hint="default"/>
          <w:sz w:val="22"/>
          <w:szCs w:val="22"/>
        </w:rPr>
      </w:pPr>
    </w:p>
    <w:p>
      <w:pPr>
        <w:pStyle w:val="Heading4"/>
        <w:spacing w:line="240" w:lineRule="auto"/>
        <w:ind w:left="153" w:right="0"/>
        <w:jc w:val="both"/>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153" w:right="1124"/>
        <w:jc w:val="both"/>
      </w:pPr>
      <w:r>
        <w:rPr>
          <w:spacing w:val="-4"/>
        </w:rPr>
        <w:t>公司建立了员工培训机制，并根据生产经营的需要、员工业务、管理素质提升的需求等，采取内部培训与外派培训相结合的</w:t>
      </w:r>
      <w:r>
        <w:rPr>
          <w:spacing w:val="40"/>
        </w:rPr>
        <w:t> </w:t>
      </w:r>
      <w:r>
        <w:rPr>
          <w:spacing w:val="40"/>
        </w:rPr>
      </w:r>
      <w:r>
        <w:rPr>
          <w:spacing w:val="-3"/>
        </w:rPr>
        <w:t>方式，制定培训计划，提升团队素质，以保证既定经营目标的实现以及企业、员工的双向可持续发展。</w:t>
      </w:r>
    </w:p>
    <w:p>
      <w:pPr>
        <w:spacing w:line="240" w:lineRule="auto" w:before="8"/>
        <w:rPr>
          <w:rFonts w:ascii="宋体" w:hAnsi="宋体" w:cs="宋体" w:eastAsia="宋体" w:hint="default"/>
          <w:sz w:val="22"/>
          <w:szCs w:val="22"/>
        </w:rPr>
      </w:pPr>
    </w:p>
    <w:p>
      <w:pPr>
        <w:pStyle w:val="Heading4"/>
        <w:spacing w:line="240" w:lineRule="auto"/>
        <w:ind w:left="153" w:right="0"/>
        <w:jc w:val="both"/>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153"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both"/>
        <w:sectPr>
          <w:pgSz w:w="11910" w:h="16840"/>
          <w:pgMar w:header="0" w:footer="1022" w:top="112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spacing w:line="240" w:lineRule="auto"/>
        <w:ind w:right="3571"/>
        <w:jc w:val="center"/>
        <w:rPr>
          <w:b w:val="0"/>
          <w:bCs w:val="0"/>
        </w:rPr>
      </w:pPr>
      <w:bookmarkStart w:name="第十节公司治理" w:id="133"/>
      <w:bookmarkEnd w:id="133"/>
      <w:r>
        <w:rPr>
          <w:b w:val="0"/>
          <w:bCs w:val="0"/>
        </w:rPr>
      </w:r>
      <w:bookmarkStart w:name="_bookmark9" w:id="134"/>
      <w:bookmarkEnd w:id="134"/>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left="153" w:right="1123" w:firstLine="355"/>
        <w:jc w:val="both"/>
      </w:pPr>
      <w:r>
        <w:rPr>
          <w:spacing w:val="-5"/>
        </w:rPr>
        <w:t>报告期内，公司严格按照《公司法》、《证券法》、《上市公司治理准则》、《深圳证券交易所股票上市规则》、《上</w:t>
      </w:r>
      <w:r>
        <w:rPr>
          <w:w w:val="101"/>
        </w:rPr>
        <w:t> </w:t>
      </w:r>
      <w:r>
        <w:rPr>
          <w:spacing w:val="-4"/>
        </w:rPr>
        <w:t>市公司规范运作指引》及其他相关法律、法规的要求，不断完善公司治理结构，建立健全内部管理和控制制度，不断加强信</w:t>
      </w:r>
      <w:r>
        <w:rPr>
          <w:spacing w:val="40"/>
        </w:rPr>
        <w:t> </w:t>
      </w:r>
      <w:r>
        <w:rPr>
          <w:spacing w:val="40"/>
        </w:rPr>
      </w:r>
      <w:r>
        <w:rPr>
          <w:spacing w:val="-4"/>
        </w:rPr>
        <w:t>息披露工作，积极开展投资者关系管理工作，进一步规范公司运作，提高公司治理水平。截至报告期末，公司治理实际情况</w:t>
      </w:r>
      <w:r>
        <w:rPr>
          <w:spacing w:val="40"/>
        </w:rPr>
        <w:t> </w:t>
      </w:r>
      <w:r>
        <w:rPr>
          <w:spacing w:val="40"/>
        </w:rPr>
      </w:r>
      <w:r>
        <w:rPr>
          <w:spacing w:val="-3"/>
        </w:rPr>
        <w:t>基本符合中国证监会、深圳证券交易所有关上市公司治理的规范性文件要求。</w:t>
      </w:r>
    </w:p>
    <w:p>
      <w:pPr>
        <w:pStyle w:val="BodyText"/>
        <w:spacing w:line="240" w:lineRule="auto" w:before="60"/>
        <w:ind w:left="153" w:right="0"/>
        <w:jc w:val="left"/>
      </w:pPr>
      <w:r>
        <w:rPr>
          <w:spacing w:val="-3"/>
        </w:rPr>
        <w:t>公司已建立的各项制度的名称和公开信息披露情况：</w:t>
      </w:r>
    </w:p>
    <w:p>
      <w:pPr>
        <w:spacing w:line="240" w:lineRule="auto" w:before="8"/>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6036"/>
        <w:gridCol w:w="2069"/>
        <w:gridCol w:w="1335"/>
      </w:tblGrid>
      <w:tr>
        <w:trPr>
          <w:trHeight w:val="350"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公司已建立的制度</w:t>
            </w:r>
            <w:r>
              <w:rPr>
                <w:rFonts w:ascii="宋体" w:hAnsi="宋体" w:cs="宋体" w:eastAsia="宋体" w:hint="default"/>
                <w:sz w:val="18"/>
                <w:szCs w:val="18"/>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67" w:right="0"/>
              <w:jc w:val="left"/>
              <w:rPr>
                <w:rFonts w:ascii="宋体" w:hAnsi="宋体" w:cs="宋体" w:eastAsia="宋体" w:hint="default"/>
                <w:sz w:val="18"/>
                <w:szCs w:val="18"/>
              </w:rPr>
            </w:pPr>
            <w:r>
              <w:rPr>
                <w:rFonts w:ascii="宋体" w:hAnsi="宋体" w:cs="宋体" w:eastAsia="宋体" w:hint="default"/>
                <w:b/>
                <w:bCs/>
                <w:sz w:val="18"/>
                <w:szCs w:val="18"/>
              </w:rPr>
              <w:t>披露时间</w:t>
            </w:r>
            <w:r>
              <w:rPr>
                <w:rFonts w:ascii="宋体" w:hAnsi="宋体" w:cs="宋体" w:eastAsia="宋体" w:hint="default"/>
                <w:sz w:val="18"/>
                <w:szCs w:val="18"/>
              </w:rPr>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信息披露媒体</w:t>
            </w:r>
            <w:r>
              <w:rPr>
                <w:rFonts w:ascii="宋体" w:hAnsi="宋体" w:cs="宋体" w:eastAsia="宋体" w:hint="default"/>
                <w:sz w:val="18"/>
                <w:szCs w:val="18"/>
              </w:rPr>
            </w:r>
          </w:p>
        </w:tc>
      </w:tr>
      <w:tr>
        <w:trPr>
          <w:trHeight w:val="346"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董事会议事规则（</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宋体" w:hAnsi="宋体" w:cs="宋体" w:eastAsia="宋体" w:hint="default"/>
                <w:sz w:val="18"/>
                <w:szCs w:val="18"/>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3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29</w:t>
            </w:r>
            <w:r>
              <w:rPr>
                <w:rFonts w:ascii="宋体" w:hAnsi="宋体" w:cs="宋体" w:eastAsia="宋体" w:hint="default"/>
                <w:spacing w:val="-1"/>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股东大会议事规则（</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3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29</w:t>
            </w:r>
            <w:r>
              <w:rPr>
                <w:rFonts w:ascii="宋体" w:hAnsi="宋体" w:cs="宋体" w:eastAsia="宋体" w:hint="default"/>
                <w:spacing w:val="-1"/>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50"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监事会议事规则（</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宋体" w:hAnsi="宋体" w:cs="宋体" w:eastAsia="宋体" w:hint="default"/>
                <w:sz w:val="18"/>
                <w:szCs w:val="18"/>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3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29</w:t>
            </w:r>
            <w:r>
              <w:rPr>
                <w:rFonts w:ascii="宋体" w:hAnsi="宋体" w:cs="宋体" w:eastAsia="宋体" w:hint="default"/>
                <w:spacing w:val="-1"/>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募集资金管理办法</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3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14</w:t>
            </w:r>
            <w:r>
              <w:rPr>
                <w:rFonts w:ascii="宋体" w:hAnsi="宋体" w:cs="宋体" w:eastAsia="宋体" w:hint="default"/>
                <w:spacing w:val="-1"/>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关联交易管理制度（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3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29</w:t>
            </w:r>
            <w:r>
              <w:rPr>
                <w:rFonts w:ascii="宋体" w:hAnsi="宋体" w:cs="宋体" w:eastAsia="宋体" w:hint="default"/>
                <w:spacing w:val="-1"/>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51"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对外担保管理细则（</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3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29</w:t>
            </w:r>
            <w:r>
              <w:rPr>
                <w:rFonts w:ascii="宋体" w:hAnsi="宋体" w:cs="宋体" w:eastAsia="宋体" w:hint="default"/>
                <w:spacing w:val="-1"/>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独立董事制度（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3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29</w:t>
            </w:r>
            <w:r>
              <w:rPr>
                <w:rFonts w:ascii="宋体" w:hAnsi="宋体" w:cs="宋体" w:eastAsia="宋体" w:hint="default"/>
                <w:spacing w:val="-1"/>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董事会秘书工作细则（</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39"/>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29</w:t>
            </w:r>
            <w:r>
              <w:rPr>
                <w:rFonts w:ascii="宋体" w:hAnsi="宋体" w:cs="宋体" w:eastAsia="宋体" w:hint="default"/>
                <w:spacing w:val="-2"/>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与投资者关系管理制度（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3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28</w:t>
            </w:r>
            <w:r>
              <w:rPr>
                <w:rFonts w:ascii="宋体" w:hAnsi="宋体" w:cs="宋体" w:eastAsia="宋体" w:hint="default"/>
                <w:spacing w:val="-1"/>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50"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信息披露事务管理制度（</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宋体" w:hAnsi="宋体" w:cs="宋体" w:eastAsia="宋体" w:hint="default"/>
                <w:sz w:val="18"/>
                <w:szCs w:val="18"/>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39"/>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29</w:t>
            </w:r>
            <w:r>
              <w:rPr>
                <w:rFonts w:ascii="宋体" w:hAnsi="宋体" w:cs="宋体" w:eastAsia="宋体" w:hint="default"/>
                <w:spacing w:val="-2"/>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总裁工作细则（</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宋体" w:hAnsi="宋体" w:cs="宋体" w:eastAsia="宋体" w:hint="default"/>
                <w:sz w:val="18"/>
                <w:szCs w:val="18"/>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39"/>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29</w:t>
            </w:r>
            <w:r>
              <w:rPr>
                <w:rFonts w:ascii="宋体" w:hAnsi="宋体" w:cs="宋体" w:eastAsia="宋体" w:hint="default"/>
                <w:spacing w:val="-2"/>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内部审计工作制度（</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宋体" w:hAnsi="宋体" w:cs="宋体" w:eastAsia="宋体" w:hint="default"/>
                <w:sz w:val="18"/>
                <w:szCs w:val="18"/>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39"/>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50"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董事会审计委员会议事规则（</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月）</w:t>
            </w:r>
            <w:r>
              <w:rPr>
                <w:rFonts w:ascii="宋体" w:hAnsi="宋体" w:cs="宋体" w:eastAsia="宋体" w:hint="default"/>
                <w:sz w:val="18"/>
                <w:szCs w:val="18"/>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39"/>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23</w:t>
            </w:r>
            <w:r>
              <w:rPr>
                <w:rFonts w:ascii="宋体" w:hAnsi="宋体" w:cs="宋体" w:eastAsia="宋体" w:hint="default"/>
                <w:spacing w:val="-2"/>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董事会薪酬与考核委员会议事规则（</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月）</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39"/>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23</w:t>
            </w:r>
            <w:r>
              <w:rPr>
                <w:rFonts w:ascii="宋体" w:hAnsi="宋体" w:cs="宋体" w:eastAsia="宋体" w:hint="default"/>
                <w:spacing w:val="-2"/>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内幕信息登记制度（</w:t>
            </w: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月）</w:t>
            </w:r>
            <w:r>
              <w:rPr>
                <w:rFonts w:ascii="宋体" w:hAnsi="宋体" w:cs="宋体" w:eastAsia="宋体" w:hint="default"/>
                <w:sz w:val="18"/>
                <w:szCs w:val="18"/>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91"/>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27</w:t>
            </w:r>
            <w:r>
              <w:rPr>
                <w:rFonts w:ascii="宋体" w:hAnsi="宋体" w:cs="宋体" w:eastAsia="宋体" w:hint="default"/>
                <w:spacing w:val="-2"/>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董事、监事和高级管理人员所持本公司股份及其变动管理制度（</w:t>
            </w: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月</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tabs>
                <w:tab w:pos="398" w:val="left" w:leader="none"/>
              </w:tabs>
              <w:spacing w:line="240" w:lineRule="auto" w:before="20"/>
              <w:ind w:left="-102" w:right="391"/>
              <w:jc w:val="right"/>
              <w:rPr>
                <w:rFonts w:ascii="宋体" w:hAnsi="宋体" w:cs="宋体" w:eastAsia="宋体"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27</w:t>
            </w:r>
            <w:r>
              <w:rPr>
                <w:rFonts w:ascii="宋体" w:hAnsi="宋体" w:cs="宋体" w:eastAsia="宋体" w:hint="default"/>
                <w:spacing w:val="-2"/>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50"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重大信息内部报告制度（</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宋体" w:hAnsi="宋体" w:cs="宋体" w:eastAsia="宋体" w:hint="default"/>
                <w:sz w:val="18"/>
                <w:szCs w:val="18"/>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39"/>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董事会审计委员会年报工作规程（</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宋体" w:hAnsi="宋体" w:cs="宋体" w:eastAsia="宋体" w:hint="default"/>
                <w:sz w:val="18"/>
                <w:szCs w:val="18"/>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39"/>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独立董事年报工作制度（</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宋体" w:hAnsi="宋体" w:cs="宋体" w:eastAsia="宋体" w:hint="default"/>
                <w:sz w:val="18"/>
                <w:szCs w:val="18"/>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39"/>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51"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对外投资管理制度（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3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29</w:t>
            </w:r>
            <w:r>
              <w:rPr>
                <w:rFonts w:ascii="宋体" w:hAnsi="宋体" w:cs="宋体" w:eastAsia="宋体" w:hint="default"/>
                <w:spacing w:val="-1"/>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规范与关联方资金往来管理制度（</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宋体" w:hAnsi="宋体" w:cs="宋体" w:eastAsia="宋体" w:hint="default"/>
                <w:sz w:val="18"/>
                <w:szCs w:val="18"/>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39"/>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理财产品管理制度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3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28</w:t>
            </w:r>
            <w:r>
              <w:rPr>
                <w:rFonts w:ascii="宋体" w:hAnsi="宋体" w:cs="宋体" w:eastAsia="宋体" w:hint="default"/>
                <w:spacing w:val="-1"/>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50" w:hRule="exact"/>
        </w:trPr>
        <w:tc>
          <w:tcPr>
            <w:tcW w:w="6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年报信息披露重大差错责任追究制度（</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宋体" w:hAnsi="宋体" w:cs="宋体" w:eastAsia="宋体" w:hint="default"/>
                <w:sz w:val="18"/>
                <w:szCs w:val="18"/>
              </w:rPr>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39"/>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5"/>
        <w:rPr>
          <w:rFonts w:ascii="宋体" w:hAnsi="宋体" w:cs="宋体" w:eastAsia="宋体" w:hint="default"/>
          <w:sz w:val="27"/>
          <w:szCs w:val="27"/>
        </w:rPr>
      </w:pPr>
    </w:p>
    <w:p>
      <w:pPr>
        <w:pStyle w:val="BodyText"/>
        <w:spacing w:line="240" w:lineRule="auto" w:before="46"/>
        <w:ind w:left="153" w:right="0"/>
        <w:jc w:val="left"/>
      </w:pPr>
      <w:r>
        <w:rPr>
          <w:spacing w:val="-3"/>
        </w:rPr>
        <w:t>公司治理的实际状况与中国证监会发布的有关上市公司治理的规范性文件是否存在重大差异</w:t>
      </w:r>
    </w:p>
    <w:p>
      <w:pPr>
        <w:pStyle w:val="BodyText"/>
        <w:spacing w:line="338" w:lineRule="auto" w:before="119"/>
        <w:ind w:left="153" w:right="2924"/>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公司治理的实际状况与中国证监会发布的有关上市公司治理的规范性文件不存在重大差异。</w:t>
      </w:r>
    </w:p>
    <w:p>
      <w:pPr>
        <w:spacing w:after="0" w:line="338" w:lineRule="auto"/>
        <w:jc w:val="left"/>
        <w:sectPr>
          <w:pgSz w:w="11910" w:h="16840"/>
          <w:pgMar w:header="0" w:footer="1022" w:top="1120" w:bottom="1220" w:left="980" w:right="0"/>
        </w:sectPr>
      </w:pPr>
    </w:p>
    <w:p>
      <w:pPr>
        <w:spacing w:line="240" w:lineRule="auto" w:before="9"/>
        <w:rPr>
          <w:rFonts w:ascii="宋体" w:hAnsi="宋体" w:cs="宋体" w:eastAsia="宋体" w:hint="default"/>
          <w:sz w:val="17"/>
          <w:szCs w:val="17"/>
        </w:rPr>
      </w:pPr>
    </w:p>
    <w:p>
      <w:pPr>
        <w:pStyle w:val="Heading2"/>
        <w:spacing w:line="240" w:lineRule="auto" w:before="26"/>
        <w:ind w:left="393" w:right="858"/>
        <w:jc w:val="left"/>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left="393" w:right="858" w:firstLine="422"/>
        <w:jc w:val="left"/>
      </w:pPr>
      <w:r>
        <w:rPr>
          <w:spacing w:val="-3"/>
        </w:rPr>
        <w:t>公司控股股东为董事长李小龙先生，为公司实际控制人。公司在业务、人员、资产、机构、财务等方面与控股股东相</w:t>
      </w:r>
      <w:r>
        <w:rPr>
          <w:w w:val="101"/>
        </w:rPr>
        <w:t> </w:t>
      </w:r>
      <w:r>
        <w:rPr>
          <w:spacing w:val="-3"/>
        </w:rPr>
        <w:t>互独立，公司具有独立完整的业务及自主经营能力。</w:t>
      </w:r>
    </w:p>
    <w:p>
      <w:pPr>
        <w:pStyle w:val="BodyText"/>
        <w:spacing w:line="240" w:lineRule="auto" w:before="17"/>
        <w:ind w:left="815" w:right="858"/>
        <w:jc w:val="left"/>
      </w:pPr>
      <w:r>
        <w:rPr>
          <w:spacing w:val="-3"/>
        </w:rPr>
        <w:t>（一）业务：公司业务独立于控股股东，独立开展业务，不依赖于股东或其他任何关联方。</w:t>
      </w:r>
    </w:p>
    <w:p>
      <w:pPr>
        <w:pStyle w:val="BodyText"/>
        <w:spacing w:line="316" w:lineRule="auto" w:before="76"/>
        <w:ind w:left="393" w:right="858" w:firstLine="422"/>
        <w:jc w:val="left"/>
      </w:pPr>
      <w:r>
        <w:rPr>
          <w:spacing w:val="-3"/>
        </w:rPr>
        <w:t>（二）人员：公司劳动、人事及工资完全独立。公司总裁、副总裁、董事会秘书、财务总监等高级管理人员均在公司</w:t>
      </w:r>
      <w:r>
        <w:rPr>
          <w:w w:val="101"/>
        </w:rPr>
        <w:t> </w:t>
      </w:r>
      <w:r>
        <w:rPr/>
        <w:t>工作并领取薪酬。</w:t>
      </w:r>
    </w:p>
    <w:p>
      <w:pPr>
        <w:pStyle w:val="BodyText"/>
        <w:spacing w:line="316" w:lineRule="auto" w:before="19"/>
        <w:ind w:left="393" w:right="858" w:firstLine="422"/>
        <w:jc w:val="left"/>
      </w:pPr>
      <w:r>
        <w:rPr>
          <w:spacing w:val="-4"/>
        </w:rPr>
        <w:t>（三）资产：公司拥有独立于控股股东的经营场所，拥有独立完整的资产结构，拥有经营设备配套设施、土地使用权、</w:t>
      </w:r>
      <w:r>
        <w:rPr>
          <w:w w:val="101"/>
        </w:rPr>
        <w:t> </w:t>
      </w:r>
      <w:r>
        <w:rPr>
          <w:spacing w:val="-3"/>
        </w:rPr>
        <w:t>房屋所有权等资产。</w:t>
      </w:r>
    </w:p>
    <w:p>
      <w:pPr>
        <w:pStyle w:val="BodyText"/>
        <w:spacing w:line="240" w:lineRule="auto" w:before="19"/>
        <w:ind w:left="815" w:right="858"/>
        <w:jc w:val="left"/>
      </w:pPr>
      <w:r>
        <w:rPr>
          <w:spacing w:val="-3"/>
        </w:rPr>
        <w:t>（四）机构：公司设立了健全的组织机构体系，独立运作，不存在与控股股东或其他职能部门之间的从属关系。</w:t>
      </w:r>
    </w:p>
    <w:p>
      <w:pPr>
        <w:pStyle w:val="BodyText"/>
        <w:spacing w:line="316" w:lineRule="auto" w:before="119"/>
        <w:ind w:left="393" w:right="858" w:firstLine="422"/>
        <w:jc w:val="left"/>
      </w:pPr>
      <w:r>
        <w:rPr>
          <w:spacing w:val="-2"/>
        </w:rPr>
        <w:t>（五）财务：公司设有独立的财务会计部门，建立了独立的会计核算体系和财务管理制度，独立进行财务决策。公司</w:t>
      </w:r>
      <w:r>
        <w:rPr>
          <w:w w:val="101"/>
        </w:rPr>
        <w:t> </w:t>
      </w:r>
      <w:r>
        <w:rPr>
          <w:spacing w:val="-3"/>
        </w:rPr>
        <w:t>独立开设银行账户，独立纳税。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0"/>
        <w:ind w:left="393" w:right="858"/>
        <w:jc w:val="left"/>
        <w:rPr>
          <w:b w:val="0"/>
          <w:bCs w:val="0"/>
        </w:rPr>
      </w:pPr>
      <w:bookmarkStart w:name="三、同业竞争情况" w:id="137"/>
      <w:bookmarkEnd w:id="137"/>
      <w:r>
        <w:rPr>
          <w:b w:val="0"/>
          <w:bCs w:val="0"/>
        </w:rPr>
      </w:r>
      <w:r>
        <w:rPr/>
        <w:t>三、同业竞争情况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393" w:right="85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left="393" w:right="858"/>
        <w:jc w:val="left"/>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left="393" w:right="858"/>
        <w:jc w:val="left"/>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1949"/>
        <w:gridCol w:w="1354"/>
        <w:gridCol w:w="1052"/>
        <w:gridCol w:w="1680"/>
        <w:gridCol w:w="2051"/>
        <w:gridCol w:w="1940"/>
      </w:tblGrid>
      <w:tr>
        <w:trPr>
          <w:trHeight w:val="710"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9" w:right="156" w:hanging="92"/>
              <w:jc w:val="left"/>
              <w:rPr>
                <w:rFonts w:ascii="宋体" w:hAnsi="宋体" w:cs="宋体" w:eastAsia="宋体" w:hint="default"/>
                <w:sz w:val="18"/>
                <w:szCs w:val="18"/>
              </w:rPr>
            </w:pPr>
            <w:r>
              <w:rPr>
                <w:rFonts w:ascii="宋体" w:hAnsi="宋体" w:cs="宋体" w:eastAsia="宋体" w:hint="default"/>
                <w:sz w:val="18"/>
                <w:szCs w:val="18"/>
              </w:rPr>
              <w:t>投资者参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与比例</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5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0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6"/>
                <w:szCs w:val="16"/>
              </w:rPr>
            </w:pPr>
          </w:p>
          <w:p>
            <w:pPr>
              <w:pStyle w:val="TableParagraph"/>
              <w:spacing w:line="300" w:lineRule="auto"/>
              <w:ind w:left="105"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年第一次临时股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东大会</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46"/>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1"/>
              <w:ind w:left="105" w:right="17"/>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www.cninfo.com.cn)</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pacing w:val="-12"/>
                <w:sz w:val="18"/>
                <w:szCs w:val="18"/>
              </w:rPr>
            </w:r>
            <w:r>
              <w:rPr>
                <w:rFonts w:ascii="宋体" w:hAnsi="宋体" w:cs="宋体" w:eastAsia="宋体" w:hint="default"/>
                <w:sz w:val="18"/>
                <w:szCs w:val="18"/>
              </w:rPr>
              <w:t>上披露的《</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w:t>
            </w:r>
            <w:r>
              <w:rPr>
                <w:rFonts w:ascii="宋体" w:hAnsi="宋体" w:cs="宋体" w:eastAsia="宋体" w:hint="default"/>
                <w:spacing w:val="-86"/>
                <w:sz w:val="18"/>
                <w:szCs w:val="18"/>
              </w:rPr>
              <w:t> </w:t>
            </w:r>
            <w:r>
              <w:rPr>
                <w:rFonts w:ascii="宋体" w:hAnsi="宋体" w:cs="宋体" w:eastAsia="宋体" w:hint="default"/>
                <w:spacing w:val="-3"/>
                <w:sz w:val="18"/>
                <w:szCs w:val="18"/>
              </w:rPr>
              <w:t>一次临时股东大会决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议公告》（公告编号：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Times New Roman" w:hAnsi="Times New Roman" w:cs="Times New Roman" w:eastAsia="Times New Roman" w:hint="default"/>
                <w:sz w:val="18"/>
                <w:szCs w:val="18"/>
              </w:rPr>
              <w:t>2019-010</w:t>
            </w:r>
            <w:r>
              <w:rPr>
                <w:rFonts w:ascii="宋体" w:hAnsi="宋体" w:cs="宋体" w:eastAsia="宋体" w:hint="default"/>
                <w:sz w:val="18"/>
                <w:szCs w:val="18"/>
              </w:rPr>
              <w:t>）</w:t>
            </w:r>
          </w:p>
        </w:tc>
      </w:tr>
      <w:tr>
        <w:trPr>
          <w:trHeight w:val="196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年年度股东大会</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46"/>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17.66%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105" w:right="17"/>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www.cninfo.com.cn)</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pacing w:val="-12"/>
                <w:sz w:val="18"/>
                <w:szCs w:val="18"/>
              </w:rPr>
            </w:r>
            <w:r>
              <w:rPr>
                <w:rFonts w:ascii="宋体" w:hAnsi="宋体" w:cs="宋体" w:eastAsia="宋体" w:hint="default"/>
                <w:sz w:val="18"/>
                <w:szCs w:val="18"/>
              </w:rPr>
              <w:t>上披露的《</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w:t>
            </w:r>
            <w:r>
              <w:rPr>
                <w:rFonts w:ascii="宋体" w:hAnsi="宋体" w:cs="宋体" w:eastAsia="宋体" w:hint="default"/>
                <w:spacing w:val="-86"/>
                <w:sz w:val="18"/>
                <w:szCs w:val="18"/>
              </w:rPr>
              <w:t> </w:t>
            </w:r>
            <w:r>
              <w:rPr>
                <w:rFonts w:ascii="宋体" w:hAnsi="宋体" w:cs="宋体" w:eastAsia="宋体" w:hint="default"/>
                <w:spacing w:val="-2"/>
                <w:sz w:val="18"/>
                <w:szCs w:val="18"/>
              </w:rPr>
              <w:t>度股东大会决议公告》</w:t>
            </w:r>
          </w:p>
          <w:p>
            <w:pPr>
              <w:pStyle w:val="TableParagraph"/>
              <w:spacing w:line="240" w:lineRule="auto" w:before="31"/>
              <w:ind w:left="105"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8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2019-033</w:t>
            </w:r>
            <w:r>
              <w:rPr>
                <w:rFonts w:ascii="宋体" w:hAnsi="宋体" w:cs="宋体" w:eastAsia="宋体" w:hint="default"/>
                <w:sz w:val="18"/>
                <w:szCs w:val="18"/>
              </w:rPr>
              <w:t>）</w:t>
            </w:r>
          </w:p>
        </w:tc>
      </w:tr>
      <w:tr>
        <w:trPr>
          <w:trHeight w:val="196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300" w:lineRule="auto"/>
              <w:ind w:left="105"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年第二次临时股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东大会</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46"/>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17.86%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9" w:lineRule="auto" w:before="71"/>
              <w:ind w:left="105" w:right="17"/>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www.cninfo.com.cn)</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pacing w:val="-12"/>
                <w:sz w:val="18"/>
                <w:szCs w:val="18"/>
              </w:rPr>
            </w:r>
            <w:r>
              <w:rPr>
                <w:rFonts w:ascii="宋体" w:hAnsi="宋体" w:cs="宋体" w:eastAsia="宋体" w:hint="default"/>
                <w:sz w:val="18"/>
                <w:szCs w:val="18"/>
              </w:rPr>
              <w:t>上披露的《</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w:t>
            </w:r>
            <w:r>
              <w:rPr>
                <w:rFonts w:ascii="宋体" w:hAnsi="宋体" w:cs="宋体" w:eastAsia="宋体" w:hint="default"/>
                <w:spacing w:val="-86"/>
                <w:sz w:val="18"/>
                <w:szCs w:val="18"/>
              </w:rPr>
              <w:t> </w:t>
            </w:r>
            <w:r>
              <w:rPr>
                <w:rFonts w:ascii="宋体" w:hAnsi="宋体" w:cs="宋体" w:eastAsia="宋体" w:hint="default"/>
                <w:spacing w:val="-3"/>
                <w:sz w:val="18"/>
                <w:szCs w:val="18"/>
              </w:rPr>
              <w:t>二次临时股东大会决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议公告》（公告编号：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Times New Roman" w:hAnsi="Times New Roman" w:cs="Times New Roman" w:eastAsia="Times New Roman" w:hint="default"/>
                <w:sz w:val="18"/>
                <w:szCs w:val="18"/>
              </w:rPr>
              <w:t>2019-064</w:t>
            </w:r>
            <w:r>
              <w:rPr>
                <w:rFonts w:ascii="宋体" w:hAnsi="宋体" w:cs="宋体" w:eastAsia="宋体" w:hint="default"/>
                <w:sz w:val="18"/>
                <w:szCs w:val="18"/>
              </w:rPr>
              <w:t>）</w:t>
            </w:r>
          </w:p>
        </w:tc>
      </w:tr>
    </w:tbl>
    <w:p>
      <w:pPr>
        <w:spacing w:after="0" w:line="309" w:lineRule="auto"/>
        <w:jc w:val="left"/>
        <w:rPr>
          <w:rFonts w:ascii="宋体" w:hAnsi="宋体" w:cs="宋体" w:eastAsia="宋体" w:hint="default"/>
          <w:sz w:val="18"/>
          <w:szCs w:val="18"/>
        </w:rPr>
        <w:sectPr>
          <w:pgSz w:w="11910" w:h="16840"/>
          <w:pgMar w:header="0" w:footer="1022" w:top="1120" w:bottom="1220" w:left="740" w:right="0"/>
        </w:sectPr>
      </w:pPr>
    </w:p>
    <w:p>
      <w:pPr>
        <w:spacing w:line="240" w:lineRule="auto" w:before="7"/>
        <w:rPr>
          <w:rFonts w:ascii="宋体" w:hAnsi="宋体" w:cs="宋体" w:eastAsia="宋体" w:hint="default"/>
          <w:b/>
          <w:bCs/>
          <w:sz w:val="19"/>
          <w:szCs w:val="19"/>
        </w:rPr>
      </w:pPr>
    </w:p>
    <w:p>
      <w:pPr>
        <w:pStyle w:val="Heading4"/>
        <w:spacing w:line="240" w:lineRule="auto" w:before="36"/>
        <w:ind w:left="153" w:right="0"/>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left="153" w:right="0"/>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404"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33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29" w:right="123"/>
              <w:jc w:val="center"/>
              <w:rPr>
                <w:rFonts w:ascii="宋体" w:hAnsi="宋体" w:cs="宋体" w:eastAsia="宋体" w:hint="default"/>
                <w:sz w:val="18"/>
                <w:szCs w:val="18"/>
              </w:rPr>
            </w:pPr>
            <w:r>
              <w:rPr>
                <w:rFonts w:ascii="宋体" w:hAnsi="宋体" w:cs="宋体" w:eastAsia="宋体" w:hint="default"/>
                <w:spacing w:val="-2"/>
                <w:sz w:val="18"/>
                <w:szCs w:val="18"/>
              </w:rPr>
              <w:t>本报告期应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参加董事会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215" w:right="118" w:hanging="87"/>
              <w:jc w:val="left"/>
              <w:rPr>
                <w:rFonts w:ascii="宋体" w:hAnsi="宋体" w:cs="宋体" w:eastAsia="宋体" w:hint="default"/>
                <w:sz w:val="18"/>
                <w:szCs w:val="18"/>
              </w:rPr>
            </w:pPr>
            <w:r>
              <w:rPr>
                <w:rFonts w:ascii="宋体" w:hAnsi="宋体" w:cs="宋体" w:eastAsia="宋体" w:hint="default"/>
                <w:spacing w:val="-2"/>
                <w:sz w:val="18"/>
                <w:szCs w:val="18"/>
              </w:rPr>
              <w:t>现场出席董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事会次数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29" w:right="123"/>
              <w:jc w:val="center"/>
              <w:rPr>
                <w:rFonts w:ascii="宋体" w:hAnsi="宋体" w:cs="宋体" w:eastAsia="宋体" w:hint="default"/>
                <w:sz w:val="18"/>
                <w:szCs w:val="18"/>
              </w:rPr>
            </w:pPr>
            <w:r>
              <w:rPr>
                <w:rFonts w:ascii="宋体" w:hAnsi="宋体" w:cs="宋体" w:eastAsia="宋体" w:hint="default"/>
                <w:spacing w:val="-2"/>
                <w:sz w:val="18"/>
                <w:szCs w:val="18"/>
              </w:rPr>
              <w:t>以通讯方式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参加董事会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211" w:right="123" w:hanging="87"/>
              <w:jc w:val="left"/>
              <w:rPr>
                <w:rFonts w:ascii="宋体" w:hAnsi="宋体" w:cs="宋体" w:eastAsia="宋体" w:hint="default"/>
                <w:sz w:val="18"/>
                <w:szCs w:val="18"/>
              </w:rPr>
            </w:pPr>
            <w:r>
              <w:rPr>
                <w:rFonts w:ascii="宋体" w:hAnsi="宋体" w:cs="宋体" w:eastAsia="宋体" w:hint="default"/>
                <w:spacing w:val="-2"/>
                <w:sz w:val="18"/>
                <w:szCs w:val="18"/>
              </w:rPr>
              <w:t>委托出席董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398" w:right="118" w:hanging="269"/>
              <w:jc w:val="left"/>
              <w:rPr>
                <w:rFonts w:ascii="宋体" w:hAnsi="宋体" w:cs="宋体" w:eastAsia="宋体" w:hint="default"/>
                <w:sz w:val="18"/>
                <w:szCs w:val="18"/>
              </w:rPr>
            </w:pPr>
            <w:r>
              <w:rPr>
                <w:rFonts w:ascii="宋体" w:hAnsi="宋体" w:cs="宋体" w:eastAsia="宋体" w:hint="default"/>
                <w:spacing w:val="-2"/>
                <w:sz w:val="18"/>
                <w:szCs w:val="18"/>
              </w:rPr>
              <w:t>缺席董事会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9" w:right="118"/>
              <w:jc w:val="center"/>
              <w:rPr>
                <w:rFonts w:ascii="宋体" w:hAnsi="宋体" w:cs="宋体" w:eastAsia="宋体" w:hint="default"/>
                <w:sz w:val="18"/>
                <w:szCs w:val="18"/>
              </w:rPr>
            </w:pPr>
            <w:r>
              <w:rPr>
                <w:rFonts w:ascii="宋体" w:hAnsi="宋体" w:cs="宋体" w:eastAsia="宋体" w:hint="default"/>
                <w:spacing w:val="-2"/>
                <w:sz w:val="18"/>
                <w:szCs w:val="18"/>
              </w:rPr>
              <w:t>是否连续两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次未亲自参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加董事会会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307" w:right="122" w:hanging="178"/>
              <w:jc w:val="left"/>
              <w:rPr>
                <w:rFonts w:ascii="宋体" w:hAnsi="宋体" w:cs="宋体" w:eastAsia="宋体" w:hint="default"/>
                <w:sz w:val="18"/>
                <w:szCs w:val="18"/>
              </w:rPr>
            </w:pPr>
            <w:r>
              <w:rPr>
                <w:rFonts w:ascii="宋体" w:hAnsi="宋体" w:cs="宋体" w:eastAsia="宋体" w:hint="default"/>
                <w:spacing w:val="-2"/>
                <w:sz w:val="18"/>
                <w:szCs w:val="18"/>
              </w:rPr>
              <w:t>出席股东大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会次数</w:t>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金玉丹</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张克</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蒋必金</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bl>
    <w:p>
      <w:pPr>
        <w:pStyle w:val="BodyText"/>
        <w:spacing w:line="357" w:lineRule="auto" w:before="53"/>
        <w:ind w:left="153" w:right="5655"/>
        <w:jc w:val="left"/>
      </w:pPr>
      <w:r>
        <w:rPr>
          <w:spacing w:val="-3"/>
        </w:rPr>
        <w:t>连续两次未亲自出席董事会的说明</w:t>
      </w:r>
      <w:r>
        <w:rPr>
          <w:spacing w:val="-44"/>
        </w:rPr>
        <w:t> </w:t>
      </w:r>
      <w:r>
        <w:rPr>
          <w:spacing w:val="-44"/>
        </w:rPr>
      </w:r>
      <w:r>
        <w:rPr>
          <w:spacing w:val="-3"/>
        </w:rPr>
        <w:t>独立董事不存在连续两次未亲自出席董事会的情形</w:t>
      </w:r>
    </w:p>
    <w:p>
      <w:pPr>
        <w:spacing w:line="240" w:lineRule="auto" w:before="12"/>
        <w:rPr>
          <w:rFonts w:ascii="宋体" w:hAnsi="宋体" w:cs="宋体" w:eastAsia="宋体" w:hint="default"/>
          <w:sz w:val="19"/>
          <w:szCs w:val="19"/>
        </w:rPr>
      </w:pPr>
    </w:p>
    <w:p>
      <w:pPr>
        <w:pStyle w:val="Heading4"/>
        <w:spacing w:line="240" w:lineRule="auto"/>
        <w:ind w:left="153" w:right="0"/>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153" w:right="0"/>
        <w:jc w:val="left"/>
      </w:pPr>
      <w:r>
        <w:rPr>
          <w:spacing w:val="-3"/>
        </w:rPr>
        <w:t>独立董事对公司有关事项是否提出异议</w:t>
      </w:r>
    </w:p>
    <w:p>
      <w:pPr>
        <w:pStyle w:val="BodyText"/>
        <w:spacing w:line="338" w:lineRule="auto" w:before="115"/>
        <w:ind w:left="153" w:right="668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报告期内独立董事对公司有关事项未提出异议。</w:t>
      </w:r>
    </w:p>
    <w:p>
      <w:pPr>
        <w:spacing w:line="240" w:lineRule="auto" w:before="0"/>
        <w:rPr>
          <w:rFonts w:ascii="宋体" w:hAnsi="宋体" w:cs="宋体" w:eastAsia="宋体" w:hint="default"/>
          <w:sz w:val="21"/>
          <w:szCs w:val="21"/>
        </w:rPr>
      </w:pPr>
    </w:p>
    <w:p>
      <w:pPr>
        <w:pStyle w:val="Heading4"/>
        <w:spacing w:line="240" w:lineRule="auto"/>
        <w:ind w:left="153" w:right="0"/>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153" w:right="0"/>
        <w:jc w:val="left"/>
      </w:pPr>
      <w:r>
        <w:rPr>
          <w:spacing w:val="-3"/>
        </w:rPr>
        <w:t>独立董事对公司有关建议是否被采纳</w:t>
      </w:r>
    </w:p>
    <w:p>
      <w:pPr>
        <w:pStyle w:val="BodyText"/>
        <w:spacing w:line="338" w:lineRule="auto" w:before="115"/>
        <w:ind w:left="153" w:right="668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3"/>
        </w:rPr>
        <w:t> </w:t>
      </w:r>
      <w:r>
        <w:rPr>
          <w:spacing w:val="-3"/>
        </w:rPr>
        <w:t>独立董事对公司有关建议被采纳或未被采纳的说明</w:t>
      </w:r>
    </w:p>
    <w:p>
      <w:pPr>
        <w:pStyle w:val="BodyText"/>
        <w:spacing w:line="316" w:lineRule="auto" w:before="41"/>
        <w:ind w:left="153" w:right="0"/>
        <w:jc w:val="left"/>
      </w:pPr>
      <w:r>
        <w:rPr>
          <w:spacing w:val="-6"/>
        </w:rPr>
        <w:t>公司独立董事根据《公司法》、《证券法》、《公司章程》和《独立董事制度》等法律法规的规定，关注公司运作的规范性，</w:t>
      </w:r>
      <w:r>
        <w:rPr>
          <w:spacing w:val="64"/>
        </w:rPr>
        <w:t> </w:t>
      </w:r>
      <w:r>
        <w:rPr>
          <w:spacing w:val="64"/>
        </w:rPr>
      </w:r>
      <w:r>
        <w:rPr>
          <w:spacing w:val="-4"/>
        </w:rPr>
        <w:t>独立履行职责，对公司的制度完善和日常经营决策等方面提出了许多宝贵的专业性意见，对报告期内公司发生的聘任高级管</w:t>
      </w:r>
      <w:r>
        <w:rPr>
          <w:spacing w:val="43"/>
        </w:rPr>
        <w:t> </w:t>
      </w:r>
      <w:r>
        <w:rPr>
          <w:spacing w:val="43"/>
        </w:rPr>
      </w:r>
      <w:r>
        <w:rPr>
          <w:spacing w:val="-4"/>
        </w:rPr>
        <w:t>理人员、变更募集资金投资项目、募集资金存放与使用情况等需要独立董事发表意见的事项出具了独立、公正的独立董事意</w:t>
      </w:r>
      <w:r>
        <w:rPr>
          <w:spacing w:val="43"/>
        </w:rPr>
        <w:t> </w:t>
      </w:r>
      <w:r>
        <w:rPr>
          <w:spacing w:val="43"/>
        </w:rPr>
      </w:r>
      <w:r>
        <w:rPr>
          <w:spacing w:val="-3"/>
        </w:rPr>
        <w:t>见，为完善公司监督机制，维护公司和全体股东的合法权益发挥了应有的作用。</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11"/>
        <w:rPr>
          <w:rFonts w:ascii="宋体" w:hAnsi="宋体" w:cs="宋体" w:eastAsia="宋体" w:hint="default"/>
          <w:b/>
          <w:bCs/>
          <w:sz w:val="26"/>
          <w:szCs w:val="26"/>
        </w:rPr>
      </w:pPr>
    </w:p>
    <w:p>
      <w:pPr>
        <w:pStyle w:val="BodyText"/>
        <w:spacing w:line="300" w:lineRule="auto"/>
        <w:ind w:left="455" w:right="1029" w:hanging="303"/>
        <w:jc w:val="left"/>
      </w:pPr>
      <w:r>
        <w:rPr>
          <w:rFonts w:ascii="Times New Roman" w:hAnsi="Times New Roman" w:cs="Times New Roman" w:eastAsia="Times New Roman" w:hint="default"/>
        </w:rPr>
        <w:t>1</w:t>
      </w:r>
      <w:r>
        <w:rPr/>
        <w:t>、审计委员会</w:t>
      </w:r>
      <w:r>
        <w:rPr>
          <w:spacing w:val="-85"/>
        </w:rPr>
        <w:t> </w:t>
      </w:r>
      <w:r>
        <w:rPr>
          <w:spacing w:val="-85"/>
        </w:rPr>
      </w:r>
      <w:r>
        <w:rPr>
          <w:spacing w:val="-3"/>
        </w:rPr>
        <w:t>公司董事会审计委员会由</w:t>
      </w:r>
      <w:r>
        <w:rPr>
          <w:rFonts w:ascii="Times New Roman" w:hAnsi="Times New Roman" w:cs="Times New Roman" w:eastAsia="Times New Roman" w:hint="default"/>
          <w:spacing w:val="-3"/>
        </w:rPr>
        <w:t>2</w:t>
      </w:r>
      <w:r>
        <w:rPr>
          <w:spacing w:val="-3"/>
        </w:rPr>
        <w:t>名独立董事及</w:t>
      </w:r>
      <w:r>
        <w:rPr>
          <w:rFonts w:ascii="Times New Roman" w:hAnsi="Times New Roman" w:cs="Times New Roman" w:eastAsia="Times New Roman" w:hint="default"/>
          <w:spacing w:val="-3"/>
        </w:rPr>
        <w:t>1</w:t>
      </w:r>
      <w:r>
        <w:rPr>
          <w:spacing w:val="-3"/>
        </w:rPr>
        <w:t>名董事组成，其中召集人由独立董事（专业会计人员）担任。报告期内，根据</w:t>
      </w:r>
    </w:p>
    <w:p>
      <w:pPr>
        <w:pStyle w:val="BodyText"/>
        <w:spacing w:line="316" w:lineRule="auto" w:before="13"/>
        <w:ind w:left="153" w:right="0"/>
        <w:jc w:val="left"/>
      </w:pPr>
      <w:r>
        <w:rPr>
          <w:spacing w:val="-4"/>
        </w:rPr>
        <w:t>中国证监会、深圳证券交易所及公司《董事会审计委员会议事规则》的规定，公司董事会审计委员会勤勉尽责，认真履行职</w:t>
      </w:r>
      <w:r>
        <w:rPr>
          <w:spacing w:val="41"/>
        </w:rPr>
        <w:t> </w:t>
      </w:r>
      <w:r>
        <w:rPr>
          <w:spacing w:val="41"/>
        </w:rPr>
      </w:r>
      <w:r>
        <w:rPr>
          <w:spacing w:val="-3"/>
        </w:rPr>
        <w:t>责，主要开展了如下工作：</w:t>
      </w:r>
    </w:p>
    <w:p>
      <w:pPr>
        <w:pStyle w:val="BodyText"/>
        <w:spacing w:line="240" w:lineRule="auto" w:before="18"/>
        <w:ind w:left="455" w:right="0"/>
        <w:jc w:val="left"/>
      </w:pPr>
      <w:r>
        <w:rPr>
          <w:spacing w:val="-3"/>
        </w:rPr>
        <w:t>（</w:t>
      </w:r>
      <w:r>
        <w:rPr>
          <w:rFonts w:ascii="Times New Roman" w:hAnsi="Times New Roman" w:cs="Times New Roman" w:eastAsia="Times New Roman" w:hint="default"/>
          <w:spacing w:val="-3"/>
        </w:rPr>
        <w:t>1</w:t>
      </w:r>
      <w:r>
        <w:rPr>
          <w:spacing w:val="-3"/>
        </w:rPr>
        <w:t>）指导和监督内部审计制度的执行；</w:t>
      </w:r>
    </w:p>
    <w:p>
      <w:pPr>
        <w:spacing w:after="0" w:line="240" w:lineRule="auto"/>
        <w:jc w:val="left"/>
        <w:sectPr>
          <w:pgSz w:w="11910" w:h="16840"/>
          <w:pgMar w:header="0" w:footer="1022" w:top="1120" w:bottom="1220" w:left="980" w:right="0"/>
        </w:sectPr>
      </w:pPr>
    </w:p>
    <w:p>
      <w:pPr>
        <w:spacing w:line="240" w:lineRule="auto" w:before="5"/>
        <w:rPr>
          <w:rFonts w:ascii="宋体" w:hAnsi="宋体" w:cs="宋体" w:eastAsia="宋体" w:hint="default"/>
          <w:sz w:val="20"/>
          <w:szCs w:val="20"/>
        </w:rPr>
      </w:pPr>
    </w:p>
    <w:p>
      <w:pPr>
        <w:pStyle w:val="BodyText"/>
        <w:spacing w:line="240" w:lineRule="auto" w:before="46"/>
        <w:ind w:left="455" w:right="0"/>
        <w:jc w:val="left"/>
      </w:pPr>
      <w:r>
        <w:rPr>
          <w:spacing w:val="-3"/>
        </w:rPr>
        <w:t>（</w:t>
      </w:r>
      <w:r>
        <w:rPr>
          <w:rFonts w:ascii="Times New Roman" w:hAnsi="Times New Roman" w:cs="Times New Roman" w:eastAsia="Times New Roman" w:hint="default"/>
          <w:spacing w:val="-3"/>
        </w:rPr>
        <w:t>2</w:t>
      </w:r>
      <w:r>
        <w:rPr>
          <w:spacing w:val="-3"/>
        </w:rPr>
        <w:t>）审计委员会与年审会计师积极沟通，并对年审会计师的服务内容提出具体要求；</w:t>
      </w:r>
    </w:p>
    <w:p>
      <w:pPr>
        <w:pStyle w:val="BodyText"/>
        <w:spacing w:line="240" w:lineRule="auto" w:before="63"/>
        <w:ind w:left="455" w:right="0"/>
        <w:jc w:val="left"/>
      </w:pPr>
      <w:r>
        <w:rPr>
          <w:spacing w:val="-3"/>
        </w:rPr>
        <w:t>（</w:t>
      </w:r>
      <w:r>
        <w:rPr>
          <w:rFonts w:ascii="Times New Roman" w:hAnsi="Times New Roman" w:cs="Times New Roman" w:eastAsia="Times New Roman" w:hint="default"/>
          <w:spacing w:val="-3"/>
        </w:rPr>
        <w:t>3</w:t>
      </w:r>
      <w:r>
        <w:rPr>
          <w:spacing w:val="-3"/>
        </w:rPr>
        <w:t>）对内审部的工作进行指导，并提出具体建议；</w:t>
      </w:r>
    </w:p>
    <w:p>
      <w:pPr>
        <w:pStyle w:val="BodyText"/>
        <w:spacing w:line="300" w:lineRule="auto" w:before="63"/>
        <w:ind w:left="153" w:right="0" w:firstLine="302"/>
        <w:jc w:val="left"/>
      </w:pPr>
      <w:r>
        <w:rPr>
          <w:spacing w:val="-2"/>
        </w:rPr>
        <w:t>（</w:t>
      </w:r>
      <w:r>
        <w:rPr>
          <w:rFonts w:ascii="Times New Roman" w:hAnsi="Times New Roman" w:cs="Times New Roman" w:eastAsia="Times New Roman" w:hint="default"/>
          <w:spacing w:val="-2"/>
        </w:rPr>
        <w:t>4</w:t>
      </w:r>
      <w:r>
        <w:rPr>
          <w:spacing w:val="-2"/>
        </w:rPr>
        <w:t>）内审部按季向审计委员会提交工作计划、工作总结和审计报告，审计委员会认真审核内审部的各项工作计划和审</w:t>
      </w:r>
      <w:r>
        <w:rPr>
          <w:w w:val="101"/>
        </w:rPr>
        <w:t> </w:t>
      </w:r>
      <w:r>
        <w:rPr>
          <w:spacing w:val="-3"/>
        </w:rPr>
        <w:t>计报告，及时提出反馈意见，并向董事会报告。</w:t>
      </w:r>
    </w:p>
    <w:p>
      <w:pPr>
        <w:pStyle w:val="BodyText"/>
        <w:spacing w:line="300" w:lineRule="auto" w:before="31"/>
        <w:ind w:left="302" w:right="0" w:hanging="149"/>
        <w:jc w:val="left"/>
      </w:pPr>
      <w:r>
        <w:rPr>
          <w:rFonts w:ascii="Times New Roman" w:hAnsi="Times New Roman" w:cs="Times New Roman" w:eastAsia="Times New Roman" w:hint="default"/>
        </w:rPr>
        <w:t>2.</w:t>
      </w:r>
      <w:r>
        <w:rPr/>
        <w:t>薪酬与考核委员会</w:t>
      </w:r>
      <w:r>
        <w:rPr>
          <w:spacing w:val="-87"/>
        </w:rPr>
        <w:t> </w:t>
      </w:r>
      <w:r>
        <w:rPr>
          <w:spacing w:val="-87"/>
        </w:rPr>
      </w:r>
      <w:r>
        <w:rPr>
          <w:spacing w:val="-2"/>
        </w:rPr>
        <w:t>董事会下设薪酬与考核委员会，由</w:t>
      </w:r>
      <w:r>
        <w:rPr>
          <w:rFonts w:ascii="Times New Roman" w:hAnsi="Times New Roman" w:cs="Times New Roman" w:eastAsia="Times New Roman" w:hint="default"/>
          <w:spacing w:val="-2"/>
        </w:rPr>
        <w:t>3</w:t>
      </w:r>
      <w:r>
        <w:rPr>
          <w:spacing w:val="-2"/>
        </w:rPr>
        <w:t>名董事组成，其中独立董事</w:t>
      </w:r>
      <w:r>
        <w:rPr>
          <w:rFonts w:ascii="Times New Roman" w:hAnsi="Times New Roman" w:cs="Times New Roman" w:eastAsia="Times New Roman" w:hint="default"/>
          <w:spacing w:val="-2"/>
        </w:rPr>
        <w:t>2</w:t>
      </w:r>
      <w:r>
        <w:rPr>
          <w:spacing w:val="-2"/>
        </w:rPr>
        <w:t>名，并由</w:t>
      </w:r>
      <w:r>
        <w:rPr>
          <w:rFonts w:ascii="Times New Roman" w:hAnsi="Times New Roman" w:cs="Times New Roman" w:eastAsia="Times New Roman" w:hint="default"/>
          <w:spacing w:val="-2"/>
        </w:rPr>
        <w:t>1</w:t>
      </w:r>
      <w:r>
        <w:rPr>
          <w:spacing w:val="-2"/>
        </w:rPr>
        <w:t>名独立董事担任召集人。董事会薪酬与考核委</w:t>
      </w:r>
    </w:p>
    <w:p>
      <w:pPr>
        <w:pStyle w:val="BodyText"/>
        <w:spacing w:line="240" w:lineRule="auto" w:before="13"/>
        <w:ind w:left="153" w:right="0"/>
        <w:jc w:val="left"/>
      </w:pPr>
      <w:r>
        <w:rPr>
          <w:spacing w:val="-3"/>
        </w:rPr>
        <w:t>员会主要负责审核公司高管人员的薪酬政策与方案等。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2"/>
        <w:spacing w:line="240" w:lineRule="auto"/>
        <w:ind w:right="0"/>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153" w:right="0"/>
        <w:jc w:val="left"/>
      </w:pPr>
      <w:r>
        <w:rPr>
          <w:spacing w:val="-3"/>
        </w:rPr>
        <w:t>监事会在报告期内的监督活动中发现公司是否存在风险</w:t>
      </w:r>
    </w:p>
    <w:p>
      <w:pPr>
        <w:pStyle w:val="BodyText"/>
        <w:spacing w:line="338" w:lineRule="auto" w:before="119"/>
        <w:ind w:left="153" w:right="7242"/>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监事会对报告期内的监督事项无异议。</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3"/>
        <w:rPr>
          <w:rFonts w:ascii="宋体" w:hAnsi="宋体" w:cs="宋体" w:eastAsia="宋体" w:hint="default"/>
          <w:b/>
          <w:bCs/>
          <w:sz w:val="27"/>
          <w:szCs w:val="27"/>
        </w:rPr>
      </w:pPr>
    </w:p>
    <w:p>
      <w:pPr>
        <w:pStyle w:val="BodyText"/>
        <w:spacing w:line="316" w:lineRule="auto"/>
        <w:ind w:left="153" w:right="0" w:firstLine="422"/>
        <w:jc w:val="left"/>
      </w:pPr>
      <w:r>
        <w:rPr>
          <w:spacing w:val="-3"/>
        </w:rPr>
        <w:t>公司建立了高级管理人员的选择、考评、激励与约束机制并不断完善，公司高级管理人员全部由董事会聘任，直接对</w:t>
      </w:r>
      <w:r>
        <w:rPr>
          <w:w w:val="101"/>
        </w:rPr>
        <w:t> </w:t>
      </w:r>
      <w:r>
        <w:rPr>
          <w:spacing w:val="-3"/>
        </w:rPr>
        <w:t>董事会负责，承担董事会下达的经营指标，董事会下设的薪酬与考核委员会对高级管理人员进行考评。</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53" w:right="0"/>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4"/>
        <w:spacing w:line="240" w:lineRule="auto"/>
        <w:ind w:left="153" w:right="0"/>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3"/>
        <w:gridCol w:w="6377"/>
      </w:tblGrid>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16"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6" w:right="93"/>
              <w:jc w:val="left"/>
              <w:rPr>
                <w:rFonts w:ascii="宋体" w:hAnsi="宋体" w:cs="宋体" w:eastAsia="宋体" w:hint="default"/>
                <w:sz w:val="18"/>
                <w:szCs w:val="18"/>
              </w:rPr>
            </w:pPr>
            <w:r>
              <w:rPr>
                <w:rFonts w:ascii="宋体" w:hAnsi="宋体" w:cs="宋体" w:eastAsia="宋体" w:hint="default"/>
                <w:spacing w:val="-4"/>
                <w:sz w:val="18"/>
                <w:szCs w:val="18"/>
              </w:rPr>
              <w:t>巨潮资讯网（</w:t>
            </w:r>
            <w:hyperlink r:id="rId11">
              <w:r>
                <w:rPr>
                  <w:rFonts w:ascii="Times New Roman" w:hAnsi="Times New Roman" w:cs="Times New Roman" w:eastAsia="Times New Roman" w:hint="default"/>
                  <w:spacing w:val="-4"/>
                  <w:sz w:val="18"/>
                  <w:szCs w:val="18"/>
                </w:rPr>
                <w:t>www.cninfo.com.cn</w:t>
              </w:r>
            </w:hyperlink>
            <w:r>
              <w:rPr>
                <w:rFonts w:ascii="宋体" w:hAnsi="宋体" w:cs="宋体" w:eastAsia="宋体" w:hint="default"/>
                <w:spacing w:val="-4"/>
                <w:sz w:val="18"/>
                <w:szCs w:val="18"/>
              </w:rPr>
              <w:t>）《二六三网络通信股份有限公司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年度内</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部控制评价报告》</w:t>
            </w: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90"/>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并财务报表资产总额的比例</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716"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90"/>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并财务报表营业收入的比例</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20" w:bottom="122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tbl>
      <w:tblPr>
        <w:tblW w:w="0" w:type="auto"/>
        <w:jc w:val="left"/>
        <w:tblInd w:w="148" w:type="dxa"/>
        <w:tblLayout w:type="fixed"/>
        <w:tblCellMar>
          <w:top w:w="0" w:type="dxa"/>
          <w:left w:w="0" w:type="dxa"/>
          <w:bottom w:w="0" w:type="dxa"/>
          <w:right w:w="0" w:type="dxa"/>
        </w:tblCellMar>
        <w:tblLook w:val="01E0"/>
      </w:tblPr>
      <w:tblGrid>
        <w:gridCol w:w="3193"/>
        <w:gridCol w:w="3328"/>
        <w:gridCol w:w="3049"/>
      </w:tblGrid>
      <w:tr>
        <w:trPr>
          <w:trHeight w:val="403"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5397"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106" w:right="7"/>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）重大缺陷：</w:t>
            </w: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、董事、监事和高级</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管理人员舞弊； </w:t>
            </w: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、对已经公告的财务</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报告出现的重大差错进行错报更正；</w:t>
            </w:r>
            <w:r>
              <w:rPr>
                <w:rFonts w:ascii="Times New Roman" w:hAnsi="Times New Roman" w:cs="Times New Roman" w:eastAsia="Times New Roman" w:hint="default"/>
                <w:spacing w:val="-3"/>
                <w:sz w:val="18"/>
                <w:szCs w:val="18"/>
              </w:rPr>
              <w:t>c</w:t>
            </w:r>
            <w:r>
              <w:rPr>
                <w:rFonts w:ascii="宋体" w:hAnsi="宋体" w:cs="宋体" w:eastAsia="宋体" w:hint="default"/>
                <w:spacing w:val="-3"/>
                <w:sz w:val="18"/>
                <w:szCs w:val="18"/>
              </w:rPr>
              <w:t>、</w:t>
            </w:r>
            <w:r>
              <w:rPr>
                <w:rFonts w:ascii="宋体" w:hAnsi="宋体" w:cs="宋体" w:eastAsia="宋体" w:hint="default"/>
                <w:spacing w:val="-35"/>
                <w:sz w:val="18"/>
                <w:szCs w:val="18"/>
              </w:rPr>
              <w:t> </w:t>
            </w:r>
            <w:r>
              <w:rPr>
                <w:rFonts w:ascii="宋体" w:hAnsi="宋体" w:cs="宋体" w:eastAsia="宋体" w:hint="default"/>
                <w:spacing w:val="-3"/>
                <w:sz w:val="18"/>
                <w:szCs w:val="18"/>
              </w:rPr>
              <w:t>注册会计师发现当期财务报告存在重大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错报，而内部控制在运行过程中未能发</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现该错报；</w:t>
            </w:r>
            <w:r>
              <w:rPr>
                <w:rFonts w:ascii="Times New Roman" w:hAnsi="Times New Roman" w:cs="Times New Roman" w:eastAsia="Times New Roman" w:hint="default"/>
                <w:spacing w:val="-5"/>
                <w:sz w:val="18"/>
                <w:szCs w:val="18"/>
              </w:rPr>
              <w:t>d</w:t>
            </w:r>
            <w:r>
              <w:rPr>
                <w:rFonts w:ascii="宋体" w:hAnsi="宋体" w:cs="宋体" w:eastAsia="宋体" w:hint="default"/>
                <w:spacing w:val="-5"/>
                <w:sz w:val="18"/>
                <w:szCs w:val="18"/>
              </w:rPr>
              <w:t>、审计委员会以及内部审计</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10"/>
                <w:w w:val="101"/>
                <w:sz w:val="18"/>
                <w:szCs w:val="18"/>
              </w:rPr>
              <w:t>部门对财务报告内部控制监督无效。（</w:t>
            </w:r>
            <w:r>
              <w:rPr>
                <w:rFonts w:ascii="Times New Roman" w:hAnsi="Times New Roman" w:cs="Times New Roman" w:eastAsia="Times New Roman" w:hint="default"/>
                <w:spacing w:val="-10"/>
                <w:w w:val="101"/>
                <w:sz w:val="18"/>
                <w:szCs w:val="18"/>
              </w:rPr>
              <w:t>2</w:t>
            </w:r>
            <w:r>
              <w:rPr>
                <w:rFonts w:ascii="宋体" w:hAnsi="宋体" w:cs="宋体" w:eastAsia="宋体" w:hint="default"/>
                <w:spacing w:val="-10"/>
                <w:w w:val="101"/>
                <w:sz w:val="18"/>
                <w:szCs w:val="18"/>
              </w:rPr>
              <w:t>）</w:t>
            </w:r>
            <w:r>
              <w:rPr>
                <w:rFonts w:ascii="宋体" w:hAnsi="宋体" w:cs="宋体" w:eastAsia="宋体" w:hint="default"/>
                <w:spacing w:val="-77"/>
                <w:w w:val="101"/>
                <w:sz w:val="18"/>
                <w:szCs w:val="18"/>
              </w:rPr>
              <w:t> </w:t>
            </w:r>
            <w:r>
              <w:rPr>
                <w:rFonts w:ascii="宋体" w:hAnsi="宋体" w:cs="宋体" w:eastAsia="宋体" w:hint="default"/>
                <w:spacing w:val="-5"/>
                <w:sz w:val="18"/>
                <w:szCs w:val="18"/>
              </w:rPr>
              <w:t>重要缺陷：</w:t>
            </w:r>
            <w:r>
              <w:rPr>
                <w:rFonts w:ascii="Times New Roman" w:hAnsi="Times New Roman" w:cs="Times New Roman" w:eastAsia="Times New Roman" w:hint="default"/>
                <w:spacing w:val="-5"/>
                <w:sz w:val="18"/>
                <w:szCs w:val="18"/>
              </w:rPr>
              <w:t>a</w:t>
            </w:r>
            <w:r>
              <w:rPr>
                <w:rFonts w:ascii="宋体" w:hAnsi="宋体" w:cs="宋体" w:eastAsia="宋体" w:hint="default"/>
                <w:spacing w:val="-5"/>
                <w:sz w:val="18"/>
                <w:szCs w:val="18"/>
              </w:rPr>
              <w:t>、未依照公认会计准则选择</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和应用会计政策； </w:t>
            </w: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、未建立反舞弊程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序和控制措施； </w:t>
            </w:r>
            <w:r>
              <w:rPr>
                <w:rFonts w:ascii="Times New Roman" w:hAnsi="Times New Roman" w:cs="Times New Roman" w:eastAsia="Times New Roman" w:hint="default"/>
                <w:spacing w:val="-3"/>
                <w:sz w:val="18"/>
                <w:szCs w:val="18"/>
              </w:rPr>
              <w:t>c</w:t>
            </w:r>
            <w:r>
              <w:rPr>
                <w:rFonts w:ascii="宋体" w:hAnsi="宋体" w:cs="宋体" w:eastAsia="宋体" w:hint="default"/>
                <w:spacing w:val="-3"/>
                <w:sz w:val="18"/>
                <w:szCs w:val="18"/>
              </w:rPr>
              <w:t>、对于非常规或特殊</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交易的账务处理没有建立相应的控制机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制或没有实施且没有相应的补偿性控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制； </w:t>
            </w:r>
            <w:r>
              <w:rPr>
                <w:rFonts w:ascii="Times New Roman" w:hAnsi="Times New Roman" w:cs="Times New Roman" w:eastAsia="Times New Roman" w:hint="default"/>
                <w:spacing w:val="-3"/>
                <w:sz w:val="18"/>
                <w:szCs w:val="18"/>
              </w:rPr>
              <w:t>d</w:t>
            </w:r>
            <w:r>
              <w:rPr>
                <w:rFonts w:ascii="宋体" w:hAnsi="宋体" w:cs="宋体" w:eastAsia="宋体" w:hint="default"/>
                <w:spacing w:val="-3"/>
                <w:sz w:val="18"/>
                <w:szCs w:val="18"/>
              </w:rPr>
              <w:t>、对于期末财务报告过程的控制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存在一项或多项缺陷且不能合理保证编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制的财务报表达到真实、准确的目标。</w:t>
            </w:r>
          </w:p>
          <w:p>
            <w:pPr>
              <w:pStyle w:val="TableParagraph"/>
              <w:spacing w:line="304" w:lineRule="auto" w:before="26"/>
              <w:ind w:left="106" w:right="9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）一般缺陷：重大缺陷和重要缺陷之</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外的缺陷。</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0" w:right="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）重大缺陷：</w:t>
            </w:r>
            <w:r>
              <w:rPr>
                <w:rFonts w:ascii="Times New Roman" w:hAnsi="Times New Roman" w:cs="Times New Roman" w:eastAsia="Times New Roman" w:hint="default"/>
                <w:spacing w:val="-5"/>
                <w:sz w:val="18"/>
                <w:szCs w:val="18"/>
              </w:rPr>
              <w:t>a</w:t>
            </w:r>
            <w:r>
              <w:rPr>
                <w:rFonts w:ascii="宋体" w:hAnsi="宋体" w:cs="宋体" w:eastAsia="宋体" w:hint="default"/>
                <w:spacing w:val="-5"/>
                <w:sz w:val="18"/>
                <w:szCs w:val="18"/>
              </w:rPr>
              <w:t>、公司缺乏民主决</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策程序； </w:t>
            </w: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、未依程序及授权办理，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造成重大损失的； </w:t>
            </w:r>
            <w:r>
              <w:rPr>
                <w:rFonts w:ascii="Times New Roman" w:hAnsi="Times New Roman" w:cs="Times New Roman" w:eastAsia="Times New Roman" w:hint="default"/>
                <w:spacing w:val="-5"/>
                <w:sz w:val="18"/>
                <w:szCs w:val="18"/>
              </w:rPr>
              <w:t>c</w:t>
            </w:r>
            <w:r>
              <w:rPr>
                <w:rFonts w:ascii="宋体" w:hAnsi="宋体" w:cs="宋体" w:eastAsia="宋体" w:hint="default"/>
                <w:spacing w:val="-5"/>
                <w:sz w:val="18"/>
                <w:szCs w:val="18"/>
              </w:rPr>
              <w:t>、媒体频现负面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新闻，涉及面广且负面影响一直未能</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消除； </w:t>
            </w:r>
            <w:r>
              <w:rPr>
                <w:rFonts w:ascii="Times New Roman" w:hAnsi="Times New Roman" w:cs="Times New Roman" w:eastAsia="Times New Roman" w:hint="default"/>
                <w:spacing w:val="-4"/>
                <w:sz w:val="18"/>
                <w:szCs w:val="18"/>
              </w:rPr>
              <w:t>d</w:t>
            </w:r>
            <w:r>
              <w:rPr>
                <w:rFonts w:ascii="宋体" w:hAnsi="宋体" w:cs="宋体" w:eastAsia="宋体" w:hint="default"/>
                <w:spacing w:val="-4"/>
                <w:sz w:val="18"/>
                <w:szCs w:val="18"/>
              </w:rPr>
              <w:t>、公司重要业务缺乏制度控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制或制度体系失效；</w:t>
            </w:r>
            <w:r>
              <w:rPr>
                <w:rFonts w:ascii="宋体" w:hAnsi="宋体" w:cs="宋体" w:eastAsia="宋体" w:hint="default"/>
                <w:spacing w:val="-12"/>
                <w:sz w:val="18"/>
                <w:szCs w:val="18"/>
              </w:rPr>
              <w:t> </w:t>
            </w:r>
            <w:r>
              <w:rPr>
                <w:rFonts w:ascii="Times New Roman" w:hAnsi="Times New Roman" w:cs="Times New Roman" w:eastAsia="Times New Roman" w:hint="default"/>
                <w:spacing w:val="-5"/>
                <w:sz w:val="18"/>
                <w:szCs w:val="18"/>
              </w:rPr>
              <w:t>e</w:t>
            </w:r>
            <w:r>
              <w:rPr>
                <w:rFonts w:ascii="宋体" w:hAnsi="宋体" w:cs="宋体" w:eastAsia="宋体" w:hint="default"/>
                <w:spacing w:val="-5"/>
                <w:sz w:val="18"/>
                <w:szCs w:val="18"/>
              </w:rPr>
              <w:t>、公司内部控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制重大缺陷未得到整改； </w:t>
            </w:r>
            <w:r>
              <w:rPr>
                <w:rFonts w:ascii="Times New Roman" w:hAnsi="Times New Roman" w:cs="Times New Roman" w:eastAsia="Times New Roman" w:hint="default"/>
                <w:spacing w:val="-4"/>
                <w:sz w:val="18"/>
                <w:szCs w:val="18"/>
              </w:rPr>
              <w:t>f</w:t>
            </w:r>
            <w:r>
              <w:rPr>
                <w:rFonts w:ascii="宋体" w:hAnsi="宋体" w:cs="宋体" w:eastAsia="宋体" w:hint="default"/>
                <w:spacing w:val="-4"/>
                <w:sz w:val="18"/>
                <w:szCs w:val="18"/>
              </w:rPr>
              <w:t>、严重违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规受到国家级监管机构处罚。（</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40"/>
                <w:sz w:val="18"/>
                <w:szCs w:val="18"/>
              </w:rPr>
              <w:t> </w:t>
            </w:r>
            <w:r>
              <w:rPr>
                <w:rFonts w:ascii="宋体" w:hAnsi="宋体" w:cs="宋体" w:eastAsia="宋体" w:hint="default"/>
                <w:spacing w:val="-3"/>
                <w:sz w:val="18"/>
                <w:szCs w:val="18"/>
              </w:rPr>
              <w:t>重要缺陷：</w:t>
            </w: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、公司决策程序导致出</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现一般失误； </w:t>
            </w:r>
            <w:r>
              <w:rPr>
                <w:rFonts w:ascii="Times New Roman" w:hAnsi="Times New Roman" w:cs="Times New Roman" w:eastAsia="Times New Roman" w:hint="default"/>
                <w:spacing w:val="-5"/>
                <w:sz w:val="18"/>
                <w:szCs w:val="18"/>
              </w:rPr>
              <w:t>b</w:t>
            </w:r>
            <w:r>
              <w:rPr>
                <w:rFonts w:ascii="宋体" w:hAnsi="宋体" w:cs="宋体" w:eastAsia="宋体" w:hint="default"/>
                <w:spacing w:val="-5"/>
                <w:sz w:val="18"/>
                <w:szCs w:val="18"/>
              </w:rPr>
              <w:t>、未依程序及授权办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理，造成较大损失的； </w:t>
            </w:r>
            <w:r>
              <w:rPr>
                <w:rFonts w:ascii="Times New Roman" w:hAnsi="Times New Roman" w:cs="Times New Roman" w:eastAsia="Times New Roman" w:hint="default"/>
                <w:spacing w:val="-5"/>
                <w:sz w:val="18"/>
                <w:szCs w:val="18"/>
              </w:rPr>
              <w:t>c</w:t>
            </w:r>
            <w:r>
              <w:rPr>
                <w:rFonts w:ascii="宋体" w:hAnsi="宋体" w:cs="宋体" w:eastAsia="宋体" w:hint="default"/>
                <w:spacing w:val="-5"/>
                <w:sz w:val="18"/>
                <w:szCs w:val="18"/>
              </w:rPr>
              <w:t>、媒体出现</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5"/>
                <w:sz w:val="18"/>
                <w:szCs w:val="18"/>
              </w:rPr>
              <w:t>持续时间较长的负面新闻，波及局部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区域； </w:t>
            </w:r>
            <w:r>
              <w:rPr>
                <w:rFonts w:ascii="Times New Roman" w:hAnsi="Times New Roman" w:cs="Times New Roman" w:eastAsia="Times New Roman" w:hint="default"/>
                <w:spacing w:val="-4"/>
                <w:sz w:val="18"/>
                <w:szCs w:val="18"/>
              </w:rPr>
              <w:t>d</w:t>
            </w:r>
            <w:r>
              <w:rPr>
                <w:rFonts w:ascii="宋体" w:hAnsi="宋体" w:cs="宋体" w:eastAsia="宋体" w:hint="default"/>
                <w:spacing w:val="-4"/>
                <w:sz w:val="18"/>
                <w:szCs w:val="18"/>
              </w:rPr>
              <w:t>、公司重要业务制度或系统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存在缺陷；</w:t>
            </w:r>
            <w:r>
              <w:rPr>
                <w:rFonts w:ascii="宋体" w:hAnsi="宋体" w:cs="宋体" w:eastAsia="宋体" w:hint="default"/>
                <w:spacing w:val="-38"/>
                <w:sz w:val="18"/>
                <w:szCs w:val="18"/>
              </w:rPr>
              <w:t> </w:t>
            </w:r>
            <w:r>
              <w:rPr>
                <w:rFonts w:ascii="Times New Roman" w:hAnsi="Times New Roman" w:cs="Times New Roman" w:eastAsia="Times New Roman" w:hint="default"/>
                <w:spacing w:val="-8"/>
                <w:sz w:val="18"/>
                <w:szCs w:val="18"/>
              </w:rPr>
              <w:t>e</w:t>
            </w:r>
            <w:r>
              <w:rPr>
                <w:rFonts w:ascii="宋体" w:hAnsi="宋体" w:cs="宋体" w:eastAsia="宋体" w:hint="default"/>
                <w:spacing w:val="-8"/>
                <w:sz w:val="18"/>
                <w:szCs w:val="18"/>
              </w:rPr>
              <w:t>、重要管理台账未建立，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重要资料未有效归档备查。（</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）一</w:t>
            </w:r>
            <w:r>
              <w:rPr>
                <w:rFonts w:ascii="宋体" w:hAnsi="宋体" w:cs="宋体" w:eastAsia="宋体" w:hint="default"/>
                <w:spacing w:val="-45"/>
                <w:sz w:val="18"/>
                <w:szCs w:val="18"/>
              </w:rPr>
              <w:t> </w:t>
            </w:r>
            <w:r>
              <w:rPr>
                <w:rFonts w:ascii="宋体" w:hAnsi="宋体" w:cs="宋体" w:eastAsia="宋体" w:hint="default"/>
                <w:spacing w:val="-5"/>
                <w:sz w:val="18"/>
                <w:szCs w:val="18"/>
              </w:rPr>
              <w:t>般缺陷：除重大缺陷和重要缺陷之外</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的缺陷。</w:t>
            </w:r>
          </w:p>
        </w:tc>
      </w:tr>
      <w:tr>
        <w:trPr>
          <w:trHeight w:val="3519"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106" w:right="41"/>
              <w:jc w:val="left"/>
              <w:rPr>
                <w:rFonts w:ascii="宋体" w:hAnsi="宋体" w:cs="宋体" w:eastAsia="宋体" w:hint="default"/>
                <w:sz w:val="18"/>
                <w:szCs w:val="18"/>
              </w:rPr>
            </w:pPr>
            <w:r>
              <w:rPr>
                <w:rFonts w:ascii="宋体" w:hAnsi="宋体" w:cs="宋体" w:eastAsia="宋体" w:hint="default"/>
                <w:spacing w:val="-3"/>
                <w:sz w:val="18"/>
                <w:szCs w:val="18"/>
              </w:rPr>
              <w:t>收入潜在错报：重大缺陷大于等于营业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收入的</w:t>
            </w:r>
            <w:r>
              <w:rPr>
                <w:rFonts w:ascii="宋体" w:hAnsi="宋体" w:cs="宋体" w:eastAsia="宋体" w:hint="default"/>
                <w:spacing w:val="-29"/>
                <w:sz w:val="18"/>
                <w:szCs w:val="18"/>
              </w:rPr>
              <w:t>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；重要缺陷大于等于营业收入</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，小于营业收入的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；一般缺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陷小于营业收入的</w:t>
            </w:r>
            <w:r>
              <w:rPr>
                <w:rFonts w:ascii="宋体" w:hAnsi="宋体" w:cs="宋体" w:eastAsia="宋体" w:hint="default"/>
                <w:spacing w:val="-35"/>
                <w:sz w:val="18"/>
                <w:szCs w:val="18"/>
              </w:rPr>
              <w:t> </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。利润表潜在错</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报：重大缺陷大于等于利润总额的</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重要缺陷大于等于利润总额的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，小于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利润总额的</w:t>
            </w:r>
            <w:r>
              <w:rPr>
                <w:rFonts w:ascii="宋体" w:hAnsi="宋体" w:cs="宋体" w:eastAsia="宋体" w:hint="default"/>
                <w:spacing w:val="-30"/>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；一般缺陷小于利润总额</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的</w:t>
            </w:r>
            <w:r>
              <w:rPr>
                <w:rFonts w:ascii="宋体" w:hAnsi="宋体" w:cs="宋体" w:eastAsia="宋体" w:hint="default"/>
                <w:spacing w:val="-30"/>
                <w:sz w:val="18"/>
                <w:szCs w:val="18"/>
              </w:rPr>
              <w:t> </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。资产潜在错报：重大缺陷大于等</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于资产总额的</w:t>
            </w:r>
            <w:r>
              <w:rPr>
                <w:rFonts w:ascii="宋体" w:hAnsi="宋体" w:cs="宋体" w:eastAsia="宋体" w:hint="default"/>
                <w:spacing w:val="-32"/>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；重要缺陷大于等于资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，小于资产总额的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83"/>
                <w:sz w:val="18"/>
                <w:szCs w:val="18"/>
              </w:rPr>
              <w:t> </w:t>
            </w:r>
            <w:r>
              <w:rPr>
                <w:rFonts w:ascii="宋体" w:hAnsi="宋体" w:cs="宋体" w:eastAsia="宋体" w:hint="default"/>
                <w:sz w:val="18"/>
                <w:szCs w:val="18"/>
              </w:rPr>
              <w:t>一般缺陷小于资产总额的</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4" w:lineRule="auto"/>
              <w:ind w:left="100" w:right="17"/>
              <w:jc w:val="left"/>
              <w:rPr>
                <w:rFonts w:ascii="宋体" w:hAnsi="宋体" w:cs="宋体" w:eastAsia="宋体" w:hint="default"/>
                <w:sz w:val="18"/>
                <w:szCs w:val="18"/>
              </w:rPr>
            </w:pPr>
            <w:r>
              <w:rPr>
                <w:rFonts w:ascii="宋体" w:hAnsi="宋体" w:cs="宋体" w:eastAsia="宋体" w:hint="default"/>
                <w:spacing w:val="-5"/>
                <w:sz w:val="18"/>
                <w:szCs w:val="18"/>
              </w:rPr>
              <w:t>利润潜在错报：重大缺陷大于等于利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润总额的</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；重要缺陷大于等于利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润总额的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，小于利润总额的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一般缺陷小于利润总额的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。资产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潜在错报：重大缺陷大于等于资产总</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额的</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；重要缺陷大于等于资产总</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额的</w:t>
            </w:r>
            <w:r>
              <w:rPr>
                <w:rFonts w:ascii="宋体" w:hAnsi="宋体" w:cs="宋体" w:eastAsia="宋体" w:hint="default"/>
                <w:spacing w:val="-36"/>
                <w:sz w:val="18"/>
                <w:szCs w:val="18"/>
              </w:rPr>
              <w:t> </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，小于资产总额的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；一</w:t>
            </w:r>
            <w:r>
              <w:rPr>
                <w:rFonts w:ascii="宋体" w:hAnsi="宋体" w:cs="宋体" w:eastAsia="宋体" w:hint="default"/>
                <w:spacing w:val="-61"/>
                <w:sz w:val="18"/>
                <w:szCs w:val="18"/>
              </w:rPr>
              <w:t> </w:t>
            </w:r>
            <w:r>
              <w:rPr>
                <w:rFonts w:ascii="宋体" w:hAnsi="宋体" w:cs="宋体" w:eastAsia="宋体" w:hint="default"/>
                <w:sz w:val="18"/>
                <w:szCs w:val="18"/>
              </w:rPr>
              <w:t>般缺陷小于资产总额的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153" w:right="0"/>
        <w:jc w:val="left"/>
      </w:pPr>
      <w:r>
        <w:rPr/>
        <w:t>不适用</w:t>
      </w:r>
    </w:p>
    <w:p>
      <w:pPr>
        <w:spacing w:after="0" w:line="240" w:lineRule="auto"/>
        <w:jc w:val="left"/>
        <w:sectPr>
          <w:pgSz w:w="11910" w:h="16840"/>
          <w:pgMar w:header="0" w:footer="1022" w:top="112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spacing w:line="240" w:lineRule="auto"/>
        <w:ind w:left="3043" w:right="0"/>
        <w:jc w:val="left"/>
        <w:rPr>
          <w:b w:val="0"/>
          <w:bCs w:val="0"/>
        </w:rPr>
      </w:pPr>
      <w:bookmarkStart w:name="第十一节公司债券相关情况" w:id="152"/>
      <w:bookmarkEnd w:id="152"/>
      <w:r>
        <w:rPr>
          <w:b w:val="0"/>
          <w:bCs w:val="0"/>
        </w:rPr>
      </w:r>
      <w:bookmarkStart w:name="_bookmark10" w:id="153"/>
      <w:bookmarkEnd w:id="153"/>
      <w:r>
        <w:rPr>
          <w:b w:val="0"/>
          <w:bCs w:val="0"/>
        </w:rPr>
      </w:r>
      <w:r>
        <w:rPr/>
        <w:t>第十一节公司债券相关情况</w:t>
      </w:r>
      <w:r>
        <w:rPr>
          <w:b w:val="0"/>
          <w:bCs w:val="0"/>
        </w:rPr>
      </w:r>
    </w:p>
    <w:p>
      <w:pPr>
        <w:spacing w:line="240" w:lineRule="auto" w:before="12"/>
        <w:rPr>
          <w:rFonts w:ascii="宋体" w:hAnsi="宋体" w:cs="宋体" w:eastAsia="宋体" w:hint="default"/>
          <w:b/>
          <w:bCs/>
          <w:sz w:val="42"/>
          <w:szCs w:val="42"/>
        </w:rPr>
      </w:pPr>
    </w:p>
    <w:p>
      <w:pPr>
        <w:pStyle w:val="BodyText"/>
        <w:spacing w:line="434" w:lineRule="auto"/>
        <w:ind w:left="153" w:right="2115"/>
        <w:jc w:val="left"/>
      </w:pPr>
      <w:r>
        <w:rPr>
          <w:spacing w:val="-3"/>
        </w:rPr>
        <w:t>公司是否存在公开发行并在证券交易所上市，且在年度报告批准报出日未到期或到期未能全额兑付的公司债券</w:t>
      </w:r>
      <w:r>
        <w:rPr>
          <w:spacing w:val="49"/>
        </w:rPr>
        <w:t> </w:t>
      </w:r>
      <w:r>
        <w:rPr>
          <w:spacing w:val="49"/>
        </w:rPr>
      </w:r>
      <w:r>
        <w:rPr/>
        <w:t>否</w:t>
      </w:r>
    </w:p>
    <w:p>
      <w:pPr>
        <w:spacing w:after="0" w:line="434" w:lineRule="auto"/>
        <w:jc w:val="left"/>
        <w:sectPr>
          <w:pgSz w:w="11910" w:h="16840"/>
          <w:pgMar w:header="0" w:footer="1022" w:top="1120" w:bottom="122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1"/>
        <w:spacing w:line="240" w:lineRule="auto"/>
        <w:ind w:left="3606" w:right="0"/>
        <w:jc w:val="left"/>
        <w:rPr>
          <w:b w:val="0"/>
          <w:bCs w:val="0"/>
        </w:rPr>
      </w:pPr>
      <w:bookmarkStart w:name="第十二节 财务报告" w:id="154"/>
      <w:bookmarkEnd w:id="154"/>
      <w:r>
        <w:rPr>
          <w:b w:val="0"/>
          <w:bCs w:val="0"/>
        </w:rPr>
      </w:r>
      <w:bookmarkStart w:name="_bookmark11" w:id="155"/>
      <w:bookmarkEnd w:id="155"/>
      <w:r>
        <w:rPr>
          <w:b w:val="0"/>
          <w:bCs w:val="0"/>
        </w:rPr>
      </w:r>
      <w:r>
        <w:rPr/>
        <w:t>第十二节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pStyle w:val="Heading2"/>
        <w:spacing w:line="240" w:lineRule="auto" w:before="205"/>
        <w:ind w:right="0"/>
        <w:jc w:val="left"/>
        <w:rPr>
          <w:b w:val="0"/>
          <w:bCs w:val="0"/>
        </w:rPr>
      </w:pPr>
      <w:bookmarkStart w:name="一、审计报告" w:id="156"/>
      <w:bookmarkEnd w:id="156"/>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德勤华永会计师事务所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特殊普通合伙</w:t>
            </w:r>
            <w:r>
              <w:rPr>
                <w:rFonts w:ascii="Times New Roman" w:hAnsi="Times New Roman" w:cs="Times New Roman" w:eastAsia="Times New Roman" w:hint="default"/>
                <w:spacing w:val="-3"/>
                <w:sz w:val="18"/>
                <w:szCs w:val="18"/>
              </w:rPr>
              <w:t>)</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德师报</w:t>
            </w:r>
            <w:r>
              <w:rPr>
                <w:rFonts w:ascii="Times New Roman" w:hAnsi="Times New Roman" w:cs="Times New Roman" w:eastAsia="Times New Roman" w:hint="default"/>
                <w:sz w:val="18"/>
                <w:szCs w:val="18"/>
              </w:rPr>
              <w:t>(</w:t>
            </w:r>
            <w:r>
              <w:rPr>
                <w:rFonts w:ascii="宋体" w:hAnsi="宋体" w:cs="宋体" w:eastAsia="宋体" w:hint="default"/>
                <w:sz w:val="18"/>
                <w:szCs w:val="18"/>
              </w:rPr>
              <w:t>审</w:t>
            </w:r>
            <w:r>
              <w:rPr>
                <w:rFonts w:ascii="Times New Roman" w:hAnsi="Times New Roman" w:cs="Times New Roman" w:eastAsia="Times New Roman" w:hint="default"/>
                <w:sz w:val="18"/>
                <w:szCs w:val="18"/>
              </w:rPr>
              <w:t>)</w:t>
            </w:r>
            <w:r>
              <w:rPr>
                <w:rFonts w:ascii="宋体" w:hAnsi="宋体" w:cs="宋体" w:eastAsia="宋体" w:hint="default"/>
                <w:sz w:val="18"/>
                <w:szCs w:val="18"/>
              </w:rPr>
              <w:t>字</w:t>
            </w:r>
            <w:r>
              <w:rPr>
                <w:rFonts w:ascii="Times New Roman" w:hAnsi="Times New Roman" w:cs="Times New Roman" w:eastAsia="Times New Roman" w:hint="default"/>
                <w:sz w:val="18"/>
                <w:szCs w:val="18"/>
              </w:rPr>
              <w:t>(20)</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P02672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童传江、高天福</w:t>
            </w:r>
          </w:p>
        </w:tc>
      </w:tr>
    </w:tbl>
    <w:p>
      <w:pPr>
        <w:spacing w:after="0" w:line="240" w:lineRule="auto"/>
        <w:jc w:val="left"/>
        <w:rPr>
          <w:rFonts w:ascii="宋体" w:hAnsi="宋体" w:cs="宋体" w:eastAsia="宋体" w:hint="default"/>
          <w:sz w:val="18"/>
          <w:szCs w:val="18"/>
        </w:rPr>
        <w:sectPr>
          <w:pgSz w:w="11910" w:h="16840"/>
          <w:pgMar w:header="0" w:footer="1022" w:top="1120" w:bottom="1220" w:left="980" w:right="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8"/>
          <w:szCs w:val="18"/>
        </w:rPr>
      </w:pPr>
    </w:p>
    <w:p>
      <w:pPr>
        <w:pStyle w:val="BodyText"/>
        <w:spacing w:line="316" w:lineRule="auto"/>
        <w:ind w:left="153" w:right="0"/>
        <w:jc w:val="left"/>
      </w:pPr>
      <w:r>
        <w:rPr>
          <w:spacing w:val="-3"/>
        </w:rPr>
        <w:t>二六三网络通信股份有限公司全体股东：</w:t>
      </w:r>
      <w:r>
        <w:rPr>
          <w:spacing w:val="-33"/>
        </w:rPr>
        <w:t> </w:t>
      </w:r>
      <w:r>
        <w:rPr>
          <w:spacing w:val="-33"/>
        </w:rPr>
      </w:r>
      <w:r>
        <w:rPr/>
        <w:t>一、审计意见</w:t>
      </w:r>
    </w:p>
    <w:p>
      <w:pPr>
        <w:pStyle w:val="BodyText"/>
        <w:spacing w:line="240" w:lineRule="auto" w:before="53"/>
        <w:ind w:left="153" w:right="-3"/>
        <w:jc w:val="left"/>
      </w:pPr>
      <w:r>
        <w:rPr>
          <w:spacing w:val="-2"/>
        </w:rPr>
        <w:br w:type="column"/>
      </w:r>
      <w:r>
        <w:rPr>
          <w:spacing w:val="-2"/>
        </w:rPr>
        <w:t>审计报告正文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pStyle w:val="BodyText"/>
        <w:spacing w:line="240" w:lineRule="auto"/>
        <w:ind w:left="153" w:right="0"/>
        <w:jc w:val="left"/>
      </w:pPr>
      <w:r>
        <w:rPr/>
        <w:t>德师报</w:t>
      </w:r>
      <w:r>
        <w:rPr>
          <w:rFonts w:ascii="Times New Roman" w:hAnsi="Times New Roman" w:cs="Times New Roman" w:eastAsia="Times New Roman" w:hint="default"/>
        </w:rPr>
        <w:t>(</w:t>
      </w:r>
      <w:r>
        <w:rPr/>
        <w:t>审</w:t>
      </w:r>
      <w:r>
        <w:rPr>
          <w:rFonts w:ascii="Times New Roman" w:hAnsi="Times New Roman" w:cs="Times New Roman" w:eastAsia="Times New Roman" w:hint="default"/>
        </w:rPr>
        <w:t>)</w:t>
      </w:r>
      <w:r>
        <w:rPr/>
        <w:t>字</w:t>
      </w:r>
      <w:r>
        <w:rPr>
          <w:rFonts w:ascii="Times New Roman" w:hAnsi="Times New Roman" w:cs="Times New Roman" w:eastAsia="Times New Roman" w:hint="default"/>
        </w:rPr>
        <w:t>(20)</w:t>
      </w:r>
      <w:r>
        <w:rPr/>
        <w:t>第</w:t>
      </w:r>
      <w:r>
        <w:rPr>
          <w:rFonts w:ascii="Times New Roman" w:hAnsi="Times New Roman" w:cs="Times New Roman" w:eastAsia="Times New Roman" w:hint="default"/>
        </w:rPr>
        <w:t>P02672</w:t>
      </w:r>
      <w:r>
        <w:rPr/>
        <w:t>号</w:t>
      </w:r>
    </w:p>
    <w:p>
      <w:pPr>
        <w:spacing w:after="0" w:line="240" w:lineRule="auto"/>
        <w:jc w:val="left"/>
        <w:sectPr>
          <w:type w:val="continuous"/>
          <w:pgSz w:w="11910" w:h="16840"/>
          <w:pgMar w:top="1100" w:bottom="1220" w:left="980" w:right="0"/>
          <w:cols w:num="3" w:equalWidth="0">
            <w:col w:w="3399" w:space="879"/>
            <w:col w:w="1239" w:space="1777"/>
            <w:col w:w="3636"/>
          </w:cols>
        </w:sectPr>
      </w:pPr>
    </w:p>
    <w:p>
      <w:pPr>
        <w:pStyle w:val="BodyText"/>
        <w:spacing w:line="300" w:lineRule="auto" w:before="19"/>
        <w:ind w:left="153" w:right="1132" w:firstLine="360"/>
        <w:jc w:val="both"/>
      </w:pPr>
      <w:r>
        <w:rPr>
          <w:spacing w:val="-3"/>
        </w:rPr>
        <w:t>我们审计了后附的二六三网络通信股份有限公司</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二六三</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spacing w:val="-3"/>
        </w:rPr>
        <w:t>的财务报表，包括</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日的合并及母公司</w:t>
      </w:r>
      <w:r>
        <w:rPr>
          <w:w w:val="101"/>
        </w:rPr>
        <w:t> </w:t>
      </w:r>
      <w:r>
        <w:rPr>
          <w:spacing w:val="-4"/>
        </w:rPr>
        <w:t>资产负债表，</w:t>
      </w:r>
      <w:r>
        <w:rPr>
          <w:rFonts w:ascii="Times New Roman" w:hAnsi="Times New Roman" w:cs="Times New Roman" w:eastAsia="Times New Roman" w:hint="default"/>
          <w:spacing w:val="-4"/>
        </w:rPr>
        <w:t>2019</w:t>
      </w:r>
      <w:r>
        <w:rPr>
          <w:spacing w:val="-4"/>
        </w:rPr>
        <w:t>年度的合并及母公司利润表、合并及母公司现金流量表、合并及母公司股东权益变动表以及相关财务报表</w:t>
      </w:r>
      <w:r>
        <w:rPr>
          <w:spacing w:val="41"/>
        </w:rPr>
        <w:t> </w:t>
      </w:r>
      <w:r>
        <w:rPr>
          <w:spacing w:val="41"/>
        </w:rPr>
      </w:r>
      <w:r>
        <w:rPr/>
        <w:t>附注。</w:t>
      </w:r>
    </w:p>
    <w:p>
      <w:pPr>
        <w:pStyle w:val="BodyText"/>
        <w:spacing w:line="300" w:lineRule="auto" w:before="32"/>
        <w:ind w:left="153" w:right="1131" w:firstLine="273"/>
        <w:jc w:val="both"/>
      </w:pPr>
      <w:r>
        <w:rPr>
          <w:spacing w:val="-3"/>
        </w:rPr>
        <w:t>我们认为，后附的财务报表在所有重大方面按照企业会计准则的规定编制，公允反映了二六三</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日的合并及</w:t>
      </w:r>
      <w:r>
        <w:rPr>
          <w:w w:val="101"/>
        </w:rPr>
        <w:t> </w:t>
      </w:r>
      <w:r>
        <w:rPr>
          <w:spacing w:val="-3"/>
        </w:rPr>
        <w:t>母公司财务状况以及</w:t>
      </w:r>
      <w:r>
        <w:rPr>
          <w:rFonts w:ascii="Times New Roman" w:hAnsi="Times New Roman" w:cs="Times New Roman" w:eastAsia="Times New Roman" w:hint="default"/>
          <w:spacing w:val="-3"/>
        </w:rPr>
        <w:t>2019</w:t>
      </w:r>
      <w:r>
        <w:rPr>
          <w:spacing w:val="-3"/>
        </w:rPr>
        <w:t>年度的合并及母公司经营成果和合并及母公司现金流量。</w:t>
      </w:r>
    </w:p>
    <w:p>
      <w:pPr>
        <w:pStyle w:val="BodyText"/>
        <w:spacing w:line="316" w:lineRule="auto" w:before="13"/>
        <w:ind w:left="426" w:right="0" w:hanging="274"/>
        <w:jc w:val="left"/>
      </w:pPr>
      <w:r>
        <w:rPr>
          <w:spacing w:val="-3"/>
        </w:rPr>
        <w:t>二、形成审计意见的基础</w:t>
      </w:r>
      <w:r>
        <w:rPr>
          <w:spacing w:val="-56"/>
        </w:rPr>
        <w:t> </w:t>
      </w:r>
      <w:r>
        <w:rPr>
          <w:spacing w:val="-56"/>
        </w:rPr>
      </w:r>
      <w:r>
        <w:rPr>
          <w:spacing w:val="-3"/>
        </w:rPr>
        <w:t>我们按照中国注册会计师审计准则的规定执行了审计工作。审计报告的</w:t>
      </w:r>
      <w:r>
        <w:rPr>
          <w:rFonts w:ascii="Times New Roman" w:hAnsi="Times New Roman" w:cs="Times New Roman" w:eastAsia="Times New Roman" w:hint="default"/>
          <w:spacing w:val="-3"/>
        </w:rPr>
        <w:t>“</w:t>
      </w:r>
      <w:r>
        <w:rPr>
          <w:spacing w:val="-3"/>
        </w:rPr>
        <w:t>注册会计师对财务报表审计的责任</w:t>
      </w:r>
      <w:r>
        <w:rPr>
          <w:rFonts w:ascii="Times New Roman" w:hAnsi="Times New Roman" w:cs="Times New Roman" w:eastAsia="Times New Roman" w:hint="default"/>
          <w:spacing w:val="-3"/>
        </w:rPr>
        <w:t>”</w:t>
      </w:r>
      <w:r>
        <w:rPr>
          <w:spacing w:val="-3"/>
        </w:rPr>
        <w:t>部分进一步</w:t>
      </w:r>
    </w:p>
    <w:p>
      <w:pPr>
        <w:pStyle w:val="BodyText"/>
        <w:spacing w:line="319" w:lineRule="auto"/>
        <w:ind w:left="153" w:right="0"/>
        <w:jc w:val="left"/>
      </w:pPr>
      <w:r>
        <w:rPr>
          <w:spacing w:val="-5"/>
        </w:rPr>
        <w:t>阐述了我们在这些准则下的责任。按照中国注册会计师职业道德守则，我们独立于二六三，并履行了职业道德方面的其他责</w:t>
      </w:r>
      <w:r>
        <w:rPr>
          <w:spacing w:val="2"/>
        </w:rPr>
        <w:t> </w:t>
      </w:r>
      <w:r>
        <w:rPr>
          <w:spacing w:val="2"/>
        </w:rPr>
      </w:r>
      <w:r>
        <w:rPr>
          <w:spacing w:val="-3"/>
        </w:rPr>
        <w:t>任。我们相信，我们获取的审计证据是充分、适当的，为发表审计意见提供了基础。</w:t>
      </w:r>
    </w:p>
    <w:p>
      <w:pPr>
        <w:pStyle w:val="BodyText"/>
        <w:spacing w:line="316" w:lineRule="auto" w:before="17"/>
        <w:ind w:left="426" w:right="1029" w:hanging="274"/>
        <w:jc w:val="left"/>
      </w:pPr>
      <w:r>
        <w:rPr/>
        <w:t>三、关键审计事项</w:t>
      </w:r>
      <w:r>
        <w:rPr>
          <w:spacing w:val="-86"/>
        </w:rPr>
        <w:t> </w:t>
      </w:r>
      <w:r>
        <w:rPr>
          <w:spacing w:val="-86"/>
        </w:rPr>
      </w:r>
      <w:r>
        <w:rPr>
          <w:spacing w:val="-3"/>
        </w:rPr>
        <w:t>关键审计事项是我们根据职业判断，认为对本年度财务报表审计最为重要的事项。这些事项的应对以对财务报表整体进</w:t>
      </w:r>
    </w:p>
    <w:p>
      <w:pPr>
        <w:pStyle w:val="BodyText"/>
        <w:spacing w:line="316" w:lineRule="auto" w:before="19"/>
        <w:ind w:left="153" w:right="1029"/>
        <w:jc w:val="left"/>
      </w:pPr>
      <w:r>
        <w:rPr>
          <w:spacing w:val="-5"/>
        </w:rPr>
        <w:t>行审计并形成审计意见为背景，我们不对这些事项单独发表意见。我们确定下列事项是需要在审计报告中沟通的关键审计事</w:t>
      </w:r>
      <w:r>
        <w:rPr>
          <w:spacing w:val="3"/>
        </w:rPr>
        <w:t> </w:t>
      </w:r>
      <w:r>
        <w:rPr>
          <w:spacing w:val="3"/>
        </w:rPr>
      </w:r>
      <w:r>
        <w:rPr/>
        <w:t>项。</w:t>
      </w:r>
    </w:p>
    <w:p>
      <w:pPr>
        <w:pStyle w:val="BodyText"/>
        <w:spacing w:line="240" w:lineRule="auto" w:before="19"/>
        <w:ind w:left="513" w:right="0"/>
        <w:jc w:val="left"/>
      </w:pPr>
      <w:r>
        <w:rPr>
          <w:w w:val="101"/>
        </w:rPr>
      </w:r>
      <w:r>
        <w:rPr>
          <w:u w:val="single" w:color="000000"/>
        </w:rPr>
        <w:t>商誉减值</w:t>
      </w:r>
      <w:r>
        <w:rPr/>
      </w:r>
    </w:p>
    <w:p>
      <w:pPr>
        <w:pStyle w:val="BodyText"/>
        <w:spacing w:line="240" w:lineRule="auto" w:before="77"/>
        <w:ind w:left="518" w:right="0"/>
        <w:jc w:val="left"/>
      </w:pPr>
      <w:r>
        <w:rPr>
          <w:rFonts w:ascii="Times New Roman" w:hAnsi="Times New Roman" w:cs="Times New Roman" w:eastAsia="Times New Roman" w:hint="default"/>
          <w:spacing w:val="-3"/>
        </w:rPr>
        <w:t>1.</w:t>
      </w:r>
      <w:r>
        <w:rPr>
          <w:spacing w:val="-3"/>
        </w:rPr>
        <w:t>事项描述</w:t>
      </w:r>
    </w:p>
    <w:p>
      <w:pPr>
        <w:pStyle w:val="BodyText"/>
        <w:spacing w:line="309" w:lineRule="auto" w:before="63"/>
        <w:ind w:left="153" w:right="1132" w:firstLine="360"/>
        <w:jc w:val="both"/>
      </w:pPr>
      <w:r>
        <w:rPr>
          <w:spacing w:val="8"/>
        </w:rPr>
        <w:t>如财务报表附注七、</w:t>
      </w:r>
      <w:r>
        <w:rPr>
          <w:rFonts w:ascii="Times New Roman" w:hAnsi="Times New Roman" w:cs="Times New Roman" w:eastAsia="Times New Roman" w:hint="default"/>
          <w:spacing w:val="8"/>
        </w:rPr>
        <w:t>16</w:t>
      </w:r>
      <w:r>
        <w:rPr>
          <w:spacing w:val="8"/>
        </w:rPr>
        <w:t>所示，截至</w:t>
      </w:r>
      <w:r>
        <w:rPr>
          <w:rFonts w:ascii="Times New Roman" w:hAnsi="Times New Roman" w:cs="Times New Roman" w:eastAsia="Times New Roman" w:hint="default"/>
          <w:spacing w:val="8"/>
        </w:rPr>
        <w:t>2019</w:t>
      </w:r>
      <w:r>
        <w:rPr>
          <w:spacing w:val="8"/>
        </w:rPr>
        <w:t>年</w:t>
      </w:r>
      <w:r>
        <w:rPr>
          <w:rFonts w:ascii="Times New Roman" w:hAnsi="Times New Roman" w:cs="Times New Roman" w:eastAsia="Times New Roman" w:hint="default"/>
          <w:spacing w:val="8"/>
        </w:rPr>
        <w:t>12</w:t>
      </w:r>
      <w:r>
        <w:rPr>
          <w:spacing w:val="8"/>
        </w:rPr>
        <w:t>月</w:t>
      </w:r>
      <w:r>
        <w:rPr>
          <w:rFonts w:ascii="Times New Roman" w:hAnsi="Times New Roman" w:cs="Times New Roman" w:eastAsia="Times New Roman" w:hint="default"/>
          <w:spacing w:val="8"/>
        </w:rPr>
        <w:t>31</w:t>
      </w:r>
      <w:r>
        <w:rPr>
          <w:spacing w:val="8"/>
        </w:rPr>
        <w:t>日，二六三商誉账面原值扣除累计减值准备后的净值为人民币</w:t>
      </w:r>
      <w:r>
        <w:rPr>
          <w:w w:val="101"/>
        </w:rPr>
        <w:t> </w:t>
      </w:r>
      <w:r>
        <w:rPr>
          <w:rFonts w:ascii="Times New Roman" w:hAnsi="Times New Roman" w:cs="Times New Roman" w:eastAsia="Times New Roman" w:hint="default"/>
        </w:rPr>
        <w:t>1,034,080,848.65 </w:t>
      </w:r>
      <w:r>
        <w:rPr>
          <w:spacing w:val="-3"/>
        </w:rPr>
        <w:t>元，对财务报表整体具有重要性。如财务报表附注五、</w:t>
      </w:r>
      <w:r>
        <w:rPr>
          <w:rFonts w:ascii="Times New Roman" w:hAnsi="Times New Roman" w:cs="Times New Roman" w:eastAsia="Times New Roman" w:hint="default"/>
          <w:spacing w:val="-3"/>
        </w:rPr>
        <w:t>17</w:t>
      </w:r>
      <w:r>
        <w:rPr>
          <w:spacing w:val="-3"/>
        </w:rPr>
        <w:t>、附注五、</w:t>
      </w:r>
      <w:r>
        <w:rPr>
          <w:rFonts w:ascii="Times New Roman" w:hAnsi="Times New Roman" w:cs="Times New Roman" w:eastAsia="Times New Roman" w:hint="default"/>
          <w:spacing w:val="-3"/>
        </w:rPr>
        <w:t>26</w:t>
      </w:r>
      <w:r>
        <w:rPr>
          <w:spacing w:val="-3"/>
        </w:rPr>
        <w:t>及附注七、</w:t>
      </w:r>
      <w:r>
        <w:rPr>
          <w:rFonts w:ascii="Times New Roman" w:hAnsi="Times New Roman" w:cs="Times New Roman" w:eastAsia="Times New Roman" w:hint="default"/>
          <w:spacing w:val="-3"/>
        </w:rPr>
        <w:t>16(3)</w:t>
      </w:r>
      <w:r>
        <w:rPr>
          <w:spacing w:val="-3"/>
        </w:rPr>
        <w:t>所述，企业合并形</w:t>
      </w:r>
      <w:r>
        <w:rPr>
          <w:spacing w:val="-63"/>
        </w:rPr>
        <w:t> </w:t>
      </w:r>
      <w:r>
        <w:rPr>
          <w:spacing w:val="-63"/>
        </w:rPr>
      </w:r>
      <w:r>
        <w:rPr>
          <w:spacing w:val="-5"/>
        </w:rPr>
        <w:t>成的商誉，二六三管理层须至少在每年年度终了进行减值测试，在进行减值测试时，二六三管理层需要预测相关资产组未来</w:t>
      </w:r>
      <w:r>
        <w:rPr>
          <w:spacing w:val="2"/>
        </w:rPr>
        <w:t> </w:t>
      </w:r>
      <w:r>
        <w:rPr>
          <w:spacing w:val="2"/>
        </w:rPr>
      </w:r>
      <w:r>
        <w:rPr>
          <w:spacing w:val="-5"/>
        </w:rPr>
        <w:t>现金流并合理确定恰当的折现率，因此涉及管理层运用重大会计估计和判断。考虑上述因素，我们将商誉减值识别为关键审</w:t>
      </w:r>
      <w:r>
        <w:rPr>
          <w:spacing w:val="2"/>
        </w:rPr>
        <w:t> </w:t>
      </w:r>
      <w:r>
        <w:rPr>
          <w:spacing w:val="2"/>
        </w:rPr>
      </w:r>
      <w:r>
        <w:rPr/>
        <w:t>计事项。</w:t>
      </w:r>
    </w:p>
    <w:p>
      <w:pPr>
        <w:pStyle w:val="BodyText"/>
        <w:spacing w:line="309" w:lineRule="auto" w:before="24"/>
        <w:ind w:left="513" w:right="5655" w:firstLine="4"/>
        <w:jc w:val="left"/>
      </w:pPr>
      <w:r>
        <w:rPr>
          <w:rFonts w:ascii="Times New Roman" w:hAnsi="Times New Roman" w:cs="Times New Roman" w:eastAsia="Times New Roman" w:hint="default"/>
          <w:spacing w:val="-3"/>
        </w:rPr>
        <w:t>2.</w:t>
      </w:r>
      <w:r>
        <w:rPr>
          <w:spacing w:val="-3"/>
        </w:rPr>
        <w:t>审计应对</w:t>
      </w:r>
      <w:r>
        <w:rPr>
          <w:spacing w:val="-78"/>
        </w:rPr>
        <w:t> </w:t>
      </w:r>
      <w:r>
        <w:rPr>
          <w:spacing w:val="-78"/>
        </w:rPr>
      </w:r>
      <w:r>
        <w:rPr>
          <w:spacing w:val="-3"/>
        </w:rPr>
        <w:t>我们针对商誉减值关键审计事项执行的主要审计程序包括：</w:t>
      </w:r>
      <w:r>
        <w:rPr>
          <w:spacing w:val="-15"/>
        </w:rPr>
        <w:t> </w:t>
      </w:r>
      <w:r>
        <w:rPr>
          <w:spacing w:val="-15"/>
        </w:rPr>
      </w:r>
      <w:r>
        <w:rPr>
          <w:rFonts w:ascii="Times New Roman" w:hAnsi="Times New Roman" w:cs="Times New Roman" w:eastAsia="Times New Roman" w:hint="default"/>
          <w:spacing w:val="-3"/>
        </w:rPr>
        <w:t>1</w:t>
      </w:r>
      <w:r>
        <w:rPr>
          <w:spacing w:val="-3"/>
        </w:rPr>
        <w:t>）评价和测试与商誉减值相关内部控制的设计与执行；</w:t>
      </w:r>
    </w:p>
    <w:p>
      <w:pPr>
        <w:pStyle w:val="BodyText"/>
        <w:spacing w:line="240" w:lineRule="auto" w:before="5"/>
        <w:ind w:left="518" w:right="0"/>
        <w:jc w:val="left"/>
      </w:pPr>
      <w:r>
        <w:rPr>
          <w:rFonts w:ascii="Times New Roman" w:hAnsi="Times New Roman" w:cs="Times New Roman" w:eastAsia="Times New Roman" w:hint="default"/>
          <w:spacing w:val="-3"/>
        </w:rPr>
        <w:t>2</w:t>
      </w:r>
      <w:r>
        <w:rPr>
          <w:spacing w:val="-3"/>
        </w:rPr>
        <w:t>）了解和评价管理层减值测试方法的适当性及是否一贯应用；</w:t>
      </w:r>
    </w:p>
    <w:p>
      <w:pPr>
        <w:pStyle w:val="BodyText"/>
        <w:spacing w:line="240" w:lineRule="auto" w:before="63"/>
        <w:ind w:left="518" w:right="0"/>
        <w:jc w:val="left"/>
      </w:pPr>
      <w:r>
        <w:rPr>
          <w:rFonts w:ascii="Times New Roman" w:hAnsi="Times New Roman" w:cs="Times New Roman" w:eastAsia="Times New Roman" w:hint="default"/>
          <w:spacing w:val="-3"/>
        </w:rPr>
        <w:t>3</w:t>
      </w:r>
      <w:r>
        <w:rPr>
          <w:spacing w:val="-3"/>
        </w:rPr>
        <w:t>）了解和评价管理层利用其估值专家工作的适当性；</w:t>
      </w:r>
    </w:p>
    <w:p>
      <w:pPr>
        <w:pStyle w:val="BodyText"/>
        <w:spacing w:line="300" w:lineRule="auto" w:before="63"/>
        <w:ind w:left="153" w:right="1128" w:firstLine="364"/>
        <w:jc w:val="both"/>
      </w:pPr>
      <w:r>
        <w:rPr>
          <w:rFonts w:ascii="Times New Roman" w:hAnsi="Times New Roman" w:cs="Times New Roman" w:eastAsia="Times New Roman" w:hint="default"/>
          <w:spacing w:val="-3"/>
        </w:rPr>
        <w:t>4</w:t>
      </w:r>
      <w:r>
        <w:rPr>
          <w:spacing w:val="-3"/>
        </w:rPr>
        <w:t>）通过对以前年度预测实际实现情况的追溯复核，以及与管理层讨论经审批的财务预算和商业计划，评价管理层预计</w:t>
      </w:r>
      <w:r>
        <w:rPr>
          <w:w w:val="101"/>
        </w:rPr>
        <w:t> </w:t>
      </w:r>
      <w:r>
        <w:rPr>
          <w:spacing w:val="-3"/>
        </w:rPr>
        <w:t>未来现金流量所使用关键假设包括预测年度及以后期间的增长率的合理性；</w:t>
      </w:r>
    </w:p>
    <w:p>
      <w:pPr>
        <w:pStyle w:val="BodyText"/>
        <w:spacing w:line="240" w:lineRule="auto" w:before="31"/>
        <w:ind w:left="518" w:right="0"/>
        <w:jc w:val="left"/>
      </w:pPr>
      <w:r>
        <w:rPr>
          <w:rFonts w:ascii="Times New Roman" w:hAnsi="Times New Roman" w:cs="Times New Roman" w:eastAsia="Times New Roman" w:hint="default"/>
          <w:spacing w:val="-3"/>
        </w:rPr>
        <w:t>5</w:t>
      </w:r>
      <w:r>
        <w:rPr>
          <w:spacing w:val="-3"/>
        </w:rPr>
        <w:t>）利用估值专家的工作评价管理层采用的减值测试模型及折现率的合理性；</w:t>
      </w:r>
    </w:p>
    <w:p>
      <w:pPr>
        <w:spacing w:after="0" w:line="240" w:lineRule="auto"/>
        <w:jc w:val="left"/>
        <w:sectPr>
          <w:type w:val="continuous"/>
          <w:pgSz w:w="11910" w:h="16840"/>
          <w:pgMar w:top="1100" w:bottom="1220" w:left="980" w:right="0"/>
        </w:sectPr>
      </w:pPr>
    </w:p>
    <w:p>
      <w:pPr>
        <w:spacing w:line="240" w:lineRule="auto" w:before="5"/>
        <w:rPr>
          <w:rFonts w:ascii="宋体" w:hAnsi="宋体" w:cs="宋体" w:eastAsia="宋体" w:hint="default"/>
          <w:sz w:val="20"/>
          <w:szCs w:val="20"/>
        </w:rPr>
      </w:pPr>
    </w:p>
    <w:p>
      <w:pPr>
        <w:pStyle w:val="BodyText"/>
        <w:spacing w:line="240" w:lineRule="auto" w:before="46"/>
        <w:ind w:left="518" w:right="0"/>
        <w:jc w:val="left"/>
      </w:pPr>
      <w:r>
        <w:rPr>
          <w:rFonts w:ascii="Times New Roman" w:hAnsi="Times New Roman" w:cs="Times New Roman" w:eastAsia="Times New Roman" w:hint="default"/>
          <w:spacing w:val="-3"/>
        </w:rPr>
        <w:t>6</w:t>
      </w:r>
      <w:r>
        <w:rPr>
          <w:spacing w:val="-3"/>
        </w:rPr>
        <w:t>）与管理层讨论关键假设相关变动的可能性，以评估管理层如何处理增长率和折现率等关键假设的不确定性；</w:t>
      </w:r>
    </w:p>
    <w:p>
      <w:pPr>
        <w:pStyle w:val="BodyText"/>
        <w:spacing w:line="300" w:lineRule="auto" w:before="63"/>
        <w:ind w:left="153" w:right="4481" w:firstLine="364"/>
        <w:jc w:val="left"/>
      </w:pPr>
      <w:r>
        <w:rPr>
          <w:rFonts w:ascii="Times New Roman" w:hAnsi="Times New Roman" w:cs="Times New Roman" w:eastAsia="Times New Roman" w:hint="default"/>
          <w:spacing w:val="-3"/>
        </w:rPr>
        <w:t>7</w:t>
      </w:r>
      <w:r>
        <w:rPr>
          <w:spacing w:val="-3"/>
        </w:rPr>
        <w:t>）执行重新计算程序，检查商誉减值测试模型的计算准确性。</w:t>
      </w:r>
      <w:r>
        <w:rPr>
          <w:w w:val="101"/>
        </w:rPr>
        <w:t> </w:t>
      </w:r>
      <w:r>
        <w:rPr/>
        <w:t>四、其他信息</w:t>
      </w:r>
    </w:p>
    <w:p>
      <w:pPr>
        <w:pStyle w:val="BodyText"/>
        <w:spacing w:line="300" w:lineRule="auto" w:before="32"/>
        <w:ind w:left="153" w:right="1029" w:firstLine="360"/>
        <w:jc w:val="left"/>
      </w:pPr>
      <w:r>
        <w:rPr>
          <w:spacing w:val="-4"/>
        </w:rPr>
        <w:t>二六三管理层对其他信息负责。其他信息包括二六三</w:t>
      </w:r>
      <w:r>
        <w:rPr>
          <w:rFonts w:ascii="Times New Roman" w:hAnsi="Times New Roman" w:cs="Times New Roman" w:eastAsia="Times New Roman" w:hint="default"/>
          <w:spacing w:val="-4"/>
        </w:rPr>
        <w:t>2019</w:t>
      </w:r>
      <w:r>
        <w:rPr>
          <w:spacing w:val="-4"/>
        </w:rPr>
        <w:t>年年度报告中涵盖的信息，但不包括财务报表和我们的审计报</w:t>
      </w:r>
      <w:r>
        <w:rPr>
          <w:w w:val="101"/>
        </w:rPr>
        <w:t> </w:t>
      </w:r>
      <w:r>
        <w:rPr/>
        <w:t>告。</w:t>
      </w:r>
    </w:p>
    <w:p>
      <w:pPr>
        <w:pStyle w:val="BodyText"/>
        <w:spacing w:line="316" w:lineRule="auto" w:before="31"/>
        <w:ind w:left="513" w:right="0"/>
        <w:jc w:val="left"/>
      </w:pPr>
      <w:r>
        <w:rPr>
          <w:spacing w:val="-3"/>
        </w:rPr>
        <w:t>我们对财务报表发表的审计意见不涵盖其他信息，我们也不对其他信息发表任何形式的鉴证结论。</w:t>
      </w:r>
      <w:r>
        <w:rPr>
          <w:spacing w:val="37"/>
        </w:rPr>
        <w:t> </w:t>
      </w:r>
      <w:r>
        <w:rPr>
          <w:spacing w:val="37"/>
        </w:rPr>
      </w:r>
      <w:r>
        <w:rPr>
          <w:spacing w:val="-4"/>
        </w:rPr>
        <w:t>结合我们对财务报表的审计，我们的责任是阅读其他信息，在此过程中，考虑其他信息是否与财务报表或我们在审计过</w:t>
      </w:r>
    </w:p>
    <w:p>
      <w:pPr>
        <w:pStyle w:val="BodyText"/>
        <w:spacing w:line="316" w:lineRule="auto" w:before="19"/>
        <w:ind w:left="513" w:right="0" w:hanging="360"/>
        <w:jc w:val="left"/>
      </w:pPr>
      <w:r>
        <w:rPr>
          <w:spacing w:val="-3"/>
        </w:rPr>
        <w:t>程中了解到的情况存在重大不一致或者似乎存在重大错报。</w:t>
      </w:r>
      <w:r>
        <w:rPr>
          <w:spacing w:val="-10"/>
        </w:rPr>
        <w:t> </w:t>
      </w:r>
      <w:r>
        <w:rPr>
          <w:spacing w:val="-10"/>
        </w:rPr>
      </w:r>
      <w:r>
        <w:rPr>
          <w:spacing w:val="-5"/>
        </w:rPr>
        <w:t>基于我们已执行的工作，如果我们确定其他信息存在重大错报，我们应当报告该事实。在这方面，我们无任何事项需要</w:t>
      </w:r>
    </w:p>
    <w:p>
      <w:pPr>
        <w:pStyle w:val="BodyText"/>
        <w:spacing w:line="316" w:lineRule="auto" w:before="19"/>
        <w:ind w:left="153" w:right="7242"/>
        <w:jc w:val="left"/>
      </w:pPr>
      <w:r>
        <w:rPr/>
        <w:t>报告。</w:t>
      </w:r>
      <w:r>
        <w:rPr>
          <w:spacing w:val="-88"/>
        </w:rPr>
        <w:t> </w:t>
      </w:r>
      <w:r>
        <w:rPr>
          <w:spacing w:val="-88"/>
        </w:rPr>
      </w:r>
      <w:r>
        <w:rPr>
          <w:spacing w:val="-3"/>
        </w:rPr>
        <w:t>五、管理层和治理层对财务报表的责任</w:t>
      </w:r>
    </w:p>
    <w:p>
      <w:pPr>
        <w:pStyle w:val="BodyText"/>
        <w:spacing w:line="316" w:lineRule="auto" w:before="19"/>
        <w:ind w:left="153" w:right="0" w:firstLine="360"/>
        <w:jc w:val="left"/>
      </w:pPr>
      <w:r>
        <w:rPr>
          <w:spacing w:val="-3"/>
        </w:rPr>
        <w:t>二六三管理层负责按照企业会计准则的规定编制财务报表，使其实现公允反映，并设计、执行和维护必要的内部控制，</w:t>
      </w:r>
      <w:r>
        <w:rPr>
          <w:w w:val="101"/>
        </w:rPr>
        <w:t> </w:t>
      </w:r>
      <w:r>
        <w:rPr>
          <w:spacing w:val="-3"/>
        </w:rPr>
        <w:t>以使财务报表不存在由于舞弊或错误导致的重大错报。</w:t>
      </w:r>
    </w:p>
    <w:p>
      <w:pPr>
        <w:pStyle w:val="BodyText"/>
        <w:spacing w:line="300" w:lineRule="auto" w:before="19"/>
        <w:ind w:left="153" w:right="0" w:firstLine="360"/>
        <w:jc w:val="left"/>
      </w:pPr>
      <w:r>
        <w:rPr>
          <w:spacing w:val="-3"/>
        </w:rPr>
        <w:t>在编制财务报表时，管理层负责评估二六三的持续经营能力，披露与持续经营相关的事项</w:t>
      </w:r>
      <w:r>
        <w:rPr>
          <w:rFonts w:ascii="Times New Roman" w:hAnsi="Times New Roman" w:cs="Times New Roman" w:eastAsia="Times New Roman" w:hint="default"/>
          <w:spacing w:val="-3"/>
        </w:rPr>
        <w:t>(</w:t>
      </w:r>
      <w:r>
        <w:rPr>
          <w:spacing w:val="-3"/>
        </w:rPr>
        <w:t>如适用</w:t>
      </w:r>
      <w:r>
        <w:rPr>
          <w:rFonts w:ascii="Times New Roman" w:hAnsi="Times New Roman" w:cs="Times New Roman" w:eastAsia="Times New Roman" w:hint="default"/>
          <w:spacing w:val="-3"/>
        </w:rPr>
        <w:t>)</w:t>
      </w:r>
      <w:r>
        <w:rPr>
          <w:spacing w:val="-3"/>
        </w:rPr>
        <w:t>，并运用持续经营假</w:t>
      </w:r>
      <w:r>
        <w:rPr>
          <w:w w:val="101"/>
        </w:rPr>
        <w:t> </w:t>
      </w:r>
      <w:r>
        <w:rPr>
          <w:spacing w:val="-3"/>
        </w:rPr>
        <w:t>设，除非管理层计划清算二六三、终止运营或别无其他现实的选择。</w:t>
      </w:r>
    </w:p>
    <w:p>
      <w:pPr>
        <w:pStyle w:val="BodyText"/>
        <w:spacing w:line="316" w:lineRule="auto" w:before="31"/>
        <w:ind w:left="153" w:right="5655" w:firstLine="360"/>
        <w:jc w:val="left"/>
      </w:pPr>
      <w:r>
        <w:rPr>
          <w:spacing w:val="-3"/>
        </w:rPr>
        <w:t>治理层负责监督二六三的财务报告过程。</w:t>
      </w:r>
      <w:r>
        <w:rPr>
          <w:w w:val="101"/>
        </w:rPr>
        <w:t> </w:t>
      </w:r>
      <w:r>
        <w:rPr>
          <w:spacing w:val="-3"/>
        </w:rPr>
        <w:t>六、注册会计师对财务报表审计的责任</w:t>
      </w:r>
    </w:p>
    <w:p>
      <w:pPr>
        <w:pStyle w:val="BodyText"/>
        <w:spacing w:line="319" w:lineRule="auto" w:before="19"/>
        <w:ind w:left="153" w:right="1133" w:firstLine="360"/>
        <w:jc w:val="both"/>
      </w:pPr>
      <w:r>
        <w:rPr>
          <w:spacing w:val="-5"/>
          <w:w w:val="101"/>
        </w:rPr>
        <w:t>我们的目标是对财务报表整体是否不存在由于舞弊或错误导致的重大错报获取合理保证，并出具包含审计意见的审计报</w:t>
      </w:r>
      <w:r>
        <w:rPr>
          <w:w w:val="101"/>
        </w:rPr>
        <w:t> </w:t>
      </w:r>
      <w:r>
        <w:rPr>
          <w:spacing w:val="-5"/>
        </w:rPr>
        <w:t>告。合理保证是高水平的保证，但并不能保证按照审计准则执行的审计在某一重大错报存在时总能发现。错报可能由于舞弊</w:t>
      </w:r>
      <w:r>
        <w:rPr>
          <w:spacing w:val="2"/>
        </w:rPr>
        <w:t> </w:t>
      </w:r>
      <w:r>
        <w:rPr>
          <w:spacing w:val="2"/>
        </w:rPr>
      </w:r>
      <w:r>
        <w:rPr>
          <w:spacing w:val="-5"/>
        </w:rPr>
        <w:t>或错误导致，如果合理预期错报单独或汇总起来可能影响财务报表使用者依据财务报表作出的经济决策，则通常认为错报是</w:t>
      </w:r>
      <w:r>
        <w:rPr>
          <w:spacing w:val="2"/>
        </w:rPr>
        <w:t> </w:t>
      </w:r>
      <w:r>
        <w:rPr>
          <w:spacing w:val="2"/>
        </w:rPr>
      </w:r>
      <w:r>
        <w:rPr/>
        <w:t>重大的。</w:t>
      </w:r>
    </w:p>
    <w:p>
      <w:pPr>
        <w:pStyle w:val="BodyText"/>
        <w:spacing w:line="316" w:lineRule="auto" w:before="17"/>
        <w:ind w:left="513" w:right="0"/>
        <w:jc w:val="left"/>
      </w:pPr>
      <w:r>
        <w:rPr>
          <w:spacing w:val="-3"/>
        </w:rPr>
        <w:t>在按照审计准则执行审计工作的过程中，我们运用职业判断，并保持职业怀疑。同时，我们也执行以下工作：</w:t>
      </w:r>
      <w:r>
        <w:rPr>
          <w:spacing w:val="50"/>
        </w:rPr>
        <w:t> </w:t>
      </w:r>
      <w:r>
        <w:rPr>
          <w:spacing w:val="50"/>
        </w:rPr>
      </w:r>
      <w:r>
        <w:rPr>
          <w:spacing w:val="-5"/>
        </w:rPr>
        <w:t>识别和评估由于舞弊或错误导致的财务报表重大错报风险，设计和实施审计程序以应对这些风险，并获取充分、适当的</w:t>
      </w:r>
    </w:p>
    <w:p>
      <w:pPr>
        <w:pStyle w:val="BodyText"/>
        <w:spacing w:line="316" w:lineRule="auto" w:before="19"/>
        <w:ind w:left="153" w:right="0"/>
        <w:jc w:val="left"/>
      </w:pPr>
      <w:r>
        <w:rPr>
          <w:spacing w:val="-5"/>
        </w:rPr>
        <w:t>审计证据，作为发表审计意见的基础。由于舞弊可能涉及串通、伪造、故意遗漏、虚假陈述或凌驾于内部控制之上，未能发</w:t>
      </w:r>
      <w:r>
        <w:rPr>
          <w:spacing w:val="-1"/>
        </w:rPr>
        <w:t> </w:t>
      </w:r>
      <w:r>
        <w:rPr>
          <w:spacing w:val="-1"/>
        </w:rPr>
      </w:r>
      <w:r>
        <w:rPr>
          <w:spacing w:val="-3"/>
        </w:rPr>
        <w:t>现由于舞弊导致的重大错报的风险高于未能发现由于错误导致的重大错报的风险。</w:t>
      </w:r>
    </w:p>
    <w:p>
      <w:pPr>
        <w:pStyle w:val="BodyText"/>
        <w:spacing w:line="316" w:lineRule="auto" w:before="19"/>
        <w:ind w:left="513" w:right="0"/>
        <w:jc w:val="left"/>
      </w:pPr>
      <w:r>
        <w:rPr>
          <w:spacing w:val="-3"/>
        </w:rPr>
        <w:t>了解与审计相关的内部控制，以设计恰当的审计程序，但目的并非对内部控制的有效性发表意见。</w:t>
      </w:r>
      <w:r>
        <w:rPr>
          <w:spacing w:val="37"/>
        </w:rPr>
        <w:t> </w:t>
      </w:r>
      <w:r>
        <w:rPr>
          <w:spacing w:val="37"/>
        </w:rPr>
      </w:r>
      <w:r>
        <w:rPr>
          <w:spacing w:val="-3"/>
        </w:rPr>
        <w:t>评价管理层选用会计政策的恰当性和作出会计估计及相关披露的合理性。</w:t>
      </w:r>
      <w:r>
        <w:rPr>
          <w:spacing w:val="2"/>
        </w:rPr>
        <w:t> </w:t>
      </w:r>
      <w:r>
        <w:rPr>
          <w:spacing w:val="2"/>
        </w:rPr>
      </w:r>
      <w:r>
        <w:rPr>
          <w:spacing w:val="-5"/>
        </w:rPr>
        <w:t>对管理层使用持续经营假设的恰当性得出结论。同时，根据获取的审计证据，就可能导致对二六三持续经营能力产生重</w:t>
      </w:r>
    </w:p>
    <w:p>
      <w:pPr>
        <w:pStyle w:val="BodyText"/>
        <w:spacing w:line="319" w:lineRule="auto" w:before="19"/>
        <w:ind w:left="153" w:right="1133"/>
        <w:jc w:val="both"/>
      </w:pPr>
      <w:r>
        <w:rPr>
          <w:spacing w:val="-5"/>
        </w:rPr>
        <w:t>大疑虑的事项或情况是否存在重大不确定性得出结论。如果我们得出结论认为存在重大不确定性，审计准则要求我们在审计</w:t>
      </w:r>
      <w:r>
        <w:rPr>
          <w:spacing w:val="2"/>
        </w:rPr>
        <w:t> </w:t>
      </w:r>
      <w:r>
        <w:rPr>
          <w:spacing w:val="2"/>
        </w:rPr>
      </w:r>
      <w:r>
        <w:rPr>
          <w:spacing w:val="-5"/>
        </w:rPr>
        <w:t>报告中提请报表使用者注意财务报表中的相关披露；如果披露不充分，我们应当发表非无保留意见。我们的结论基于截至审</w:t>
      </w:r>
      <w:r>
        <w:rPr>
          <w:spacing w:val="2"/>
        </w:rPr>
        <w:t> </w:t>
      </w:r>
      <w:r>
        <w:rPr>
          <w:spacing w:val="2"/>
        </w:rPr>
      </w:r>
      <w:r>
        <w:rPr>
          <w:spacing w:val="-3"/>
        </w:rPr>
        <w:t>计报告日可获得的信息。然而，未来的事项或情况可能导致二六三不能持续经营。</w:t>
      </w:r>
    </w:p>
    <w:p>
      <w:pPr>
        <w:pStyle w:val="BodyText"/>
        <w:spacing w:line="300" w:lineRule="auto" w:before="17"/>
        <w:ind w:left="513" w:right="0"/>
        <w:jc w:val="left"/>
      </w:pPr>
      <w:r>
        <w:rPr>
          <w:spacing w:val="-3"/>
        </w:rPr>
        <w:t>评价财务报表的总体列报</w:t>
      </w:r>
      <w:r>
        <w:rPr>
          <w:rFonts w:ascii="Times New Roman" w:hAnsi="Times New Roman" w:cs="Times New Roman" w:eastAsia="Times New Roman" w:hint="default"/>
          <w:spacing w:val="-3"/>
        </w:rPr>
        <w:t>(</w:t>
      </w:r>
      <w:r>
        <w:rPr>
          <w:spacing w:val="-3"/>
        </w:rPr>
        <w:t>包括披露</w:t>
      </w:r>
      <w:r>
        <w:rPr>
          <w:rFonts w:ascii="Times New Roman" w:hAnsi="Times New Roman" w:cs="Times New Roman" w:eastAsia="Times New Roman" w:hint="default"/>
          <w:spacing w:val="-3"/>
        </w:rPr>
        <w:t>)</w:t>
      </w:r>
      <w:r>
        <w:rPr>
          <w:spacing w:val="-3"/>
        </w:rPr>
        <w:t>、结构和内容，并评价财务报表是否公允反映相关交易和事项。</w:t>
      </w:r>
      <w:r>
        <w:rPr>
          <w:spacing w:val="41"/>
        </w:rPr>
        <w:t> </w:t>
      </w:r>
      <w:r>
        <w:rPr>
          <w:spacing w:val="41"/>
        </w:rPr>
      </w:r>
      <w:r>
        <w:rPr>
          <w:spacing w:val="-5"/>
        </w:rPr>
        <w:t>就二六三中实体或业务活动的财务信息获取充分、适当的审计证据，以对财务报表发表审计意见。我们负责指导、监督</w:t>
      </w:r>
    </w:p>
    <w:p>
      <w:pPr>
        <w:pStyle w:val="BodyText"/>
        <w:spacing w:line="316" w:lineRule="auto" w:before="31"/>
        <w:ind w:left="513" w:right="0" w:hanging="360"/>
        <w:jc w:val="left"/>
      </w:pPr>
      <w:r>
        <w:rPr>
          <w:spacing w:val="-3"/>
        </w:rPr>
        <w:t>和执行集团审计，并对审计意见承担全部责任。</w:t>
      </w:r>
      <w:r>
        <w:rPr>
          <w:spacing w:val="-27"/>
        </w:rPr>
        <w:t> </w:t>
      </w:r>
      <w:r>
        <w:rPr>
          <w:spacing w:val="-27"/>
        </w:rPr>
      </w:r>
      <w:r>
        <w:rPr>
          <w:spacing w:val="-5"/>
        </w:rPr>
        <w:t>我们与治理层就计划的审计范围、时间安排和重大审计发现等事项进行沟通，包括沟通我们在审计中识别出的值得关注</w:t>
      </w:r>
    </w:p>
    <w:p>
      <w:pPr>
        <w:pStyle w:val="BodyText"/>
        <w:spacing w:line="319" w:lineRule="auto" w:before="19"/>
        <w:ind w:left="513" w:right="1029" w:hanging="360"/>
        <w:jc w:val="left"/>
      </w:pPr>
      <w:r>
        <w:rPr/>
        <w:t>的内部控制缺陷。</w:t>
      </w:r>
      <w:r>
        <w:rPr>
          <w:spacing w:val="-86"/>
        </w:rPr>
        <w:t> </w:t>
      </w:r>
      <w:r>
        <w:rPr>
          <w:spacing w:val="-86"/>
        </w:rPr>
      </w:r>
      <w:r>
        <w:rPr>
          <w:spacing w:val="-5"/>
          <w:w w:val="101"/>
        </w:rPr>
        <w:t>我们还就已遵守与独立性相关的职业道德要求向治理层提供声明，并与治理层沟通可能被合理认为影响我们独立性的所</w:t>
      </w:r>
      <w:r>
        <w:rPr>
          <w:spacing w:val="-5"/>
        </w:rPr>
      </w:r>
    </w:p>
    <w:p>
      <w:pPr>
        <w:pStyle w:val="BodyText"/>
        <w:spacing w:line="300" w:lineRule="auto" w:before="17"/>
        <w:ind w:left="513" w:right="0" w:hanging="360"/>
        <w:jc w:val="left"/>
      </w:pPr>
      <w:r>
        <w:rPr>
          <w:spacing w:val="-3"/>
        </w:rPr>
        <w:t>有关系和其他事项，以及相关的防范措施</w:t>
      </w:r>
      <w:r>
        <w:rPr>
          <w:rFonts w:ascii="Times New Roman" w:hAnsi="Times New Roman" w:cs="Times New Roman" w:eastAsia="Times New Roman" w:hint="default"/>
          <w:spacing w:val="-3"/>
        </w:rPr>
        <w:t>(</w:t>
      </w:r>
      <w:r>
        <w:rPr>
          <w:spacing w:val="-3"/>
        </w:rPr>
        <w:t>如适用</w:t>
      </w:r>
      <w:r>
        <w:rPr>
          <w:rFonts w:ascii="Times New Roman" w:hAnsi="Times New Roman" w:cs="Times New Roman" w:eastAsia="Times New Roman" w:hint="default"/>
          <w:spacing w:val="-3"/>
        </w:rPr>
        <w:t>)</w:t>
      </w:r>
      <w:r>
        <w:rPr>
          <w:spacing w:val="-3"/>
        </w:rPr>
        <w:t>。</w:t>
      </w:r>
      <w:r>
        <w:rPr>
          <w:spacing w:val="-16"/>
        </w:rPr>
        <w:t> </w:t>
      </w:r>
      <w:r>
        <w:rPr>
          <w:spacing w:val="-5"/>
        </w:rPr>
        <w:t>从与治理层沟通过的事项中，我们确定哪些事项对本年度财务报表审计最为重要，因而构成关键审计事项。我们在审计</w:t>
      </w:r>
    </w:p>
    <w:p>
      <w:pPr>
        <w:pStyle w:val="BodyText"/>
        <w:spacing w:line="319" w:lineRule="auto" w:before="31"/>
        <w:ind w:left="153" w:right="1029"/>
        <w:jc w:val="left"/>
        <w:rPr>
          <w:rFonts w:ascii="Times New Roman" w:hAnsi="Times New Roman" w:cs="Times New Roman" w:eastAsia="Times New Roman" w:hint="default"/>
        </w:rPr>
      </w:pPr>
      <w:r>
        <w:rPr>
          <w:spacing w:val="-5"/>
        </w:rPr>
        <w:t>报告中描述这些事项，除非法律法规禁止公开披露这些事项，或在极少数情形下，如果合理预期在审计报告中沟通某事项造</w:t>
      </w:r>
      <w:r>
        <w:rPr>
          <w:spacing w:val="2"/>
        </w:rPr>
        <w:t> </w:t>
      </w:r>
      <w:r>
        <w:rPr>
          <w:spacing w:val="2"/>
        </w:rPr>
      </w:r>
      <w:r>
        <w:rPr>
          <w:spacing w:val="-3"/>
        </w:rPr>
        <w:t>成的负面后果超过在公众利益方面产生的益处，我们确定不应在审计报告中沟通该事项。</w:t>
      </w:r>
      <w:r>
        <w:rPr>
          <w:spacing w:val="25"/>
        </w:rPr>
        <w:t> </w:t>
      </w:r>
      <w:r>
        <w:rPr>
          <w:spacing w:val="25"/>
        </w:rPr>
      </w:r>
      <w:r>
        <w:rPr>
          <w:spacing w:val="-3"/>
        </w:rPr>
        <w:t>德勤华永会计师事务所</w:t>
      </w:r>
      <w:r>
        <w:rPr>
          <w:rFonts w:ascii="Times New Roman" w:hAnsi="Times New Roman" w:cs="Times New Roman" w:eastAsia="Times New Roman" w:hint="default"/>
          <w:spacing w:val="-3"/>
        </w:rPr>
        <w:t>(</w:t>
      </w:r>
      <w:r>
        <w:rPr>
          <w:spacing w:val="-3"/>
        </w:rPr>
        <w:t>特殊普通合伙</w:t>
      </w:r>
      <w:r>
        <w:rPr>
          <w:rFonts w:ascii="Times New Roman" w:hAnsi="Times New Roman" w:cs="Times New Roman" w:eastAsia="Times New Roman" w:hint="default"/>
          <w:spacing w:val="-3"/>
        </w:rPr>
        <w:t>)</w:t>
      </w:r>
    </w:p>
    <w:p>
      <w:pPr>
        <w:pStyle w:val="BodyText"/>
        <w:tabs>
          <w:tab w:pos="6006" w:val="left" w:leader="none"/>
        </w:tabs>
        <w:spacing w:line="240" w:lineRule="auto" w:before="155"/>
        <w:ind w:left="964" w:right="0"/>
        <w:jc w:val="left"/>
        <w:rPr>
          <w:rFonts w:ascii="Times New Roman" w:hAnsi="Times New Roman" w:cs="Times New Roman" w:eastAsia="Times New Roman" w:hint="default"/>
        </w:rPr>
      </w:pPr>
      <w:r>
        <w:rPr/>
        <w:t>中国 </w:t>
      </w:r>
      <w:r>
        <w:rPr>
          <w:spacing w:val="7"/>
        </w:rPr>
        <w:t> </w:t>
      </w:r>
      <w:r>
        <w:rPr>
          <w:spacing w:val="-3"/>
        </w:rPr>
        <w:t>上海</w:t>
        <w:tab/>
        <w:t>中国注册会计师：童传江</w:t>
      </w:r>
      <w:r>
        <w:rPr>
          <w:rFonts w:ascii="Times New Roman" w:hAnsi="Times New Roman" w:cs="Times New Roman" w:eastAsia="Times New Roman" w:hint="default"/>
          <w:spacing w:val="-3"/>
        </w:rPr>
        <w:t>(</w:t>
      </w:r>
      <w:r>
        <w:rPr>
          <w:spacing w:val="-3"/>
        </w:rPr>
        <w:t>项目合伙人</w:t>
      </w:r>
      <w:r>
        <w:rPr>
          <w:rFonts w:ascii="Times New Roman" w:hAnsi="Times New Roman" w:cs="Times New Roman" w:eastAsia="Times New Roman" w:hint="default"/>
          <w:spacing w:val="-3"/>
        </w:rPr>
        <w:t>)</w:t>
      </w:r>
    </w:p>
    <w:p>
      <w:pPr>
        <w:pStyle w:val="BodyText"/>
        <w:tabs>
          <w:tab w:pos="5915" w:val="left" w:leader="none"/>
        </w:tabs>
        <w:spacing w:line="240" w:lineRule="auto" w:before="58"/>
        <w:ind w:left="786" w:right="0"/>
        <w:jc w:val="left"/>
      </w:pP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w:t>
        <w:tab/>
      </w:r>
      <w:r>
        <w:rPr>
          <w:spacing w:val="-3"/>
        </w:rPr>
        <w:t>中国注册会计师：高天福</w:t>
      </w:r>
    </w:p>
    <w:p>
      <w:pPr>
        <w:spacing w:after="0" w:line="240" w:lineRule="auto"/>
        <w:jc w:val="left"/>
        <w:sectPr>
          <w:pgSz w:w="11910" w:h="16840"/>
          <w:pgMar w:header="0" w:footer="1022" w:top="1120" w:bottom="1220" w:left="980" w:right="0"/>
        </w:sectPr>
      </w:pPr>
    </w:p>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二、财务报表" w:id="157"/>
      <w:bookmarkEnd w:id="157"/>
      <w:r>
        <w:rPr>
          <w:b w:val="0"/>
          <w:bCs w:val="0"/>
        </w:rPr>
      </w:r>
      <w:r>
        <w:rPr/>
        <w:t>二、财务报表</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153" w:right="0"/>
        <w:jc w:val="left"/>
      </w:pPr>
      <w:r>
        <w:rPr>
          <w:spacing w:val="-3"/>
        </w:rPr>
        <w:t>财务附注中报表的单位为：元</w:t>
      </w:r>
    </w:p>
    <w:p>
      <w:pPr>
        <w:spacing w:line="240" w:lineRule="auto" w:before="4"/>
        <w:rPr>
          <w:rFonts w:ascii="宋体" w:hAnsi="宋体" w:cs="宋体" w:eastAsia="宋体" w:hint="default"/>
          <w:sz w:val="26"/>
          <w:szCs w:val="26"/>
        </w:rPr>
      </w:pPr>
    </w:p>
    <w:p>
      <w:pPr>
        <w:pStyle w:val="Heading4"/>
        <w:spacing w:line="240" w:lineRule="auto"/>
        <w:ind w:left="153" w:right="0"/>
        <w:jc w:val="left"/>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153" w:right="0"/>
        <w:jc w:val="left"/>
      </w:pPr>
      <w:r>
        <w:rPr>
          <w:spacing w:val="-3"/>
        </w:rPr>
        <w:t>编制单位：二六三网络通信股份有限公司</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288,867,732.39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615,713,457.25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402,244,369.44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140,033,208.59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130,235,999.76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33,084,343.28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35,282,633.24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15,606,881.06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19,358,721.44</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117,123.82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2,289,679.28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39"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5,170,929.45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3,974,402.28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2"/>
                <w:sz w:val="18"/>
              </w:rPr>
              <w:t>7,582,616.11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135,031,590.09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892,590,080.32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939,596,804.06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168,139,940.55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35,930,426.95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22,597,655.24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13,955,888.10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406,952,801.34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39,264,186.50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39,387,802.33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138,560,499.70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152,689,452.45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1,428,072.55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617,683.78</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20,619,691.93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20,141,732.05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20" w:bottom="122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8,767,081.04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1,825,446.41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1,034,080,848.65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1,105,950,681.29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78,788,179.83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77,855,853.89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37,713,832.57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10,735,447.84</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1,816,061,509.16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1,599,941,695.83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2,708,651,589.48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2,539,538,499.89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78,773,618.66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80,058,709.02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208,815,635.98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229,857,594.32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32,732,995.65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33,797,475.16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14,414,531.65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13,826,121.08</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145,764,513.40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181,835,463.95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39"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480,501,295.34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539,375,363.53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16,174,319.70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1,697,999.99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2,427,015.67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61,389,630.65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16,934,911.99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022" w:top="1120" w:bottom="122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79,261,950.34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19,361,927.66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559,763,245.68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558,737,291.19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1,353,882,953.00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794,980,220.00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312,394,131.89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850,541,642.53</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26,410,000.00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35,340,000.00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16,016,893.80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50,348,236.58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97,377,717.62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90,731,741.37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309,431,115.45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151,440,953.64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2,062,692,811.76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1,902,702,794.12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86,195,532.04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78,098,414.58</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2,148,888,343.80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1,980,801,208.70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2,708,651,589.48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2,539,538,499.89</w:t>
            </w:r>
          </w:p>
        </w:tc>
      </w:tr>
    </w:tbl>
    <w:p>
      <w:pPr>
        <w:spacing w:line="240" w:lineRule="auto" w:before="2"/>
        <w:rPr>
          <w:rFonts w:ascii="Times New Roman" w:hAnsi="Times New Roman" w:cs="Times New Roman" w:eastAsia="Times New Roman" w:hint="default"/>
          <w:sz w:val="23"/>
          <w:szCs w:val="23"/>
        </w:rPr>
      </w:pPr>
    </w:p>
    <w:p>
      <w:pPr>
        <w:pStyle w:val="BodyText"/>
        <w:tabs>
          <w:tab w:pos="3577" w:val="left" w:leader="none"/>
          <w:tab w:pos="7716" w:val="left" w:leader="none"/>
        </w:tabs>
        <w:spacing w:line="240" w:lineRule="auto" w:before="46"/>
        <w:ind w:left="153" w:right="0"/>
        <w:jc w:val="left"/>
      </w:pPr>
      <w:r>
        <w:rPr>
          <w:spacing w:val="-3"/>
        </w:rPr>
        <w:t>法定代表人：李小龙</w:t>
        <w:tab/>
        <w:t>主管会计工作负责人：李光千</w:t>
        <w:tab/>
        <w:t>会计机构负责人：王志慧</w:t>
      </w:r>
    </w:p>
    <w:p>
      <w:pPr>
        <w:spacing w:line="240" w:lineRule="auto" w:before="8"/>
        <w:rPr>
          <w:rFonts w:ascii="宋体" w:hAnsi="宋体" w:cs="宋体" w:eastAsia="宋体" w:hint="default"/>
          <w:sz w:val="26"/>
          <w:szCs w:val="26"/>
        </w:rPr>
      </w:pPr>
    </w:p>
    <w:p>
      <w:pPr>
        <w:pStyle w:val="Heading4"/>
        <w:spacing w:line="240" w:lineRule="auto"/>
        <w:ind w:left="153" w:right="0"/>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单位：元</w:t>
      </w:r>
    </w:p>
    <w:p>
      <w:pPr>
        <w:spacing w:line="240" w:lineRule="auto" w:before="1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80,606,353.02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345,925,250.00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spacing w:val="-2"/>
                <w:sz w:val="18"/>
              </w:rPr>
              <w:t>402,244,369.44</w:t>
            </w:r>
            <w:r>
              <w:rPr>
                <w:rFonts w:ascii="Times New Roman"/>
                <w:sz w:val="18"/>
              </w:rPr>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76,030,164.68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52,425,040.61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968,241.86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1,400,056.27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85,950,439.93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131,250,481.47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1045"/>
              <w:jc w:val="righ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1,967,227.21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44"/>
              <w:jc w:val="right"/>
              <w:rPr>
                <w:rFonts w:ascii="宋体" w:hAnsi="宋体" w:cs="宋体" w:eastAsia="宋体" w:hint="default"/>
                <w:sz w:val="18"/>
                <w:szCs w:val="18"/>
              </w:rPr>
            </w:pPr>
            <w:r>
              <w:rPr>
                <w:rFonts w:ascii="宋体" w:hAnsi="宋体" w:cs="宋体" w:eastAsia="宋体" w:hint="default"/>
                <w:spacing w:val="-2"/>
                <w:sz w:val="18"/>
                <w:szCs w:val="18"/>
              </w:rPr>
              <w:t>应收股利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022" w:top="1120" w:bottom="122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210.24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123,000,377.37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645,799,779.17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654,001,205.72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129,750,000.00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1,498,919,207.78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1,343,994,925.16</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344,152,700.00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25,257,140.90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24,678,970.27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2,920,636.14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2,776,868.31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404,677.07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470,506.72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9,304,130.15</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1,880,958,492.04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1,501,671,270.46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2,526,758,271.21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2,155,672,476.18</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2,020,425.23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1,817,255.27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823,515.92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1,029,020.17</w:t>
            </w:r>
          </w:p>
        </w:tc>
      </w:tr>
      <w:tr>
        <w:trPr>
          <w:trHeight w:val="40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7,579,453.53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4,671,878.38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7,242,953.15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1,017,787.35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20" w:bottom="122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579,522,251.32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300,064,443.49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597,188,599.15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308,600,384.66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55,983,501.60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8,298,084.27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55,983,501.60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8,298,084.27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653,172,100.75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316,898,468.93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1,353,882,953.00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794,980,220.00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334,131,480.34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872,278,990.98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26,410,000.00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35,340,000.00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24,894,285.73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97,377,717.62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90,731,741.37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114,604,019.50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91,228,769.17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1,873,586,170.46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1,838,774,007.25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2,526,758,271.21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2,155,672,476.18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20" w:bottom="1220" w:left="980" w:right="0"/>
        </w:sectPr>
      </w:pPr>
    </w:p>
    <w:p>
      <w:pPr>
        <w:spacing w:line="240" w:lineRule="auto" w:before="3"/>
        <w:rPr>
          <w:rFonts w:ascii="Times New Roman" w:hAnsi="Times New Roman" w:cs="Times New Roman" w:eastAsia="Times New Roman" w:hint="default"/>
          <w:sz w:val="22"/>
          <w:szCs w:val="22"/>
        </w:rPr>
      </w:pPr>
    </w:p>
    <w:p>
      <w:pPr>
        <w:pStyle w:val="Heading4"/>
        <w:spacing w:line="240" w:lineRule="auto" w:before="36"/>
        <w:ind w:left="153" w:right="0"/>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658"/>
        <w:gridCol w:w="2463"/>
        <w:gridCol w:w="2448"/>
      </w:tblGrid>
      <w:tr>
        <w:trPr>
          <w:trHeight w:val="399"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2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8"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2"/>
                <w:sz w:val="18"/>
              </w:rPr>
              <w:t>1,013,565,798.16</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928,733,524.63</w:t>
            </w:r>
          </w:p>
        </w:tc>
      </w:tr>
      <w:tr>
        <w:trPr>
          <w:trHeight w:val="398"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1,013,565,798.16</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928,733,524.63</w:t>
            </w: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909,768,086.91</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843,845,786.68</w:t>
            </w:r>
          </w:p>
        </w:tc>
      </w:tr>
      <w:tr>
        <w:trPr>
          <w:trHeight w:val="404"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445,169,991.08</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382,623,418.98</w:t>
            </w: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2463" w:type="dxa"/>
            <w:tcBorders>
              <w:top w:val="single" w:sz="4" w:space="0" w:color="000000"/>
              <w:left w:val="single" w:sz="4" w:space="0" w:color="000000"/>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2,930,029.92</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3,322,861.91</w:t>
            </w: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176,741,431.04</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177,903,581.98</w:t>
            </w:r>
          </w:p>
        </w:tc>
      </w:tr>
      <w:tr>
        <w:trPr>
          <w:trHeight w:val="404"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8"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176,692,381.52</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161,162,499.40</w:t>
            </w: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117,903,664.82</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135,265,671.88</w:t>
            </w:r>
          </w:p>
        </w:tc>
      </w:tr>
      <w:tr>
        <w:trPr>
          <w:trHeight w:val="398"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-9,669,411.47</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-16,432,247.47</w:t>
            </w: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86"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706,287.48</w:t>
            </w:r>
          </w:p>
        </w:tc>
      </w:tr>
      <w:tr>
        <w:trPr>
          <w:trHeight w:val="404"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9"/>
              <w:jc w:val="center"/>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11,529,646.52</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17,716,806.65</w:t>
            </w: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3,246,061.88</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3,898,637.49</w:t>
            </w:r>
          </w:p>
        </w:tc>
      </w:tr>
      <w:tr>
        <w:trPr>
          <w:trHeight w:val="398"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5,590,668.66</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7,888,327.80</w:t>
            </w: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其中：对联营企业和合营企业的投资收益</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-2,667,228.29</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-1,083,071.64</w:t>
            </w: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86"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以摊余成本计量的金融资产终止确认收益</w:t>
            </w:r>
          </w:p>
        </w:tc>
        <w:tc>
          <w:tcPr>
            <w:tcW w:w="2463" w:type="dxa"/>
            <w:tcBorders>
              <w:top w:val="single" w:sz="4" w:space="0" w:color="000000"/>
              <w:left w:val="single" w:sz="4" w:space="0" w:color="000000"/>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26"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63" w:type="dxa"/>
            <w:tcBorders>
              <w:top w:val="single" w:sz="4" w:space="0" w:color="000000"/>
              <w:left w:val="single" w:sz="4" w:space="0" w:color="000000"/>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463" w:type="dxa"/>
            <w:tcBorders>
              <w:top w:val="single" w:sz="4" w:space="0" w:color="000000"/>
              <w:left w:val="single" w:sz="4" w:space="0" w:color="000000"/>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177,753,998.54</w:t>
            </w:r>
          </w:p>
        </w:tc>
        <w:tc>
          <w:tcPr>
            <w:tcW w:w="24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-7,218,646.81</w:t>
            </w:r>
          </w:p>
        </w:tc>
        <w:tc>
          <w:tcPr>
            <w:tcW w:w="244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26"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-74,521,989.52</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-5,948,530.69</w:t>
            </w:r>
          </w:p>
        </w:tc>
      </w:tr>
      <w:tr>
        <w:trPr>
          <w:trHeight w:val="398"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-875,372.29</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-870,098.70</w:t>
            </w: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207,772,431.71</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89,856,073.85</w:t>
            </w: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869,649.46</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1,689,229.73</w:t>
            </w:r>
          </w:p>
        </w:tc>
      </w:tr>
      <w:tr>
        <w:trPr>
          <w:trHeight w:val="404"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6,765,622.66</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2,615,300.09</w:t>
            </w:r>
          </w:p>
        </w:tc>
      </w:tr>
      <w:tr>
        <w:trPr>
          <w:trHeight w:val="398"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201,876,458.51</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88,930,003.49</w:t>
            </w: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19,166,346.56</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14,579,647.77</w:t>
            </w:r>
          </w:p>
        </w:tc>
      </w:tr>
      <w:tr>
        <w:trPr>
          <w:trHeight w:val="408"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182,710,111.95</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74,350,355.72</w:t>
            </w:r>
          </w:p>
        </w:tc>
      </w:tr>
      <w:tr>
        <w:trPr>
          <w:trHeight w:val="394"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182,710,111.95</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74,350,355.72</w:t>
            </w: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463" w:type="dxa"/>
            <w:tcBorders>
              <w:top w:val="single" w:sz="4" w:space="0" w:color="000000"/>
              <w:left w:val="single" w:sz="4" w:space="0" w:color="000000"/>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022" w:top="1120" w:bottom="122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4658"/>
        <w:gridCol w:w="2463"/>
        <w:gridCol w:w="2448"/>
      </w:tblGrid>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2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174,612,994.49</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86,042,223.02</w:t>
            </w: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8,097,117.46</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-11,691,867.30</w:t>
            </w: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-11,925,673.96</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-1,139,894.80</w:t>
            </w: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归属母公司所有者的其他综合收益的税后净额</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-11,925,673.96</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-1,139,894.80</w:t>
            </w: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（一）不能重分类进损益的其他综合收益</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-18,734,648.62</w:t>
            </w:r>
          </w:p>
        </w:tc>
        <w:tc>
          <w:tcPr>
            <w:tcW w:w="24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重新计量设定受益计划变动额</w:t>
            </w:r>
          </w:p>
        </w:tc>
        <w:tc>
          <w:tcPr>
            <w:tcW w:w="2463" w:type="dxa"/>
            <w:tcBorders>
              <w:top w:val="single" w:sz="4" w:space="0" w:color="000000"/>
              <w:left w:val="single" w:sz="4" w:space="0" w:color="000000"/>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权益法下不能转损益的其他综合收益</w:t>
            </w:r>
          </w:p>
        </w:tc>
        <w:tc>
          <w:tcPr>
            <w:tcW w:w="2463" w:type="dxa"/>
            <w:tcBorders>
              <w:top w:val="single" w:sz="4" w:space="0" w:color="000000"/>
              <w:left w:val="single" w:sz="4" w:space="0" w:color="000000"/>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其他权益工具投资公允价值变动</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-18,734,648.62</w:t>
            </w:r>
          </w:p>
        </w:tc>
        <w:tc>
          <w:tcPr>
            <w:tcW w:w="24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企业自身信用风险公允价值变动</w:t>
            </w:r>
          </w:p>
        </w:tc>
        <w:tc>
          <w:tcPr>
            <w:tcW w:w="2463" w:type="dxa"/>
            <w:tcBorders>
              <w:top w:val="single" w:sz="4" w:space="0" w:color="000000"/>
              <w:left w:val="single" w:sz="4" w:space="0" w:color="000000"/>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463" w:type="dxa"/>
            <w:tcBorders>
              <w:top w:val="single" w:sz="4" w:space="0" w:color="000000"/>
              <w:left w:val="single" w:sz="4" w:space="0" w:color="000000"/>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（二）将重分类进损益的其他综合收益</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6,808,974.66</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-1,139,894.80</w:t>
            </w: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权益法下可转损益的其他综合收益</w:t>
            </w:r>
          </w:p>
        </w:tc>
        <w:tc>
          <w:tcPr>
            <w:tcW w:w="2463" w:type="dxa"/>
            <w:tcBorders>
              <w:top w:val="single" w:sz="4" w:space="0" w:color="000000"/>
              <w:left w:val="single" w:sz="4" w:space="0" w:color="000000"/>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463" w:type="dxa"/>
            <w:tcBorders>
              <w:top w:val="single" w:sz="4" w:space="0" w:color="000000"/>
              <w:left w:val="single" w:sz="4" w:space="0" w:color="000000"/>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可供出售金融资产公允价值变动损益</w:t>
            </w:r>
          </w:p>
        </w:tc>
        <w:tc>
          <w:tcPr>
            <w:tcW w:w="2463" w:type="dxa"/>
            <w:tcBorders>
              <w:top w:val="single" w:sz="4" w:space="0" w:color="000000"/>
              <w:left w:val="single" w:sz="4" w:space="0" w:color="000000"/>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-17,199,351.33</w:t>
            </w: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金融资产重分类计入其他综合收益的金额</w:t>
            </w:r>
          </w:p>
        </w:tc>
        <w:tc>
          <w:tcPr>
            <w:tcW w:w="2463" w:type="dxa"/>
            <w:tcBorders>
              <w:top w:val="single" w:sz="4" w:space="0" w:color="000000"/>
              <w:left w:val="single" w:sz="4" w:space="0" w:color="000000"/>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持有至到期投资重分类为可供出售金融资</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产损益</w:t>
            </w:r>
          </w:p>
        </w:tc>
        <w:tc>
          <w:tcPr>
            <w:tcW w:w="2463" w:type="dxa"/>
            <w:tcBorders>
              <w:top w:val="single" w:sz="4" w:space="0" w:color="000000"/>
              <w:left w:val="single" w:sz="4" w:space="0" w:color="000000"/>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463" w:type="dxa"/>
            <w:tcBorders>
              <w:top w:val="single" w:sz="4" w:space="0" w:color="000000"/>
              <w:left w:val="single" w:sz="4" w:space="0" w:color="000000"/>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463" w:type="dxa"/>
            <w:tcBorders>
              <w:top w:val="single" w:sz="4" w:space="0" w:color="000000"/>
              <w:left w:val="single" w:sz="4" w:space="0" w:color="000000"/>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6,808,974.66</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16,059,456.53</w:t>
            </w: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463" w:type="dxa"/>
            <w:tcBorders>
              <w:top w:val="single" w:sz="4" w:space="0" w:color="000000"/>
              <w:left w:val="single" w:sz="4" w:space="0" w:color="000000"/>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8" w:right="0"/>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归属于少数股东的其他综合收益的税后净额</w:t>
            </w:r>
          </w:p>
        </w:tc>
        <w:tc>
          <w:tcPr>
            <w:tcW w:w="2463" w:type="dxa"/>
            <w:tcBorders>
              <w:top w:val="single" w:sz="4" w:space="0" w:color="000000"/>
              <w:left w:val="single" w:sz="4" w:space="0" w:color="000000"/>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170,784,437.99</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73,210,460.92</w:t>
            </w: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归属于母公司所有者的综合收益总额</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162,687,320.53</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84,902,328.22</w:t>
            </w:r>
          </w:p>
        </w:tc>
      </w:tr>
      <w:tr>
        <w:trPr>
          <w:trHeight w:val="408"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8,097,117.46</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-11,691,867.30</w:t>
            </w:r>
          </w:p>
        </w:tc>
      </w:tr>
      <w:tr>
        <w:trPr>
          <w:trHeight w:val="389"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z w:val="18"/>
              </w:rPr>
              <w:t>0.13</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z w:val="18"/>
              </w:rPr>
              <w:t>0.06</w:t>
            </w:r>
          </w:p>
        </w:tc>
      </w:tr>
      <w:tr>
        <w:trPr>
          <w:trHeight w:val="403" w:hRule="exact"/>
        </w:trPr>
        <w:tc>
          <w:tcPr>
            <w:tcW w:w="4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0.13</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0.06</w:t>
            </w:r>
          </w:p>
        </w:tc>
      </w:tr>
    </w:tbl>
    <w:p>
      <w:pPr>
        <w:pStyle w:val="BodyText"/>
        <w:tabs>
          <w:tab w:pos="3577" w:val="left" w:leader="none"/>
          <w:tab w:pos="7716" w:val="left" w:leader="none"/>
        </w:tabs>
        <w:spacing w:line="588" w:lineRule="auto" w:before="53"/>
        <w:ind w:left="153" w:right="1222"/>
        <w:jc w:val="left"/>
      </w:pPr>
      <w:r>
        <w:rPr>
          <w:spacing w:val="-3"/>
        </w:rPr>
        <w:t>本期发生同一控制下企业合并的，被合并方在合并前实现的净利润为：</w:t>
      </w:r>
      <w:r>
        <w:rPr>
          <w:rFonts w:ascii="Times New Roman" w:hAnsi="Times New Roman" w:cs="Times New Roman" w:eastAsia="Times New Roman" w:hint="default"/>
          <w:spacing w:val="-3"/>
        </w:rPr>
        <w:t>0.00 </w:t>
      </w:r>
      <w:r>
        <w:rPr/>
        <w:t>元，上期被合并方实现的净利润为：</w:t>
      </w:r>
      <w:r>
        <w:rPr>
          <w:rFonts w:ascii="Times New Roman" w:hAnsi="Times New Roman" w:cs="Times New Roman" w:eastAsia="Times New Roman" w:hint="default"/>
        </w:rPr>
        <w:t>0.00 </w:t>
      </w:r>
      <w:r>
        <w:rPr/>
        <w:t>元。</w:t>
      </w:r>
      <w:r>
        <w:rPr>
          <w:spacing w:val="-73"/>
        </w:rPr>
        <w:t> </w:t>
      </w:r>
      <w:r>
        <w:rPr>
          <w:spacing w:val="-3"/>
        </w:rPr>
        <w:t>法定代表人：李小龙</w:t>
        <w:tab/>
        <w:t>主管会计工作负责人：李光千</w:t>
        <w:tab/>
        <w:t>会计机构负责人：王志慧</w:t>
      </w:r>
    </w:p>
    <w:p>
      <w:pPr>
        <w:spacing w:after="0" w:line="588" w:lineRule="auto"/>
        <w:jc w:val="left"/>
        <w:sectPr>
          <w:pgSz w:w="11910" w:h="16840"/>
          <w:pgMar w:header="0" w:footer="1022" w:top="1120" w:bottom="1220" w:left="980" w:right="0"/>
        </w:sectPr>
      </w:pPr>
    </w:p>
    <w:p>
      <w:pPr>
        <w:spacing w:line="240" w:lineRule="auto" w:before="3"/>
        <w:rPr>
          <w:rFonts w:ascii="宋体" w:hAnsi="宋体" w:cs="宋体" w:eastAsia="宋体" w:hint="default"/>
          <w:sz w:val="19"/>
          <w:szCs w:val="19"/>
        </w:rPr>
      </w:pPr>
    </w:p>
    <w:p>
      <w:pPr>
        <w:pStyle w:val="Heading4"/>
        <w:spacing w:line="240" w:lineRule="auto" w:before="36"/>
        <w:ind w:left="153" w:right="0"/>
        <w:jc w:val="left"/>
        <w:rPr>
          <w:b w:val="0"/>
          <w:bCs w:val="0"/>
        </w:rPr>
      </w:pPr>
      <w:bookmarkStart w:name="4、母公司利润表" w:id="161"/>
      <w:bookmarkEnd w:id="16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600"/>
        <w:gridCol w:w="2641"/>
        <w:gridCol w:w="2328"/>
      </w:tblGrid>
      <w:tr>
        <w:trPr>
          <w:trHeight w:val="399"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8"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41,347,102.12</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40,234,253.07</w:t>
            </w:r>
          </w:p>
        </w:tc>
      </w:tr>
      <w:tr>
        <w:trPr>
          <w:trHeight w:val="398"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14,808,559.12</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10,322,425.43</w:t>
            </w:r>
          </w:p>
        </w:tc>
      </w:tr>
      <w:tr>
        <w:trPr>
          <w:trHeight w:val="403"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603,645.89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647,330.73</w:t>
            </w:r>
          </w:p>
        </w:tc>
      </w:tr>
      <w:tr>
        <w:trPr>
          <w:trHeight w:val="404"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2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641"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44,190,833.38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42,881,369.18</w:t>
            </w:r>
          </w:p>
        </w:tc>
      </w:tr>
      <w:tr>
        <w:trPr>
          <w:trHeight w:val="398"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2,961,638.18</w:t>
            </w: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-9,208,612.30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-12,899,935.30</w:t>
            </w:r>
          </w:p>
        </w:tc>
      </w:tr>
      <w:tr>
        <w:trPr>
          <w:trHeight w:val="404"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8"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320,379.58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3,304,226.70</w:t>
            </w:r>
          </w:p>
        </w:tc>
      </w:tr>
      <w:tr>
        <w:trPr>
          <w:trHeight w:val="403"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71"/>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9,542,103.88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16,209,753.20</w:t>
            </w:r>
          </w:p>
        </w:tc>
      </w:tr>
      <w:tr>
        <w:trPr>
          <w:trHeight w:val="398"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181,826.79</w:t>
            </w: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17,959,379.57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7,888,572.63</w:t>
            </w:r>
          </w:p>
        </w:tc>
      </w:tr>
      <w:tr>
        <w:trPr>
          <w:trHeight w:val="404"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其中：对联营企业和合营企业的投资收益</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-2,798,517.38</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-1,186,941.30</w:t>
            </w:r>
          </w:p>
        </w:tc>
      </w:tr>
      <w:tr>
        <w:trPr>
          <w:trHeight w:val="715"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86"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以摊余成本计量的金融资产终止确认收益</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41"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641"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166,792,269.44</w:t>
            </w: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26"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-673.89</w:t>
            </w: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-74,236,800.00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552,274.64</w:t>
            </w:r>
          </w:p>
        </w:tc>
      </w:tr>
      <w:tr>
        <w:trPr>
          <w:trHeight w:val="398"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2,253.90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26,911.32</w:t>
            </w:r>
          </w:p>
        </w:tc>
      </w:tr>
      <w:tr>
        <w:trPr>
          <w:trHeight w:val="403"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98,689,293.66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7,750,821.62</w:t>
            </w:r>
          </w:p>
        </w:tc>
      </w:tr>
      <w:tr>
        <w:trPr>
          <w:trHeight w:val="404"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63,055.97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42,324.24</w:t>
            </w:r>
          </w:p>
        </w:tc>
      </w:tr>
      <w:tr>
        <w:trPr>
          <w:trHeight w:val="403"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2641"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10,331.45</w:t>
            </w:r>
          </w:p>
        </w:tc>
      </w:tr>
      <w:tr>
        <w:trPr>
          <w:trHeight w:val="398"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98,752,349.63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7,782,814.41</w:t>
            </w:r>
          </w:p>
        </w:tc>
      </w:tr>
      <w:tr>
        <w:trPr>
          <w:trHeight w:val="403"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32,292,587.18</w:t>
            </w: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66,459,762.45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7,782,814.41</w:t>
            </w:r>
          </w:p>
        </w:tc>
      </w:tr>
      <w:tr>
        <w:trPr>
          <w:trHeight w:val="403"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8"/>
              <w:jc w:val="right"/>
              <w:rPr>
                <w:rFonts w:ascii="宋体" w:hAnsi="宋体" w:cs="宋体" w:eastAsia="宋体" w:hint="default"/>
                <w:sz w:val="18"/>
                <w:szCs w:val="18"/>
              </w:rPr>
            </w:pPr>
            <w:r>
              <w:rPr>
                <w:rFonts w:ascii="宋体" w:hAnsi="宋体" w:cs="宋体" w:eastAsia="宋体" w:hint="default"/>
                <w:spacing w:val="-3"/>
                <w:sz w:val="18"/>
                <w:szCs w:val="18"/>
              </w:rPr>
              <w:t>（一）持续经营净利润（净亏损以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66,459,762.45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7,782,814.41</w:t>
            </w:r>
          </w:p>
        </w:tc>
      </w:tr>
      <w:tr>
        <w:trPr>
          <w:trHeight w:val="398"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8"/>
              <w:jc w:val="right"/>
              <w:rPr>
                <w:rFonts w:ascii="宋体" w:hAnsi="宋体" w:cs="宋体" w:eastAsia="宋体" w:hint="default"/>
                <w:sz w:val="18"/>
                <w:szCs w:val="18"/>
              </w:rPr>
            </w:pPr>
            <w:r>
              <w:rPr>
                <w:rFonts w:ascii="宋体" w:hAnsi="宋体" w:cs="宋体" w:eastAsia="宋体" w:hint="default"/>
                <w:spacing w:val="-3"/>
                <w:sz w:val="18"/>
                <w:szCs w:val="18"/>
              </w:rPr>
              <w:t>（二）终止经营净利润（净亏损以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2641"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2641"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-17,199,351.33</w:t>
            </w:r>
          </w:p>
        </w:tc>
      </w:tr>
      <w:tr>
        <w:trPr>
          <w:trHeight w:val="404"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（一）不能重分类进损益的其他综合收益</w:t>
            </w:r>
          </w:p>
        </w:tc>
        <w:tc>
          <w:tcPr>
            <w:tcW w:w="2641"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重新计量设定受益计划变动额</w:t>
            </w:r>
          </w:p>
        </w:tc>
        <w:tc>
          <w:tcPr>
            <w:tcW w:w="2641"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权益法下不能转损益的其他综合收益</w:t>
            </w:r>
          </w:p>
        </w:tc>
        <w:tc>
          <w:tcPr>
            <w:tcW w:w="2641"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022" w:top="1120" w:bottom="1220" w:left="980" w:right="0"/>
        </w:sectPr>
      </w:pP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4600"/>
        <w:gridCol w:w="2641"/>
        <w:gridCol w:w="2328"/>
      </w:tblGrid>
      <w:tr>
        <w:trPr>
          <w:trHeight w:val="398"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2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6"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其他权益工具投资公允价值变动</w:t>
            </w:r>
          </w:p>
        </w:tc>
        <w:tc>
          <w:tcPr>
            <w:tcW w:w="2641"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企业自身信用风险公允价值变动</w:t>
            </w:r>
          </w:p>
        </w:tc>
        <w:tc>
          <w:tcPr>
            <w:tcW w:w="2641"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641"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（二）将重分类进损益的其他综合收益</w:t>
            </w:r>
          </w:p>
        </w:tc>
        <w:tc>
          <w:tcPr>
            <w:tcW w:w="2641"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-17,199,351.33</w:t>
            </w:r>
          </w:p>
        </w:tc>
      </w:tr>
      <w:tr>
        <w:trPr>
          <w:trHeight w:val="401"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权益法下可转损益的其他综合收益</w:t>
            </w:r>
          </w:p>
        </w:tc>
        <w:tc>
          <w:tcPr>
            <w:tcW w:w="2641"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641"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可供出售金融资产公允价值变动损益</w:t>
            </w:r>
          </w:p>
        </w:tc>
        <w:tc>
          <w:tcPr>
            <w:tcW w:w="2641"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-17,199,351.33</w:t>
            </w:r>
          </w:p>
        </w:tc>
      </w:tr>
      <w:tr>
        <w:trPr>
          <w:trHeight w:val="403"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金融资产重分类计入其他综合收益的金额</w:t>
            </w:r>
          </w:p>
        </w:tc>
        <w:tc>
          <w:tcPr>
            <w:tcW w:w="2641"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持有至到期投资重分类为可供出售金融资</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产损益</w:t>
            </w:r>
          </w:p>
        </w:tc>
        <w:tc>
          <w:tcPr>
            <w:tcW w:w="2641"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641"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641"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641"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641"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493" w:right="0"/>
              <w:jc w:val="left"/>
              <w:rPr>
                <w:rFonts w:ascii="Times New Roman" w:hAnsi="Times New Roman" w:cs="Times New Roman" w:eastAsia="Times New Roman" w:hint="default"/>
                <w:sz w:val="18"/>
                <w:szCs w:val="18"/>
              </w:rPr>
            </w:pPr>
            <w:r>
              <w:rPr>
                <w:rFonts w:ascii="Times New Roman"/>
                <w:sz w:val="18"/>
              </w:rPr>
              <w:t>66,459,762.45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-9,416,536.92</w:t>
            </w:r>
          </w:p>
        </w:tc>
      </w:tr>
    </w:tbl>
    <w:p>
      <w:pPr>
        <w:spacing w:line="240" w:lineRule="auto" w:before="3"/>
        <w:rPr>
          <w:rFonts w:ascii="宋体" w:hAnsi="宋体" w:cs="宋体" w:eastAsia="宋体" w:hint="default"/>
          <w:sz w:val="19"/>
          <w:szCs w:val="19"/>
        </w:rPr>
      </w:pPr>
    </w:p>
    <w:p>
      <w:pPr>
        <w:pStyle w:val="Heading4"/>
        <w:spacing w:line="240" w:lineRule="auto" w:before="36"/>
        <w:ind w:left="153" w:right="0"/>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683"/>
        <w:gridCol w:w="2588"/>
        <w:gridCol w:w="3299"/>
      </w:tblGrid>
      <w:tr>
        <w:trPr>
          <w:trHeight w:val="404"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1"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2"/>
                <w:sz w:val="18"/>
              </w:rPr>
              <w:t>1,026,045,215.90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946,520,043.51</w:t>
            </w:r>
          </w:p>
        </w:tc>
      </w:tr>
      <w:tr>
        <w:trPr>
          <w:trHeight w:val="403"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612,228.03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1,285,755.73</w:t>
            </w:r>
          </w:p>
        </w:tc>
      </w:tr>
      <w:tr>
        <w:trPr>
          <w:trHeight w:val="404"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21,926,183.06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29,062,506.53</w:t>
            </w:r>
          </w:p>
        </w:tc>
      </w:tr>
      <w:tr>
        <w:trPr>
          <w:trHeight w:val="401"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1,048,583,626.99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976,868,305.77</w:t>
            </w:r>
          </w:p>
        </w:tc>
      </w:tr>
      <w:tr>
        <w:trPr>
          <w:trHeight w:val="401"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432,988,391.18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336,235,851.43</w:t>
            </w:r>
          </w:p>
        </w:tc>
      </w:tr>
      <w:tr>
        <w:trPr>
          <w:trHeight w:val="403"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330,079,253.44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327,675,782.91</w:t>
            </w:r>
          </w:p>
        </w:tc>
      </w:tr>
      <w:tr>
        <w:trPr>
          <w:trHeight w:val="404"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21,815,374.47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40,594,245.27</w:t>
            </w:r>
          </w:p>
        </w:tc>
      </w:tr>
      <w:tr>
        <w:trPr>
          <w:trHeight w:val="401"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117,456,995.16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144,866,756.24</w:t>
            </w:r>
          </w:p>
        </w:tc>
      </w:tr>
      <w:tr>
        <w:trPr>
          <w:trHeight w:val="401"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902,340,014.25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849,372,635.85</w:t>
            </w:r>
          </w:p>
        </w:tc>
      </w:tr>
      <w:tr>
        <w:trPr>
          <w:trHeight w:val="403"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146,243,612.74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127,495,669.92</w:t>
            </w:r>
          </w:p>
        </w:tc>
      </w:tr>
      <w:tr>
        <w:trPr>
          <w:trHeight w:val="403"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2588"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9,390,580.25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9,627,619.55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20" w:bottom="122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3683"/>
        <w:gridCol w:w="2588"/>
        <w:gridCol w:w="3299"/>
      </w:tblGrid>
      <w:tr>
        <w:trPr>
          <w:trHeight w:val="403"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713"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3"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w:t>
            </w:r>
            <w:r>
              <w:rPr>
                <w:rFonts w:ascii="宋体" w:hAnsi="宋体" w:cs="宋体" w:eastAsia="宋体" w:hint="default"/>
                <w:w w:val="101"/>
                <w:sz w:val="18"/>
                <w:szCs w:val="18"/>
              </w:rPr>
              <w:t> </w:t>
            </w:r>
            <w:r>
              <w:rPr>
                <w:rFonts w:ascii="宋体" w:hAnsi="宋体" w:cs="宋体" w:eastAsia="宋体" w:hint="default"/>
                <w:sz w:val="18"/>
                <w:szCs w:val="18"/>
              </w:rPr>
              <w:t>产收回的现金净额</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33,362.68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193,476.00</w:t>
            </w:r>
          </w:p>
        </w:tc>
      </w:tr>
      <w:tr>
        <w:trPr>
          <w:trHeight w:val="713"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05" w:right="143"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处置子公司及其他营业单位收到的现金</w:t>
            </w:r>
            <w:r>
              <w:rPr>
                <w:rFonts w:ascii="宋体" w:hAnsi="宋体" w:cs="宋体" w:eastAsia="宋体" w:hint="default"/>
                <w:w w:val="101"/>
                <w:sz w:val="18"/>
                <w:szCs w:val="18"/>
              </w:rPr>
              <w:t> </w:t>
            </w:r>
            <w:r>
              <w:rPr>
                <w:rFonts w:ascii="宋体" w:hAnsi="宋体" w:cs="宋体" w:eastAsia="宋体" w:hint="default"/>
                <w:sz w:val="18"/>
                <w:szCs w:val="18"/>
              </w:rPr>
              <w:t>净额</w:t>
            </w:r>
          </w:p>
        </w:tc>
        <w:tc>
          <w:tcPr>
            <w:tcW w:w="2588"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859,730,000.00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802,430,000.00</w:t>
            </w:r>
          </w:p>
        </w:tc>
      </w:tr>
      <w:tr>
        <w:trPr>
          <w:trHeight w:val="403"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869,153,942.93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812,251,095.55</w:t>
            </w:r>
          </w:p>
        </w:tc>
      </w:tr>
      <w:tr>
        <w:trPr>
          <w:trHeight w:val="713"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43"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w:t>
            </w:r>
            <w:r>
              <w:rPr>
                <w:rFonts w:ascii="宋体" w:hAnsi="宋体" w:cs="宋体" w:eastAsia="宋体" w:hint="default"/>
                <w:w w:val="101"/>
                <w:sz w:val="18"/>
                <w:szCs w:val="18"/>
              </w:rPr>
              <w:t> </w:t>
            </w:r>
            <w:r>
              <w:rPr>
                <w:rFonts w:ascii="宋体" w:hAnsi="宋体" w:cs="宋体" w:eastAsia="宋体" w:hint="default"/>
                <w:sz w:val="18"/>
                <w:szCs w:val="18"/>
              </w:rPr>
              <w:t>产支付的现金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61,382,182.26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26,601,484.13</w:t>
            </w:r>
          </w:p>
        </w:tc>
      </w:tr>
      <w:tr>
        <w:trPr>
          <w:trHeight w:val="401"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49,648,912.00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24,200,000.00</w:t>
            </w:r>
          </w:p>
        </w:tc>
      </w:tr>
      <w:tr>
        <w:trPr>
          <w:trHeight w:val="716"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取得子公司及其他营业单位支付的现金</w:t>
            </w:r>
            <w:r>
              <w:rPr>
                <w:rFonts w:ascii="宋体" w:hAnsi="宋体" w:cs="宋体" w:eastAsia="宋体" w:hint="default"/>
                <w:spacing w:val="-5"/>
                <w:w w:val="101"/>
                <w:sz w:val="18"/>
                <w:szCs w:val="18"/>
              </w:rPr>
              <w:t> </w:t>
            </w:r>
            <w:r>
              <w:rPr>
                <w:rFonts w:ascii="宋体" w:hAnsi="宋体" w:cs="宋体" w:eastAsia="宋体" w:hint="default"/>
                <w:sz w:val="18"/>
                <w:szCs w:val="18"/>
              </w:rPr>
              <w:t>净额</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27,104,100.00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247,246,087.26</w:t>
            </w:r>
          </w:p>
        </w:tc>
      </w:tr>
      <w:tr>
        <w:trPr>
          <w:trHeight w:val="403"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1,137,950,000.00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781,710,000.00</w:t>
            </w:r>
          </w:p>
        </w:tc>
      </w:tr>
      <w:tr>
        <w:trPr>
          <w:trHeight w:val="401"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1,276,085,194.26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1,079,757,571.39</w:t>
            </w:r>
          </w:p>
        </w:tc>
      </w:tr>
      <w:tr>
        <w:trPr>
          <w:trHeight w:val="401"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-406,931,251.33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-267,506,475.84</w:t>
            </w:r>
          </w:p>
        </w:tc>
      </w:tr>
      <w:tr>
        <w:trPr>
          <w:trHeight w:val="403"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10,799,745.95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19,380,000.00</w:t>
            </w:r>
          </w:p>
        </w:tc>
      </w:tr>
      <w:tr>
        <w:trPr>
          <w:trHeight w:val="713"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3"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其中：子公司吸收少数股东投资收到的</w:t>
            </w:r>
            <w:r>
              <w:rPr>
                <w:rFonts w:ascii="宋体" w:hAnsi="宋体" w:cs="宋体" w:eastAsia="宋体" w:hint="default"/>
                <w:w w:val="101"/>
                <w:sz w:val="18"/>
                <w:szCs w:val="18"/>
              </w:rPr>
              <w:t> </w:t>
            </w:r>
            <w:r>
              <w:rPr>
                <w:rFonts w:ascii="宋体" w:hAnsi="宋体" w:cs="宋体" w:eastAsia="宋体" w:hint="default"/>
                <w:sz w:val="18"/>
                <w:szCs w:val="18"/>
              </w:rPr>
              <w:t>现金</w:t>
            </w:r>
          </w:p>
        </w:tc>
        <w:tc>
          <w:tcPr>
            <w:tcW w:w="2588"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2588"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2588"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10,799,745.95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19,380,000.00</w:t>
            </w:r>
          </w:p>
        </w:tc>
      </w:tr>
      <w:tr>
        <w:trPr>
          <w:trHeight w:val="401"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2588"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19,800,000.00</w:t>
            </w:r>
          </w:p>
        </w:tc>
      </w:tr>
      <w:tr>
        <w:trPr>
          <w:trHeight w:val="401"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分配股利、利润或偿付利息支付的现金</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79,598,921.60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2"/>
                <w:sz w:val="18"/>
              </w:rPr>
              <w:t>354,114.17</w:t>
            </w:r>
          </w:p>
        </w:tc>
      </w:tr>
      <w:tr>
        <w:trPr>
          <w:trHeight w:val="716"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43"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其中：子公司支付给少数股东的股利、</w:t>
            </w:r>
            <w:r>
              <w:rPr>
                <w:rFonts w:ascii="宋体" w:hAnsi="宋体" w:cs="宋体" w:eastAsia="宋体" w:hint="default"/>
                <w:w w:val="101"/>
                <w:sz w:val="18"/>
                <w:szCs w:val="18"/>
              </w:rPr>
              <w:t> </w:t>
            </w:r>
            <w:r>
              <w:rPr>
                <w:rFonts w:ascii="宋体" w:hAnsi="宋体" w:cs="宋体" w:eastAsia="宋体" w:hint="default"/>
                <w:sz w:val="18"/>
                <w:szCs w:val="18"/>
              </w:rPr>
              <w:t>利润</w:t>
            </w:r>
          </w:p>
        </w:tc>
        <w:tc>
          <w:tcPr>
            <w:tcW w:w="2588"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2588"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79,598,921.60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20,154,114.17</w:t>
            </w:r>
          </w:p>
        </w:tc>
      </w:tr>
      <w:tr>
        <w:trPr>
          <w:trHeight w:val="401"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-68,799,175.65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2"/>
                <w:sz w:val="18"/>
              </w:rPr>
              <w:t>-774,114.17</w:t>
            </w:r>
          </w:p>
        </w:tc>
      </w:tr>
      <w:tr>
        <w:trPr>
          <w:trHeight w:val="404"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四、汇率变动对现金及现金等价物的影响</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2,629,599.57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5,503,873.86</w:t>
            </w:r>
          </w:p>
        </w:tc>
      </w:tr>
      <w:tr>
        <w:trPr>
          <w:trHeight w:val="403"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-326,857,214.67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-135,281,046.23</w:t>
            </w:r>
          </w:p>
        </w:tc>
      </w:tr>
      <w:tr>
        <w:trPr>
          <w:trHeight w:val="401"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615,424,871.29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750,705,917.52</w:t>
            </w:r>
          </w:p>
        </w:tc>
      </w:tr>
      <w:tr>
        <w:trPr>
          <w:trHeight w:val="401" w:hRule="exact"/>
        </w:trPr>
        <w:tc>
          <w:tcPr>
            <w:tcW w:w="3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288,567,656.62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615,424,871.29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20" w:bottom="1220" w:left="980" w:right="0"/>
        </w:sectPr>
      </w:pPr>
    </w:p>
    <w:p>
      <w:pPr>
        <w:spacing w:line="240" w:lineRule="auto" w:before="10"/>
        <w:rPr>
          <w:rFonts w:ascii="Times New Roman" w:hAnsi="Times New Roman" w:cs="Times New Roman" w:eastAsia="Times New Roman" w:hint="default"/>
          <w:sz w:val="21"/>
          <w:szCs w:val="21"/>
        </w:rPr>
      </w:pPr>
    </w:p>
    <w:p>
      <w:pPr>
        <w:pStyle w:val="Heading4"/>
        <w:spacing w:line="240" w:lineRule="auto" w:before="36"/>
        <w:ind w:left="153" w:right="0"/>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083"/>
        <w:gridCol w:w="3299"/>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85"/>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10,815,525.21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15,081,765.71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08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85"/>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267,493,953.02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248,306,790.07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278,309,478.23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263,388,555.78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85"/>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14,697,974.10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9,998,579.03</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30,628,451.93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30,766,409.19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1,520,208.00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3,443,436.48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85"/>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78,259,346.87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145,912,510.13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125,105,980.90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190,120,934.83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153,203,497.33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73,267,620.95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08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9,238,400.81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9,627,619.55</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95" w:firstLine="360"/>
              <w:jc w:val="left"/>
              <w:rPr>
                <w:rFonts w:ascii="宋体" w:hAnsi="宋体" w:cs="宋体" w:eastAsia="宋体" w:hint="default"/>
                <w:sz w:val="18"/>
                <w:szCs w:val="18"/>
              </w:rPr>
            </w:pPr>
            <w:r>
              <w:rPr>
                <w:rFonts w:ascii="宋体" w:hAnsi="宋体" w:cs="宋体" w:eastAsia="宋体" w:hint="default"/>
                <w:spacing w:val="-9"/>
                <w:w w:val="101"/>
                <w:sz w:val="18"/>
                <w:szCs w:val="18"/>
              </w:rPr>
              <w:t>处置固定资产、无形资产和其他长</w:t>
            </w:r>
            <w:r>
              <w:rPr>
                <w:rFonts w:ascii="宋体" w:hAnsi="宋体" w:cs="宋体" w:eastAsia="宋体" w:hint="default"/>
                <w:w w:val="101"/>
                <w:sz w:val="18"/>
                <w:szCs w:val="18"/>
              </w:rPr>
              <w:t> </w:t>
            </w:r>
            <w:r>
              <w:rPr>
                <w:rFonts w:ascii="宋体" w:hAnsi="宋体" w:cs="宋体" w:eastAsia="宋体" w:hint="default"/>
                <w:sz w:val="18"/>
                <w:szCs w:val="18"/>
              </w:rPr>
              <w:t>期资产收回的现金净额</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22,200.00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85"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08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85"/>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809,730,000.00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802,430,000.00</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818,990,600.81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812,057,619.55</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4" w:firstLine="360"/>
              <w:jc w:val="left"/>
              <w:rPr>
                <w:rFonts w:ascii="宋体" w:hAnsi="宋体" w:cs="宋体" w:eastAsia="宋体" w:hint="default"/>
                <w:sz w:val="18"/>
                <w:szCs w:val="18"/>
              </w:rPr>
            </w:pPr>
            <w:r>
              <w:rPr>
                <w:rFonts w:ascii="宋体" w:hAnsi="宋体" w:cs="宋体" w:eastAsia="宋体" w:hint="default"/>
                <w:spacing w:val="-9"/>
                <w:w w:val="101"/>
                <w:sz w:val="18"/>
                <w:szCs w:val="18"/>
              </w:rPr>
              <w:t>购建固定资产、无形资产和其他长</w:t>
            </w:r>
            <w:r>
              <w:rPr>
                <w:rFonts w:ascii="宋体" w:hAnsi="宋体" w:cs="宋体" w:eastAsia="宋体" w:hint="default"/>
                <w:w w:val="101"/>
                <w:sz w:val="18"/>
                <w:szCs w:val="18"/>
              </w:rPr>
              <w:t> </w:t>
            </w:r>
            <w:r>
              <w:rPr>
                <w:rFonts w:ascii="宋体" w:hAnsi="宋体" w:cs="宋体" w:eastAsia="宋体" w:hint="default"/>
                <w:sz w:val="18"/>
                <w:szCs w:val="18"/>
              </w:rPr>
              <w:t>期资产支付的现金</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1,714,907.47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715,088.66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49,648,912.00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24,200,000.00</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85"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29,400,000.00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195,270,000.00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85"/>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1,087,950,000.00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781,710,000.00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1,168,713,819.47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1,001,895,088.66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-349,723,218.66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-189,837,469.11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10,799,745.95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19,380,000.00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08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022" w:top="1120" w:bottom="1220" w:left="980" w:right="0"/>
        </w:sectPr>
      </w:pPr>
    </w:p>
    <w:p>
      <w:pPr>
        <w:spacing w:line="240" w:lineRule="auto" w:before="3"/>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3188"/>
        <w:gridCol w:w="3083"/>
        <w:gridCol w:w="3299"/>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85"/>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08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10,799,745.95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19,380,000.00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08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19,800,000.00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4" w:firstLine="360"/>
              <w:jc w:val="left"/>
              <w:rPr>
                <w:rFonts w:ascii="宋体" w:hAnsi="宋体" w:cs="宋体" w:eastAsia="宋体" w:hint="default"/>
                <w:sz w:val="18"/>
                <w:szCs w:val="18"/>
              </w:rPr>
            </w:pPr>
            <w:r>
              <w:rPr>
                <w:rFonts w:ascii="宋体" w:hAnsi="宋体" w:cs="宋体" w:eastAsia="宋体" w:hint="default"/>
                <w:spacing w:val="-9"/>
                <w:w w:val="101"/>
                <w:sz w:val="18"/>
                <w:szCs w:val="18"/>
              </w:rPr>
              <w:t>分配股利、利润或偿付利息支付的</w:t>
            </w:r>
            <w:r>
              <w:rPr>
                <w:rFonts w:ascii="宋体" w:hAnsi="宋体" w:cs="宋体" w:eastAsia="宋体" w:hint="default"/>
                <w:w w:val="101"/>
                <w:sz w:val="18"/>
                <w:szCs w:val="18"/>
              </w:rPr>
              <w:t> </w:t>
            </w:r>
            <w:r>
              <w:rPr>
                <w:rFonts w:ascii="宋体" w:hAnsi="宋体" w:cs="宋体" w:eastAsia="宋体" w:hint="default"/>
                <w:sz w:val="18"/>
                <w:szCs w:val="18"/>
              </w:rPr>
              <w:t>现金</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79,598,921.60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354,114.17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85"/>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083"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79,598,921.60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2"/>
                <w:sz w:val="18"/>
              </w:rPr>
              <w:t>20,154,114.17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-68,799,175.65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-774,114.17</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8"/>
                <w:w w:val="101"/>
                <w:sz w:val="18"/>
                <w:szCs w:val="18"/>
              </w:rPr>
              <w:t>四、汇率变动对现金及现金等价物的影</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z w:val="18"/>
                <w:szCs w:val="18"/>
              </w:rPr>
              <w:t>响</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-265,318,896.98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-117,343,962.33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85"/>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345,925,250.00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463,269,212.33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80,606,353.02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345,925,250.00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20" w:bottom="1220" w:left="980" w:right="0"/>
        </w:sectPr>
      </w:pPr>
    </w:p>
    <w:p>
      <w:pPr>
        <w:spacing w:line="20" w:lineRule="exact"/>
        <w:ind w:left="246" w:right="0" w:firstLine="0"/>
        <w:rPr>
          <w:rFonts w:ascii="Times New Roman" w:hAnsi="Times New Roman" w:cs="Times New Roman" w:eastAsia="Times New Roman" w:hint="default"/>
          <w:sz w:val="2"/>
          <w:szCs w:val="2"/>
        </w:rPr>
      </w:pPr>
      <w:r>
        <w:rPr/>
        <w:pict>
          <v:group style="position:absolute;margin-left:225.190002pt;margin-top:255.940018pt;width:63.6pt;height:19.7pt;mso-position-horizontal-relative:page;mso-position-vertical-relative:page;z-index:-946288" coordorigin="4504,5119" coordsize="1272,394">
            <v:shape style="position:absolute;left:4504;top:5119;width:1272;height:394" coordorigin="4504,5119" coordsize="1272,394" path="m4504,5512l5776,5512,5776,5119,4504,5119,4504,5512xe" filled="true" fillcolor="#ffffff" stroked="false">
              <v:path arrowok="t"/>
              <v:fill type="solid"/>
            </v:shape>
            <w10:wrap type="none"/>
          </v:group>
        </w:pict>
      </w:r>
      <w:r>
        <w:rPr>
          <w:rFonts w:ascii="Times New Roman" w:hAnsi="Times New Roman" w:cs="Times New Roman" w:eastAsia="Times New Roman" w:hint="default"/>
          <w:sz w:val="2"/>
          <w:szCs w:val="2"/>
        </w:rPr>
        <w:pict>
          <v:group style="width:737.5pt;height:.5pt;mso-position-horizontal-relative:char;mso-position-vertical-relative:line" coordorigin="0,0" coordsize="14750,10">
            <v:group style="position:absolute;left:5;top:5;width:14740;height:2" coordorigin="5,5" coordsize="14740,2">
              <v:shape style="position:absolute;left:5;top:5;width:14740;height:2" coordorigin="5,5" coordsize="14740,0" path="m5,5l14745,5e" filled="false" stroked="true" strokeweight=".48pt" strokecolor="#000000">
                <v:path arrowok="t"/>
              </v:shape>
            </v:group>
          </v:group>
        </w:pict>
      </w:r>
      <w:r>
        <w:rPr>
          <w:rFonts w:ascii="Times New Roman" w:hAnsi="Times New Roman" w:cs="Times New Roman" w:eastAsia="Times New Roman" w:hint="default"/>
          <w:sz w:val="2"/>
          <w:szCs w:val="2"/>
        </w:rPr>
      </w:r>
    </w:p>
    <w:p>
      <w:pPr>
        <w:pStyle w:val="Heading4"/>
        <w:spacing w:line="240" w:lineRule="auto" w:before="35"/>
        <w:ind w:left="280" w:right="0"/>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6"/>
          <w:szCs w:val="26"/>
        </w:rPr>
      </w:pPr>
    </w:p>
    <w:p>
      <w:pPr>
        <w:pStyle w:val="BodyText"/>
        <w:tabs>
          <w:tab w:pos="14050" w:val="left" w:leader="none"/>
        </w:tabs>
        <w:spacing w:line="240" w:lineRule="auto"/>
        <w:ind w:left="280" w:right="0"/>
        <w:jc w:val="left"/>
      </w:pPr>
      <w:r>
        <w:rPr>
          <w:spacing w:val="-2"/>
        </w:rPr>
        <w:t>本期金额</w:t>
        <w:tab/>
        <w:t>单位：元</w:t>
      </w:r>
    </w:p>
    <w:p>
      <w:pPr>
        <w:spacing w:line="240" w:lineRule="auto" w:before="7"/>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3565"/>
        <w:gridCol w:w="1301"/>
        <w:gridCol w:w="1229"/>
        <w:gridCol w:w="1076"/>
        <w:gridCol w:w="1138"/>
        <w:gridCol w:w="1076"/>
        <w:gridCol w:w="1167"/>
        <w:gridCol w:w="1306"/>
        <w:gridCol w:w="1378"/>
        <w:gridCol w:w="1618"/>
      </w:tblGrid>
      <w:tr>
        <w:trPr>
          <w:trHeight w:val="427" w:hRule="exact"/>
        </w:trPr>
        <w:tc>
          <w:tcPr>
            <w:tcW w:w="3565"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288" w:type="dxa"/>
            <w:gridSpan w:val="9"/>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20" w:hRule="exact"/>
        </w:trPr>
        <w:tc>
          <w:tcPr>
            <w:tcW w:w="3565" w:type="dxa"/>
            <w:vMerge/>
            <w:tcBorders>
              <w:left w:val="single" w:sz="8" w:space="0" w:color="000000"/>
              <w:right w:val="single" w:sz="8" w:space="0" w:color="000000"/>
            </w:tcBorders>
            <w:shd w:val="clear" w:color="auto" w:fill="D2D2D2"/>
          </w:tcPr>
          <w:p>
            <w:pPr/>
          </w:p>
        </w:tc>
        <w:tc>
          <w:tcPr>
            <w:tcW w:w="8292" w:type="dxa"/>
            <w:gridSpan w:val="7"/>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1378" w:type="dxa"/>
            <w:tcBorders>
              <w:top w:val="single" w:sz="8" w:space="0" w:color="000000"/>
              <w:left w:val="single" w:sz="8" w:space="0" w:color="000000"/>
              <w:bottom w:val="nil" w:sz="6" w:space="0" w:color="auto"/>
              <w:right w:val="single" w:sz="8" w:space="0" w:color="000000"/>
            </w:tcBorders>
            <w:shd w:val="clear" w:color="auto" w:fill="D2D2D2"/>
          </w:tcPr>
          <w:p>
            <w:pPr/>
          </w:p>
        </w:tc>
        <w:tc>
          <w:tcPr>
            <w:tcW w:w="1618" w:type="dxa"/>
            <w:tcBorders>
              <w:top w:val="single" w:sz="8" w:space="0" w:color="000000"/>
              <w:left w:val="single" w:sz="8" w:space="0" w:color="000000"/>
              <w:bottom w:val="nil" w:sz="6" w:space="0" w:color="auto"/>
              <w:right w:val="single" w:sz="8" w:space="0" w:color="000000"/>
            </w:tcBorders>
            <w:shd w:val="clear" w:color="auto" w:fill="D2D2D2"/>
          </w:tcPr>
          <w:p>
            <w:pPr/>
          </w:p>
        </w:tc>
      </w:tr>
      <w:tr>
        <w:trPr>
          <w:trHeight w:val="418" w:hRule="exact"/>
        </w:trPr>
        <w:tc>
          <w:tcPr>
            <w:tcW w:w="3565" w:type="dxa"/>
            <w:vMerge/>
            <w:tcBorders>
              <w:left w:val="single" w:sz="8" w:space="0" w:color="000000"/>
              <w:right w:val="single" w:sz="8" w:space="0" w:color="000000"/>
            </w:tcBorders>
            <w:shd w:val="clear" w:color="auto" w:fill="D2D2D2"/>
          </w:tcPr>
          <w:p>
            <w:pPr/>
          </w:p>
        </w:tc>
        <w:tc>
          <w:tcPr>
            <w:tcW w:w="1301"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29"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76"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8"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076"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67"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06"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78" w:type="dxa"/>
            <w:vMerge w:val="restart"/>
            <w:tcBorders>
              <w:top w:val="nil" w:sz="6" w:space="0" w:color="auto"/>
              <w:left w:val="single" w:sz="8" w:space="0" w:color="000000"/>
              <w:right w:val="single" w:sz="8" w:space="0" w:color="000000"/>
            </w:tcBorders>
            <w:shd w:val="clear" w:color="auto" w:fill="D2D2D2"/>
          </w:tcPr>
          <w:p>
            <w:pPr>
              <w:pStyle w:val="TableParagraph"/>
              <w:spacing w:line="240" w:lineRule="auto" w:before="78"/>
              <w:ind w:left="139"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18" w:type="dxa"/>
            <w:tcBorders>
              <w:top w:val="nil" w:sz="6" w:space="0" w:color="auto"/>
              <w:left w:val="single" w:sz="8" w:space="0" w:color="000000"/>
              <w:bottom w:val="nil" w:sz="6" w:space="0" w:color="auto"/>
              <w:right w:val="single" w:sz="8" w:space="0" w:color="000000"/>
            </w:tcBorders>
            <w:shd w:val="clear" w:color="auto" w:fill="D2D2D2"/>
          </w:tcPr>
          <w:p>
            <w:pPr>
              <w:pStyle w:val="TableParagraph"/>
              <w:spacing w:line="240" w:lineRule="auto" w:before="78"/>
              <w:ind w:left="173"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r>
      <w:tr>
        <w:trPr>
          <w:trHeight w:val="437" w:hRule="exact"/>
        </w:trPr>
        <w:tc>
          <w:tcPr>
            <w:tcW w:w="3565" w:type="dxa"/>
            <w:vMerge/>
            <w:tcBorders>
              <w:left w:val="single" w:sz="8" w:space="0" w:color="000000"/>
              <w:bottom w:val="single" w:sz="8" w:space="0" w:color="000000"/>
              <w:right w:val="single" w:sz="8" w:space="0" w:color="000000"/>
            </w:tcBorders>
            <w:shd w:val="clear" w:color="auto" w:fill="D2D2D2"/>
          </w:tcPr>
          <w:p>
            <w:pPr/>
          </w:p>
        </w:tc>
        <w:tc>
          <w:tcPr>
            <w:tcW w:w="1301" w:type="dxa"/>
            <w:vMerge/>
            <w:tcBorders>
              <w:left w:val="single" w:sz="8" w:space="0" w:color="000000"/>
              <w:bottom w:val="single" w:sz="8" w:space="0" w:color="000000"/>
              <w:right w:val="single" w:sz="8" w:space="0" w:color="000000"/>
            </w:tcBorders>
            <w:shd w:val="clear" w:color="auto" w:fill="D2D2D2"/>
          </w:tcPr>
          <w:p>
            <w:pPr/>
          </w:p>
        </w:tc>
        <w:tc>
          <w:tcPr>
            <w:tcW w:w="1229" w:type="dxa"/>
            <w:vMerge/>
            <w:tcBorders>
              <w:left w:val="single" w:sz="8" w:space="0" w:color="000000"/>
              <w:bottom w:val="single" w:sz="8" w:space="0" w:color="000000"/>
              <w:right w:val="single" w:sz="8" w:space="0" w:color="000000"/>
            </w:tcBorders>
            <w:shd w:val="clear" w:color="auto" w:fill="D2D2D2"/>
          </w:tcPr>
          <w:p>
            <w:pPr/>
          </w:p>
        </w:tc>
        <w:tc>
          <w:tcPr>
            <w:tcW w:w="1076" w:type="dxa"/>
            <w:vMerge/>
            <w:tcBorders>
              <w:left w:val="single" w:sz="8" w:space="0" w:color="000000"/>
              <w:bottom w:val="single" w:sz="8" w:space="0" w:color="000000"/>
              <w:right w:val="single" w:sz="8" w:space="0" w:color="000000"/>
            </w:tcBorders>
            <w:shd w:val="clear" w:color="auto" w:fill="D2D2D2"/>
          </w:tcPr>
          <w:p>
            <w:pPr/>
          </w:p>
        </w:tc>
        <w:tc>
          <w:tcPr>
            <w:tcW w:w="1138" w:type="dxa"/>
            <w:vMerge/>
            <w:tcBorders>
              <w:left w:val="single" w:sz="8" w:space="0" w:color="000000"/>
              <w:bottom w:val="single" w:sz="8" w:space="0" w:color="000000"/>
              <w:right w:val="single" w:sz="8" w:space="0" w:color="000000"/>
            </w:tcBorders>
            <w:shd w:val="clear" w:color="auto" w:fill="D2D2D2"/>
          </w:tcPr>
          <w:p>
            <w:pPr/>
          </w:p>
        </w:tc>
        <w:tc>
          <w:tcPr>
            <w:tcW w:w="1076" w:type="dxa"/>
            <w:vMerge/>
            <w:tcBorders>
              <w:left w:val="single" w:sz="8" w:space="0" w:color="000000"/>
              <w:bottom w:val="single" w:sz="8" w:space="0" w:color="000000"/>
              <w:right w:val="single" w:sz="8" w:space="0" w:color="000000"/>
            </w:tcBorders>
            <w:shd w:val="clear" w:color="auto" w:fill="D2D2D2"/>
          </w:tcPr>
          <w:p>
            <w:pPr/>
          </w:p>
        </w:tc>
        <w:tc>
          <w:tcPr>
            <w:tcW w:w="1167" w:type="dxa"/>
            <w:vMerge/>
            <w:tcBorders>
              <w:left w:val="single" w:sz="8" w:space="0" w:color="000000"/>
              <w:bottom w:val="single" w:sz="8" w:space="0" w:color="000000"/>
              <w:right w:val="single" w:sz="8" w:space="0" w:color="000000"/>
            </w:tcBorders>
            <w:shd w:val="clear" w:color="auto" w:fill="D2D2D2"/>
          </w:tcPr>
          <w:p>
            <w:pPr/>
          </w:p>
        </w:tc>
        <w:tc>
          <w:tcPr>
            <w:tcW w:w="1306" w:type="dxa"/>
            <w:vMerge/>
            <w:tcBorders>
              <w:left w:val="single" w:sz="8" w:space="0" w:color="000000"/>
              <w:bottom w:val="single" w:sz="8" w:space="0" w:color="000000"/>
              <w:right w:val="single" w:sz="8" w:space="0" w:color="000000"/>
            </w:tcBorders>
            <w:shd w:val="clear" w:color="auto" w:fill="D2D2D2"/>
          </w:tcPr>
          <w:p>
            <w:pPr/>
          </w:p>
        </w:tc>
        <w:tc>
          <w:tcPr>
            <w:tcW w:w="1378" w:type="dxa"/>
            <w:vMerge/>
            <w:tcBorders>
              <w:left w:val="single" w:sz="8" w:space="0" w:color="000000"/>
              <w:bottom w:val="single" w:sz="8" w:space="0" w:color="000000"/>
              <w:right w:val="single" w:sz="8" w:space="0" w:color="000000"/>
            </w:tcBorders>
            <w:shd w:val="clear" w:color="auto" w:fill="D2D2D2"/>
          </w:tcPr>
          <w:p>
            <w:pPr/>
          </w:p>
        </w:tc>
        <w:tc>
          <w:tcPr>
            <w:tcW w:w="1618" w:type="dxa"/>
            <w:tcBorders>
              <w:top w:val="nil" w:sz="6" w:space="0" w:color="auto"/>
              <w:left w:val="single" w:sz="8" w:space="0" w:color="000000"/>
              <w:bottom w:val="single" w:sz="8" w:space="0" w:color="000000"/>
              <w:right w:val="single" w:sz="8" w:space="0" w:color="000000"/>
            </w:tcBorders>
            <w:shd w:val="clear" w:color="auto" w:fill="D2D2D2"/>
          </w:tcPr>
          <w:p>
            <w:pPr/>
          </w:p>
        </w:tc>
      </w:tr>
      <w:tr>
        <w:trPr>
          <w:trHeight w:val="408" w:hRule="exact"/>
        </w:trPr>
        <w:tc>
          <w:tcPr>
            <w:tcW w:w="356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0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794,980,220.00</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850,541,642.53</w:t>
            </w:r>
          </w:p>
        </w:tc>
        <w:tc>
          <w:tcPr>
            <w:tcW w:w="1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pacing w:val="-1"/>
                <w:sz w:val="18"/>
              </w:rPr>
              <w:t>35,340,000.00</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66" w:right="0"/>
              <w:jc w:val="center"/>
              <w:rPr>
                <w:rFonts w:ascii="Times New Roman" w:hAnsi="Times New Roman" w:cs="Times New Roman" w:eastAsia="Times New Roman" w:hint="default"/>
                <w:sz w:val="18"/>
                <w:szCs w:val="18"/>
              </w:rPr>
            </w:pPr>
            <w:r>
              <w:rPr>
                <w:rFonts w:ascii="Times New Roman"/>
                <w:sz w:val="18"/>
              </w:rPr>
              <w:t>50,348,236.58</w:t>
            </w:r>
          </w:p>
        </w:tc>
        <w:tc>
          <w:tcPr>
            <w:tcW w:w="1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90,731,741.37</w:t>
            </w:r>
          </w:p>
        </w:tc>
        <w:tc>
          <w:tcPr>
            <w:tcW w:w="11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151,440,953.64</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2"/>
                <w:sz w:val="18"/>
              </w:rPr>
              <w:t>1,902,702,794.12</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78,098,414.58</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2"/>
                <w:sz w:val="18"/>
              </w:rPr>
              <w:t>1,980,801,208.70</w:t>
            </w:r>
          </w:p>
        </w:tc>
      </w:tr>
      <w:tr>
        <w:trPr>
          <w:trHeight w:val="413" w:hRule="exact"/>
        </w:trPr>
        <w:tc>
          <w:tcPr>
            <w:tcW w:w="356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9"/>
              <w:ind w:left="36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01" w:type="dxa"/>
            <w:tcBorders>
              <w:top w:val="single" w:sz="8" w:space="0" w:color="000000"/>
              <w:left w:val="single" w:sz="12" w:space="0" w:color="000000"/>
              <w:bottom w:val="single" w:sz="8" w:space="0" w:color="000000"/>
              <w:right w:val="single" w:sz="8" w:space="0" w:color="000000"/>
            </w:tcBorders>
          </w:tcPr>
          <w:p>
            <w:pPr/>
          </w:p>
        </w:tc>
        <w:tc>
          <w:tcPr>
            <w:tcW w:w="1229" w:type="dxa"/>
            <w:tcBorders>
              <w:top w:val="single" w:sz="8" w:space="0" w:color="000000"/>
              <w:left w:val="single" w:sz="8" w:space="0" w:color="000000"/>
              <w:bottom w:val="single" w:sz="8" w:space="0" w:color="000000"/>
              <w:right w:val="single" w:sz="8" w:space="0" w:color="000000"/>
            </w:tcBorders>
          </w:tcPr>
          <w:p>
            <w:pPr/>
          </w:p>
        </w:tc>
        <w:tc>
          <w:tcPr>
            <w:tcW w:w="1076" w:type="dxa"/>
            <w:tcBorders>
              <w:top w:val="single" w:sz="8" w:space="0" w:color="000000"/>
              <w:left w:val="single" w:sz="8" w:space="0" w:color="000000"/>
              <w:bottom w:val="single" w:sz="8" w:space="0" w:color="000000"/>
              <w:right w:val="single" w:sz="8" w:space="0" w:color="000000"/>
            </w:tcBorders>
          </w:tcPr>
          <w:p>
            <w:pP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9" w:right="0"/>
              <w:jc w:val="center"/>
              <w:rPr>
                <w:rFonts w:ascii="Times New Roman" w:hAnsi="Times New Roman" w:cs="Times New Roman" w:eastAsia="Times New Roman" w:hint="default"/>
                <w:sz w:val="18"/>
                <w:szCs w:val="18"/>
              </w:rPr>
            </w:pPr>
            <w:r>
              <w:rPr>
                <w:rFonts w:ascii="Times New Roman"/>
                <w:spacing w:val="-1"/>
                <w:sz w:val="18"/>
              </w:rPr>
              <w:t>-22,405,668.82</w:t>
            </w:r>
          </w:p>
        </w:tc>
        <w:tc>
          <w:tcPr>
            <w:tcW w:w="1076" w:type="dxa"/>
            <w:tcBorders>
              <w:top w:val="single" w:sz="8" w:space="0" w:color="000000"/>
              <w:left w:val="single" w:sz="8" w:space="0" w:color="000000"/>
              <w:bottom w:val="single" w:sz="8" w:space="0" w:color="000000"/>
              <w:right w:val="single" w:sz="8" w:space="0" w:color="000000"/>
            </w:tcBorders>
          </w:tcPr>
          <w:p>
            <w:pPr/>
          </w:p>
        </w:tc>
        <w:tc>
          <w:tcPr>
            <w:tcW w:w="11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69,622,065.17</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3"/>
              <w:jc w:val="right"/>
              <w:rPr>
                <w:rFonts w:ascii="Times New Roman" w:hAnsi="Times New Roman" w:cs="Times New Roman" w:eastAsia="Times New Roman" w:hint="default"/>
                <w:sz w:val="18"/>
                <w:szCs w:val="18"/>
              </w:rPr>
            </w:pPr>
            <w:r>
              <w:rPr>
                <w:rFonts w:ascii="Times New Roman"/>
                <w:spacing w:val="-1"/>
                <w:sz w:val="18"/>
              </w:rPr>
              <w:t>47,216,396.35</w:t>
            </w:r>
          </w:p>
        </w:tc>
        <w:tc>
          <w:tcPr>
            <w:tcW w:w="1378" w:type="dxa"/>
            <w:tcBorders>
              <w:top w:val="single" w:sz="8" w:space="0" w:color="000000"/>
              <w:left w:val="single" w:sz="8" w:space="0" w:color="000000"/>
              <w:bottom w:val="single" w:sz="8" w:space="0" w:color="000000"/>
              <w:right w:val="single" w:sz="8" w:space="0" w:color="000000"/>
            </w:tcBorders>
          </w:tcPr>
          <w:p>
            <w:pP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47,216,396.35</w:t>
            </w:r>
          </w:p>
        </w:tc>
      </w:tr>
      <w:tr>
        <w:trPr>
          <w:trHeight w:val="413" w:hRule="exact"/>
        </w:trPr>
        <w:tc>
          <w:tcPr>
            <w:tcW w:w="356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0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794,980,220.00</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850,541,642.53</w:t>
            </w:r>
          </w:p>
        </w:tc>
        <w:tc>
          <w:tcPr>
            <w:tcW w:w="1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pacing w:val="-1"/>
                <w:sz w:val="18"/>
              </w:rPr>
              <w:t>35,340,000.00</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66" w:right="0"/>
              <w:jc w:val="center"/>
              <w:rPr>
                <w:rFonts w:ascii="Times New Roman" w:hAnsi="Times New Roman" w:cs="Times New Roman" w:eastAsia="Times New Roman" w:hint="default"/>
                <w:sz w:val="18"/>
                <w:szCs w:val="18"/>
              </w:rPr>
            </w:pPr>
            <w:r>
              <w:rPr>
                <w:rFonts w:ascii="Times New Roman"/>
                <w:sz w:val="18"/>
              </w:rPr>
              <w:t>27,942,567.76</w:t>
            </w:r>
          </w:p>
        </w:tc>
        <w:tc>
          <w:tcPr>
            <w:tcW w:w="1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90,731,741.37</w:t>
            </w:r>
          </w:p>
        </w:tc>
        <w:tc>
          <w:tcPr>
            <w:tcW w:w="11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221,063,018.81</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2"/>
                <w:sz w:val="18"/>
              </w:rPr>
              <w:t>1,949,919,190.47</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78,098,414.58</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2"/>
                <w:sz w:val="18"/>
              </w:rPr>
              <w:t>2,028,017,605.05</w:t>
            </w:r>
          </w:p>
        </w:tc>
      </w:tr>
      <w:tr>
        <w:trPr>
          <w:trHeight w:val="437" w:hRule="exact"/>
        </w:trPr>
        <w:tc>
          <w:tcPr>
            <w:tcW w:w="356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8"/>
              <w:ind w:left="2" w:right="-4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301" w:type="dxa"/>
            <w:tcBorders>
              <w:top w:val="single" w:sz="8" w:space="0" w:color="000000"/>
              <w:left w:val="single" w:sz="13" w:space="0" w:color="000000"/>
              <w:bottom w:val="single" w:sz="8" w:space="0" w:color="000000"/>
              <w:right w:val="single" w:sz="8" w:space="0" w:color="000000"/>
            </w:tcBorders>
          </w:tcPr>
          <w:p>
            <w:pPr>
              <w:pStyle w:val="TableParagraph"/>
              <w:spacing w:line="240" w:lineRule="auto" w:before="110"/>
              <w:ind w:right="0"/>
              <w:jc w:val="right"/>
              <w:rPr>
                <w:rFonts w:ascii="Times New Roman" w:hAnsi="Times New Roman" w:cs="Times New Roman" w:eastAsia="Times New Roman" w:hint="default"/>
                <w:sz w:val="18"/>
                <w:szCs w:val="18"/>
              </w:rPr>
            </w:pPr>
            <w:r>
              <w:rPr>
                <w:rFonts w:ascii="Times New Roman"/>
                <w:spacing w:val="-1"/>
                <w:sz w:val="18"/>
              </w:rPr>
              <w:t>558,902,733.00</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0"/>
              <w:jc w:val="right"/>
              <w:rPr>
                <w:rFonts w:ascii="Times New Roman" w:hAnsi="Times New Roman" w:cs="Times New Roman" w:eastAsia="Times New Roman" w:hint="default"/>
                <w:sz w:val="18"/>
                <w:szCs w:val="18"/>
              </w:rPr>
            </w:pPr>
            <w:r>
              <w:rPr>
                <w:rFonts w:ascii="Times New Roman"/>
                <w:spacing w:val="-1"/>
                <w:sz w:val="18"/>
              </w:rPr>
              <w:t>-538,147,510.64</w:t>
            </w:r>
          </w:p>
        </w:tc>
        <w:tc>
          <w:tcPr>
            <w:tcW w:w="1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47" w:right="0"/>
              <w:jc w:val="center"/>
              <w:rPr>
                <w:rFonts w:ascii="Times New Roman" w:hAnsi="Times New Roman" w:cs="Times New Roman" w:eastAsia="Times New Roman" w:hint="default"/>
                <w:sz w:val="18"/>
                <w:szCs w:val="18"/>
              </w:rPr>
            </w:pPr>
            <w:r>
              <w:rPr>
                <w:rFonts w:ascii="Times New Roman"/>
                <w:spacing w:val="-1"/>
                <w:sz w:val="18"/>
              </w:rPr>
              <w:t>-8,930,000.00</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pacing w:val="-1"/>
                <w:sz w:val="18"/>
              </w:rPr>
              <w:t>-11,925,673.96</w:t>
            </w:r>
          </w:p>
        </w:tc>
        <w:tc>
          <w:tcPr>
            <w:tcW w:w="1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0"/>
              <w:jc w:val="right"/>
              <w:rPr>
                <w:rFonts w:ascii="Times New Roman" w:hAnsi="Times New Roman" w:cs="Times New Roman" w:eastAsia="Times New Roman" w:hint="default"/>
                <w:sz w:val="18"/>
                <w:szCs w:val="18"/>
              </w:rPr>
            </w:pPr>
            <w:r>
              <w:rPr>
                <w:rFonts w:ascii="Times New Roman"/>
                <w:spacing w:val="-1"/>
                <w:sz w:val="18"/>
              </w:rPr>
              <w:t>6,645,976.25</w:t>
            </w:r>
          </w:p>
        </w:tc>
        <w:tc>
          <w:tcPr>
            <w:tcW w:w="11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88,368,096.64</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3"/>
              <w:jc w:val="right"/>
              <w:rPr>
                <w:rFonts w:ascii="Times New Roman" w:hAnsi="Times New Roman" w:cs="Times New Roman" w:eastAsia="Times New Roman" w:hint="default"/>
                <w:sz w:val="18"/>
                <w:szCs w:val="18"/>
              </w:rPr>
            </w:pPr>
            <w:r>
              <w:rPr>
                <w:rFonts w:ascii="Times New Roman"/>
                <w:spacing w:val="-1"/>
                <w:sz w:val="18"/>
              </w:rPr>
              <w:t>112,773,621.29</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0"/>
              <w:jc w:val="right"/>
              <w:rPr>
                <w:rFonts w:ascii="Times New Roman" w:hAnsi="Times New Roman" w:cs="Times New Roman" w:eastAsia="Times New Roman" w:hint="default"/>
                <w:sz w:val="18"/>
                <w:szCs w:val="18"/>
              </w:rPr>
            </w:pPr>
            <w:r>
              <w:rPr>
                <w:rFonts w:ascii="Times New Roman"/>
                <w:spacing w:val="-1"/>
                <w:sz w:val="18"/>
              </w:rPr>
              <w:t>8,097,117.46</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0"/>
              <w:jc w:val="right"/>
              <w:rPr>
                <w:rFonts w:ascii="Times New Roman" w:hAnsi="Times New Roman" w:cs="Times New Roman" w:eastAsia="Times New Roman" w:hint="default"/>
                <w:sz w:val="18"/>
                <w:szCs w:val="18"/>
              </w:rPr>
            </w:pPr>
            <w:r>
              <w:rPr>
                <w:rFonts w:ascii="Times New Roman"/>
                <w:spacing w:val="-1"/>
                <w:sz w:val="18"/>
              </w:rPr>
              <w:t>120,870,738.75</w:t>
            </w:r>
          </w:p>
        </w:tc>
      </w:tr>
      <w:tr>
        <w:trPr>
          <w:trHeight w:val="413" w:hRule="exact"/>
        </w:trPr>
        <w:tc>
          <w:tcPr>
            <w:tcW w:w="356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4"/>
              <w:ind w:left="2" w:right="0"/>
              <w:jc w:val="left"/>
              <w:rPr>
                <w:rFonts w:ascii="宋体" w:hAnsi="宋体" w:cs="宋体" w:eastAsia="宋体" w:hint="default"/>
                <w:sz w:val="18"/>
                <w:szCs w:val="18"/>
              </w:rPr>
            </w:pPr>
            <w:r>
              <w:rPr>
                <w:rFonts w:ascii="宋体" w:hAnsi="宋体" w:cs="宋体" w:eastAsia="宋体" w:hint="default"/>
                <w:spacing w:val="-3"/>
                <w:sz w:val="18"/>
                <w:szCs w:val="18"/>
              </w:rPr>
              <w:t>（一）综合收益总额</w:t>
            </w:r>
          </w:p>
        </w:tc>
        <w:tc>
          <w:tcPr>
            <w:tcW w:w="1301" w:type="dxa"/>
            <w:tcBorders>
              <w:top w:val="single" w:sz="8" w:space="0" w:color="000000"/>
              <w:left w:val="single" w:sz="12" w:space="0" w:color="000000"/>
              <w:bottom w:val="single" w:sz="8" w:space="0" w:color="000000"/>
              <w:right w:val="single" w:sz="8" w:space="0" w:color="000000"/>
            </w:tcBorders>
          </w:tcPr>
          <w:p>
            <w:pPr/>
          </w:p>
        </w:tc>
        <w:tc>
          <w:tcPr>
            <w:tcW w:w="1229" w:type="dxa"/>
            <w:tcBorders>
              <w:top w:val="single" w:sz="8" w:space="0" w:color="000000"/>
              <w:left w:val="single" w:sz="8" w:space="0" w:color="000000"/>
              <w:bottom w:val="single" w:sz="8" w:space="0" w:color="000000"/>
              <w:right w:val="single" w:sz="8" w:space="0" w:color="000000"/>
            </w:tcBorders>
          </w:tcPr>
          <w:p>
            <w:pPr/>
          </w:p>
        </w:tc>
        <w:tc>
          <w:tcPr>
            <w:tcW w:w="1076" w:type="dxa"/>
            <w:tcBorders>
              <w:top w:val="single" w:sz="8" w:space="0" w:color="000000"/>
              <w:left w:val="single" w:sz="8" w:space="0" w:color="000000"/>
              <w:bottom w:val="single" w:sz="8" w:space="0" w:color="000000"/>
              <w:right w:val="single" w:sz="8" w:space="0" w:color="000000"/>
            </w:tcBorders>
          </w:tcPr>
          <w:p>
            <w:pP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pacing w:val="-1"/>
                <w:sz w:val="18"/>
              </w:rPr>
              <w:t>-11,925,673.96</w:t>
            </w:r>
          </w:p>
        </w:tc>
        <w:tc>
          <w:tcPr>
            <w:tcW w:w="1076" w:type="dxa"/>
            <w:tcBorders>
              <w:top w:val="single" w:sz="8" w:space="0" w:color="000000"/>
              <w:left w:val="single" w:sz="8" w:space="0" w:color="000000"/>
              <w:bottom w:val="single" w:sz="8" w:space="0" w:color="000000"/>
              <w:right w:val="single" w:sz="8" w:space="0" w:color="000000"/>
            </w:tcBorders>
          </w:tcPr>
          <w:p>
            <w:pPr/>
          </w:p>
        </w:tc>
        <w:tc>
          <w:tcPr>
            <w:tcW w:w="11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174,612,994.49</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162,687,320.53</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8,097,117.46</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170,784,437.99</w:t>
            </w:r>
          </w:p>
        </w:tc>
      </w:tr>
      <w:tr>
        <w:trPr>
          <w:trHeight w:val="413" w:hRule="exact"/>
        </w:trPr>
        <w:tc>
          <w:tcPr>
            <w:tcW w:w="356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pacing w:val="-3"/>
                <w:sz w:val="18"/>
                <w:szCs w:val="18"/>
              </w:rPr>
              <w:t>（二）所有者投入和减少资本</w:t>
            </w:r>
          </w:p>
        </w:tc>
        <w:tc>
          <w:tcPr>
            <w:tcW w:w="130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1,710,282.00</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19,044,940.36</w:t>
            </w:r>
          </w:p>
        </w:tc>
        <w:tc>
          <w:tcPr>
            <w:tcW w:w="1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pacing w:val="-1"/>
                <w:sz w:val="18"/>
              </w:rPr>
              <w:t>-7,790,000.00</w:t>
            </w:r>
          </w:p>
        </w:tc>
        <w:tc>
          <w:tcPr>
            <w:tcW w:w="1138" w:type="dxa"/>
            <w:tcBorders>
              <w:top w:val="single" w:sz="8" w:space="0" w:color="000000"/>
              <w:left w:val="single" w:sz="8" w:space="0" w:color="000000"/>
              <w:bottom w:val="single" w:sz="8" w:space="0" w:color="000000"/>
              <w:right w:val="single" w:sz="8" w:space="0" w:color="000000"/>
            </w:tcBorders>
          </w:tcPr>
          <w:p>
            <w:pPr/>
          </w:p>
        </w:tc>
        <w:tc>
          <w:tcPr>
            <w:tcW w:w="1076" w:type="dxa"/>
            <w:tcBorders>
              <w:top w:val="single" w:sz="8" w:space="0" w:color="000000"/>
              <w:left w:val="single" w:sz="8" w:space="0" w:color="000000"/>
              <w:bottom w:val="single" w:sz="8" w:space="0" w:color="000000"/>
              <w:right w:val="single" w:sz="8" w:space="0" w:color="000000"/>
            </w:tcBorders>
          </w:tcPr>
          <w:p>
            <w:pPr/>
          </w:p>
        </w:tc>
        <w:tc>
          <w:tcPr>
            <w:tcW w:w="1167"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28,545,222.36</w:t>
            </w:r>
          </w:p>
        </w:tc>
        <w:tc>
          <w:tcPr>
            <w:tcW w:w="1378" w:type="dxa"/>
            <w:tcBorders>
              <w:top w:val="single" w:sz="8" w:space="0" w:color="000000"/>
              <w:left w:val="single" w:sz="8" w:space="0" w:color="000000"/>
              <w:bottom w:val="single" w:sz="8" w:space="0" w:color="000000"/>
              <w:right w:val="single" w:sz="8" w:space="0" w:color="000000"/>
            </w:tcBorders>
          </w:tcPr>
          <w:p>
            <w:pP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28,545,222.36</w:t>
            </w:r>
          </w:p>
        </w:tc>
      </w:tr>
      <w:tr>
        <w:trPr>
          <w:trHeight w:val="413" w:hRule="exact"/>
        </w:trPr>
        <w:tc>
          <w:tcPr>
            <w:tcW w:w="356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30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1,710,282.00</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9,120,640.36</w:t>
            </w:r>
          </w:p>
        </w:tc>
        <w:tc>
          <w:tcPr>
            <w:tcW w:w="1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pacing w:val="-1"/>
                <w:sz w:val="18"/>
              </w:rPr>
              <w:t>-7,790,000.00</w:t>
            </w:r>
          </w:p>
        </w:tc>
        <w:tc>
          <w:tcPr>
            <w:tcW w:w="1138" w:type="dxa"/>
            <w:tcBorders>
              <w:top w:val="single" w:sz="8" w:space="0" w:color="000000"/>
              <w:left w:val="single" w:sz="8" w:space="0" w:color="000000"/>
              <w:bottom w:val="single" w:sz="8" w:space="0" w:color="000000"/>
              <w:right w:val="single" w:sz="8" w:space="0" w:color="000000"/>
            </w:tcBorders>
          </w:tcPr>
          <w:p>
            <w:pPr/>
          </w:p>
        </w:tc>
        <w:tc>
          <w:tcPr>
            <w:tcW w:w="1076" w:type="dxa"/>
            <w:tcBorders>
              <w:top w:val="single" w:sz="8" w:space="0" w:color="000000"/>
              <w:left w:val="single" w:sz="8" w:space="0" w:color="000000"/>
              <w:bottom w:val="single" w:sz="8" w:space="0" w:color="000000"/>
              <w:right w:val="single" w:sz="8" w:space="0" w:color="000000"/>
            </w:tcBorders>
          </w:tcPr>
          <w:p>
            <w:pPr/>
          </w:p>
        </w:tc>
        <w:tc>
          <w:tcPr>
            <w:tcW w:w="1167"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18,620,922.36</w:t>
            </w:r>
          </w:p>
        </w:tc>
        <w:tc>
          <w:tcPr>
            <w:tcW w:w="1378" w:type="dxa"/>
            <w:tcBorders>
              <w:top w:val="single" w:sz="8" w:space="0" w:color="000000"/>
              <w:left w:val="single" w:sz="8" w:space="0" w:color="000000"/>
              <w:bottom w:val="single" w:sz="8" w:space="0" w:color="000000"/>
              <w:right w:val="single" w:sz="8" w:space="0" w:color="000000"/>
            </w:tcBorders>
          </w:tcPr>
          <w:p>
            <w:pP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18,620,922.36</w:t>
            </w:r>
          </w:p>
        </w:tc>
      </w:tr>
      <w:tr>
        <w:trPr>
          <w:trHeight w:val="408" w:hRule="exact"/>
        </w:trPr>
        <w:tc>
          <w:tcPr>
            <w:tcW w:w="356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301" w:type="dxa"/>
            <w:tcBorders>
              <w:top w:val="single" w:sz="8" w:space="0" w:color="000000"/>
              <w:left w:val="single" w:sz="12" w:space="0" w:color="000000"/>
              <w:bottom w:val="single" w:sz="8" w:space="0" w:color="000000"/>
              <w:right w:val="single" w:sz="8" w:space="0" w:color="000000"/>
            </w:tcBorders>
          </w:tcPr>
          <w:p>
            <w:pPr/>
          </w:p>
        </w:tc>
        <w:tc>
          <w:tcPr>
            <w:tcW w:w="1229" w:type="dxa"/>
            <w:tcBorders>
              <w:top w:val="single" w:sz="8" w:space="0" w:color="000000"/>
              <w:left w:val="single" w:sz="8" w:space="0" w:color="000000"/>
              <w:bottom w:val="single" w:sz="8" w:space="0" w:color="000000"/>
              <w:right w:val="single" w:sz="8" w:space="0" w:color="000000"/>
            </w:tcBorders>
          </w:tcPr>
          <w:p>
            <w:pPr/>
          </w:p>
        </w:tc>
        <w:tc>
          <w:tcPr>
            <w:tcW w:w="1076" w:type="dxa"/>
            <w:tcBorders>
              <w:top w:val="single" w:sz="8" w:space="0" w:color="000000"/>
              <w:left w:val="single" w:sz="8" w:space="0" w:color="000000"/>
              <w:bottom w:val="single" w:sz="8" w:space="0" w:color="000000"/>
              <w:right w:val="single" w:sz="8" w:space="0" w:color="000000"/>
            </w:tcBorders>
          </w:tcPr>
          <w:p>
            <w:pPr/>
          </w:p>
        </w:tc>
        <w:tc>
          <w:tcPr>
            <w:tcW w:w="1138" w:type="dxa"/>
            <w:tcBorders>
              <w:top w:val="single" w:sz="8" w:space="0" w:color="000000"/>
              <w:left w:val="single" w:sz="8" w:space="0" w:color="000000"/>
              <w:bottom w:val="single" w:sz="8" w:space="0" w:color="000000"/>
              <w:right w:val="single" w:sz="8" w:space="0" w:color="000000"/>
            </w:tcBorders>
          </w:tcPr>
          <w:p>
            <w:pPr/>
          </w:p>
        </w:tc>
        <w:tc>
          <w:tcPr>
            <w:tcW w:w="1076" w:type="dxa"/>
            <w:tcBorders>
              <w:top w:val="single" w:sz="8" w:space="0" w:color="000000"/>
              <w:left w:val="single" w:sz="8" w:space="0" w:color="000000"/>
              <w:bottom w:val="single" w:sz="8" w:space="0" w:color="000000"/>
              <w:right w:val="single" w:sz="8" w:space="0" w:color="000000"/>
            </w:tcBorders>
          </w:tcPr>
          <w:p>
            <w:pPr/>
          </w:p>
        </w:tc>
        <w:tc>
          <w:tcPr>
            <w:tcW w:w="1167"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
        </w:tc>
        <w:tc>
          <w:tcPr>
            <w:tcW w:w="1618"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356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．股份支付计入所有者权益的金额</w:t>
            </w:r>
          </w:p>
        </w:tc>
        <w:tc>
          <w:tcPr>
            <w:tcW w:w="1301" w:type="dxa"/>
            <w:tcBorders>
              <w:top w:val="single" w:sz="8" w:space="0" w:color="000000"/>
              <w:left w:val="single" w:sz="12" w:space="0" w:color="000000"/>
              <w:bottom w:val="single" w:sz="8" w:space="0" w:color="000000"/>
              <w:right w:val="single" w:sz="8" w:space="0" w:color="000000"/>
            </w:tcBorders>
          </w:tcPr>
          <w:p>
            <w:pP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9,924,300.00</w:t>
            </w:r>
          </w:p>
        </w:tc>
        <w:tc>
          <w:tcPr>
            <w:tcW w:w="1076" w:type="dxa"/>
            <w:tcBorders>
              <w:top w:val="single" w:sz="8" w:space="0" w:color="000000"/>
              <w:left w:val="single" w:sz="8" w:space="0" w:color="000000"/>
              <w:bottom w:val="single" w:sz="8" w:space="0" w:color="000000"/>
              <w:right w:val="single" w:sz="8" w:space="0" w:color="000000"/>
            </w:tcBorders>
          </w:tcPr>
          <w:p>
            <w:pPr/>
          </w:p>
        </w:tc>
        <w:tc>
          <w:tcPr>
            <w:tcW w:w="1138" w:type="dxa"/>
            <w:tcBorders>
              <w:top w:val="single" w:sz="8" w:space="0" w:color="000000"/>
              <w:left w:val="single" w:sz="8" w:space="0" w:color="000000"/>
              <w:bottom w:val="single" w:sz="8" w:space="0" w:color="000000"/>
              <w:right w:val="single" w:sz="8" w:space="0" w:color="000000"/>
            </w:tcBorders>
          </w:tcPr>
          <w:p>
            <w:pPr/>
          </w:p>
        </w:tc>
        <w:tc>
          <w:tcPr>
            <w:tcW w:w="1076" w:type="dxa"/>
            <w:tcBorders>
              <w:top w:val="single" w:sz="8" w:space="0" w:color="000000"/>
              <w:left w:val="single" w:sz="8" w:space="0" w:color="000000"/>
              <w:bottom w:val="single" w:sz="8" w:space="0" w:color="000000"/>
              <w:right w:val="single" w:sz="8" w:space="0" w:color="000000"/>
            </w:tcBorders>
          </w:tcPr>
          <w:p>
            <w:pPr/>
          </w:p>
        </w:tc>
        <w:tc>
          <w:tcPr>
            <w:tcW w:w="1167"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9,924,300.00</w:t>
            </w:r>
          </w:p>
        </w:tc>
        <w:tc>
          <w:tcPr>
            <w:tcW w:w="1378" w:type="dxa"/>
            <w:tcBorders>
              <w:top w:val="single" w:sz="8" w:space="0" w:color="000000"/>
              <w:left w:val="single" w:sz="8" w:space="0" w:color="000000"/>
              <w:bottom w:val="single" w:sz="8" w:space="0" w:color="000000"/>
              <w:right w:val="single" w:sz="8" w:space="0" w:color="000000"/>
            </w:tcBorders>
          </w:tcPr>
          <w:p>
            <w:pP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9,924,300.00</w:t>
            </w:r>
          </w:p>
        </w:tc>
      </w:tr>
      <w:tr>
        <w:trPr>
          <w:trHeight w:val="413" w:hRule="exact"/>
        </w:trPr>
        <w:tc>
          <w:tcPr>
            <w:tcW w:w="356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01" w:type="dxa"/>
            <w:tcBorders>
              <w:top w:val="single" w:sz="8" w:space="0" w:color="000000"/>
              <w:left w:val="single" w:sz="12" w:space="0" w:color="000000"/>
              <w:bottom w:val="single" w:sz="8" w:space="0" w:color="000000"/>
              <w:right w:val="single" w:sz="8" w:space="0" w:color="000000"/>
            </w:tcBorders>
          </w:tcPr>
          <w:p>
            <w:pPr/>
          </w:p>
        </w:tc>
        <w:tc>
          <w:tcPr>
            <w:tcW w:w="1229" w:type="dxa"/>
            <w:tcBorders>
              <w:top w:val="single" w:sz="8" w:space="0" w:color="000000"/>
              <w:left w:val="single" w:sz="8" w:space="0" w:color="000000"/>
              <w:bottom w:val="single" w:sz="8" w:space="0" w:color="000000"/>
              <w:right w:val="single" w:sz="8" w:space="0" w:color="000000"/>
            </w:tcBorders>
          </w:tcPr>
          <w:p>
            <w:pPr/>
          </w:p>
        </w:tc>
        <w:tc>
          <w:tcPr>
            <w:tcW w:w="1076" w:type="dxa"/>
            <w:tcBorders>
              <w:top w:val="single" w:sz="8" w:space="0" w:color="000000"/>
              <w:left w:val="single" w:sz="8" w:space="0" w:color="000000"/>
              <w:bottom w:val="single" w:sz="8" w:space="0" w:color="000000"/>
              <w:right w:val="single" w:sz="8" w:space="0" w:color="000000"/>
            </w:tcBorders>
          </w:tcPr>
          <w:p>
            <w:pPr/>
          </w:p>
        </w:tc>
        <w:tc>
          <w:tcPr>
            <w:tcW w:w="1138" w:type="dxa"/>
            <w:tcBorders>
              <w:top w:val="single" w:sz="8" w:space="0" w:color="000000"/>
              <w:left w:val="single" w:sz="8" w:space="0" w:color="000000"/>
              <w:bottom w:val="single" w:sz="8" w:space="0" w:color="000000"/>
              <w:right w:val="single" w:sz="8" w:space="0" w:color="000000"/>
            </w:tcBorders>
          </w:tcPr>
          <w:p>
            <w:pPr/>
          </w:p>
        </w:tc>
        <w:tc>
          <w:tcPr>
            <w:tcW w:w="1076" w:type="dxa"/>
            <w:tcBorders>
              <w:top w:val="single" w:sz="8" w:space="0" w:color="000000"/>
              <w:left w:val="single" w:sz="8" w:space="0" w:color="000000"/>
              <w:bottom w:val="single" w:sz="8" w:space="0" w:color="000000"/>
              <w:right w:val="single" w:sz="8" w:space="0" w:color="000000"/>
            </w:tcBorders>
          </w:tcPr>
          <w:p>
            <w:pPr/>
          </w:p>
        </w:tc>
        <w:tc>
          <w:tcPr>
            <w:tcW w:w="1167"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
        </w:tc>
        <w:tc>
          <w:tcPr>
            <w:tcW w:w="1618"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356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4"/>
              <w:ind w:left="2"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1301" w:type="dxa"/>
            <w:tcBorders>
              <w:top w:val="single" w:sz="8" w:space="0" w:color="000000"/>
              <w:left w:val="single" w:sz="12" w:space="0" w:color="000000"/>
              <w:bottom w:val="single" w:sz="8" w:space="0" w:color="000000"/>
              <w:right w:val="single" w:sz="8" w:space="0" w:color="000000"/>
            </w:tcBorders>
          </w:tcPr>
          <w:p>
            <w:pPr/>
          </w:p>
        </w:tc>
        <w:tc>
          <w:tcPr>
            <w:tcW w:w="1229" w:type="dxa"/>
            <w:tcBorders>
              <w:top w:val="single" w:sz="8" w:space="0" w:color="000000"/>
              <w:left w:val="single" w:sz="8" w:space="0" w:color="000000"/>
              <w:bottom w:val="single" w:sz="8" w:space="0" w:color="000000"/>
              <w:right w:val="single" w:sz="8" w:space="0" w:color="000000"/>
            </w:tcBorders>
          </w:tcPr>
          <w:p>
            <w:pPr/>
          </w:p>
        </w:tc>
        <w:tc>
          <w:tcPr>
            <w:tcW w:w="1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pacing w:val="-1"/>
                <w:sz w:val="18"/>
              </w:rPr>
              <w:t>-1,140,000.00</w:t>
            </w:r>
          </w:p>
        </w:tc>
        <w:tc>
          <w:tcPr>
            <w:tcW w:w="1138" w:type="dxa"/>
            <w:tcBorders>
              <w:top w:val="single" w:sz="8" w:space="0" w:color="000000"/>
              <w:left w:val="single" w:sz="8" w:space="0" w:color="000000"/>
              <w:bottom w:val="single" w:sz="8" w:space="0" w:color="000000"/>
              <w:right w:val="single" w:sz="8" w:space="0" w:color="000000"/>
            </w:tcBorders>
          </w:tcPr>
          <w:p>
            <w:pPr/>
          </w:p>
        </w:tc>
        <w:tc>
          <w:tcPr>
            <w:tcW w:w="1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6,645,976.25</w:t>
            </w:r>
          </w:p>
        </w:tc>
        <w:tc>
          <w:tcPr>
            <w:tcW w:w="11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-86,244,897.85</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-78,458,921.60</w:t>
            </w:r>
          </w:p>
        </w:tc>
        <w:tc>
          <w:tcPr>
            <w:tcW w:w="1378" w:type="dxa"/>
            <w:tcBorders>
              <w:top w:val="single" w:sz="8" w:space="0" w:color="000000"/>
              <w:left w:val="single" w:sz="8" w:space="0" w:color="000000"/>
              <w:bottom w:val="single" w:sz="8" w:space="0" w:color="000000"/>
              <w:right w:val="single" w:sz="8" w:space="0" w:color="000000"/>
            </w:tcBorders>
          </w:tcPr>
          <w:p>
            <w:pP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-78,458,921.60</w:t>
            </w:r>
          </w:p>
        </w:tc>
      </w:tr>
      <w:tr>
        <w:trPr>
          <w:trHeight w:val="413" w:hRule="exact"/>
        </w:trPr>
        <w:tc>
          <w:tcPr>
            <w:tcW w:w="356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01" w:type="dxa"/>
            <w:tcBorders>
              <w:top w:val="single" w:sz="8" w:space="0" w:color="000000"/>
              <w:left w:val="single" w:sz="12" w:space="0" w:color="000000"/>
              <w:bottom w:val="single" w:sz="8" w:space="0" w:color="000000"/>
              <w:right w:val="single" w:sz="8" w:space="0" w:color="000000"/>
            </w:tcBorders>
          </w:tcPr>
          <w:p>
            <w:pPr/>
          </w:p>
        </w:tc>
        <w:tc>
          <w:tcPr>
            <w:tcW w:w="1229" w:type="dxa"/>
            <w:tcBorders>
              <w:top w:val="single" w:sz="8" w:space="0" w:color="000000"/>
              <w:left w:val="single" w:sz="8" w:space="0" w:color="000000"/>
              <w:bottom w:val="single" w:sz="8" w:space="0" w:color="000000"/>
              <w:right w:val="single" w:sz="8" w:space="0" w:color="000000"/>
            </w:tcBorders>
          </w:tcPr>
          <w:p>
            <w:pPr/>
          </w:p>
        </w:tc>
        <w:tc>
          <w:tcPr>
            <w:tcW w:w="1076" w:type="dxa"/>
            <w:tcBorders>
              <w:top w:val="single" w:sz="8" w:space="0" w:color="000000"/>
              <w:left w:val="single" w:sz="8" w:space="0" w:color="000000"/>
              <w:bottom w:val="single" w:sz="8" w:space="0" w:color="000000"/>
              <w:right w:val="single" w:sz="8" w:space="0" w:color="000000"/>
            </w:tcBorders>
          </w:tcPr>
          <w:p>
            <w:pPr/>
          </w:p>
        </w:tc>
        <w:tc>
          <w:tcPr>
            <w:tcW w:w="1138" w:type="dxa"/>
            <w:tcBorders>
              <w:top w:val="single" w:sz="8" w:space="0" w:color="000000"/>
              <w:left w:val="single" w:sz="8" w:space="0" w:color="000000"/>
              <w:bottom w:val="single" w:sz="8" w:space="0" w:color="000000"/>
              <w:right w:val="single" w:sz="8" w:space="0" w:color="000000"/>
            </w:tcBorders>
          </w:tcPr>
          <w:p>
            <w:pPr/>
          </w:p>
        </w:tc>
        <w:tc>
          <w:tcPr>
            <w:tcW w:w="1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6,645,976.25</w:t>
            </w:r>
          </w:p>
        </w:tc>
        <w:tc>
          <w:tcPr>
            <w:tcW w:w="11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-6,645,976.25</w:t>
            </w:r>
          </w:p>
        </w:tc>
        <w:tc>
          <w:tcPr>
            <w:tcW w:w="1306"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
        </w:tc>
        <w:tc>
          <w:tcPr>
            <w:tcW w:w="1618"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356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．对所有者（或股东）的分配</w:t>
            </w:r>
          </w:p>
        </w:tc>
        <w:tc>
          <w:tcPr>
            <w:tcW w:w="1301" w:type="dxa"/>
            <w:tcBorders>
              <w:top w:val="single" w:sz="8" w:space="0" w:color="000000"/>
              <w:left w:val="single" w:sz="12" w:space="0" w:color="000000"/>
              <w:bottom w:val="single" w:sz="8" w:space="0" w:color="000000"/>
              <w:right w:val="single" w:sz="8" w:space="0" w:color="000000"/>
            </w:tcBorders>
          </w:tcPr>
          <w:p>
            <w:pPr/>
          </w:p>
        </w:tc>
        <w:tc>
          <w:tcPr>
            <w:tcW w:w="1229" w:type="dxa"/>
            <w:tcBorders>
              <w:top w:val="single" w:sz="8" w:space="0" w:color="000000"/>
              <w:left w:val="single" w:sz="8" w:space="0" w:color="000000"/>
              <w:bottom w:val="single" w:sz="8" w:space="0" w:color="000000"/>
              <w:right w:val="single" w:sz="8" w:space="0" w:color="000000"/>
            </w:tcBorders>
          </w:tcPr>
          <w:p>
            <w:pPr/>
          </w:p>
        </w:tc>
        <w:tc>
          <w:tcPr>
            <w:tcW w:w="1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pacing w:val="-1"/>
                <w:sz w:val="18"/>
              </w:rPr>
              <w:t>-1,140,000.00</w:t>
            </w:r>
          </w:p>
        </w:tc>
        <w:tc>
          <w:tcPr>
            <w:tcW w:w="1138" w:type="dxa"/>
            <w:tcBorders>
              <w:top w:val="single" w:sz="8" w:space="0" w:color="000000"/>
              <w:left w:val="single" w:sz="8" w:space="0" w:color="000000"/>
              <w:bottom w:val="single" w:sz="8" w:space="0" w:color="000000"/>
              <w:right w:val="single" w:sz="8" w:space="0" w:color="000000"/>
            </w:tcBorders>
          </w:tcPr>
          <w:p>
            <w:pPr/>
          </w:p>
        </w:tc>
        <w:tc>
          <w:tcPr>
            <w:tcW w:w="1076" w:type="dxa"/>
            <w:tcBorders>
              <w:top w:val="single" w:sz="8" w:space="0" w:color="000000"/>
              <w:left w:val="single" w:sz="8" w:space="0" w:color="000000"/>
              <w:bottom w:val="single" w:sz="8" w:space="0" w:color="000000"/>
              <w:right w:val="single" w:sz="8" w:space="0" w:color="000000"/>
            </w:tcBorders>
          </w:tcPr>
          <w:p>
            <w:pPr/>
          </w:p>
        </w:tc>
        <w:tc>
          <w:tcPr>
            <w:tcW w:w="11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-79,598,921.60</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-78,458,921.60</w:t>
            </w:r>
          </w:p>
        </w:tc>
        <w:tc>
          <w:tcPr>
            <w:tcW w:w="1378" w:type="dxa"/>
            <w:tcBorders>
              <w:top w:val="single" w:sz="8" w:space="0" w:color="000000"/>
              <w:left w:val="single" w:sz="8" w:space="0" w:color="000000"/>
              <w:bottom w:val="single" w:sz="8" w:space="0" w:color="000000"/>
              <w:right w:val="single" w:sz="8" w:space="0" w:color="000000"/>
            </w:tcBorders>
          </w:tcPr>
          <w:p>
            <w:pP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-78,458,921.60</w:t>
            </w:r>
          </w:p>
        </w:tc>
      </w:tr>
      <w:tr>
        <w:trPr>
          <w:trHeight w:val="408" w:hRule="exact"/>
        </w:trPr>
        <w:tc>
          <w:tcPr>
            <w:tcW w:w="356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4"/>
              <w:ind w:left="2" w:right="0"/>
              <w:jc w:val="left"/>
              <w:rPr>
                <w:rFonts w:ascii="宋体" w:hAnsi="宋体" w:cs="宋体" w:eastAsia="宋体" w:hint="default"/>
                <w:sz w:val="18"/>
                <w:szCs w:val="18"/>
              </w:rPr>
            </w:pPr>
            <w:r>
              <w:rPr>
                <w:rFonts w:ascii="宋体" w:hAnsi="宋体" w:cs="宋体" w:eastAsia="宋体" w:hint="default"/>
                <w:spacing w:val="-3"/>
                <w:sz w:val="18"/>
                <w:szCs w:val="18"/>
              </w:rPr>
              <w:t>（四）所有者权益内部结转</w:t>
            </w:r>
          </w:p>
        </w:tc>
        <w:tc>
          <w:tcPr>
            <w:tcW w:w="130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557,192,451.00</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-557,192,451.00</w:t>
            </w:r>
          </w:p>
        </w:tc>
        <w:tc>
          <w:tcPr>
            <w:tcW w:w="1076" w:type="dxa"/>
            <w:tcBorders>
              <w:top w:val="single" w:sz="8" w:space="0" w:color="000000"/>
              <w:left w:val="single" w:sz="8" w:space="0" w:color="000000"/>
              <w:bottom w:val="single" w:sz="8" w:space="0" w:color="000000"/>
              <w:right w:val="single" w:sz="8" w:space="0" w:color="000000"/>
            </w:tcBorders>
          </w:tcPr>
          <w:p>
            <w:pPr/>
          </w:p>
        </w:tc>
        <w:tc>
          <w:tcPr>
            <w:tcW w:w="1138" w:type="dxa"/>
            <w:tcBorders>
              <w:top w:val="single" w:sz="8" w:space="0" w:color="000000"/>
              <w:left w:val="single" w:sz="8" w:space="0" w:color="000000"/>
              <w:bottom w:val="single" w:sz="8" w:space="0" w:color="000000"/>
              <w:right w:val="single" w:sz="8" w:space="0" w:color="000000"/>
            </w:tcBorders>
          </w:tcPr>
          <w:p>
            <w:pPr/>
          </w:p>
        </w:tc>
        <w:tc>
          <w:tcPr>
            <w:tcW w:w="1076" w:type="dxa"/>
            <w:tcBorders>
              <w:top w:val="single" w:sz="8" w:space="0" w:color="000000"/>
              <w:left w:val="single" w:sz="8" w:space="0" w:color="000000"/>
              <w:bottom w:val="single" w:sz="8" w:space="0" w:color="000000"/>
              <w:right w:val="single" w:sz="8" w:space="0" w:color="000000"/>
            </w:tcBorders>
          </w:tcPr>
          <w:p>
            <w:pPr/>
          </w:p>
        </w:tc>
        <w:tc>
          <w:tcPr>
            <w:tcW w:w="1167"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
        </w:tc>
        <w:tc>
          <w:tcPr>
            <w:tcW w:w="1618" w:type="dxa"/>
            <w:tcBorders>
              <w:top w:val="single" w:sz="8" w:space="0" w:color="000000"/>
              <w:left w:val="single" w:sz="8" w:space="0" w:color="000000"/>
              <w:bottom w:val="single" w:sz="8" w:space="0" w:color="000000"/>
              <w:right w:val="single" w:sz="8" w:space="0" w:color="000000"/>
            </w:tcBorders>
          </w:tcPr>
          <w:p>
            <w:pPr/>
          </w:p>
        </w:tc>
      </w:tr>
      <w:tr>
        <w:trPr>
          <w:trHeight w:val="490" w:hRule="exact"/>
        </w:trPr>
        <w:tc>
          <w:tcPr>
            <w:tcW w:w="356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0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557,192,451.00</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-557,192,451.00</w:t>
            </w:r>
          </w:p>
        </w:tc>
        <w:tc>
          <w:tcPr>
            <w:tcW w:w="1076" w:type="dxa"/>
            <w:tcBorders>
              <w:top w:val="single" w:sz="8" w:space="0" w:color="000000"/>
              <w:left w:val="single" w:sz="8" w:space="0" w:color="000000"/>
              <w:bottom w:val="single" w:sz="8" w:space="0" w:color="000000"/>
              <w:right w:val="single" w:sz="8" w:space="0" w:color="000000"/>
            </w:tcBorders>
          </w:tcPr>
          <w:p>
            <w:pPr/>
          </w:p>
        </w:tc>
        <w:tc>
          <w:tcPr>
            <w:tcW w:w="1138" w:type="dxa"/>
            <w:tcBorders>
              <w:top w:val="single" w:sz="8" w:space="0" w:color="000000"/>
              <w:left w:val="single" w:sz="8" w:space="0" w:color="000000"/>
              <w:bottom w:val="single" w:sz="8" w:space="0" w:color="000000"/>
              <w:right w:val="single" w:sz="8" w:space="0" w:color="000000"/>
            </w:tcBorders>
          </w:tcPr>
          <w:p>
            <w:pPr/>
          </w:p>
        </w:tc>
        <w:tc>
          <w:tcPr>
            <w:tcW w:w="1076" w:type="dxa"/>
            <w:tcBorders>
              <w:top w:val="single" w:sz="8" w:space="0" w:color="000000"/>
              <w:left w:val="single" w:sz="8" w:space="0" w:color="000000"/>
              <w:bottom w:val="single" w:sz="8" w:space="0" w:color="000000"/>
              <w:right w:val="single" w:sz="8" w:space="0" w:color="000000"/>
            </w:tcBorders>
          </w:tcPr>
          <w:p>
            <w:pPr/>
          </w:p>
        </w:tc>
        <w:tc>
          <w:tcPr>
            <w:tcW w:w="1167"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
        </w:tc>
        <w:tc>
          <w:tcPr>
            <w:tcW w:w="1618"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356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2"/>
                <w:sz w:val="18"/>
              </w:rPr>
              <w:t>1,353,882,953.00</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312,394,131.89</w:t>
            </w:r>
          </w:p>
        </w:tc>
        <w:tc>
          <w:tcPr>
            <w:tcW w:w="1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pacing w:val="-1"/>
                <w:sz w:val="18"/>
              </w:rPr>
              <w:t>26,410,000.00</w:t>
            </w:r>
          </w:p>
        </w:tc>
        <w:tc>
          <w:tcPr>
            <w:tcW w:w="11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66" w:right="0"/>
              <w:jc w:val="center"/>
              <w:rPr>
                <w:rFonts w:ascii="Times New Roman" w:hAnsi="Times New Roman" w:cs="Times New Roman" w:eastAsia="Times New Roman" w:hint="default"/>
                <w:sz w:val="18"/>
                <w:szCs w:val="18"/>
              </w:rPr>
            </w:pPr>
            <w:r>
              <w:rPr>
                <w:rFonts w:ascii="Times New Roman"/>
                <w:sz w:val="18"/>
              </w:rPr>
              <w:t>16,016,893.80</w:t>
            </w:r>
          </w:p>
        </w:tc>
        <w:tc>
          <w:tcPr>
            <w:tcW w:w="1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97,377,717.62</w:t>
            </w:r>
          </w:p>
        </w:tc>
        <w:tc>
          <w:tcPr>
            <w:tcW w:w="11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309,431,115.45</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2"/>
                <w:sz w:val="18"/>
              </w:rPr>
              <w:t>2,062,692,811.76</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86,195,532.04</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2"/>
                <w:sz w:val="18"/>
              </w:rPr>
              <w:t>2,148,888,343.80</w:t>
            </w:r>
          </w:p>
        </w:tc>
      </w:tr>
    </w:tbl>
    <w:p>
      <w:pPr>
        <w:spacing w:after="0" w:line="240" w:lineRule="auto"/>
        <w:jc w:val="right"/>
        <w:rPr>
          <w:rFonts w:ascii="Times New Roman" w:hAnsi="Times New Roman" w:cs="Times New Roman" w:eastAsia="Times New Roman" w:hint="default"/>
          <w:sz w:val="18"/>
          <w:szCs w:val="18"/>
        </w:rPr>
        <w:sectPr>
          <w:headerReference w:type="default" r:id="rId28"/>
          <w:footerReference w:type="default" r:id="rId29"/>
          <w:pgSz w:w="16840" w:h="11910" w:orient="landscape"/>
          <w:pgMar w:header="906" w:footer="1018" w:top="1100" w:bottom="1200" w:left="800" w:right="940"/>
          <w:pgNumType w:start="85"/>
        </w:sect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37.5pt;height:.5pt;mso-position-horizontal-relative:char;mso-position-vertical-relative:line" coordorigin="0,0" coordsize="14750,10">
            <v:group style="position:absolute;left:5;top:5;width:14740;height:2" coordorigin="5,5" coordsize="14740,2">
              <v:shape style="position:absolute;left:5;top:5;width:14740;height:2" coordorigin="5,5" coordsize="14740,0" path="m5,5l14745,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8"/>
          <w:szCs w:val="28"/>
        </w:rPr>
      </w:pPr>
    </w:p>
    <w:p>
      <w:pPr>
        <w:pStyle w:val="BodyText"/>
        <w:tabs>
          <w:tab w:pos="14001" w:val="left" w:leader="none"/>
        </w:tabs>
        <w:spacing w:line="240" w:lineRule="auto" w:before="46"/>
        <w:ind w:left="140" w:right="0"/>
        <w:jc w:val="left"/>
      </w:pPr>
      <w:r>
        <w:rPr>
          <w:spacing w:val="-2"/>
        </w:rPr>
        <w:t>上期金额</w:t>
        <w:tab/>
      </w:r>
      <w:r>
        <w:rPr>
          <w:spacing w:val="-3"/>
        </w:rPr>
        <w:t>单位：元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3788"/>
        <w:gridCol w:w="1210"/>
        <w:gridCol w:w="1214"/>
        <w:gridCol w:w="1119"/>
        <w:gridCol w:w="1162"/>
        <w:gridCol w:w="1118"/>
        <w:gridCol w:w="1210"/>
        <w:gridCol w:w="1354"/>
        <w:gridCol w:w="1181"/>
        <w:gridCol w:w="1354"/>
      </w:tblGrid>
      <w:tr>
        <w:trPr>
          <w:trHeight w:val="427" w:hRule="exact"/>
        </w:trPr>
        <w:tc>
          <w:tcPr>
            <w:tcW w:w="3788"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923" w:type="dxa"/>
            <w:gridSpan w:val="9"/>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420" w:hRule="exact"/>
        </w:trPr>
        <w:tc>
          <w:tcPr>
            <w:tcW w:w="3788" w:type="dxa"/>
            <w:vMerge/>
            <w:tcBorders>
              <w:left w:val="single" w:sz="8" w:space="0" w:color="000000"/>
              <w:right w:val="single" w:sz="8" w:space="0" w:color="000000"/>
            </w:tcBorders>
            <w:shd w:val="clear" w:color="auto" w:fill="D2D2D2"/>
          </w:tcPr>
          <w:p>
            <w:pPr/>
          </w:p>
        </w:tc>
        <w:tc>
          <w:tcPr>
            <w:tcW w:w="8388" w:type="dxa"/>
            <w:gridSpan w:val="7"/>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1181"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54"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r>
      <w:tr>
        <w:trPr>
          <w:trHeight w:val="855" w:hRule="exact"/>
        </w:trPr>
        <w:tc>
          <w:tcPr>
            <w:tcW w:w="3788" w:type="dxa"/>
            <w:vMerge/>
            <w:tcBorders>
              <w:left w:val="single" w:sz="8" w:space="0" w:color="000000"/>
              <w:bottom w:val="single" w:sz="8" w:space="0" w:color="000000"/>
              <w:right w:val="single" w:sz="8" w:space="0" w:color="000000"/>
            </w:tcBorders>
            <w:shd w:val="clear" w:color="auto" w:fill="D2D2D2"/>
          </w:tcPr>
          <w:p>
            <w:pPr/>
          </w:p>
        </w:tc>
        <w:tc>
          <w:tcPr>
            <w:tcW w:w="121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1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1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6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pacing w:val="-2"/>
                <w:sz w:val="18"/>
                <w:szCs w:val="18"/>
              </w:rPr>
              <w:t>其他综合收益</w:t>
            </w:r>
          </w:p>
        </w:tc>
        <w:tc>
          <w:tcPr>
            <w:tcW w:w="111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1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5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81" w:type="dxa"/>
            <w:vMerge/>
            <w:tcBorders>
              <w:left w:val="single" w:sz="8" w:space="0" w:color="000000"/>
              <w:bottom w:val="single" w:sz="8" w:space="0" w:color="000000"/>
              <w:right w:val="single" w:sz="8" w:space="0" w:color="000000"/>
            </w:tcBorders>
            <w:shd w:val="clear" w:color="auto" w:fill="D2D2D2"/>
          </w:tcPr>
          <w:p>
            <w:pPr/>
          </w:p>
        </w:tc>
        <w:tc>
          <w:tcPr>
            <w:tcW w:w="1354" w:type="dxa"/>
            <w:vMerge/>
            <w:tcBorders>
              <w:left w:val="single" w:sz="8" w:space="0" w:color="000000"/>
              <w:bottom w:val="single" w:sz="8" w:space="0" w:color="000000"/>
              <w:right w:val="single" w:sz="8" w:space="0" w:color="000000"/>
            </w:tcBorders>
            <w:shd w:val="clear" w:color="auto" w:fill="D2D2D2"/>
          </w:tcPr>
          <w:p>
            <w:pPr/>
          </w:p>
        </w:tc>
      </w:tr>
      <w:tr>
        <w:trPr>
          <w:trHeight w:val="485" w:hRule="exact"/>
        </w:trPr>
        <w:tc>
          <w:tcPr>
            <w:tcW w:w="378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10" w:type="dxa"/>
            <w:tcBorders>
              <w:top w:val="single" w:sz="8" w:space="0" w:color="000000"/>
              <w:left w:val="single" w:sz="10" w:space="0" w:color="000000"/>
              <w:bottom w:val="single" w:sz="8" w:space="0" w:color="000000"/>
              <w:right w:val="single" w:sz="8"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787,380,220.00</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3"/>
              <w:jc w:val="right"/>
              <w:rPr>
                <w:rFonts w:ascii="Times New Roman" w:hAnsi="Times New Roman" w:cs="Times New Roman" w:eastAsia="Times New Roman" w:hint="default"/>
                <w:sz w:val="18"/>
                <w:szCs w:val="18"/>
              </w:rPr>
            </w:pPr>
            <w:r>
              <w:rPr>
                <w:rFonts w:ascii="Times New Roman"/>
                <w:spacing w:val="-1"/>
                <w:sz w:val="18"/>
              </w:rPr>
              <w:t>832,840,842.53</w:t>
            </w:r>
          </w:p>
        </w:tc>
        <w:tc>
          <w:tcPr>
            <w:tcW w:w="1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57" w:right="0"/>
              <w:jc w:val="left"/>
              <w:rPr>
                <w:rFonts w:ascii="Times New Roman" w:hAnsi="Times New Roman" w:cs="Times New Roman" w:eastAsia="Times New Roman" w:hint="default"/>
                <w:sz w:val="18"/>
                <w:szCs w:val="18"/>
              </w:rPr>
            </w:pPr>
            <w:r>
              <w:rPr>
                <w:rFonts w:ascii="Times New Roman"/>
                <w:sz w:val="18"/>
              </w:rPr>
              <w:t>15,960,000.00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pacing w:val="-1"/>
                <w:sz w:val="18"/>
              </w:rPr>
              <w:t>51,488,131.38</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3"/>
              <w:jc w:val="right"/>
              <w:rPr>
                <w:rFonts w:ascii="Times New Roman" w:hAnsi="Times New Roman" w:cs="Times New Roman" w:eastAsia="Times New Roman" w:hint="default"/>
                <w:sz w:val="18"/>
                <w:szCs w:val="18"/>
              </w:rPr>
            </w:pPr>
            <w:r>
              <w:rPr>
                <w:rFonts w:ascii="Times New Roman"/>
                <w:spacing w:val="-1"/>
                <w:sz w:val="18"/>
              </w:rPr>
              <w:t>89,953,459.93</w:t>
            </w:r>
          </w:p>
        </w:tc>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pacing w:val="-1"/>
                <w:sz w:val="18"/>
              </w:rPr>
              <w:t>66,177,012.06</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2"/>
                <w:sz w:val="18"/>
              </w:rPr>
              <w:t>1,811,879,665.90</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left="118" w:right="0"/>
              <w:jc w:val="center"/>
              <w:rPr>
                <w:rFonts w:ascii="Times New Roman" w:hAnsi="Times New Roman" w:cs="Times New Roman" w:eastAsia="Times New Roman" w:hint="default"/>
                <w:sz w:val="18"/>
                <w:szCs w:val="18"/>
              </w:rPr>
            </w:pPr>
            <w:r>
              <w:rPr>
                <w:rFonts w:ascii="Times New Roman"/>
                <w:spacing w:val="-1"/>
                <w:sz w:val="18"/>
              </w:rPr>
              <w:t>89,790,281.88</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2"/>
                <w:sz w:val="18"/>
              </w:rPr>
              <w:t>1,901,669,947.78</w:t>
            </w:r>
          </w:p>
        </w:tc>
      </w:tr>
      <w:tr>
        <w:trPr>
          <w:trHeight w:val="408" w:hRule="exact"/>
        </w:trPr>
        <w:tc>
          <w:tcPr>
            <w:tcW w:w="378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10" w:type="dxa"/>
            <w:tcBorders>
              <w:top w:val="single" w:sz="8" w:space="0" w:color="000000"/>
              <w:left w:val="single" w:sz="8" w:space="0" w:color="000000"/>
              <w:bottom w:val="single" w:sz="8" w:space="0" w:color="000000"/>
              <w:right w:val="single" w:sz="8" w:space="0" w:color="000000"/>
            </w:tcBorders>
          </w:tcPr>
          <w:p>
            <w:pPr/>
          </w:p>
        </w:tc>
        <w:tc>
          <w:tcPr>
            <w:tcW w:w="1214" w:type="dxa"/>
            <w:tcBorders>
              <w:top w:val="single" w:sz="8" w:space="0" w:color="000000"/>
              <w:left w:val="single" w:sz="8" w:space="0" w:color="000000"/>
              <w:bottom w:val="single" w:sz="8" w:space="0" w:color="000000"/>
              <w:right w:val="single" w:sz="8" w:space="0" w:color="000000"/>
            </w:tcBorders>
          </w:tcPr>
          <w:p>
            <w:pPr/>
          </w:p>
        </w:tc>
        <w:tc>
          <w:tcPr>
            <w:tcW w:w="1119"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118" w:type="dxa"/>
            <w:tcBorders>
              <w:top w:val="single" w:sz="8" w:space="0" w:color="000000"/>
              <w:left w:val="single" w:sz="8" w:space="0" w:color="000000"/>
              <w:bottom w:val="single" w:sz="8" w:space="0" w:color="000000"/>
              <w:right w:val="single" w:sz="8" w:space="0" w:color="000000"/>
            </w:tcBorders>
          </w:tcPr>
          <w:p>
            <w:pPr/>
          </w:p>
        </w:tc>
        <w:tc>
          <w:tcPr>
            <w:tcW w:w="1210" w:type="dxa"/>
            <w:tcBorders>
              <w:top w:val="single" w:sz="8" w:space="0" w:color="000000"/>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
        </w:tc>
        <w:tc>
          <w:tcPr>
            <w:tcW w:w="1181" w:type="dxa"/>
            <w:tcBorders>
              <w:top w:val="single" w:sz="8" w:space="0" w:color="000000"/>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378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787,380,220.00</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832,840,842.53</w:t>
            </w:r>
          </w:p>
        </w:tc>
        <w:tc>
          <w:tcPr>
            <w:tcW w:w="1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15,960,000.00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51,488,131.38</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89,953,459.93</w:t>
            </w:r>
          </w:p>
        </w:tc>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66,177,012.06</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2"/>
                <w:sz w:val="18"/>
              </w:rPr>
              <w:t>1,811,879,665.90</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118" w:right="0"/>
              <w:jc w:val="center"/>
              <w:rPr>
                <w:rFonts w:ascii="Times New Roman" w:hAnsi="Times New Roman" w:cs="Times New Roman" w:eastAsia="Times New Roman" w:hint="default"/>
                <w:sz w:val="18"/>
                <w:szCs w:val="18"/>
              </w:rPr>
            </w:pPr>
            <w:r>
              <w:rPr>
                <w:rFonts w:ascii="Times New Roman"/>
                <w:spacing w:val="-1"/>
                <w:sz w:val="18"/>
              </w:rPr>
              <w:t>89,790,281.88</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2"/>
                <w:sz w:val="18"/>
              </w:rPr>
              <w:t>1,901,669,947.78</w:t>
            </w:r>
          </w:p>
        </w:tc>
      </w:tr>
      <w:tr>
        <w:trPr>
          <w:trHeight w:val="485" w:hRule="exact"/>
        </w:trPr>
        <w:tc>
          <w:tcPr>
            <w:tcW w:w="378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7,600,000.00</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3"/>
              <w:jc w:val="right"/>
              <w:rPr>
                <w:rFonts w:ascii="Times New Roman" w:hAnsi="Times New Roman" w:cs="Times New Roman" w:eastAsia="Times New Roman" w:hint="default"/>
                <w:sz w:val="18"/>
                <w:szCs w:val="18"/>
              </w:rPr>
            </w:pPr>
            <w:r>
              <w:rPr>
                <w:rFonts w:ascii="Times New Roman"/>
                <w:spacing w:val="-1"/>
                <w:sz w:val="18"/>
              </w:rPr>
              <w:t>17,700,800.00</w:t>
            </w:r>
          </w:p>
        </w:tc>
        <w:tc>
          <w:tcPr>
            <w:tcW w:w="1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57" w:right="0"/>
              <w:jc w:val="left"/>
              <w:rPr>
                <w:rFonts w:ascii="Times New Roman" w:hAnsi="Times New Roman" w:cs="Times New Roman" w:eastAsia="Times New Roman" w:hint="default"/>
                <w:sz w:val="18"/>
                <w:szCs w:val="18"/>
              </w:rPr>
            </w:pPr>
            <w:r>
              <w:rPr>
                <w:rFonts w:ascii="Times New Roman"/>
                <w:sz w:val="18"/>
              </w:rPr>
              <w:t>19,380,000.00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-1,139,894.80</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2"/>
              <w:jc w:val="right"/>
              <w:rPr>
                <w:rFonts w:ascii="Times New Roman" w:hAnsi="Times New Roman" w:cs="Times New Roman" w:eastAsia="Times New Roman" w:hint="default"/>
                <w:sz w:val="18"/>
                <w:szCs w:val="18"/>
              </w:rPr>
            </w:pPr>
            <w:r>
              <w:rPr>
                <w:rFonts w:ascii="Times New Roman"/>
                <w:spacing w:val="-1"/>
                <w:sz w:val="18"/>
              </w:rPr>
              <w:t>778,281.44</w:t>
            </w:r>
          </w:p>
        </w:tc>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85,263,941.58</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90,823,128.22</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61" w:right="0"/>
              <w:jc w:val="center"/>
              <w:rPr>
                <w:rFonts w:ascii="Times New Roman" w:hAnsi="Times New Roman" w:cs="Times New Roman" w:eastAsia="Times New Roman" w:hint="default"/>
                <w:sz w:val="18"/>
                <w:szCs w:val="18"/>
              </w:rPr>
            </w:pPr>
            <w:r>
              <w:rPr>
                <w:rFonts w:ascii="Times New Roman"/>
                <w:spacing w:val="-1"/>
                <w:sz w:val="18"/>
              </w:rPr>
              <w:t>-11,691,867.30</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79,131,260.92</w:t>
            </w:r>
          </w:p>
        </w:tc>
      </w:tr>
      <w:tr>
        <w:trPr>
          <w:trHeight w:val="413" w:hRule="exact"/>
        </w:trPr>
        <w:tc>
          <w:tcPr>
            <w:tcW w:w="378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pacing w:val="-3"/>
                <w:sz w:val="18"/>
                <w:szCs w:val="18"/>
              </w:rPr>
              <w:t>（一）综合收益总额</w:t>
            </w:r>
          </w:p>
        </w:tc>
        <w:tc>
          <w:tcPr>
            <w:tcW w:w="1210" w:type="dxa"/>
            <w:tcBorders>
              <w:top w:val="single" w:sz="8" w:space="0" w:color="000000"/>
              <w:left w:val="single" w:sz="8" w:space="0" w:color="000000"/>
              <w:bottom w:val="single" w:sz="8" w:space="0" w:color="000000"/>
              <w:right w:val="single" w:sz="8" w:space="0" w:color="000000"/>
            </w:tcBorders>
          </w:tcPr>
          <w:p>
            <w:pPr/>
          </w:p>
        </w:tc>
        <w:tc>
          <w:tcPr>
            <w:tcW w:w="1214" w:type="dxa"/>
            <w:tcBorders>
              <w:top w:val="single" w:sz="8" w:space="0" w:color="000000"/>
              <w:left w:val="single" w:sz="8" w:space="0" w:color="000000"/>
              <w:bottom w:val="single" w:sz="8" w:space="0" w:color="000000"/>
              <w:right w:val="single" w:sz="8" w:space="0" w:color="000000"/>
            </w:tcBorders>
          </w:tcPr>
          <w:p>
            <w:pPr/>
          </w:p>
        </w:tc>
        <w:tc>
          <w:tcPr>
            <w:tcW w:w="1119"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-1,139,894.80</w:t>
            </w:r>
          </w:p>
        </w:tc>
        <w:tc>
          <w:tcPr>
            <w:tcW w:w="1118" w:type="dxa"/>
            <w:tcBorders>
              <w:top w:val="single" w:sz="8" w:space="0" w:color="000000"/>
              <w:left w:val="single" w:sz="8" w:space="0" w:color="000000"/>
              <w:bottom w:val="single" w:sz="8" w:space="0" w:color="000000"/>
              <w:right w:val="single" w:sz="8" w:space="0" w:color="000000"/>
            </w:tcBorders>
          </w:tcPr>
          <w:p>
            <w:pPr/>
          </w:p>
        </w:tc>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86,042,223.02</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84,902,328.22</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61" w:right="0"/>
              <w:jc w:val="center"/>
              <w:rPr>
                <w:rFonts w:ascii="Times New Roman" w:hAnsi="Times New Roman" w:cs="Times New Roman" w:eastAsia="Times New Roman" w:hint="default"/>
                <w:sz w:val="18"/>
                <w:szCs w:val="18"/>
              </w:rPr>
            </w:pPr>
            <w:r>
              <w:rPr>
                <w:rFonts w:ascii="Times New Roman"/>
                <w:spacing w:val="-1"/>
                <w:sz w:val="18"/>
              </w:rPr>
              <w:t>-11,691,867.30</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73,210,460.92</w:t>
            </w:r>
          </w:p>
        </w:tc>
      </w:tr>
      <w:tr>
        <w:trPr>
          <w:trHeight w:val="413" w:hRule="exact"/>
        </w:trPr>
        <w:tc>
          <w:tcPr>
            <w:tcW w:w="378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pacing w:val="-3"/>
                <w:sz w:val="18"/>
                <w:szCs w:val="18"/>
              </w:rPr>
              <w:t>（二）所有者投入和减少资本</w:t>
            </w:r>
          </w:p>
        </w:tc>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7,600,000.00</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17,700,800.00</w:t>
            </w:r>
          </w:p>
        </w:tc>
        <w:tc>
          <w:tcPr>
            <w:tcW w:w="1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19,380,000.00</w:t>
            </w:r>
          </w:p>
        </w:tc>
        <w:tc>
          <w:tcPr>
            <w:tcW w:w="1162" w:type="dxa"/>
            <w:tcBorders>
              <w:top w:val="single" w:sz="8" w:space="0" w:color="000000"/>
              <w:left w:val="single" w:sz="8" w:space="0" w:color="000000"/>
              <w:bottom w:val="single" w:sz="8" w:space="0" w:color="000000"/>
              <w:right w:val="single" w:sz="8" w:space="0" w:color="000000"/>
            </w:tcBorders>
          </w:tcPr>
          <w:p>
            <w:pPr/>
          </w:p>
        </w:tc>
        <w:tc>
          <w:tcPr>
            <w:tcW w:w="1118" w:type="dxa"/>
            <w:tcBorders>
              <w:top w:val="single" w:sz="8" w:space="0" w:color="000000"/>
              <w:left w:val="single" w:sz="8" w:space="0" w:color="000000"/>
              <w:bottom w:val="single" w:sz="8" w:space="0" w:color="000000"/>
              <w:right w:val="single" w:sz="8" w:space="0" w:color="000000"/>
            </w:tcBorders>
          </w:tcPr>
          <w:p>
            <w:pPr/>
          </w:p>
        </w:tc>
        <w:tc>
          <w:tcPr>
            <w:tcW w:w="1210" w:type="dxa"/>
            <w:tcBorders>
              <w:top w:val="single" w:sz="8" w:space="0" w:color="000000"/>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5,920,800.00</w:t>
            </w:r>
          </w:p>
        </w:tc>
        <w:tc>
          <w:tcPr>
            <w:tcW w:w="1181" w:type="dxa"/>
            <w:tcBorders>
              <w:top w:val="single" w:sz="8" w:space="0" w:color="000000"/>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5,920,800.00</w:t>
            </w:r>
          </w:p>
        </w:tc>
      </w:tr>
      <w:tr>
        <w:trPr>
          <w:trHeight w:val="485" w:hRule="exact"/>
        </w:trPr>
        <w:tc>
          <w:tcPr>
            <w:tcW w:w="378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7,600,000.00</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3"/>
              <w:jc w:val="right"/>
              <w:rPr>
                <w:rFonts w:ascii="Times New Roman" w:hAnsi="Times New Roman" w:cs="Times New Roman" w:eastAsia="Times New Roman" w:hint="default"/>
                <w:sz w:val="18"/>
                <w:szCs w:val="18"/>
              </w:rPr>
            </w:pPr>
            <w:r>
              <w:rPr>
                <w:rFonts w:ascii="Times New Roman"/>
                <w:spacing w:val="-1"/>
                <w:sz w:val="18"/>
              </w:rPr>
              <w:t>11,780,000.00</w:t>
            </w:r>
          </w:p>
        </w:tc>
        <w:tc>
          <w:tcPr>
            <w:tcW w:w="1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left="57" w:right="0"/>
              <w:jc w:val="left"/>
              <w:rPr>
                <w:rFonts w:ascii="Times New Roman" w:hAnsi="Times New Roman" w:cs="Times New Roman" w:eastAsia="Times New Roman" w:hint="default"/>
                <w:sz w:val="18"/>
                <w:szCs w:val="18"/>
              </w:rPr>
            </w:pPr>
            <w:r>
              <w:rPr>
                <w:rFonts w:ascii="Times New Roman"/>
                <w:sz w:val="18"/>
              </w:rPr>
              <w:t>19,380,000.00</w:t>
            </w:r>
          </w:p>
        </w:tc>
        <w:tc>
          <w:tcPr>
            <w:tcW w:w="1162" w:type="dxa"/>
            <w:tcBorders>
              <w:top w:val="single" w:sz="8" w:space="0" w:color="000000"/>
              <w:left w:val="single" w:sz="8" w:space="0" w:color="000000"/>
              <w:bottom w:val="single" w:sz="8" w:space="0" w:color="000000"/>
              <w:right w:val="single" w:sz="8" w:space="0" w:color="000000"/>
            </w:tcBorders>
          </w:tcPr>
          <w:p>
            <w:pPr/>
          </w:p>
        </w:tc>
        <w:tc>
          <w:tcPr>
            <w:tcW w:w="1118" w:type="dxa"/>
            <w:tcBorders>
              <w:top w:val="single" w:sz="8" w:space="0" w:color="000000"/>
              <w:left w:val="single" w:sz="8" w:space="0" w:color="000000"/>
              <w:bottom w:val="single" w:sz="8" w:space="0" w:color="000000"/>
              <w:right w:val="single" w:sz="8" w:space="0" w:color="000000"/>
            </w:tcBorders>
          </w:tcPr>
          <w:p>
            <w:pPr/>
          </w:p>
        </w:tc>
        <w:tc>
          <w:tcPr>
            <w:tcW w:w="1210" w:type="dxa"/>
            <w:tcBorders>
              <w:top w:val="single" w:sz="8" w:space="0" w:color="000000"/>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
        </w:tc>
        <w:tc>
          <w:tcPr>
            <w:tcW w:w="1181" w:type="dxa"/>
            <w:tcBorders>
              <w:top w:val="single" w:sz="8" w:space="0" w:color="000000"/>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
        </w:tc>
      </w:tr>
      <w:tr>
        <w:trPr>
          <w:trHeight w:val="442" w:hRule="exact"/>
        </w:trPr>
        <w:tc>
          <w:tcPr>
            <w:tcW w:w="378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210" w:type="dxa"/>
            <w:tcBorders>
              <w:top w:val="single" w:sz="8" w:space="0" w:color="000000"/>
              <w:left w:val="single" w:sz="8" w:space="0" w:color="000000"/>
              <w:bottom w:val="single" w:sz="8" w:space="0" w:color="000000"/>
              <w:right w:val="single" w:sz="8" w:space="0" w:color="000000"/>
            </w:tcBorders>
          </w:tcPr>
          <w:p>
            <w:pPr/>
          </w:p>
        </w:tc>
        <w:tc>
          <w:tcPr>
            <w:tcW w:w="1214" w:type="dxa"/>
            <w:tcBorders>
              <w:top w:val="single" w:sz="8" w:space="0" w:color="000000"/>
              <w:left w:val="single" w:sz="8" w:space="0" w:color="000000"/>
              <w:bottom w:val="single" w:sz="8" w:space="0" w:color="000000"/>
              <w:right w:val="single" w:sz="8" w:space="0" w:color="000000"/>
            </w:tcBorders>
          </w:tcPr>
          <w:p>
            <w:pPr/>
          </w:p>
        </w:tc>
        <w:tc>
          <w:tcPr>
            <w:tcW w:w="1119"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118" w:type="dxa"/>
            <w:tcBorders>
              <w:top w:val="single" w:sz="8" w:space="0" w:color="000000"/>
              <w:left w:val="single" w:sz="8" w:space="0" w:color="000000"/>
              <w:bottom w:val="single" w:sz="8" w:space="0" w:color="000000"/>
              <w:right w:val="single" w:sz="8" w:space="0" w:color="000000"/>
            </w:tcBorders>
          </w:tcPr>
          <w:p>
            <w:pPr/>
          </w:p>
        </w:tc>
        <w:tc>
          <w:tcPr>
            <w:tcW w:w="1210" w:type="dxa"/>
            <w:tcBorders>
              <w:top w:val="single" w:sz="8" w:space="0" w:color="000000"/>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
        </w:tc>
        <w:tc>
          <w:tcPr>
            <w:tcW w:w="1181" w:type="dxa"/>
            <w:tcBorders>
              <w:top w:val="single" w:sz="8" w:space="0" w:color="000000"/>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378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7"/>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．股份支付计入所有者权益的金额</w:t>
            </w:r>
          </w:p>
        </w:tc>
        <w:tc>
          <w:tcPr>
            <w:tcW w:w="1210" w:type="dxa"/>
            <w:tcBorders>
              <w:top w:val="single" w:sz="8" w:space="0" w:color="000000"/>
              <w:left w:val="single" w:sz="8" w:space="0" w:color="000000"/>
              <w:bottom w:val="single" w:sz="8" w:space="0" w:color="000000"/>
              <w:right w:val="single" w:sz="8" w:space="0" w:color="000000"/>
            </w:tcBorders>
          </w:tcPr>
          <w:p>
            <w:pP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3"/>
              <w:jc w:val="right"/>
              <w:rPr>
                <w:rFonts w:ascii="Times New Roman" w:hAnsi="Times New Roman" w:cs="Times New Roman" w:eastAsia="Times New Roman" w:hint="default"/>
                <w:sz w:val="18"/>
                <w:szCs w:val="18"/>
              </w:rPr>
            </w:pPr>
            <w:r>
              <w:rPr>
                <w:rFonts w:ascii="Times New Roman"/>
                <w:spacing w:val="-1"/>
                <w:sz w:val="18"/>
              </w:rPr>
              <w:t>5,920,800.00</w:t>
            </w:r>
          </w:p>
        </w:tc>
        <w:tc>
          <w:tcPr>
            <w:tcW w:w="1119"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118" w:type="dxa"/>
            <w:tcBorders>
              <w:top w:val="single" w:sz="8" w:space="0" w:color="000000"/>
              <w:left w:val="single" w:sz="8" w:space="0" w:color="000000"/>
              <w:bottom w:val="single" w:sz="8" w:space="0" w:color="000000"/>
              <w:right w:val="single" w:sz="8" w:space="0" w:color="000000"/>
            </w:tcBorders>
          </w:tcPr>
          <w:p>
            <w:pPr/>
          </w:p>
        </w:tc>
        <w:tc>
          <w:tcPr>
            <w:tcW w:w="1210" w:type="dxa"/>
            <w:tcBorders>
              <w:top w:val="single" w:sz="8" w:space="0" w:color="000000"/>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5,920,800.00</w:t>
            </w:r>
          </w:p>
        </w:tc>
        <w:tc>
          <w:tcPr>
            <w:tcW w:w="1181" w:type="dxa"/>
            <w:tcBorders>
              <w:top w:val="single" w:sz="8" w:space="0" w:color="000000"/>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5,920,800.00</w:t>
            </w:r>
          </w:p>
        </w:tc>
      </w:tr>
      <w:tr>
        <w:trPr>
          <w:trHeight w:val="413" w:hRule="exact"/>
        </w:trPr>
        <w:tc>
          <w:tcPr>
            <w:tcW w:w="378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4"/>
              <w:ind w:left="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1210" w:type="dxa"/>
            <w:tcBorders>
              <w:top w:val="single" w:sz="8" w:space="0" w:color="000000"/>
              <w:left w:val="single" w:sz="8" w:space="0" w:color="000000"/>
              <w:bottom w:val="single" w:sz="8" w:space="0" w:color="000000"/>
              <w:right w:val="single" w:sz="8" w:space="0" w:color="000000"/>
            </w:tcBorders>
          </w:tcPr>
          <w:p>
            <w:pPr/>
          </w:p>
        </w:tc>
        <w:tc>
          <w:tcPr>
            <w:tcW w:w="1214" w:type="dxa"/>
            <w:tcBorders>
              <w:top w:val="single" w:sz="8" w:space="0" w:color="000000"/>
              <w:left w:val="single" w:sz="8" w:space="0" w:color="000000"/>
              <w:bottom w:val="single" w:sz="8" w:space="0" w:color="000000"/>
              <w:right w:val="single" w:sz="8" w:space="0" w:color="000000"/>
            </w:tcBorders>
          </w:tcPr>
          <w:p>
            <w:pPr/>
          </w:p>
        </w:tc>
        <w:tc>
          <w:tcPr>
            <w:tcW w:w="1119"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778,281.44</w:t>
            </w:r>
          </w:p>
        </w:tc>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-778,281.44</w:t>
            </w:r>
          </w:p>
        </w:tc>
        <w:tc>
          <w:tcPr>
            <w:tcW w:w="1354" w:type="dxa"/>
            <w:tcBorders>
              <w:top w:val="single" w:sz="8" w:space="0" w:color="000000"/>
              <w:left w:val="single" w:sz="8" w:space="0" w:color="000000"/>
              <w:bottom w:val="single" w:sz="8" w:space="0" w:color="000000"/>
              <w:right w:val="single" w:sz="8" w:space="0" w:color="000000"/>
            </w:tcBorders>
          </w:tcPr>
          <w:p>
            <w:pPr/>
          </w:p>
        </w:tc>
        <w:tc>
          <w:tcPr>
            <w:tcW w:w="1181" w:type="dxa"/>
            <w:tcBorders>
              <w:top w:val="single" w:sz="8" w:space="0" w:color="000000"/>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
        </w:tc>
      </w:tr>
      <w:tr>
        <w:trPr>
          <w:trHeight w:val="408" w:hRule="exact"/>
        </w:trPr>
        <w:tc>
          <w:tcPr>
            <w:tcW w:w="378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10" w:type="dxa"/>
            <w:tcBorders>
              <w:top w:val="single" w:sz="8" w:space="0" w:color="000000"/>
              <w:left w:val="single" w:sz="8" w:space="0" w:color="000000"/>
              <w:bottom w:val="single" w:sz="8" w:space="0" w:color="000000"/>
              <w:right w:val="single" w:sz="8" w:space="0" w:color="000000"/>
            </w:tcBorders>
          </w:tcPr>
          <w:p>
            <w:pPr/>
          </w:p>
        </w:tc>
        <w:tc>
          <w:tcPr>
            <w:tcW w:w="1214" w:type="dxa"/>
            <w:tcBorders>
              <w:top w:val="single" w:sz="8" w:space="0" w:color="000000"/>
              <w:left w:val="single" w:sz="8" w:space="0" w:color="000000"/>
              <w:bottom w:val="single" w:sz="8" w:space="0" w:color="000000"/>
              <w:right w:val="single" w:sz="8" w:space="0" w:color="000000"/>
            </w:tcBorders>
          </w:tcPr>
          <w:p>
            <w:pPr/>
          </w:p>
        </w:tc>
        <w:tc>
          <w:tcPr>
            <w:tcW w:w="1119"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778,281.44</w:t>
            </w:r>
          </w:p>
        </w:tc>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-778,281.44</w:t>
            </w:r>
          </w:p>
        </w:tc>
        <w:tc>
          <w:tcPr>
            <w:tcW w:w="1354" w:type="dxa"/>
            <w:tcBorders>
              <w:top w:val="single" w:sz="8" w:space="0" w:color="000000"/>
              <w:left w:val="single" w:sz="8" w:space="0" w:color="000000"/>
              <w:bottom w:val="single" w:sz="8" w:space="0" w:color="000000"/>
              <w:right w:val="single" w:sz="8" w:space="0" w:color="000000"/>
            </w:tcBorders>
          </w:tcPr>
          <w:p>
            <w:pPr/>
          </w:p>
        </w:tc>
        <w:tc>
          <w:tcPr>
            <w:tcW w:w="1181" w:type="dxa"/>
            <w:tcBorders>
              <w:top w:val="single" w:sz="8" w:space="0" w:color="000000"/>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378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．对所有者（或股东）的分配</w:t>
            </w:r>
          </w:p>
        </w:tc>
        <w:tc>
          <w:tcPr>
            <w:tcW w:w="1210" w:type="dxa"/>
            <w:tcBorders>
              <w:top w:val="single" w:sz="8" w:space="0" w:color="000000"/>
              <w:left w:val="single" w:sz="8" w:space="0" w:color="000000"/>
              <w:bottom w:val="single" w:sz="8" w:space="0" w:color="000000"/>
              <w:right w:val="single" w:sz="8" w:space="0" w:color="000000"/>
            </w:tcBorders>
          </w:tcPr>
          <w:p>
            <w:pPr/>
          </w:p>
        </w:tc>
        <w:tc>
          <w:tcPr>
            <w:tcW w:w="1214" w:type="dxa"/>
            <w:tcBorders>
              <w:top w:val="single" w:sz="8" w:space="0" w:color="000000"/>
              <w:left w:val="single" w:sz="8" w:space="0" w:color="000000"/>
              <w:bottom w:val="single" w:sz="8" w:space="0" w:color="000000"/>
              <w:right w:val="single" w:sz="8" w:space="0" w:color="000000"/>
            </w:tcBorders>
          </w:tcPr>
          <w:p>
            <w:pPr/>
          </w:p>
        </w:tc>
        <w:tc>
          <w:tcPr>
            <w:tcW w:w="1119"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118" w:type="dxa"/>
            <w:tcBorders>
              <w:top w:val="single" w:sz="8" w:space="0" w:color="000000"/>
              <w:left w:val="single" w:sz="8" w:space="0" w:color="000000"/>
              <w:bottom w:val="single" w:sz="8" w:space="0" w:color="000000"/>
              <w:right w:val="single" w:sz="8" w:space="0" w:color="000000"/>
            </w:tcBorders>
          </w:tcPr>
          <w:p>
            <w:pPr/>
          </w:p>
        </w:tc>
        <w:tc>
          <w:tcPr>
            <w:tcW w:w="1210" w:type="dxa"/>
            <w:tcBorders>
              <w:top w:val="single" w:sz="8" w:space="0" w:color="000000"/>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
        </w:tc>
        <w:tc>
          <w:tcPr>
            <w:tcW w:w="1181" w:type="dxa"/>
            <w:tcBorders>
              <w:top w:val="single" w:sz="8" w:space="0" w:color="000000"/>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378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4"/>
              <w:ind w:left="4" w:right="0"/>
              <w:jc w:val="left"/>
              <w:rPr>
                <w:rFonts w:ascii="宋体" w:hAnsi="宋体" w:cs="宋体" w:eastAsia="宋体" w:hint="default"/>
                <w:sz w:val="18"/>
                <w:szCs w:val="18"/>
              </w:rPr>
            </w:pPr>
            <w:r>
              <w:rPr>
                <w:rFonts w:ascii="宋体" w:hAnsi="宋体" w:cs="宋体" w:eastAsia="宋体" w:hint="default"/>
                <w:spacing w:val="-3"/>
                <w:sz w:val="18"/>
                <w:szCs w:val="18"/>
              </w:rPr>
              <w:t>（四）所有者权益内部结转</w:t>
            </w:r>
          </w:p>
        </w:tc>
        <w:tc>
          <w:tcPr>
            <w:tcW w:w="1210" w:type="dxa"/>
            <w:tcBorders>
              <w:top w:val="single" w:sz="8" w:space="0" w:color="000000"/>
              <w:left w:val="single" w:sz="8" w:space="0" w:color="000000"/>
              <w:bottom w:val="single" w:sz="8" w:space="0" w:color="000000"/>
              <w:right w:val="single" w:sz="8" w:space="0" w:color="000000"/>
            </w:tcBorders>
          </w:tcPr>
          <w:p>
            <w:pPr/>
          </w:p>
        </w:tc>
        <w:tc>
          <w:tcPr>
            <w:tcW w:w="1214" w:type="dxa"/>
            <w:tcBorders>
              <w:top w:val="single" w:sz="8" w:space="0" w:color="000000"/>
              <w:left w:val="single" w:sz="8" w:space="0" w:color="000000"/>
              <w:bottom w:val="single" w:sz="8" w:space="0" w:color="000000"/>
              <w:right w:val="single" w:sz="8" w:space="0" w:color="000000"/>
            </w:tcBorders>
          </w:tcPr>
          <w:p>
            <w:pPr/>
          </w:p>
        </w:tc>
        <w:tc>
          <w:tcPr>
            <w:tcW w:w="1119"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118" w:type="dxa"/>
            <w:tcBorders>
              <w:top w:val="single" w:sz="8" w:space="0" w:color="000000"/>
              <w:left w:val="single" w:sz="8" w:space="0" w:color="000000"/>
              <w:bottom w:val="single" w:sz="8" w:space="0" w:color="000000"/>
              <w:right w:val="single" w:sz="8" w:space="0" w:color="000000"/>
            </w:tcBorders>
          </w:tcPr>
          <w:p>
            <w:pPr/>
          </w:p>
        </w:tc>
        <w:tc>
          <w:tcPr>
            <w:tcW w:w="1210" w:type="dxa"/>
            <w:tcBorders>
              <w:top w:val="single" w:sz="8" w:space="0" w:color="000000"/>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
        </w:tc>
        <w:tc>
          <w:tcPr>
            <w:tcW w:w="1181" w:type="dxa"/>
            <w:tcBorders>
              <w:top w:val="single" w:sz="8" w:space="0" w:color="000000"/>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378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10" w:type="dxa"/>
            <w:tcBorders>
              <w:top w:val="single" w:sz="8" w:space="0" w:color="000000"/>
              <w:left w:val="single" w:sz="8" w:space="0" w:color="000000"/>
              <w:bottom w:val="single" w:sz="8" w:space="0" w:color="000000"/>
              <w:right w:val="single" w:sz="8" w:space="0" w:color="000000"/>
            </w:tcBorders>
          </w:tcPr>
          <w:p>
            <w:pPr/>
          </w:p>
        </w:tc>
        <w:tc>
          <w:tcPr>
            <w:tcW w:w="1214" w:type="dxa"/>
            <w:tcBorders>
              <w:top w:val="single" w:sz="8" w:space="0" w:color="000000"/>
              <w:left w:val="single" w:sz="8" w:space="0" w:color="000000"/>
              <w:bottom w:val="single" w:sz="8" w:space="0" w:color="000000"/>
              <w:right w:val="single" w:sz="8" w:space="0" w:color="000000"/>
            </w:tcBorders>
          </w:tcPr>
          <w:p>
            <w:pPr/>
          </w:p>
        </w:tc>
        <w:tc>
          <w:tcPr>
            <w:tcW w:w="1119" w:type="dxa"/>
            <w:tcBorders>
              <w:top w:val="single" w:sz="8" w:space="0" w:color="000000"/>
              <w:left w:val="single" w:sz="8" w:space="0" w:color="000000"/>
              <w:bottom w:val="single" w:sz="8" w:space="0" w:color="000000"/>
              <w:right w:val="single" w:sz="8" w:space="0" w:color="000000"/>
            </w:tcBorders>
          </w:tcPr>
          <w:p>
            <w:pPr/>
          </w:p>
        </w:tc>
        <w:tc>
          <w:tcPr>
            <w:tcW w:w="1162" w:type="dxa"/>
            <w:tcBorders>
              <w:top w:val="single" w:sz="8" w:space="0" w:color="000000"/>
              <w:left w:val="single" w:sz="8" w:space="0" w:color="000000"/>
              <w:bottom w:val="single" w:sz="8" w:space="0" w:color="000000"/>
              <w:right w:val="single" w:sz="8" w:space="0" w:color="000000"/>
            </w:tcBorders>
          </w:tcPr>
          <w:p>
            <w:pPr/>
          </w:p>
        </w:tc>
        <w:tc>
          <w:tcPr>
            <w:tcW w:w="1118" w:type="dxa"/>
            <w:tcBorders>
              <w:top w:val="single" w:sz="8" w:space="0" w:color="000000"/>
              <w:left w:val="single" w:sz="8" w:space="0" w:color="000000"/>
              <w:bottom w:val="single" w:sz="8" w:space="0" w:color="000000"/>
              <w:right w:val="single" w:sz="8" w:space="0" w:color="000000"/>
            </w:tcBorders>
          </w:tcPr>
          <w:p>
            <w:pPr/>
          </w:p>
        </w:tc>
        <w:tc>
          <w:tcPr>
            <w:tcW w:w="1210" w:type="dxa"/>
            <w:tcBorders>
              <w:top w:val="single" w:sz="8" w:space="0" w:color="000000"/>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
        </w:tc>
        <w:tc>
          <w:tcPr>
            <w:tcW w:w="1181" w:type="dxa"/>
            <w:tcBorders>
              <w:top w:val="single" w:sz="8" w:space="0" w:color="000000"/>
              <w:left w:val="single" w:sz="8" w:space="0" w:color="000000"/>
              <w:bottom w:val="single" w:sz="8" w:space="0" w:color="000000"/>
              <w:right w:val="single" w:sz="8" w:space="0" w:color="000000"/>
            </w:tcBorders>
          </w:tcPr>
          <w:p>
            <w:pPr/>
          </w:p>
        </w:tc>
        <w:tc>
          <w:tcPr>
            <w:tcW w:w="1354"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378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794,980,220.00</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850,541,642.53</w:t>
            </w:r>
          </w:p>
        </w:tc>
        <w:tc>
          <w:tcPr>
            <w:tcW w:w="1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35,340,000.00</w:t>
            </w:r>
          </w:p>
        </w:tc>
        <w:tc>
          <w:tcPr>
            <w:tcW w:w="11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50,348,236.58</w:t>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90,731,741.37</w:t>
            </w:r>
          </w:p>
        </w:tc>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151,440,953.64</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2"/>
                <w:sz w:val="18"/>
              </w:rPr>
              <w:t>1,902,702,794.12</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118" w:right="0"/>
              <w:jc w:val="center"/>
              <w:rPr>
                <w:rFonts w:ascii="Times New Roman" w:hAnsi="Times New Roman" w:cs="Times New Roman" w:eastAsia="Times New Roman" w:hint="default"/>
                <w:sz w:val="18"/>
                <w:szCs w:val="18"/>
              </w:rPr>
            </w:pPr>
            <w:r>
              <w:rPr>
                <w:rFonts w:ascii="Times New Roman"/>
                <w:spacing w:val="-1"/>
                <w:sz w:val="18"/>
              </w:rPr>
              <w:t>78,098,414.58</w:t>
            </w:r>
          </w:p>
        </w:tc>
        <w:tc>
          <w:tcPr>
            <w:tcW w:w="1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2"/>
                <w:sz w:val="18"/>
              </w:rPr>
              <w:t>1,980,801,208.70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06" w:footer="1018" w:top="1100" w:bottom="1200" w:left="940" w:right="940"/>
        </w:sect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737.5pt;height:.5pt;mso-position-horizontal-relative:char;mso-position-vertical-relative:line" coordorigin="0,0" coordsize="14750,10">
            <v:group style="position:absolute;left:5;top:5;width:14740;height:2" coordorigin="5,5" coordsize="14740,2">
              <v:shape style="position:absolute;left:5;top:5;width:14740;height:2" coordorigin="5,5" coordsize="14740,0" path="m5,5l14745,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160" w:right="0"/>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6"/>
          <w:szCs w:val="26"/>
        </w:rPr>
      </w:pPr>
    </w:p>
    <w:p>
      <w:pPr>
        <w:pStyle w:val="BodyText"/>
        <w:tabs>
          <w:tab w:pos="14113" w:val="left" w:leader="none"/>
        </w:tabs>
        <w:spacing w:line="240" w:lineRule="auto"/>
        <w:ind w:left="160" w:right="0"/>
        <w:jc w:val="left"/>
      </w:pPr>
      <w:r>
        <w:rPr>
          <w:spacing w:val="-2"/>
        </w:rPr>
        <w:t>本期金额</w:t>
        <w:tab/>
      </w:r>
      <w:r>
        <w:rPr>
          <w:spacing w:val="-3"/>
        </w:rPr>
        <w:t>单位：元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4273"/>
        <w:gridCol w:w="1652"/>
        <w:gridCol w:w="1546"/>
        <w:gridCol w:w="1349"/>
        <w:gridCol w:w="1445"/>
        <w:gridCol w:w="1349"/>
        <w:gridCol w:w="1445"/>
        <w:gridCol w:w="1652"/>
      </w:tblGrid>
      <w:tr>
        <w:trPr>
          <w:trHeight w:val="420" w:hRule="exact"/>
        </w:trPr>
        <w:tc>
          <w:tcPr>
            <w:tcW w:w="4273"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438" w:type="dxa"/>
            <w:gridSpan w:val="7"/>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855" w:hRule="exact"/>
        </w:trPr>
        <w:tc>
          <w:tcPr>
            <w:tcW w:w="4273" w:type="dxa"/>
            <w:vMerge/>
            <w:tcBorders>
              <w:left w:val="single" w:sz="8" w:space="0" w:color="000000"/>
              <w:bottom w:val="single" w:sz="8" w:space="0" w:color="000000"/>
              <w:right w:val="single" w:sz="8" w:space="0" w:color="000000"/>
            </w:tcBorders>
            <w:shd w:val="clear" w:color="auto" w:fill="D2D2D2"/>
          </w:tcPr>
          <w:p>
            <w:pPr/>
          </w:p>
        </w:tc>
        <w:tc>
          <w:tcPr>
            <w:tcW w:w="165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4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4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4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34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4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5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r>
      <w:tr>
        <w:trPr>
          <w:trHeight w:val="485" w:hRule="exact"/>
        </w:trPr>
        <w:tc>
          <w:tcPr>
            <w:tcW w:w="427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794,980,220.00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872,278,990.98</w:t>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35,340,000.00</w:t>
            </w: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24,894,285.73</w:t>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90,731,741.37</w:t>
            </w: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91,228,769.17</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5"/>
              <w:jc w:val="right"/>
              <w:rPr>
                <w:rFonts w:ascii="Times New Roman" w:hAnsi="Times New Roman" w:cs="Times New Roman" w:eastAsia="Times New Roman" w:hint="default"/>
                <w:sz w:val="18"/>
                <w:szCs w:val="18"/>
              </w:rPr>
            </w:pPr>
            <w:r>
              <w:rPr>
                <w:rFonts w:ascii="Times New Roman"/>
                <w:spacing w:val="-2"/>
                <w:sz w:val="18"/>
              </w:rPr>
              <w:t>1,838,774,007.25</w:t>
            </w:r>
          </w:p>
        </w:tc>
      </w:tr>
      <w:tr>
        <w:trPr>
          <w:trHeight w:val="413" w:hRule="exact"/>
        </w:trPr>
        <w:tc>
          <w:tcPr>
            <w:tcW w:w="427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4"/>
              <w:ind w:left="36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52"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1349"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-24,894,285.73</w:t>
            </w:r>
          </w:p>
        </w:tc>
        <w:tc>
          <w:tcPr>
            <w:tcW w:w="1349"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43,160,385.73</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18,266,100.00</w:t>
            </w:r>
          </w:p>
        </w:tc>
      </w:tr>
      <w:tr>
        <w:trPr>
          <w:trHeight w:val="413" w:hRule="exact"/>
        </w:trPr>
        <w:tc>
          <w:tcPr>
            <w:tcW w:w="427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794,980,220.00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872,278,990.98</w:t>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35,340,000.00</w:t>
            </w:r>
          </w:p>
        </w:tc>
        <w:tc>
          <w:tcPr>
            <w:tcW w:w="1445" w:type="dxa"/>
            <w:tcBorders>
              <w:top w:val="single" w:sz="8" w:space="0" w:color="000000"/>
              <w:left w:val="single" w:sz="8" w:space="0" w:color="000000"/>
              <w:bottom w:val="single" w:sz="8" w:space="0" w:color="000000"/>
              <w:right w:val="single" w:sz="8" w:space="0" w:color="000000"/>
            </w:tcBorders>
          </w:tcPr>
          <w:p>
            <w:pP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90,731,741.37</w:t>
            </w: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134,389,154.90</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2"/>
                <w:sz w:val="18"/>
              </w:rPr>
              <w:t>1,857,040,107.25</w:t>
            </w:r>
          </w:p>
        </w:tc>
      </w:tr>
      <w:tr>
        <w:trPr>
          <w:trHeight w:val="470" w:hRule="exact"/>
        </w:trPr>
        <w:tc>
          <w:tcPr>
            <w:tcW w:w="427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2"/>
              <w:ind w:left="4"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558,902,733.00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-538,147,510.64</w:t>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-8,930,000.00</w:t>
            </w:r>
          </w:p>
        </w:tc>
        <w:tc>
          <w:tcPr>
            <w:tcW w:w="1445" w:type="dxa"/>
            <w:tcBorders>
              <w:top w:val="single" w:sz="8" w:space="0" w:color="000000"/>
              <w:left w:val="single" w:sz="8" w:space="0" w:color="000000"/>
              <w:bottom w:val="single" w:sz="8" w:space="0" w:color="000000"/>
              <w:right w:val="single" w:sz="8" w:space="0" w:color="000000"/>
            </w:tcBorders>
          </w:tcPr>
          <w:p>
            <w:pP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6,645,976.25</w:t>
            </w: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-19,785,135.40</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5"/>
              <w:jc w:val="right"/>
              <w:rPr>
                <w:rFonts w:ascii="Times New Roman" w:hAnsi="Times New Roman" w:cs="Times New Roman" w:eastAsia="Times New Roman" w:hint="default"/>
                <w:sz w:val="18"/>
                <w:szCs w:val="18"/>
              </w:rPr>
            </w:pPr>
            <w:r>
              <w:rPr>
                <w:rFonts w:ascii="Times New Roman"/>
                <w:spacing w:val="-1"/>
                <w:sz w:val="18"/>
              </w:rPr>
              <w:t>16,546,063.21</w:t>
            </w:r>
          </w:p>
        </w:tc>
      </w:tr>
      <w:tr>
        <w:trPr>
          <w:trHeight w:val="413" w:hRule="exact"/>
        </w:trPr>
        <w:tc>
          <w:tcPr>
            <w:tcW w:w="427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4"/>
              <w:ind w:left="4" w:right="0"/>
              <w:jc w:val="left"/>
              <w:rPr>
                <w:rFonts w:ascii="宋体" w:hAnsi="宋体" w:cs="宋体" w:eastAsia="宋体" w:hint="default"/>
                <w:sz w:val="18"/>
                <w:szCs w:val="18"/>
              </w:rPr>
            </w:pPr>
            <w:r>
              <w:rPr>
                <w:rFonts w:ascii="宋体" w:hAnsi="宋体" w:cs="宋体" w:eastAsia="宋体" w:hint="default"/>
                <w:spacing w:val="-3"/>
                <w:sz w:val="18"/>
                <w:szCs w:val="18"/>
              </w:rPr>
              <w:t>（一）综合收益总额</w:t>
            </w:r>
          </w:p>
        </w:tc>
        <w:tc>
          <w:tcPr>
            <w:tcW w:w="1652"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1349"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single" w:sz="8" w:space="0" w:color="000000"/>
            </w:tcBorders>
          </w:tcPr>
          <w:p>
            <w:pPr/>
          </w:p>
        </w:tc>
        <w:tc>
          <w:tcPr>
            <w:tcW w:w="1349"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66,459,762.45</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66,459,762.45</w:t>
            </w:r>
          </w:p>
        </w:tc>
      </w:tr>
      <w:tr>
        <w:trPr>
          <w:trHeight w:val="427" w:hRule="exact"/>
        </w:trPr>
        <w:tc>
          <w:tcPr>
            <w:tcW w:w="427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（二）所有者投入和减少资本</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1,710,282.00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19,044,940.36</w:t>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-7,790,000.00</w:t>
            </w:r>
          </w:p>
        </w:tc>
        <w:tc>
          <w:tcPr>
            <w:tcW w:w="1445" w:type="dxa"/>
            <w:tcBorders>
              <w:top w:val="single" w:sz="8" w:space="0" w:color="000000"/>
              <w:left w:val="single" w:sz="8" w:space="0" w:color="000000"/>
              <w:bottom w:val="single" w:sz="8" w:space="0" w:color="000000"/>
              <w:right w:val="single" w:sz="8" w:space="0" w:color="000000"/>
            </w:tcBorders>
          </w:tcPr>
          <w:p>
            <w:pPr/>
          </w:p>
        </w:tc>
        <w:tc>
          <w:tcPr>
            <w:tcW w:w="1349"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single" w:sz="8" w:space="0" w:color="000000"/>
            </w:tcBorders>
          </w:tcPr>
          <w:p>
            <w:pP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28,545,222.36</w:t>
            </w:r>
          </w:p>
        </w:tc>
      </w:tr>
      <w:tr>
        <w:trPr>
          <w:trHeight w:val="413" w:hRule="exact"/>
        </w:trPr>
        <w:tc>
          <w:tcPr>
            <w:tcW w:w="427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1,710,282.00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9,120,640.36</w:t>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2"/>
                <w:sz w:val="18"/>
              </w:rPr>
              <w:t>-7,790,000.00</w:t>
            </w:r>
            <w:r>
              <w:rPr>
                <w:rFonts w:ascii="Times New Roman"/>
                <w:sz w:val="18"/>
              </w:rPr>
            </w:r>
          </w:p>
        </w:tc>
        <w:tc>
          <w:tcPr>
            <w:tcW w:w="1445" w:type="dxa"/>
            <w:tcBorders>
              <w:top w:val="single" w:sz="8" w:space="0" w:color="000000"/>
              <w:left w:val="single" w:sz="8" w:space="0" w:color="000000"/>
              <w:bottom w:val="single" w:sz="8" w:space="0" w:color="000000"/>
              <w:right w:val="single" w:sz="8" w:space="0" w:color="000000"/>
            </w:tcBorders>
          </w:tcPr>
          <w:p>
            <w:pPr/>
          </w:p>
        </w:tc>
        <w:tc>
          <w:tcPr>
            <w:tcW w:w="1349"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single" w:sz="8" w:space="0" w:color="000000"/>
            </w:tcBorders>
          </w:tcPr>
          <w:p>
            <w:pP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18,620,922.36</w:t>
            </w:r>
          </w:p>
        </w:tc>
      </w:tr>
      <w:tr>
        <w:trPr>
          <w:trHeight w:val="413" w:hRule="exact"/>
        </w:trPr>
        <w:tc>
          <w:tcPr>
            <w:tcW w:w="427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652"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1349"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single" w:sz="8" w:space="0" w:color="000000"/>
            </w:tcBorders>
          </w:tcPr>
          <w:p>
            <w:pPr/>
          </w:p>
        </w:tc>
        <w:tc>
          <w:tcPr>
            <w:tcW w:w="1349"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single" w:sz="8" w:space="0" w:color="000000"/>
            </w:tcBorders>
          </w:tcPr>
          <w:p>
            <w:pPr/>
          </w:p>
        </w:tc>
        <w:tc>
          <w:tcPr>
            <w:tcW w:w="1652"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427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．股份支付计入所有者权益的金额</w:t>
            </w:r>
          </w:p>
        </w:tc>
        <w:tc>
          <w:tcPr>
            <w:tcW w:w="1652"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9,924,300.00</w:t>
            </w:r>
          </w:p>
        </w:tc>
        <w:tc>
          <w:tcPr>
            <w:tcW w:w="1349"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single" w:sz="8" w:space="0" w:color="000000"/>
            </w:tcBorders>
          </w:tcPr>
          <w:p>
            <w:pPr/>
          </w:p>
        </w:tc>
        <w:tc>
          <w:tcPr>
            <w:tcW w:w="1349"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single" w:sz="8" w:space="0" w:color="000000"/>
            </w:tcBorders>
          </w:tcPr>
          <w:p>
            <w:pP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9,924,300.00</w:t>
            </w:r>
          </w:p>
        </w:tc>
      </w:tr>
      <w:tr>
        <w:trPr>
          <w:trHeight w:val="408" w:hRule="exact"/>
        </w:trPr>
        <w:tc>
          <w:tcPr>
            <w:tcW w:w="427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1652"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-1,140,000.00</w:t>
            </w:r>
          </w:p>
        </w:tc>
        <w:tc>
          <w:tcPr>
            <w:tcW w:w="1445" w:type="dxa"/>
            <w:tcBorders>
              <w:top w:val="single" w:sz="8" w:space="0" w:color="000000"/>
              <w:left w:val="single" w:sz="8" w:space="0" w:color="000000"/>
              <w:bottom w:val="single" w:sz="8" w:space="0" w:color="000000"/>
              <w:right w:val="single" w:sz="8" w:space="0" w:color="000000"/>
            </w:tcBorders>
          </w:tcPr>
          <w:p>
            <w:pP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6,645,976.25</w:t>
            </w: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-86,244,897.85</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-78,458,921.60</w:t>
            </w:r>
          </w:p>
        </w:tc>
      </w:tr>
      <w:tr>
        <w:trPr>
          <w:trHeight w:val="413" w:hRule="exact"/>
        </w:trPr>
        <w:tc>
          <w:tcPr>
            <w:tcW w:w="427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652"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1349"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single" w:sz="8" w:space="0" w:color="000000"/>
            </w:tcBorders>
          </w:tcPr>
          <w:p>
            <w:pP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6,645,976.25</w:t>
            </w: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-6,645,976.25</w:t>
            </w:r>
          </w:p>
        </w:tc>
        <w:tc>
          <w:tcPr>
            <w:tcW w:w="1652"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427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．对所有者（或股东）的分配</w:t>
            </w:r>
          </w:p>
        </w:tc>
        <w:tc>
          <w:tcPr>
            <w:tcW w:w="1652"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-1,140,000.00</w:t>
            </w:r>
          </w:p>
        </w:tc>
        <w:tc>
          <w:tcPr>
            <w:tcW w:w="1445" w:type="dxa"/>
            <w:tcBorders>
              <w:top w:val="single" w:sz="8" w:space="0" w:color="000000"/>
              <w:left w:val="single" w:sz="8" w:space="0" w:color="000000"/>
              <w:bottom w:val="single" w:sz="8" w:space="0" w:color="000000"/>
              <w:right w:val="single" w:sz="8" w:space="0" w:color="000000"/>
            </w:tcBorders>
          </w:tcPr>
          <w:p>
            <w:pPr/>
          </w:p>
        </w:tc>
        <w:tc>
          <w:tcPr>
            <w:tcW w:w="1349"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-79,598,921.60</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-78,458,921.60</w:t>
            </w:r>
          </w:p>
        </w:tc>
      </w:tr>
      <w:tr>
        <w:trPr>
          <w:trHeight w:val="413" w:hRule="exact"/>
        </w:trPr>
        <w:tc>
          <w:tcPr>
            <w:tcW w:w="427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pacing w:val="-3"/>
                <w:sz w:val="18"/>
                <w:szCs w:val="18"/>
              </w:rPr>
              <w:t>（四）所有者权益内部结转</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557,192,451.00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-557,192,451.00</w:t>
            </w:r>
          </w:p>
        </w:tc>
        <w:tc>
          <w:tcPr>
            <w:tcW w:w="1349"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single" w:sz="8" w:space="0" w:color="000000"/>
            </w:tcBorders>
          </w:tcPr>
          <w:p>
            <w:pPr/>
          </w:p>
        </w:tc>
        <w:tc>
          <w:tcPr>
            <w:tcW w:w="1349"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single" w:sz="8" w:space="0" w:color="000000"/>
            </w:tcBorders>
          </w:tcPr>
          <w:p>
            <w:pPr/>
          </w:p>
        </w:tc>
        <w:tc>
          <w:tcPr>
            <w:tcW w:w="1652"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427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557,192,451.00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-557,192,451.00</w:t>
            </w:r>
          </w:p>
        </w:tc>
        <w:tc>
          <w:tcPr>
            <w:tcW w:w="1349"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single" w:sz="8" w:space="0" w:color="000000"/>
            </w:tcBorders>
          </w:tcPr>
          <w:p>
            <w:pPr/>
          </w:p>
        </w:tc>
        <w:tc>
          <w:tcPr>
            <w:tcW w:w="1349" w:type="dxa"/>
            <w:tcBorders>
              <w:top w:val="single" w:sz="8" w:space="0" w:color="000000"/>
              <w:left w:val="single" w:sz="8" w:space="0" w:color="000000"/>
              <w:bottom w:val="single" w:sz="8" w:space="0" w:color="000000"/>
              <w:right w:val="single" w:sz="8" w:space="0" w:color="000000"/>
            </w:tcBorders>
          </w:tcPr>
          <w:p>
            <w:pPr/>
          </w:p>
        </w:tc>
        <w:tc>
          <w:tcPr>
            <w:tcW w:w="1445" w:type="dxa"/>
            <w:tcBorders>
              <w:top w:val="single" w:sz="8" w:space="0" w:color="000000"/>
              <w:left w:val="single" w:sz="8" w:space="0" w:color="000000"/>
              <w:bottom w:val="single" w:sz="8" w:space="0" w:color="000000"/>
              <w:right w:val="single" w:sz="8" w:space="0" w:color="000000"/>
            </w:tcBorders>
          </w:tcPr>
          <w:p>
            <w:pPr/>
          </w:p>
        </w:tc>
        <w:tc>
          <w:tcPr>
            <w:tcW w:w="1652"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427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4"/>
              <w:ind w:left="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2"/>
                <w:sz w:val="18"/>
              </w:rPr>
              <w:t>1,353,882,953.00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334,131,480.34</w:t>
            </w: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26,410,000.00</w:t>
            </w:r>
          </w:p>
        </w:tc>
        <w:tc>
          <w:tcPr>
            <w:tcW w:w="1445" w:type="dxa"/>
            <w:tcBorders>
              <w:top w:val="single" w:sz="8" w:space="0" w:color="000000"/>
              <w:left w:val="single" w:sz="8" w:space="0" w:color="000000"/>
              <w:bottom w:val="single" w:sz="8" w:space="0" w:color="000000"/>
              <w:right w:val="single" w:sz="8" w:space="0" w:color="000000"/>
            </w:tcBorders>
          </w:tcPr>
          <w:p>
            <w:pPr/>
          </w:p>
        </w:tc>
        <w:tc>
          <w:tcPr>
            <w:tcW w:w="1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97,377,717.62</w:t>
            </w:r>
          </w:p>
        </w:tc>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114,604,019.50</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2"/>
                <w:sz w:val="18"/>
              </w:rPr>
              <w:t>1,873,586,170.46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06" w:footer="1018" w:top="1100" w:bottom="1200" w:left="920" w:right="940"/>
        </w:sect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37.5pt;height:.5pt;mso-position-horizontal-relative:char;mso-position-vertical-relative:line" coordorigin="0,0" coordsize="14750,10">
            <v:group style="position:absolute;left:5;top:5;width:14740;height:2" coordorigin="5,5" coordsize="14740,2">
              <v:shape style="position:absolute;left:5;top:5;width:14740;height:2" coordorigin="5,5" coordsize="14740,0" path="m5,5l14745,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8"/>
          <w:szCs w:val="28"/>
        </w:rPr>
      </w:pPr>
    </w:p>
    <w:p>
      <w:pPr>
        <w:pStyle w:val="BodyText"/>
        <w:tabs>
          <w:tab w:pos="14001" w:val="left" w:leader="none"/>
        </w:tabs>
        <w:spacing w:line="240" w:lineRule="auto" w:before="46"/>
        <w:ind w:left="140" w:right="0"/>
        <w:jc w:val="left"/>
      </w:pPr>
      <w:r>
        <w:rPr>
          <w:spacing w:val="-2"/>
        </w:rPr>
        <w:t>上期金额</w:t>
        <w:tab/>
      </w:r>
      <w:r>
        <w:rPr>
          <w:spacing w:val="-3"/>
        </w:rPr>
        <w:t>单位：元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4604"/>
        <w:gridCol w:w="1474"/>
        <w:gridCol w:w="1474"/>
        <w:gridCol w:w="1359"/>
        <w:gridCol w:w="1436"/>
        <w:gridCol w:w="1359"/>
        <w:gridCol w:w="1358"/>
        <w:gridCol w:w="1647"/>
      </w:tblGrid>
      <w:tr>
        <w:trPr>
          <w:trHeight w:val="420" w:hRule="exact"/>
        </w:trPr>
        <w:tc>
          <w:tcPr>
            <w:tcW w:w="4604"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07" w:type="dxa"/>
            <w:gridSpan w:val="7"/>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855" w:hRule="exact"/>
        </w:trPr>
        <w:tc>
          <w:tcPr>
            <w:tcW w:w="4604" w:type="dxa"/>
            <w:vMerge/>
            <w:tcBorders>
              <w:left w:val="single" w:sz="8" w:space="0" w:color="000000"/>
              <w:bottom w:val="single" w:sz="8" w:space="0" w:color="000000"/>
              <w:right w:val="single" w:sz="8" w:space="0" w:color="000000"/>
            </w:tcBorders>
            <w:shd w:val="clear" w:color="auto" w:fill="D2D2D2"/>
          </w:tcPr>
          <w:p>
            <w:pPr/>
          </w:p>
        </w:tc>
        <w:tc>
          <w:tcPr>
            <w:tcW w:w="14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5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3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35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5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4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r>
      <w:tr>
        <w:trPr>
          <w:trHeight w:val="485" w:hRule="exact"/>
        </w:trPr>
        <w:tc>
          <w:tcPr>
            <w:tcW w:w="460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787,380,220.00</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854,578,190.98</w:t>
            </w:r>
          </w:p>
        </w:tc>
        <w:tc>
          <w:tcPr>
            <w:tcW w:w="1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15,960,000.00</w:t>
            </w:r>
          </w:p>
        </w:tc>
        <w:tc>
          <w:tcPr>
            <w:tcW w:w="14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pacing w:val="-1"/>
                <w:sz w:val="18"/>
              </w:rPr>
              <w:t>42,093,637.06</w:t>
            </w:r>
          </w:p>
        </w:tc>
        <w:tc>
          <w:tcPr>
            <w:tcW w:w="1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89,953,459.93</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84,224,236.20</w:t>
            </w:r>
          </w:p>
        </w:tc>
        <w:tc>
          <w:tcPr>
            <w:tcW w:w="16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2"/>
                <w:sz w:val="18"/>
              </w:rPr>
              <w:t>1,842,269,744.17</w:t>
            </w:r>
          </w:p>
        </w:tc>
      </w:tr>
      <w:tr>
        <w:trPr>
          <w:trHeight w:val="485" w:hRule="exact"/>
        </w:trPr>
        <w:tc>
          <w:tcPr>
            <w:tcW w:w="460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7"/>
              <w:ind w:left="36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74" w:type="dxa"/>
            <w:tcBorders>
              <w:top w:val="single" w:sz="8" w:space="0" w:color="000000"/>
              <w:left w:val="single" w:sz="8" w:space="0" w:color="000000"/>
              <w:bottom w:val="single" w:sz="8" w:space="0" w:color="000000"/>
              <w:right w:val="single" w:sz="8" w:space="0" w:color="000000"/>
            </w:tcBorders>
          </w:tcPr>
          <w:p>
            <w:pPr/>
          </w:p>
        </w:tc>
        <w:tc>
          <w:tcPr>
            <w:tcW w:w="1474" w:type="dxa"/>
            <w:tcBorders>
              <w:top w:val="single" w:sz="8" w:space="0" w:color="000000"/>
              <w:left w:val="single" w:sz="8" w:space="0" w:color="000000"/>
              <w:bottom w:val="single" w:sz="8" w:space="0" w:color="000000"/>
              <w:right w:val="single" w:sz="8" w:space="0" w:color="000000"/>
            </w:tcBorders>
          </w:tcPr>
          <w:p>
            <w:pPr/>
          </w:p>
        </w:tc>
        <w:tc>
          <w:tcPr>
            <w:tcW w:w="1359" w:type="dxa"/>
            <w:tcBorders>
              <w:top w:val="single" w:sz="8" w:space="0" w:color="000000"/>
              <w:left w:val="single" w:sz="8" w:space="0" w:color="000000"/>
              <w:bottom w:val="single" w:sz="8" w:space="0" w:color="000000"/>
              <w:right w:val="single" w:sz="8" w:space="0" w:color="000000"/>
            </w:tcBorders>
          </w:tcPr>
          <w:p>
            <w:pPr/>
          </w:p>
        </w:tc>
        <w:tc>
          <w:tcPr>
            <w:tcW w:w="1436" w:type="dxa"/>
            <w:tcBorders>
              <w:top w:val="single" w:sz="8" w:space="0" w:color="000000"/>
              <w:left w:val="single" w:sz="8" w:space="0" w:color="000000"/>
              <w:bottom w:val="single" w:sz="8" w:space="0" w:color="000000"/>
              <w:right w:val="single" w:sz="8" w:space="0" w:color="000000"/>
            </w:tcBorders>
          </w:tcPr>
          <w:p>
            <w:pPr/>
          </w:p>
        </w:tc>
        <w:tc>
          <w:tcPr>
            <w:tcW w:w="1359"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
        </w:tc>
        <w:tc>
          <w:tcPr>
            <w:tcW w:w="1647"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460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787,380,220.00</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854,578,190.98</w:t>
            </w:r>
          </w:p>
        </w:tc>
        <w:tc>
          <w:tcPr>
            <w:tcW w:w="1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15,960,000.00</w:t>
            </w:r>
          </w:p>
        </w:tc>
        <w:tc>
          <w:tcPr>
            <w:tcW w:w="14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pacing w:val="-1"/>
                <w:sz w:val="18"/>
              </w:rPr>
              <w:t>42,093,637.06</w:t>
            </w:r>
          </w:p>
        </w:tc>
        <w:tc>
          <w:tcPr>
            <w:tcW w:w="1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89,953,459.93</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84,224,236.20</w:t>
            </w:r>
          </w:p>
        </w:tc>
        <w:tc>
          <w:tcPr>
            <w:tcW w:w="16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2"/>
                <w:sz w:val="18"/>
              </w:rPr>
              <w:t>1,842,269,744.17</w:t>
            </w:r>
          </w:p>
        </w:tc>
      </w:tr>
      <w:tr>
        <w:trPr>
          <w:trHeight w:val="427" w:hRule="exact"/>
        </w:trPr>
        <w:tc>
          <w:tcPr>
            <w:tcW w:w="460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7,600,000.00</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17,700,800.00</w:t>
            </w:r>
          </w:p>
        </w:tc>
        <w:tc>
          <w:tcPr>
            <w:tcW w:w="1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19,380,000.00</w:t>
            </w:r>
          </w:p>
        </w:tc>
        <w:tc>
          <w:tcPr>
            <w:tcW w:w="14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-17,199,351.33</w:t>
            </w:r>
          </w:p>
        </w:tc>
        <w:tc>
          <w:tcPr>
            <w:tcW w:w="1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778,281.44</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7,004,532.97</w:t>
            </w:r>
          </w:p>
        </w:tc>
        <w:tc>
          <w:tcPr>
            <w:tcW w:w="16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-3,495,736.92</w:t>
            </w:r>
          </w:p>
        </w:tc>
      </w:tr>
      <w:tr>
        <w:trPr>
          <w:trHeight w:val="485" w:hRule="exact"/>
        </w:trPr>
        <w:tc>
          <w:tcPr>
            <w:tcW w:w="460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pacing w:val="-3"/>
                <w:sz w:val="18"/>
                <w:szCs w:val="18"/>
              </w:rPr>
              <w:t>（一）综合收益总额</w:t>
            </w:r>
          </w:p>
        </w:tc>
        <w:tc>
          <w:tcPr>
            <w:tcW w:w="1474" w:type="dxa"/>
            <w:tcBorders>
              <w:top w:val="single" w:sz="8" w:space="0" w:color="000000"/>
              <w:left w:val="single" w:sz="8" w:space="0" w:color="000000"/>
              <w:bottom w:val="single" w:sz="8" w:space="0" w:color="000000"/>
              <w:right w:val="single" w:sz="8" w:space="0" w:color="000000"/>
            </w:tcBorders>
          </w:tcPr>
          <w:p>
            <w:pPr/>
          </w:p>
        </w:tc>
        <w:tc>
          <w:tcPr>
            <w:tcW w:w="1474" w:type="dxa"/>
            <w:tcBorders>
              <w:top w:val="single" w:sz="8" w:space="0" w:color="000000"/>
              <w:left w:val="single" w:sz="8" w:space="0" w:color="000000"/>
              <w:bottom w:val="single" w:sz="8" w:space="0" w:color="000000"/>
              <w:right w:val="single" w:sz="8" w:space="0" w:color="000000"/>
            </w:tcBorders>
          </w:tcPr>
          <w:p>
            <w:pPr/>
          </w:p>
        </w:tc>
        <w:tc>
          <w:tcPr>
            <w:tcW w:w="1359" w:type="dxa"/>
            <w:tcBorders>
              <w:top w:val="single" w:sz="8" w:space="0" w:color="000000"/>
              <w:left w:val="single" w:sz="8" w:space="0" w:color="000000"/>
              <w:bottom w:val="single" w:sz="8" w:space="0" w:color="000000"/>
              <w:right w:val="single" w:sz="8" w:space="0" w:color="000000"/>
            </w:tcBorders>
          </w:tcPr>
          <w:p>
            <w:pPr/>
          </w:p>
        </w:tc>
        <w:tc>
          <w:tcPr>
            <w:tcW w:w="14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right="0"/>
              <w:jc w:val="right"/>
              <w:rPr>
                <w:rFonts w:ascii="Times New Roman" w:hAnsi="Times New Roman" w:cs="Times New Roman" w:eastAsia="Times New Roman" w:hint="default"/>
                <w:sz w:val="18"/>
                <w:szCs w:val="18"/>
              </w:rPr>
            </w:pPr>
            <w:r>
              <w:rPr>
                <w:rFonts w:ascii="Times New Roman"/>
                <w:spacing w:val="-1"/>
                <w:sz w:val="18"/>
              </w:rPr>
              <w:t>-17,199,351.33</w:t>
            </w:r>
          </w:p>
        </w:tc>
        <w:tc>
          <w:tcPr>
            <w:tcW w:w="1359"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right="0"/>
              <w:jc w:val="right"/>
              <w:rPr>
                <w:rFonts w:ascii="Times New Roman" w:hAnsi="Times New Roman" w:cs="Times New Roman" w:eastAsia="Times New Roman" w:hint="default"/>
                <w:sz w:val="18"/>
                <w:szCs w:val="18"/>
              </w:rPr>
            </w:pPr>
            <w:r>
              <w:rPr>
                <w:rFonts w:ascii="Times New Roman"/>
                <w:spacing w:val="-1"/>
                <w:sz w:val="18"/>
              </w:rPr>
              <w:t>7,782,814.41</w:t>
            </w:r>
          </w:p>
        </w:tc>
        <w:tc>
          <w:tcPr>
            <w:tcW w:w="16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right="0"/>
              <w:jc w:val="right"/>
              <w:rPr>
                <w:rFonts w:ascii="Times New Roman" w:hAnsi="Times New Roman" w:cs="Times New Roman" w:eastAsia="Times New Roman" w:hint="default"/>
                <w:sz w:val="18"/>
                <w:szCs w:val="18"/>
              </w:rPr>
            </w:pPr>
            <w:r>
              <w:rPr>
                <w:rFonts w:ascii="Times New Roman"/>
                <w:spacing w:val="-1"/>
                <w:sz w:val="18"/>
              </w:rPr>
              <w:t>-9,416,536.92</w:t>
            </w:r>
          </w:p>
        </w:tc>
      </w:tr>
      <w:tr>
        <w:trPr>
          <w:trHeight w:val="437" w:hRule="exact"/>
        </w:trPr>
        <w:tc>
          <w:tcPr>
            <w:tcW w:w="460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（二）所有者投入和减少资本</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7,600,000.00</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17,700,800.00</w:t>
            </w:r>
          </w:p>
        </w:tc>
        <w:tc>
          <w:tcPr>
            <w:tcW w:w="1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19,380,000.00</w:t>
            </w:r>
          </w:p>
        </w:tc>
        <w:tc>
          <w:tcPr>
            <w:tcW w:w="1436" w:type="dxa"/>
            <w:tcBorders>
              <w:top w:val="single" w:sz="8" w:space="0" w:color="000000"/>
              <w:left w:val="single" w:sz="8" w:space="0" w:color="000000"/>
              <w:bottom w:val="single" w:sz="8" w:space="0" w:color="000000"/>
              <w:right w:val="single" w:sz="8" w:space="0" w:color="000000"/>
            </w:tcBorders>
          </w:tcPr>
          <w:p>
            <w:pPr/>
          </w:p>
        </w:tc>
        <w:tc>
          <w:tcPr>
            <w:tcW w:w="1359"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
        </w:tc>
        <w:tc>
          <w:tcPr>
            <w:tcW w:w="16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5,920,800.00</w:t>
            </w:r>
          </w:p>
        </w:tc>
      </w:tr>
      <w:tr>
        <w:trPr>
          <w:trHeight w:val="413" w:hRule="exact"/>
        </w:trPr>
        <w:tc>
          <w:tcPr>
            <w:tcW w:w="460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7,600,000.00</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11,780,000.00</w:t>
            </w:r>
          </w:p>
        </w:tc>
        <w:tc>
          <w:tcPr>
            <w:tcW w:w="1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19,380,000.00</w:t>
            </w:r>
          </w:p>
        </w:tc>
        <w:tc>
          <w:tcPr>
            <w:tcW w:w="1436" w:type="dxa"/>
            <w:tcBorders>
              <w:top w:val="single" w:sz="8" w:space="0" w:color="000000"/>
              <w:left w:val="single" w:sz="8" w:space="0" w:color="000000"/>
              <w:bottom w:val="single" w:sz="8" w:space="0" w:color="000000"/>
              <w:right w:val="single" w:sz="8" w:space="0" w:color="000000"/>
            </w:tcBorders>
          </w:tcPr>
          <w:p>
            <w:pPr/>
          </w:p>
        </w:tc>
        <w:tc>
          <w:tcPr>
            <w:tcW w:w="1359"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
        </w:tc>
        <w:tc>
          <w:tcPr>
            <w:tcW w:w="1647" w:type="dxa"/>
            <w:tcBorders>
              <w:top w:val="single" w:sz="8" w:space="0" w:color="000000"/>
              <w:left w:val="single" w:sz="8" w:space="0" w:color="000000"/>
              <w:bottom w:val="single" w:sz="8" w:space="0" w:color="000000"/>
              <w:right w:val="single" w:sz="8" w:space="0" w:color="000000"/>
            </w:tcBorders>
          </w:tcPr>
          <w:p>
            <w:pPr/>
          </w:p>
        </w:tc>
      </w:tr>
      <w:tr>
        <w:trPr>
          <w:trHeight w:val="408" w:hRule="exact"/>
        </w:trPr>
        <w:tc>
          <w:tcPr>
            <w:tcW w:w="460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474" w:type="dxa"/>
            <w:tcBorders>
              <w:top w:val="single" w:sz="8" w:space="0" w:color="000000"/>
              <w:left w:val="single" w:sz="8" w:space="0" w:color="000000"/>
              <w:bottom w:val="single" w:sz="8" w:space="0" w:color="000000"/>
              <w:right w:val="single" w:sz="8" w:space="0" w:color="000000"/>
            </w:tcBorders>
          </w:tcPr>
          <w:p>
            <w:pPr/>
          </w:p>
        </w:tc>
        <w:tc>
          <w:tcPr>
            <w:tcW w:w="1474" w:type="dxa"/>
            <w:tcBorders>
              <w:top w:val="single" w:sz="8" w:space="0" w:color="000000"/>
              <w:left w:val="single" w:sz="8" w:space="0" w:color="000000"/>
              <w:bottom w:val="single" w:sz="8" w:space="0" w:color="000000"/>
              <w:right w:val="single" w:sz="8" w:space="0" w:color="000000"/>
            </w:tcBorders>
          </w:tcPr>
          <w:p>
            <w:pPr/>
          </w:p>
        </w:tc>
        <w:tc>
          <w:tcPr>
            <w:tcW w:w="1359" w:type="dxa"/>
            <w:tcBorders>
              <w:top w:val="single" w:sz="8" w:space="0" w:color="000000"/>
              <w:left w:val="single" w:sz="8" w:space="0" w:color="000000"/>
              <w:bottom w:val="single" w:sz="8" w:space="0" w:color="000000"/>
              <w:right w:val="single" w:sz="8" w:space="0" w:color="000000"/>
            </w:tcBorders>
          </w:tcPr>
          <w:p>
            <w:pPr/>
          </w:p>
        </w:tc>
        <w:tc>
          <w:tcPr>
            <w:tcW w:w="1436" w:type="dxa"/>
            <w:tcBorders>
              <w:top w:val="single" w:sz="8" w:space="0" w:color="000000"/>
              <w:left w:val="single" w:sz="8" w:space="0" w:color="000000"/>
              <w:bottom w:val="single" w:sz="8" w:space="0" w:color="000000"/>
              <w:right w:val="single" w:sz="8" w:space="0" w:color="000000"/>
            </w:tcBorders>
          </w:tcPr>
          <w:p>
            <w:pPr/>
          </w:p>
        </w:tc>
        <w:tc>
          <w:tcPr>
            <w:tcW w:w="1359"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
        </w:tc>
        <w:tc>
          <w:tcPr>
            <w:tcW w:w="1647"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460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2"/>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．股份支付计入所有者权益的金额</w:t>
            </w:r>
          </w:p>
        </w:tc>
        <w:tc>
          <w:tcPr>
            <w:tcW w:w="1474" w:type="dxa"/>
            <w:tcBorders>
              <w:top w:val="single" w:sz="8" w:space="0" w:color="000000"/>
              <w:left w:val="single" w:sz="8" w:space="0" w:color="000000"/>
              <w:bottom w:val="single" w:sz="8" w:space="0" w:color="000000"/>
              <w:right w:val="single" w:sz="8" w:space="0" w:color="000000"/>
            </w:tcBorders>
          </w:tcPr>
          <w:p>
            <w:pP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5,920,800.00</w:t>
            </w:r>
          </w:p>
        </w:tc>
        <w:tc>
          <w:tcPr>
            <w:tcW w:w="1359" w:type="dxa"/>
            <w:tcBorders>
              <w:top w:val="single" w:sz="8" w:space="0" w:color="000000"/>
              <w:left w:val="single" w:sz="8" w:space="0" w:color="000000"/>
              <w:bottom w:val="single" w:sz="8" w:space="0" w:color="000000"/>
              <w:right w:val="single" w:sz="8" w:space="0" w:color="000000"/>
            </w:tcBorders>
          </w:tcPr>
          <w:p>
            <w:pPr/>
          </w:p>
        </w:tc>
        <w:tc>
          <w:tcPr>
            <w:tcW w:w="1436" w:type="dxa"/>
            <w:tcBorders>
              <w:top w:val="single" w:sz="8" w:space="0" w:color="000000"/>
              <w:left w:val="single" w:sz="8" w:space="0" w:color="000000"/>
              <w:bottom w:val="single" w:sz="8" w:space="0" w:color="000000"/>
              <w:right w:val="single" w:sz="8" w:space="0" w:color="000000"/>
            </w:tcBorders>
          </w:tcPr>
          <w:p>
            <w:pPr/>
          </w:p>
        </w:tc>
        <w:tc>
          <w:tcPr>
            <w:tcW w:w="1359"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
        </w:tc>
        <w:tc>
          <w:tcPr>
            <w:tcW w:w="16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5,920,800.00</w:t>
            </w:r>
          </w:p>
        </w:tc>
      </w:tr>
      <w:tr>
        <w:trPr>
          <w:trHeight w:val="413" w:hRule="exact"/>
        </w:trPr>
        <w:tc>
          <w:tcPr>
            <w:tcW w:w="460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1474" w:type="dxa"/>
            <w:tcBorders>
              <w:top w:val="single" w:sz="8" w:space="0" w:color="000000"/>
              <w:left w:val="single" w:sz="8" w:space="0" w:color="000000"/>
              <w:bottom w:val="single" w:sz="8" w:space="0" w:color="000000"/>
              <w:right w:val="single" w:sz="8" w:space="0" w:color="000000"/>
            </w:tcBorders>
          </w:tcPr>
          <w:p>
            <w:pPr/>
          </w:p>
        </w:tc>
        <w:tc>
          <w:tcPr>
            <w:tcW w:w="1474" w:type="dxa"/>
            <w:tcBorders>
              <w:top w:val="single" w:sz="8" w:space="0" w:color="000000"/>
              <w:left w:val="single" w:sz="8" w:space="0" w:color="000000"/>
              <w:bottom w:val="single" w:sz="8" w:space="0" w:color="000000"/>
              <w:right w:val="single" w:sz="8" w:space="0" w:color="000000"/>
            </w:tcBorders>
          </w:tcPr>
          <w:p>
            <w:pPr/>
          </w:p>
        </w:tc>
        <w:tc>
          <w:tcPr>
            <w:tcW w:w="1359" w:type="dxa"/>
            <w:tcBorders>
              <w:top w:val="single" w:sz="8" w:space="0" w:color="000000"/>
              <w:left w:val="single" w:sz="8" w:space="0" w:color="000000"/>
              <w:bottom w:val="single" w:sz="8" w:space="0" w:color="000000"/>
              <w:right w:val="single" w:sz="8" w:space="0" w:color="000000"/>
            </w:tcBorders>
          </w:tcPr>
          <w:p>
            <w:pPr/>
          </w:p>
        </w:tc>
        <w:tc>
          <w:tcPr>
            <w:tcW w:w="1436" w:type="dxa"/>
            <w:tcBorders>
              <w:top w:val="single" w:sz="8" w:space="0" w:color="000000"/>
              <w:left w:val="single" w:sz="8" w:space="0" w:color="000000"/>
              <w:bottom w:val="single" w:sz="8" w:space="0" w:color="000000"/>
              <w:right w:val="single" w:sz="8" w:space="0" w:color="000000"/>
            </w:tcBorders>
          </w:tcPr>
          <w:p>
            <w:pPr/>
          </w:p>
        </w:tc>
        <w:tc>
          <w:tcPr>
            <w:tcW w:w="1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778,281.44</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-778,281.44</w:t>
            </w:r>
          </w:p>
        </w:tc>
        <w:tc>
          <w:tcPr>
            <w:tcW w:w="1647"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460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74" w:type="dxa"/>
            <w:tcBorders>
              <w:top w:val="single" w:sz="8" w:space="0" w:color="000000"/>
              <w:left w:val="single" w:sz="8" w:space="0" w:color="000000"/>
              <w:bottom w:val="single" w:sz="8" w:space="0" w:color="000000"/>
              <w:right w:val="single" w:sz="8" w:space="0" w:color="000000"/>
            </w:tcBorders>
          </w:tcPr>
          <w:p>
            <w:pPr/>
          </w:p>
        </w:tc>
        <w:tc>
          <w:tcPr>
            <w:tcW w:w="1474" w:type="dxa"/>
            <w:tcBorders>
              <w:top w:val="single" w:sz="8" w:space="0" w:color="000000"/>
              <w:left w:val="single" w:sz="8" w:space="0" w:color="000000"/>
              <w:bottom w:val="single" w:sz="8" w:space="0" w:color="000000"/>
              <w:right w:val="single" w:sz="8" w:space="0" w:color="000000"/>
            </w:tcBorders>
          </w:tcPr>
          <w:p>
            <w:pPr/>
          </w:p>
        </w:tc>
        <w:tc>
          <w:tcPr>
            <w:tcW w:w="1359" w:type="dxa"/>
            <w:tcBorders>
              <w:top w:val="single" w:sz="8" w:space="0" w:color="000000"/>
              <w:left w:val="single" w:sz="8" w:space="0" w:color="000000"/>
              <w:bottom w:val="single" w:sz="8" w:space="0" w:color="000000"/>
              <w:right w:val="single" w:sz="8" w:space="0" w:color="000000"/>
            </w:tcBorders>
          </w:tcPr>
          <w:p>
            <w:pPr/>
          </w:p>
        </w:tc>
        <w:tc>
          <w:tcPr>
            <w:tcW w:w="1436" w:type="dxa"/>
            <w:tcBorders>
              <w:top w:val="single" w:sz="8" w:space="0" w:color="000000"/>
              <w:left w:val="single" w:sz="8" w:space="0" w:color="000000"/>
              <w:bottom w:val="single" w:sz="8" w:space="0" w:color="000000"/>
              <w:right w:val="single" w:sz="8" w:space="0" w:color="000000"/>
            </w:tcBorders>
          </w:tcPr>
          <w:p>
            <w:pPr/>
          </w:p>
        </w:tc>
        <w:tc>
          <w:tcPr>
            <w:tcW w:w="1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778,281.44</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-778,281.44</w:t>
            </w:r>
          </w:p>
        </w:tc>
        <w:tc>
          <w:tcPr>
            <w:tcW w:w="1647" w:type="dxa"/>
            <w:tcBorders>
              <w:top w:val="single" w:sz="8" w:space="0" w:color="000000"/>
              <w:left w:val="single" w:sz="8" w:space="0" w:color="000000"/>
              <w:bottom w:val="single" w:sz="8" w:space="0" w:color="000000"/>
              <w:right w:val="single" w:sz="8" w:space="0" w:color="000000"/>
            </w:tcBorders>
          </w:tcPr>
          <w:p>
            <w:pPr/>
          </w:p>
        </w:tc>
      </w:tr>
      <w:tr>
        <w:trPr>
          <w:trHeight w:val="466" w:hRule="exact"/>
        </w:trPr>
        <w:tc>
          <w:tcPr>
            <w:tcW w:w="460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2"/>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．对所有者（或股东）的分配</w:t>
            </w:r>
          </w:p>
        </w:tc>
        <w:tc>
          <w:tcPr>
            <w:tcW w:w="1474" w:type="dxa"/>
            <w:tcBorders>
              <w:top w:val="single" w:sz="8" w:space="0" w:color="000000"/>
              <w:left w:val="single" w:sz="8" w:space="0" w:color="000000"/>
              <w:bottom w:val="single" w:sz="8" w:space="0" w:color="000000"/>
              <w:right w:val="single" w:sz="8" w:space="0" w:color="000000"/>
            </w:tcBorders>
          </w:tcPr>
          <w:p>
            <w:pPr/>
          </w:p>
        </w:tc>
        <w:tc>
          <w:tcPr>
            <w:tcW w:w="1474" w:type="dxa"/>
            <w:tcBorders>
              <w:top w:val="single" w:sz="8" w:space="0" w:color="000000"/>
              <w:left w:val="single" w:sz="8" w:space="0" w:color="000000"/>
              <w:bottom w:val="single" w:sz="8" w:space="0" w:color="000000"/>
              <w:right w:val="single" w:sz="8" w:space="0" w:color="000000"/>
            </w:tcBorders>
          </w:tcPr>
          <w:p>
            <w:pPr/>
          </w:p>
        </w:tc>
        <w:tc>
          <w:tcPr>
            <w:tcW w:w="1359" w:type="dxa"/>
            <w:tcBorders>
              <w:top w:val="single" w:sz="8" w:space="0" w:color="000000"/>
              <w:left w:val="single" w:sz="8" w:space="0" w:color="000000"/>
              <w:bottom w:val="single" w:sz="8" w:space="0" w:color="000000"/>
              <w:right w:val="single" w:sz="8" w:space="0" w:color="000000"/>
            </w:tcBorders>
          </w:tcPr>
          <w:p>
            <w:pPr/>
          </w:p>
        </w:tc>
        <w:tc>
          <w:tcPr>
            <w:tcW w:w="1436" w:type="dxa"/>
            <w:tcBorders>
              <w:top w:val="single" w:sz="8" w:space="0" w:color="000000"/>
              <w:left w:val="single" w:sz="8" w:space="0" w:color="000000"/>
              <w:bottom w:val="single" w:sz="8" w:space="0" w:color="000000"/>
              <w:right w:val="single" w:sz="8" w:space="0" w:color="000000"/>
            </w:tcBorders>
          </w:tcPr>
          <w:p>
            <w:pPr/>
          </w:p>
        </w:tc>
        <w:tc>
          <w:tcPr>
            <w:tcW w:w="1359"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
        </w:tc>
        <w:tc>
          <w:tcPr>
            <w:tcW w:w="1647"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460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pacing w:val="-3"/>
                <w:sz w:val="18"/>
                <w:szCs w:val="18"/>
              </w:rPr>
              <w:t>（四）所有者权益内部结转</w:t>
            </w:r>
          </w:p>
        </w:tc>
        <w:tc>
          <w:tcPr>
            <w:tcW w:w="1474" w:type="dxa"/>
            <w:tcBorders>
              <w:top w:val="single" w:sz="8" w:space="0" w:color="000000"/>
              <w:left w:val="single" w:sz="8" w:space="0" w:color="000000"/>
              <w:bottom w:val="single" w:sz="8" w:space="0" w:color="000000"/>
              <w:right w:val="single" w:sz="8" w:space="0" w:color="000000"/>
            </w:tcBorders>
          </w:tcPr>
          <w:p>
            <w:pPr/>
          </w:p>
        </w:tc>
        <w:tc>
          <w:tcPr>
            <w:tcW w:w="1474" w:type="dxa"/>
            <w:tcBorders>
              <w:top w:val="single" w:sz="8" w:space="0" w:color="000000"/>
              <w:left w:val="single" w:sz="8" w:space="0" w:color="000000"/>
              <w:bottom w:val="single" w:sz="8" w:space="0" w:color="000000"/>
              <w:right w:val="single" w:sz="8" w:space="0" w:color="000000"/>
            </w:tcBorders>
          </w:tcPr>
          <w:p>
            <w:pPr/>
          </w:p>
        </w:tc>
        <w:tc>
          <w:tcPr>
            <w:tcW w:w="1359" w:type="dxa"/>
            <w:tcBorders>
              <w:top w:val="single" w:sz="8" w:space="0" w:color="000000"/>
              <w:left w:val="single" w:sz="8" w:space="0" w:color="000000"/>
              <w:bottom w:val="single" w:sz="8" w:space="0" w:color="000000"/>
              <w:right w:val="single" w:sz="8" w:space="0" w:color="000000"/>
            </w:tcBorders>
          </w:tcPr>
          <w:p>
            <w:pPr/>
          </w:p>
        </w:tc>
        <w:tc>
          <w:tcPr>
            <w:tcW w:w="1436" w:type="dxa"/>
            <w:tcBorders>
              <w:top w:val="single" w:sz="8" w:space="0" w:color="000000"/>
              <w:left w:val="single" w:sz="8" w:space="0" w:color="000000"/>
              <w:bottom w:val="single" w:sz="8" w:space="0" w:color="000000"/>
              <w:right w:val="single" w:sz="8" w:space="0" w:color="000000"/>
            </w:tcBorders>
          </w:tcPr>
          <w:p>
            <w:pPr/>
          </w:p>
        </w:tc>
        <w:tc>
          <w:tcPr>
            <w:tcW w:w="1359"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
        </w:tc>
        <w:tc>
          <w:tcPr>
            <w:tcW w:w="1647"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460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74" w:type="dxa"/>
            <w:tcBorders>
              <w:top w:val="single" w:sz="8" w:space="0" w:color="000000"/>
              <w:left w:val="single" w:sz="8" w:space="0" w:color="000000"/>
              <w:bottom w:val="single" w:sz="8" w:space="0" w:color="000000"/>
              <w:right w:val="single" w:sz="8" w:space="0" w:color="000000"/>
            </w:tcBorders>
          </w:tcPr>
          <w:p>
            <w:pPr/>
          </w:p>
        </w:tc>
        <w:tc>
          <w:tcPr>
            <w:tcW w:w="1474" w:type="dxa"/>
            <w:tcBorders>
              <w:top w:val="single" w:sz="8" w:space="0" w:color="000000"/>
              <w:left w:val="single" w:sz="8" w:space="0" w:color="000000"/>
              <w:bottom w:val="single" w:sz="8" w:space="0" w:color="000000"/>
              <w:right w:val="single" w:sz="8" w:space="0" w:color="000000"/>
            </w:tcBorders>
          </w:tcPr>
          <w:p>
            <w:pPr/>
          </w:p>
        </w:tc>
        <w:tc>
          <w:tcPr>
            <w:tcW w:w="1359" w:type="dxa"/>
            <w:tcBorders>
              <w:top w:val="single" w:sz="8" w:space="0" w:color="000000"/>
              <w:left w:val="single" w:sz="8" w:space="0" w:color="000000"/>
              <w:bottom w:val="single" w:sz="8" w:space="0" w:color="000000"/>
              <w:right w:val="single" w:sz="8" w:space="0" w:color="000000"/>
            </w:tcBorders>
          </w:tcPr>
          <w:p>
            <w:pPr/>
          </w:p>
        </w:tc>
        <w:tc>
          <w:tcPr>
            <w:tcW w:w="1436" w:type="dxa"/>
            <w:tcBorders>
              <w:top w:val="single" w:sz="8" w:space="0" w:color="000000"/>
              <w:left w:val="single" w:sz="8" w:space="0" w:color="000000"/>
              <w:bottom w:val="single" w:sz="8" w:space="0" w:color="000000"/>
              <w:right w:val="single" w:sz="8" w:space="0" w:color="000000"/>
            </w:tcBorders>
          </w:tcPr>
          <w:p>
            <w:pPr/>
          </w:p>
        </w:tc>
        <w:tc>
          <w:tcPr>
            <w:tcW w:w="1359" w:type="dxa"/>
            <w:tcBorders>
              <w:top w:val="single" w:sz="8" w:space="0" w:color="000000"/>
              <w:left w:val="single" w:sz="8" w:space="0" w:color="000000"/>
              <w:bottom w:val="single" w:sz="8" w:space="0" w:color="000000"/>
              <w:right w:val="single" w:sz="8" w:space="0" w:color="000000"/>
            </w:tcBorders>
          </w:tcPr>
          <w:p>
            <w:pPr/>
          </w:p>
        </w:tc>
        <w:tc>
          <w:tcPr>
            <w:tcW w:w="1358" w:type="dxa"/>
            <w:tcBorders>
              <w:top w:val="single" w:sz="8" w:space="0" w:color="000000"/>
              <w:left w:val="single" w:sz="8" w:space="0" w:color="000000"/>
              <w:bottom w:val="single" w:sz="8" w:space="0" w:color="000000"/>
              <w:right w:val="single" w:sz="8" w:space="0" w:color="000000"/>
            </w:tcBorders>
          </w:tcPr>
          <w:p>
            <w:pPr/>
          </w:p>
        </w:tc>
        <w:tc>
          <w:tcPr>
            <w:tcW w:w="1647"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460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794,980,220.00</w:t>
            </w:r>
          </w:p>
        </w:tc>
        <w:tc>
          <w:tcPr>
            <w:tcW w:w="14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872,278,990.98</w:t>
            </w:r>
          </w:p>
        </w:tc>
        <w:tc>
          <w:tcPr>
            <w:tcW w:w="1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35,340,000.00</w:t>
            </w:r>
          </w:p>
        </w:tc>
        <w:tc>
          <w:tcPr>
            <w:tcW w:w="14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24,894,285.73</w:t>
            </w:r>
          </w:p>
        </w:tc>
        <w:tc>
          <w:tcPr>
            <w:tcW w:w="13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90,731,741.37</w:t>
            </w:r>
          </w:p>
        </w:tc>
        <w:tc>
          <w:tcPr>
            <w:tcW w:w="13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91,228,769.17</w:t>
            </w:r>
          </w:p>
        </w:tc>
        <w:tc>
          <w:tcPr>
            <w:tcW w:w="16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2"/>
                <w:sz w:val="18"/>
              </w:rPr>
              <w:t>1,838,774,007.25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06" w:footer="1018" w:top="1100" w:bottom="1200" w:left="940" w:right="940"/>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2"/>
        <w:spacing w:line="240" w:lineRule="auto" w:before="5"/>
        <w:ind w:left="134" w:right="858"/>
        <w:jc w:val="left"/>
        <w:rPr>
          <w:b w:val="0"/>
          <w:bCs w:val="0"/>
        </w:rPr>
      </w:pPr>
      <w:bookmarkStart w:name="三、公司基本情况" w:id="166"/>
      <w:bookmarkEnd w:id="166"/>
      <w:r>
        <w:rPr>
          <w:b w:val="0"/>
          <w:bCs w:val="0"/>
        </w:rPr>
      </w:r>
      <w:r>
        <w:rPr/>
        <w:t>三、公司基本情况</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618" w:right="858"/>
        <w:jc w:val="left"/>
        <w:rPr>
          <w:b w:val="0"/>
          <w:bCs w:val="0"/>
        </w:rPr>
      </w:pPr>
      <w:r>
        <w:rPr>
          <w:rFonts w:ascii="Times New Roman" w:hAnsi="Times New Roman" w:cs="Times New Roman" w:eastAsia="Times New Roman" w:hint="default"/>
        </w:rPr>
        <w:t>1</w:t>
      </w:r>
      <w:r>
        <w:rPr/>
        <w:t>、公司组织形式、注册地和总部地址</w:t>
      </w:r>
      <w:r>
        <w:rPr>
          <w:b w:val="0"/>
          <w:bCs w:val="0"/>
        </w:rPr>
      </w:r>
    </w:p>
    <w:p>
      <w:pPr>
        <w:pStyle w:val="BodyText"/>
        <w:spacing w:line="300" w:lineRule="auto" w:before="30"/>
        <w:ind w:right="771" w:firstLine="451"/>
        <w:jc w:val="both"/>
      </w:pPr>
      <w:r>
        <w:rPr>
          <w:spacing w:val="-4"/>
        </w:rPr>
        <w:t>二六三网络通信股份有限公司</w:t>
      </w:r>
      <w:r>
        <w:rPr>
          <w:rFonts w:ascii="Times New Roman" w:hAnsi="Times New Roman" w:cs="Times New Roman" w:eastAsia="Times New Roman" w:hint="default"/>
          <w:spacing w:val="-4"/>
        </w:rPr>
        <w:t>(</w:t>
      </w:r>
      <w:r>
        <w:rPr>
          <w:spacing w:val="-4"/>
        </w:rPr>
        <w:t>以下简称</w:t>
      </w:r>
      <w:r>
        <w:rPr>
          <w:rFonts w:ascii="Times New Roman" w:hAnsi="Times New Roman" w:cs="Times New Roman" w:eastAsia="Times New Roman" w:hint="default"/>
          <w:spacing w:val="-4"/>
        </w:rPr>
        <w:t>“</w:t>
      </w:r>
      <w:r>
        <w:rPr>
          <w:spacing w:val="-4"/>
        </w:rPr>
        <w:t>本公司</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公司</w:t>
      </w:r>
      <w:r>
        <w:rPr>
          <w:rFonts w:ascii="Times New Roman" w:hAnsi="Times New Roman" w:cs="Times New Roman" w:eastAsia="Times New Roman" w:hint="default"/>
          <w:spacing w:val="-4"/>
        </w:rPr>
        <w:t>”)</w:t>
      </w:r>
      <w:r>
        <w:rPr>
          <w:spacing w:val="-4"/>
        </w:rPr>
        <w:t>于</w:t>
      </w:r>
      <w:r>
        <w:rPr>
          <w:rFonts w:ascii="Times New Roman" w:hAnsi="Times New Roman" w:cs="Times New Roman" w:eastAsia="Times New Roman" w:hint="default"/>
          <w:spacing w:val="-4"/>
        </w:rPr>
        <w:t>1999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16</w:t>
      </w:r>
      <w:r>
        <w:rPr>
          <w:spacing w:val="-4"/>
        </w:rPr>
        <w:t>日设立，</w:t>
      </w:r>
      <w:r>
        <w:rPr>
          <w:rFonts w:ascii="Times New Roman" w:hAnsi="Times New Roman" w:cs="Times New Roman" w:eastAsia="Times New Roman" w:hint="default"/>
          <w:spacing w:val="-4"/>
        </w:rPr>
        <w:t>2003</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18</w:t>
      </w:r>
      <w:r>
        <w:rPr>
          <w:spacing w:val="-4"/>
        </w:rPr>
        <w:t>日整体变更为股份有限公司，</w:t>
      </w:r>
      <w:r>
        <w:rPr>
          <w:w w:val="101"/>
        </w:rPr>
        <w:t> </w:t>
      </w:r>
      <w:r>
        <w:rPr>
          <w:spacing w:val="-3"/>
        </w:rPr>
        <w:t>变更后股份总额为</w:t>
      </w:r>
      <w:r>
        <w:rPr>
          <w:rFonts w:ascii="Times New Roman" w:hAnsi="Times New Roman" w:cs="Times New Roman" w:eastAsia="Times New Roman" w:hint="default"/>
          <w:spacing w:val="-3"/>
        </w:rPr>
        <w:t>9,000.00</w:t>
      </w:r>
      <w:r>
        <w:rPr>
          <w:spacing w:val="-3"/>
        </w:rPr>
        <w:t>万股，注册资本人民币</w:t>
      </w:r>
      <w:r>
        <w:rPr>
          <w:rFonts w:ascii="Times New Roman" w:hAnsi="Times New Roman" w:cs="Times New Roman" w:eastAsia="Times New Roman" w:hint="default"/>
          <w:spacing w:val="-3"/>
        </w:rPr>
        <w:t>9,000.00</w:t>
      </w:r>
      <w:r>
        <w:rPr>
          <w:spacing w:val="-3"/>
        </w:rPr>
        <w:t>万元。</w:t>
      </w:r>
      <w:r>
        <w:rPr/>
      </w:r>
    </w:p>
    <w:p>
      <w:pPr>
        <w:pStyle w:val="BodyText"/>
        <w:spacing w:line="300" w:lineRule="auto" w:before="13"/>
        <w:ind w:right="858" w:firstLine="451"/>
        <w:jc w:val="both"/>
      </w:pPr>
      <w:r>
        <w:rPr>
          <w:spacing w:val="-3"/>
        </w:rPr>
        <w:t>根据本公司</w:t>
      </w:r>
      <w:r>
        <w:rPr>
          <w:rFonts w:ascii="Times New Roman" w:hAnsi="Times New Roman" w:cs="Times New Roman" w:eastAsia="Times New Roman" w:hint="default"/>
          <w:spacing w:val="-3"/>
        </w:rPr>
        <w:t>2010</w:t>
      </w:r>
      <w:r>
        <w:rPr>
          <w:spacing w:val="-3"/>
        </w:rPr>
        <w:t>年第一次临时股东大会通过的决议及中国证券监督管理委员会</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证监会</w:t>
      </w:r>
      <w:r>
        <w:rPr>
          <w:rFonts w:ascii="Times New Roman" w:hAnsi="Times New Roman" w:cs="Times New Roman" w:eastAsia="Times New Roman" w:hint="default"/>
          <w:spacing w:val="-3"/>
        </w:rPr>
        <w:t>”)</w:t>
      </w:r>
      <w:r>
        <w:rPr>
          <w:spacing w:val="-3"/>
        </w:rPr>
        <w:t>证监许可</w:t>
      </w:r>
      <w:r>
        <w:rPr>
          <w:rFonts w:ascii="Times New Roman" w:hAnsi="Times New Roman" w:cs="Times New Roman" w:eastAsia="Times New Roman" w:hint="default"/>
          <w:spacing w:val="-3"/>
        </w:rPr>
        <w:t>[2010]871</w:t>
      </w:r>
      <w:r>
        <w:rPr>
          <w:spacing w:val="-3"/>
        </w:rPr>
        <w:t>号</w:t>
      </w:r>
      <w:r>
        <w:rPr>
          <w:spacing w:val="63"/>
        </w:rPr>
        <w:t> </w:t>
      </w:r>
      <w:r>
        <w:rPr/>
        <w:t>《关</w:t>
      </w:r>
      <w:r>
        <w:rPr>
          <w:w w:val="101"/>
        </w:rPr>
        <w:t> </w:t>
      </w:r>
      <w:r>
        <w:rPr>
          <w:spacing w:val="-3"/>
        </w:rPr>
        <w:t>于核准二六三网络通信股份有限公司首次公开发行股票的批复》，</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25</w:t>
      </w:r>
      <w:r>
        <w:rPr>
          <w:spacing w:val="-3"/>
        </w:rPr>
        <w:t>日本公司首次公开发行人民币普通股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)3,000.00</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spacing w:val="-1"/>
        </w:rPr>
        <w:t>万股，</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8</w:t>
      </w:r>
      <w:r>
        <w:rPr>
          <w:spacing w:val="-1"/>
        </w:rPr>
        <w:t>日起本公司股票在深圳证券交易所上市交易。本公司于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29</w:t>
      </w:r>
      <w:r>
        <w:rPr>
          <w:spacing w:val="-1"/>
        </w:rPr>
        <w:t>日完成了工商变更登记并换领了注册号为</w:t>
      </w:r>
      <w:r>
        <w:rPr>
          <w:spacing w:val="53"/>
        </w:rPr>
        <w:t> </w:t>
      </w:r>
      <w:r>
        <w:rPr>
          <w:spacing w:val="53"/>
        </w:rPr>
      </w:r>
      <w:r>
        <w:rPr>
          <w:rFonts w:ascii="Times New Roman" w:hAnsi="Times New Roman" w:cs="Times New Roman" w:eastAsia="Times New Roman" w:hint="default"/>
        </w:rPr>
        <w:t>110000000991739</w:t>
      </w:r>
      <w:r>
        <w:rPr/>
        <w:t>的企业法人营业执照，公司注册资本及股本由人民币</w:t>
      </w:r>
      <w:r>
        <w:rPr>
          <w:rFonts w:ascii="Times New Roman" w:hAnsi="Times New Roman" w:cs="Times New Roman" w:eastAsia="Times New Roman" w:hint="default"/>
        </w:rPr>
        <w:t>9,000.00</w:t>
      </w:r>
      <w:r>
        <w:rPr/>
        <w:t>万元变更为人民币</w:t>
      </w:r>
      <w:r>
        <w:rPr>
          <w:rFonts w:ascii="Times New Roman" w:hAnsi="Times New Roman" w:cs="Times New Roman" w:eastAsia="Times New Roman" w:hint="default"/>
        </w:rPr>
        <w:t>12,000.00</w:t>
      </w:r>
      <w:r>
        <w:rPr/>
        <w:t>万元。</w:t>
      </w:r>
    </w:p>
    <w:p>
      <w:pPr>
        <w:pStyle w:val="BodyText"/>
        <w:spacing w:line="300" w:lineRule="auto" w:before="13"/>
        <w:ind w:right="862" w:firstLine="451"/>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18</w:t>
      </w:r>
      <w:r>
        <w:rPr>
          <w:spacing w:val="-1"/>
        </w:rPr>
        <w:t>日，根据股东大会决议，本公司以</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12,000.00</w:t>
      </w:r>
      <w:r>
        <w:rPr>
          <w:spacing w:val="-1"/>
        </w:rPr>
        <w:t>万股为基数，以资本公积向全体股东每</w:t>
      </w:r>
      <w:r>
        <w:rPr>
          <w:rFonts w:ascii="Times New Roman" w:hAnsi="Times New Roman" w:cs="Times New Roman" w:eastAsia="Times New Roman" w:hint="default"/>
          <w:spacing w:val="-1"/>
        </w:rPr>
        <w:t>10</w:t>
      </w:r>
      <w:r>
        <w:rPr>
          <w:spacing w:val="-1"/>
        </w:rPr>
        <w:t>股</w:t>
      </w:r>
      <w:r>
        <w:rPr>
          <w:w w:val="101"/>
        </w:rPr>
        <w:t> </w:t>
      </w:r>
      <w:r>
        <w:rPr>
          <w:spacing w:val="-2"/>
        </w:rPr>
        <w:t>转增</w:t>
      </w:r>
      <w:r>
        <w:rPr>
          <w:rFonts w:ascii="Times New Roman" w:hAnsi="Times New Roman" w:cs="Times New Roman" w:eastAsia="Times New Roman" w:hint="default"/>
          <w:spacing w:val="-2"/>
        </w:rPr>
        <w:t>10</w:t>
      </w:r>
      <w:r>
        <w:rPr>
          <w:spacing w:val="-2"/>
        </w:rPr>
        <w:t>股股份。上述转增经利安达会计师事务所有限责任公司于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日以利安达验字</w:t>
      </w:r>
      <w:r>
        <w:rPr>
          <w:rFonts w:ascii="Times New Roman" w:hAnsi="Times New Roman" w:cs="Times New Roman" w:eastAsia="Times New Roman" w:hint="default"/>
          <w:spacing w:val="-2"/>
        </w:rPr>
        <w:t>[2012]</w:t>
      </w:r>
      <w:r>
        <w:rPr>
          <w:spacing w:val="-2"/>
        </w:rPr>
        <w:t>第</w:t>
      </w:r>
      <w:r>
        <w:rPr>
          <w:rFonts w:ascii="Times New Roman" w:hAnsi="Times New Roman" w:cs="Times New Roman" w:eastAsia="Times New Roman" w:hint="default"/>
          <w:spacing w:val="-2"/>
        </w:rPr>
        <w:t>1034</w:t>
      </w:r>
      <w:r>
        <w:rPr>
          <w:spacing w:val="-2"/>
        </w:rPr>
        <w:t>号验资报告验证。本公</w:t>
      </w:r>
      <w:r>
        <w:rPr>
          <w:spacing w:val="89"/>
        </w:rPr>
        <w:t> </w:t>
      </w:r>
      <w:r>
        <w:rPr>
          <w:spacing w:val="89"/>
        </w:rPr>
      </w:r>
      <w:r>
        <w:rPr>
          <w:spacing w:val="-1"/>
        </w:rPr>
        <w:t>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25</w:t>
      </w:r>
      <w:r>
        <w:rPr>
          <w:spacing w:val="-1"/>
        </w:rPr>
        <w:t>日完成了工商变更登记并换领了注册号为</w:t>
      </w:r>
      <w:r>
        <w:rPr>
          <w:rFonts w:ascii="Times New Roman" w:hAnsi="Times New Roman" w:cs="Times New Roman" w:eastAsia="Times New Roman" w:hint="default"/>
          <w:spacing w:val="-1"/>
        </w:rPr>
        <w:t>110000000991739</w:t>
      </w:r>
      <w:r>
        <w:rPr>
          <w:spacing w:val="-1"/>
        </w:rPr>
        <w:t>的企业法人营业执照，公司注册资本及股本由人民币</w:t>
      </w:r>
      <w:r>
        <w:rPr>
          <w:spacing w:val="57"/>
        </w:rPr>
        <w:t> </w:t>
      </w:r>
      <w:r>
        <w:rPr>
          <w:spacing w:val="57"/>
        </w:rPr>
      </w:r>
      <w:r>
        <w:rPr>
          <w:rFonts w:ascii="Times New Roman" w:hAnsi="Times New Roman" w:cs="Times New Roman" w:eastAsia="Times New Roman" w:hint="default"/>
        </w:rPr>
        <w:t>12,000.00</w:t>
      </w:r>
      <w:r>
        <w:rPr/>
        <w:t>万元变更为人民币</w:t>
      </w:r>
      <w:r>
        <w:rPr>
          <w:rFonts w:ascii="Times New Roman" w:hAnsi="Times New Roman" w:cs="Times New Roman" w:eastAsia="Times New Roman" w:hint="default"/>
        </w:rPr>
        <w:t>24,000.00</w:t>
      </w:r>
      <w:r>
        <w:rPr/>
        <w:t>万元。</w:t>
      </w:r>
    </w:p>
    <w:p>
      <w:pPr>
        <w:pStyle w:val="BodyText"/>
        <w:spacing w:line="300" w:lineRule="auto" w:before="13"/>
        <w:ind w:right="862" w:firstLine="451"/>
        <w:jc w:val="both"/>
      </w:pP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20</w:t>
      </w:r>
      <w:r>
        <w:rPr>
          <w:spacing w:val="-3"/>
        </w:rPr>
        <w:t>日，经证监会上市一部函</w:t>
      </w:r>
      <w:r>
        <w:rPr>
          <w:rFonts w:ascii="Times New Roman" w:hAnsi="Times New Roman" w:cs="Times New Roman" w:eastAsia="Times New Roman" w:hint="default"/>
          <w:spacing w:val="-3"/>
        </w:rPr>
        <w:t>[2013]999</w:t>
      </w:r>
      <w:r>
        <w:rPr>
          <w:spacing w:val="-3"/>
        </w:rPr>
        <w:t>号文批复，并经本公司第四届董事会第十六次会议及</w:t>
      </w:r>
      <w:r>
        <w:rPr>
          <w:rFonts w:ascii="Times New Roman" w:hAnsi="Times New Roman" w:cs="Times New Roman" w:eastAsia="Times New Roman" w:hint="default"/>
          <w:spacing w:val="-3"/>
        </w:rPr>
        <w:t>2014</w:t>
      </w:r>
      <w:r>
        <w:rPr>
          <w:spacing w:val="-3"/>
        </w:rPr>
        <w:t>年第一次临时股东</w:t>
      </w:r>
      <w:r>
        <w:rPr>
          <w:w w:val="101"/>
        </w:rPr>
        <w:t> </w:t>
      </w:r>
      <w:r>
        <w:rPr>
          <w:spacing w:val="-1"/>
        </w:rPr>
        <w:t>大会决议批准，公司向</w:t>
      </w:r>
      <w:r>
        <w:rPr>
          <w:rFonts w:ascii="Times New Roman" w:hAnsi="Times New Roman" w:cs="Times New Roman" w:eastAsia="Times New Roman" w:hint="default"/>
          <w:spacing w:val="-1"/>
        </w:rPr>
        <w:t>91</w:t>
      </w:r>
      <w:r>
        <w:rPr>
          <w:spacing w:val="-1"/>
        </w:rPr>
        <w:t>名激励对象授予限制性股票</w:t>
      </w:r>
      <w:r>
        <w:rPr>
          <w:rFonts w:ascii="Times New Roman" w:hAnsi="Times New Roman" w:cs="Times New Roman" w:eastAsia="Times New Roman" w:hint="default"/>
          <w:spacing w:val="-1"/>
        </w:rPr>
        <w:t>127</w:t>
      </w:r>
      <w:r>
        <w:rPr>
          <w:spacing w:val="-1"/>
        </w:rPr>
        <w:t>万股，每股面值人民币</w:t>
      </w:r>
      <w:r>
        <w:rPr>
          <w:rFonts w:ascii="Times New Roman" w:hAnsi="Times New Roman" w:cs="Times New Roman" w:eastAsia="Times New Roman" w:hint="default"/>
          <w:spacing w:val="-1"/>
        </w:rPr>
        <w:t>1</w:t>
      </w:r>
      <w:r>
        <w:rPr>
          <w:spacing w:val="-1"/>
        </w:rPr>
        <w:t>元，每股价格人民币</w:t>
      </w:r>
      <w:r>
        <w:rPr>
          <w:rFonts w:ascii="Times New Roman" w:hAnsi="Times New Roman" w:cs="Times New Roman" w:eastAsia="Times New Roman" w:hint="default"/>
          <w:spacing w:val="-1"/>
        </w:rPr>
        <w:t>10.89</w:t>
      </w:r>
      <w:r>
        <w:rPr>
          <w:spacing w:val="-1"/>
        </w:rPr>
        <w:t>元；截至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22</w:t>
      </w:r>
      <w:r>
        <w:rPr>
          <w:rFonts w:ascii="Times New Roman" w:hAnsi="Times New Roman" w:cs="Times New Roman" w:eastAsia="Times New Roman" w:hint="default"/>
          <w:spacing w:val="4"/>
        </w:rPr>
        <w:t> </w:t>
      </w:r>
      <w:r>
        <w:rPr>
          <w:spacing w:val="-3"/>
        </w:rPr>
        <w:t>日止，实际认购人为</w:t>
      </w:r>
      <w:r>
        <w:rPr>
          <w:rFonts w:ascii="Times New Roman" w:hAnsi="Times New Roman" w:cs="Times New Roman" w:eastAsia="Times New Roman" w:hint="default"/>
          <w:spacing w:val="-3"/>
        </w:rPr>
        <w:t>90</w:t>
      </w:r>
      <w:r>
        <w:rPr>
          <w:spacing w:val="-3"/>
        </w:rPr>
        <w:t>人，实际授予数量为</w:t>
      </w:r>
      <w:r>
        <w:rPr>
          <w:rFonts w:ascii="Times New Roman" w:hAnsi="Times New Roman" w:cs="Times New Roman" w:eastAsia="Times New Roman" w:hint="default"/>
          <w:spacing w:val="-3"/>
        </w:rPr>
        <w:t>126.70</w:t>
      </w:r>
      <w:r>
        <w:rPr>
          <w:spacing w:val="-3"/>
        </w:rPr>
        <w:t>万股。根据修改后章程，本公司增加注册资本人民币</w:t>
      </w:r>
      <w:r>
        <w:rPr>
          <w:rFonts w:ascii="Times New Roman" w:hAnsi="Times New Roman" w:cs="Times New Roman" w:eastAsia="Times New Roman" w:hint="default"/>
          <w:spacing w:val="-3"/>
        </w:rPr>
        <w:t>126.70</w:t>
      </w:r>
      <w:r>
        <w:rPr>
          <w:spacing w:val="-3"/>
        </w:rPr>
        <w:t>万元，由</w:t>
      </w:r>
      <w:r>
        <w:rPr>
          <w:rFonts w:ascii="Times New Roman" w:hAnsi="Times New Roman" w:cs="Times New Roman" w:eastAsia="Times New Roman" w:hint="default"/>
          <w:spacing w:val="-3"/>
        </w:rPr>
        <w:t>90</w:t>
      </w:r>
      <w:r>
        <w:rPr>
          <w:spacing w:val="-3"/>
        </w:rPr>
        <w:t>名授予的</w:t>
      </w:r>
      <w:r>
        <w:rPr>
          <w:spacing w:val="2"/>
        </w:rPr>
        <w:t> </w:t>
      </w:r>
      <w:r>
        <w:rPr>
          <w:spacing w:val="2"/>
        </w:rPr>
      </w:r>
      <w:r>
        <w:rPr>
          <w:spacing w:val="-2"/>
        </w:rPr>
        <w:t>激励对象认购，变更后的注册资本及股本为人民币</w:t>
      </w:r>
      <w:r>
        <w:rPr>
          <w:rFonts w:ascii="Times New Roman" w:hAnsi="Times New Roman" w:cs="Times New Roman" w:eastAsia="Times New Roman" w:hint="default"/>
          <w:spacing w:val="-2"/>
        </w:rPr>
        <w:t>24,126.70</w:t>
      </w:r>
      <w:r>
        <w:rPr>
          <w:spacing w:val="-2"/>
        </w:rPr>
        <w:t>万元。上述增加出资经大华会计师事务所</w:t>
      </w:r>
      <w:r>
        <w:rPr>
          <w:rFonts w:ascii="Times New Roman" w:hAnsi="Times New Roman" w:cs="Times New Roman" w:eastAsia="Times New Roman" w:hint="default"/>
          <w:spacing w:val="-2"/>
        </w:rPr>
        <w:t>(</w:t>
      </w:r>
      <w:r>
        <w:rPr>
          <w:spacing w:val="-2"/>
        </w:rPr>
        <w:t>特殊普通合伙</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spacing w:val="87"/>
        </w:rPr>
        <w:t> </w:t>
      </w:r>
      <w:r>
        <w:rPr>
          <w:rFonts w:ascii="Times New Roman" w:hAnsi="Times New Roman" w:cs="Times New Roman" w:eastAsia="Times New Roman" w:hint="default"/>
        </w:rPr>
        <w:t>22</w:t>
      </w:r>
      <w:r>
        <w:rPr/>
        <w:t>日以大华验字</w:t>
      </w:r>
      <w:r>
        <w:rPr>
          <w:rFonts w:ascii="Times New Roman" w:hAnsi="Times New Roman" w:cs="Times New Roman" w:eastAsia="Times New Roman" w:hint="default"/>
        </w:rPr>
        <w:t>[2014]000053</w:t>
      </w:r>
      <w:r>
        <w:rPr/>
        <w:t>号验资报告验证。本公司于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日完成了工商变更登记。</w:t>
      </w:r>
    </w:p>
    <w:p>
      <w:pPr>
        <w:pStyle w:val="BodyText"/>
        <w:spacing w:line="300" w:lineRule="auto" w:before="13"/>
        <w:ind w:right="858" w:firstLine="364"/>
        <w:jc w:val="left"/>
      </w:pP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5</w:t>
      </w:r>
      <w:r>
        <w:rPr>
          <w:spacing w:val="-5"/>
        </w:rPr>
        <w:t>月，根据《</w:t>
      </w:r>
      <w:r>
        <w:rPr>
          <w:rFonts w:ascii="Times New Roman" w:hAnsi="Times New Roman" w:cs="Times New Roman" w:eastAsia="Times New Roman" w:hint="default"/>
          <w:spacing w:val="-5"/>
        </w:rPr>
        <w:t>2013</w:t>
      </w:r>
      <w:r>
        <w:rPr>
          <w:spacing w:val="-5"/>
        </w:rPr>
        <w:t>年限制性股票激励计划</w:t>
      </w:r>
      <w:r>
        <w:rPr>
          <w:rFonts w:ascii="Times New Roman" w:hAnsi="Times New Roman" w:cs="Times New Roman" w:eastAsia="Times New Roman" w:hint="default"/>
          <w:spacing w:val="-5"/>
        </w:rPr>
        <w:t>(</w:t>
      </w:r>
      <w:r>
        <w:rPr>
          <w:spacing w:val="-5"/>
        </w:rPr>
        <w:t>草案修订稿</w:t>
      </w:r>
      <w:r>
        <w:rPr>
          <w:rFonts w:ascii="Times New Roman" w:hAnsi="Times New Roman" w:cs="Times New Roman" w:eastAsia="Times New Roman" w:hint="default"/>
          <w:spacing w:val="-5"/>
        </w:rPr>
        <w:t>)</w:t>
      </w:r>
      <w:r>
        <w:rPr>
          <w:spacing w:val="-5"/>
        </w:rPr>
        <w:t>》及</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10</w:t>
      </w:r>
      <w:r>
        <w:rPr>
          <w:spacing w:val="-5"/>
        </w:rPr>
        <w:t>日</w:t>
      </w:r>
      <w:r>
        <w:rPr>
          <w:rFonts w:ascii="Times New Roman" w:hAnsi="Times New Roman" w:cs="Times New Roman" w:eastAsia="Times New Roman" w:hint="default"/>
          <w:spacing w:val="-5"/>
        </w:rPr>
        <w:t>2014</w:t>
      </w:r>
      <w:r>
        <w:rPr>
          <w:spacing w:val="-5"/>
        </w:rPr>
        <w:t>年第二次临时股东大会决议和修改后章程，</w:t>
      </w:r>
      <w:r>
        <w:rPr>
          <w:w w:val="101"/>
        </w:rPr>
        <w:t> </w:t>
      </w:r>
      <w:r>
        <w:rPr>
          <w:spacing w:val="-4"/>
        </w:rPr>
        <w:t>本公司申请减少注册资本人民币</w:t>
      </w:r>
      <w:r>
        <w:rPr>
          <w:rFonts w:ascii="Times New Roman" w:hAnsi="Times New Roman" w:cs="Times New Roman" w:eastAsia="Times New Roman" w:hint="default"/>
          <w:spacing w:val="-4"/>
        </w:rPr>
        <w:t>4.00</w:t>
      </w:r>
      <w:r>
        <w:rPr>
          <w:spacing w:val="-4"/>
        </w:rPr>
        <w:t>万元，变更后本公司的注册资本及股本为人民币</w:t>
      </w:r>
      <w:r>
        <w:rPr>
          <w:rFonts w:ascii="Times New Roman" w:hAnsi="Times New Roman" w:cs="Times New Roman" w:eastAsia="Times New Roman" w:hint="default"/>
          <w:spacing w:val="-4"/>
        </w:rPr>
        <w:t>24,122.70</w:t>
      </w:r>
      <w:r>
        <w:rPr>
          <w:spacing w:val="-4"/>
        </w:rPr>
        <w:t>万元。上述减少出资经大华会计师事</w:t>
      </w:r>
      <w:r>
        <w:rPr>
          <w:spacing w:val="19"/>
        </w:rPr>
        <w:t> </w:t>
      </w:r>
      <w:r>
        <w:rPr>
          <w:spacing w:val="19"/>
        </w:rPr>
      </w:r>
      <w:r>
        <w:rPr/>
        <w:t>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日以大华验字</w:t>
      </w:r>
      <w:r>
        <w:rPr>
          <w:rFonts w:ascii="Times New Roman" w:hAnsi="Times New Roman" w:cs="Times New Roman" w:eastAsia="Times New Roman" w:hint="default"/>
        </w:rPr>
        <w:t>[2014]000128</w:t>
      </w:r>
      <w:r>
        <w:rPr/>
        <w:t>号验资报告验证。本公司于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日完成工商变更登记。</w:t>
      </w:r>
    </w:p>
    <w:p>
      <w:pPr>
        <w:pStyle w:val="BodyText"/>
        <w:spacing w:line="300" w:lineRule="auto" w:before="13"/>
        <w:ind w:right="862" w:firstLine="364"/>
        <w:jc w:val="both"/>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20</w:t>
      </w:r>
      <w:r>
        <w:rPr>
          <w:spacing w:val="-3"/>
        </w:rPr>
        <w:t>日，本公司股东大会决议批准本公司以截止到</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w:t>
      </w:r>
      <w:r>
        <w:rPr>
          <w:spacing w:val="-3"/>
        </w:rPr>
        <w:t>日的总股本</w:t>
      </w:r>
      <w:r>
        <w:rPr>
          <w:rFonts w:ascii="Times New Roman" w:hAnsi="Times New Roman" w:cs="Times New Roman" w:eastAsia="Times New Roman" w:hint="default"/>
          <w:spacing w:val="-3"/>
        </w:rPr>
        <w:t>24,122.70</w:t>
      </w:r>
      <w:r>
        <w:rPr>
          <w:spacing w:val="-3"/>
        </w:rPr>
        <w:t>万股为基数，以资本公积金向全体</w:t>
      </w:r>
      <w:r>
        <w:rPr>
          <w:w w:val="101"/>
        </w:rPr>
        <w:t> </w:t>
      </w:r>
      <w:r>
        <w:rPr/>
        <w:t>股东每</w:t>
      </w:r>
      <w:r>
        <w:rPr>
          <w:rFonts w:ascii="Times New Roman" w:hAnsi="Times New Roman" w:cs="Times New Roman" w:eastAsia="Times New Roman" w:hint="default"/>
        </w:rPr>
        <w:t>10</w:t>
      </w:r>
      <w:r>
        <w:rPr>
          <w:rFonts w:ascii="Times New Roman" w:hAnsi="Times New Roman" w:cs="Times New Roman" w:eastAsia="Times New Roman" w:hint="default"/>
          <w:spacing w:val="27"/>
        </w:rPr>
        <w:t> </w:t>
      </w:r>
      <w:r>
        <w:rPr/>
        <w:t>股转增</w:t>
      </w:r>
      <w:r>
        <w:rPr>
          <w:rFonts w:ascii="Times New Roman" w:hAnsi="Times New Roman" w:cs="Times New Roman" w:eastAsia="Times New Roman" w:hint="default"/>
        </w:rPr>
        <w:t>10.001650</w:t>
      </w:r>
      <w:r>
        <w:rPr>
          <w:rFonts w:ascii="Times New Roman" w:hAnsi="Times New Roman" w:cs="Times New Roman" w:eastAsia="Times New Roman" w:hint="default"/>
          <w:spacing w:val="27"/>
        </w:rPr>
        <w:t> </w:t>
      </w:r>
      <w:r>
        <w:rPr/>
        <w:t>股股份。上述转增经大华会计师事务所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日以大华验字</w:t>
      </w:r>
      <w:r>
        <w:rPr>
          <w:rFonts w:ascii="Times New Roman" w:hAnsi="Times New Roman" w:cs="Times New Roman" w:eastAsia="Times New Roman" w:hint="default"/>
        </w:rPr>
        <w:t>[2014]000258</w:t>
      </w:r>
      <w:r>
        <w:rPr/>
        <w:t>号验</w:t>
      </w:r>
      <w:r>
        <w:rPr>
          <w:spacing w:val="-85"/>
        </w:rPr>
        <w:t> </w:t>
      </w:r>
      <w:r>
        <w:rPr>
          <w:spacing w:val="-3"/>
        </w:rPr>
        <w:t>资报告验证。本公司于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3</w:t>
      </w:r>
      <w:r>
        <w:rPr>
          <w:spacing w:val="-3"/>
        </w:rPr>
        <w:t>日完成了工商变更登记，注册资本及股本变更为人民币</w:t>
      </w:r>
      <w:r>
        <w:rPr>
          <w:rFonts w:ascii="Times New Roman" w:hAnsi="Times New Roman" w:cs="Times New Roman" w:eastAsia="Times New Roman" w:hint="default"/>
          <w:spacing w:val="-3"/>
        </w:rPr>
        <w:t>48,249.3802</w:t>
      </w:r>
      <w:r>
        <w:rPr>
          <w:spacing w:val="-3"/>
        </w:rPr>
        <w:t>万元。</w:t>
      </w:r>
    </w:p>
    <w:p>
      <w:pPr>
        <w:pStyle w:val="BodyText"/>
        <w:spacing w:line="300" w:lineRule="auto" w:before="13"/>
        <w:ind w:right="858" w:firstLine="364"/>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16</w:t>
      </w:r>
      <w:r>
        <w:rPr>
          <w:spacing w:val="-2"/>
        </w:rPr>
        <w:t>日，根据本公司《</w:t>
      </w:r>
      <w:r>
        <w:rPr>
          <w:rFonts w:ascii="Times New Roman" w:hAnsi="Times New Roman" w:cs="Times New Roman" w:eastAsia="Times New Roman" w:hint="default"/>
          <w:spacing w:val="-2"/>
        </w:rPr>
        <w:t>2013</w:t>
      </w:r>
      <w:r>
        <w:rPr>
          <w:spacing w:val="-2"/>
        </w:rPr>
        <w:t>年限制性股票激励计划</w:t>
      </w:r>
      <w:r>
        <w:rPr>
          <w:rFonts w:ascii="Times New Roman" w:hAnsi="Times New Roman" w:cs="Times New Roman" w:eastAsia="Times New Roman" w:hint="default"/>
          <w:spacing w:val="-2"/>
        </w:rPr>
        <w:t>(</w:t>
      </w:r>
      <w:r>
        <w:rPr>
          <w:spacing w:val="-2"/>
        </w:rPr>
        <w:t>草案修订稿</w:t>
      </w:r>
      <w:r>
        <w:rPr>
          <w:rFonts w:ascii="Times New Roman" w:hAnsi="Times New Roman" w:cs="Times New Roman" w:eastAsia="Times New Roman" w:hint="default"/>
          <w:spacing w:val="-2"/>
        </w:rPr>
        <w:t>)</w:t>
      </w:r>
      <w:r>
        <w:rPr>
          <w:spacing w:val="-2"/>
        </w:rPr>
        <w:t>》及</w:t>
      </w:r>
      <w:r>
        <w:rPr>
          <w:rFonts w:ascii="Times New Roman" w:hAnsi="Times New Roman" w:cs="Times New Roman" w:eastAsia="Times New Roman" w:hint="default"/>
          <w:spacing w:val="-2"/>
        </w:rPr>
        <w:t>2015</w:t>
      </w:r>
      <w:r>
        <w:rPr>
          <w:spacing w:val="-2"/>
        </w:rPr>
        <w:t>年第一次临时股东大会决议和修改后章程，</w:t>
      </w:r>
      <w:r>
        <w:rPr>
          <w:w w:val="101"/>
        </w:rPr>
        <w:t> </w:t>
      </w:r>
      <w:r>
        <w:rPr>
          <w:spacing w:val="-2"/>
        </w:rPr>
        <w:t>本公司申请减少注册资本人民币</w:t>
      </w:r>
      <w:r>
        <w:rPr>
          <w:rFonts w:ascii="Times New Roman" w:hAnsi="Times New Roman" w:cs="Times New Roman" w:eastAsia="Times New Roman" w:hint="default"/>
          <w:spacing w:val="-2"/>
        </w:rPr>
        <w:t>25.502</w:t>
      </w:r>
      <w:r>
        <w:rPr>
          <w:spacing w:val="-2"/>
        </w:rPr>
        <w:t>万元，注册资本及股本变更为人民币</w:t>
      </w:r>
      <w:r>
        <w:rPr>
          <w:rFonts w:ascii="Times New Roman" w:hAnsi="Times New Roman" w:cs="Times New Roman" w:eastAsia="Times New Roman" w:hint="default"/>
          <w:spacing w:val="-2"/>
        </w:rPr>
        <w:t>48,223.8782</w:t>
      </w:r>
      <w:r>
        <w:rPr>
          <w:spacing w:val="-2"/>
        </w:rPr>
        <w:t>万元。</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17</w:t>
      </w:r>
      <w:r>
        <w:rPr>
          <w:spacing w:val="-2"/>
        </w:rPr>
        <w:t>日，本公司完成了工商</w:t>
      </w:r>
      <w:r>
        <w:rPr>
          <w:spacing w:val="83"/>
        </w:rPr>
        <w:t> </w:t>
      </w:r>
      <w:r>
        <w:rPr>
          <w:spacing w:val="83"/>
        </w:rPr>
      </w:r>
      <w:r>
        <w:rPr/>
        <w:t>变更手续。</w:t>
      </w:r>
    </w:p>
    <w:p>
      <w:pPr>
        <w:pStyle w:val="BodyText"/>
        <w:spacing w:line="300" w:lineRule="auto" w:before="31"/>
        <w:ind w:right="862" w:firstLine="364"/>
        <w:jc w:val="both"/>
      </w:pPr>
      <w:r>
        <w:rPr>
          <w:spacing w:val="-1"/>
        </w:rPr>
        <w:t>根据</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27</w:t>
      </w:r>
      <w:r>
        <w:rPr>
          <w:spacing w:val="-1"/>
        </w:rPr>
        <w:t>日召开的第四届董事会第三十次会议及</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21</w:t>
      </w:r>
      <w:r>
        <w:rPr>
          <w:spacing w:val="-1"/>
        </w:rPr>
        <w:t>日召开的</w:t>
      </w:r>
      <w:r>
        <w:rPr>
          <w:rFonts w:ascii="Times New Roman" w:hAnsi="Times New Roman" w:cs="Times New Roman" w:eastAsia="Times New Roman" w:hint="default"/>
          <w:spacing w:val="-1"/>
        </w:rPr>
        <w:t>2014</w:t>
      </w:r>
      <w:r>
        <w:rPr>
          <w:spacing w:val="-1"/>
        </w:rPr>
        <w:t>年年度股东大会审议通过的《</w:t>
      </w:r>
      <w:r>
        <w:rPr>
          <w:rFonts w:ascii="Times New Roman" w:hAnsi="Times New Roman" w:cs="Times New Roman" w:eastAsia="Times New Roman" w:hint="default"/>
          <w:spacing w:val="-1"/>
        </w:rPr>
        <w:t>2014</w:t>
      </w:r>
      <w:r>
        <w:rPr>
          <w:spacing w:val="-1"/>
        </w:rPr>
        <w:t>年度利</w:t>
      </w:r>
      <w:r>
        <w:rPr>
          <w:w w:val="101"/>
        </w:rPr>
        <w:t> </w:t>
      </w:r>
      <w:r>
        <w:rPr>
          <w:spacing w:val="-3"/>
        </w:rPr>
        <w:t>润分配及资本公积金转增股本方案》，公司以截至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12</w:t>
      </w:r>
      <w:r>
        <w:rPr>
          <w:spacing w:val="-3"/>
        </w:rPr>
        <w:t>日的总股本</w:t>
      </w:r>
      <w:r>
        <w:rPr>
          <w:rFonts w:ascii="Times New Roman" w:hAnsi="Times New Roman" w:cs="Times New Roman" w:eastAsia="Times New Roman" w:hint="default"/>
          <w:spacing w:val="-3"/>
        </w:rPr>
        <w:t>48,223.8782</w:t>
      </w:r>
      <w:r>
        <w:rPr>
          <w:spacing w:val="-3"/>
        </w:rPr>
        <w:t>万股为基数，以资本公积金向全体股东每</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8"/>
        </w:rPr>
        <w:t> </w:t>
      </w:r>
      <w:r>
        <w:rPr>
          <w:spacing w:val="-3"/>
        </w:rPr>
        <w:t>股转增</w:t>
      </w:r>
      <w:r>
        <w:rPr>
          <w:rFonts w:ascii="Times New Roman" w:hAnsi="Times New Roman" w:cs="Times New Roman" w:eastAsia="Times New Roman" w:hint="default"/>
          <w:spacing w:val="-3"/>
        </w:rPr>
        <w:t>5</w:t>
      </w:r>
      <w:r>
        <w:rPr>
          <w:spacing w:val="-3"/>
        </w:rPr>
        <w:t>股，转增后公司注册资本及股本为</w:t>
      </w:r>
      <w:r>
        <w:rPr>
          <w:rFonts w:ascii="Times New Roman" w:hAnsi="Times New Roman" w:cs="Times New Roman" w:eastAsia="Times New Roman" w:hint="default"/>
          <w:spacing w:val="-3"/>
        </w:rPr>
        <w:t>72,335.8173</w:t>
      </w:r>
      <w:r>
        <w:rPr>
          <w:spacing w:val="-3"/>
        </w:rPr>
        <w:t>万股。</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27</w:t>
      </w:r>
      <w:r>
        <w:rPr>
          <w:spacing w:val="-3"/>
        </w:rPr>
        <w:t>日，本公司完成了工商变更手续。</w:t>
      </w:r>
    </w:p>
    <w:p>
      <w:pPr>
        <w:pStyle w:val="BodyText"/>
        <w:spacing w:line="300" w:lineRule="auto" w:before="13"/>
        <w:ind w:right="858" w:firstLine="364"/>
        <w:jc w:val="both"/>
      </w:pPr>
      <w:r>
        <w:rPr>
          <w:spacing w:val="-1"/>
        </w:rPr>
        <w:t>根据本公司</w:t>
      </w:r>
      <w:r>
        <w:rPr>
          <w:rFonts w:ascii="Times New Roman" w:hAnsi="Times New Roman" w:cs="Times New Roman" w:eastAsia="Times New Roman" w:hint="default"/>
          <w:spacing w:val="-1"/>
        </w:rPr>
        <w:t>2015</w:t>
      </w:r>
      <w:r>
        <w:rPr>
          <w:spacing w:val="-1"/>
        </w:rPr>
        <w:t>年第四次临时股东大会决议和修改后章程，本公司申请增加注册资本人民币</w:t>
      </w:r>
      <w:r>
        <w:rPr>
          <w:rFonts w:ascii="Times New Roman" w:hAnsi="Times New Roman" w:cs="Times New Roman" w:eastAsia="Times New Roman" w:hint="default"/>
          <w:spacing w:val="-1"/>
        </w:rPr>
        <w:t>1,332.70</w:t>
      </w:r>
      <w:r>
        <w:rPr>
          <w:spacing w:val="-1"/>
        </w:rPr>
        <w:t>万元，由忻卫敏等</w:t>
      </w:r>
      <w:r>
        <w:rPr>
          <w:rFonts w:ascii="Times New Roman" w:hAnsi="Times New Roman" w:cs="Times New Roman" w:eastAsia="Times New Roman" w:hint="default"/>
          <w:spacing w:val="-1"/>
        </w:rPr>
        <w:t>202</w:t>
      </w:r>
      <w:r>
        <w:rPr>
          <w:spacing w:val="-1"/>
        </w:rPr>
        <w:t>名</w:t>
      </w:r>
      <w:r>
        <w:rPr>
          <w:w w:val="101"/>
        </w:rPr>
        <w:t> </w:t>
      </w:r>
      <w:r>
        <w:rPr>
          <w:spacing w:val="-3"/>
        </w:rPr>
        <w:t>授予的激励对象以货币资金认购限制性股票</w:t>
      </w:r>
      <w:r>
        <w:rPr>
          <w:rFonts w:ascii="Times New Roman" w:hAnsi="Times New Roman" w:cs="Times New Roman" w:eastAsia="Times New Roman" w:hint="default"/>
          <w:spacing w:val="-3"/>
        </w:rPr>
        <w:t>1,332.70</w:t>
      </w:r>
      <w:r>
        <w:rPr>
          <w:spacing w:val="-3"/>
        </w:rPr>
        <w:t>万股。根据公司</w:t>
      </w:r>
      <w:r>
        <w:rPr>
          <w:rFonts w:ascii="Times New Roman" w:hAnsi="Times New Roman" w:cs="Times New Roman" w:eastAsia="Times New Roman" w:hint="default"/>
          <w:spacing w:val="-3"/>
        </w:rPr>
        <w:t>2015</w:t>
      </w:r>
      <w:r>
        <w:rPr>
          <w:spacing w:val="-3"/>
        </w:rPr>
        <w:t>年第五届董事会第三次会议《关于调整</w:t>
      </w:r>
      <w:r>
        <w:rPr>
          <w:rFonts w:ascii="Times New Roman" w:hAnsi="Times New Roman" w:cs="Times New Roman" w:eastAsia="Times New Roman" w:hint="default"/>
          <w:spacing w:val="-3"/>
        </w:rPr>
        <w:t>2015</w:t>
      </w:r>
      <w:r>
        <w:rPr>
          <w:spacing w:val="-3"/>
        </w:rPr>
        <w:t>年限制性股票</w:t>
      </w:r>
      <w:r>
        <w:rPr>
          <w:spacing w:val="1"/>
        </w:rPr>
        <w:t> </w:t>
      </w:r>
      <w:r>
        <w:rPr>
          <w:spacing w:val="1"/>
        </w:rPr>
      </w:r>
      <w:r>
        <w:rPr>
          <w:spacing w:val="-4"/>
        </w:rPr>
        <w:t>激励计划授予对象、授予数量的议案》的决议，上述限制性股票激励对象变更为</w:t>
      </w:r>
      <w:r>
        <w:rPr>
          <w:rFonts w:ascii="Times New Roman" w:hAnsi="Times New Roman" w:cs="Times New Roman" w:eastAsia="Times New Roman" w:hint="default"/>
          <w:spacing w:val="-4"/>
        </w:rPr>
        <w:t>203</w:t>
      </w:r>
      <w:r>
        <w:rPr>
          <w:spacing w:val="-4"/>
        </w:rPr>
        <w:t>人，计划授予的限制性股票数量变更为</w:t>
      </w:r>
      <w:r>
        <w:rPr>
          <w:rFonts w:ascii="Times New Roman" w:hAnsi="Times New Roman" w:cs="Times New Roman" w:eastAsia="Times New Roman" w:hint="default"/>
          <w:spacing w:val="-4"/>
        </w:rPr>
        <w:t>1,342.70</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spacing w:val="-3"/>
        </w:rPr>
        <w:t>万股，其中公司前财务负责人董桂英女士在本次限制性股票授予之日前</w:t>
      </w:r>
      <w:r>
        <w:rPr>
          <w:rFonts w:ascii="Times New Roman" w:hAnsi="Times New Roman" w:cs="Times New Roman" w:eastAsia="Times New Roman" w:hint="default"/>
          <w:spacing w:val="-3"/>
        </w:rPr>
        <w:t>6</w:t>
      </w:r>
      <w:r>
        <w:rPr>
          <w:spacing w:val="-3"/>
        </w:rPr>
        <w:t>个月内发生减持公司股票的行为，因此董桂英的限制性股</w:t>
      </w:r>
      <w:r>
        <w:rPr>
          <w:spacing w:val="67"/>
        </w:rPr>
        <w:t> </w:t>
      </w:r>
      <w:r>
        <w:rPr>
          <w:spacing w:val="67"/>
        </w:rPr>
      </w:r>
      <w:r>
        <w:rPr>
          <w:spacing w:val="-3"/>
        </w:rPr>
        <w:t>票将自其最后一次减持公司股票之日起</w:t>
      </w:r>
      <w:r>
        <w:rPr>
          <w:rFonts w:ascii="Times New Roman" w:hAnsi="Times New Roman" w:cs="Times New Roman" w:eastAsia="Times New Roman" w:hint="default"/>
          <w:spacing w:val="-3"/>
        </w:rPr>
        <w:t>6</w:t>
      </w:r>
      <w:r>
        <w:rPr>
          <w:spacing w:val="-3"/>
        </w:rPr>
        <w:t>个月后授予。截至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18</w:t>
      </w:r>
      <w:r>
        <w:rPr>
          <w:spacing w:val="-3"/>
        </w:rPr>
        <w:t>日止，公司已收到由忻卫敏等</w:t>
      </w:r>
      <w:r>
        <w:rPr>
          <w:rFonts w:ascii="Times New Roman" w:hAnsi="Times New Roman" w:cs="Times New Roman" w:eastAsia="Times New Roman" w:hint="default"/>
          <w:spacing w:val="-3"/>
        </w:rPr>
        <w:t>202</w:t>
      </w:r>
      <w:r>
        <w:rPr>
          <w:spacing w:val="-3"/>
        </w:rPr>
        <w:t>名授予股权的激励对象缴</w:t>
      </w:r>
      <w:r>
        <w:rPr>
          <w:spacing w:val="81"/>
        </w:rPr>
        <w:t> </w:t>
      </w:r>
      <w:r>
        <w:rPr>
          <w:spacing w:val="81"/>
        </w:rPr>
      </w:r>
      <w:r>
        <w:rPr>
          <w:spacing w:val="-1"/>
        </w:rPr>
        <w:t>纳的出资款人民币</w:t>
      </w:r>
      <w:r>
        <w:rPr>
          <w:rFonts w:ascii="Times New Roman" w:hAnsi="Times New Roman" w:cs="Times New Roman" w:eastAsia="Times New Roman" w:hint="default"/>
          <w:spacing w:val="-1"/>
        </w:rPr>
        <w:t>9,488.8240</w:t>
      </w:r>
      <w:r>
        <w:rPr>
          <w:spacing w:val="-1"/>
        </w:rPr>
        <w:t>万元，其中新增注册资本人民币</w:t>
      </w:r>
      <w:r>
        <w:rPr>
          <w:rFonts w:ascii="Times New Roman" w:hAnsi="Times New Roman" w:cs="Times New Roman" w:eastAsia="Times New Roman" w:hint="default"/>
          <w:spacing w:val="-1"/>
        </w:rPr>
        <w:t>1,332.70</w:t>
      </w:r>
      <w:r>
        <w:rPr>
          <w:spacing w:val="-1"/>
        </w:rPr>
        <w:t>万元，变更后的注册资本及股本为人民币</w:t>
      </w:r>
      <w:r>
        <w:rPr>
          <w:rFonts w:ascii="Times New Roman" w:hAnsi="Times New Roman" w:cs="Times New Roman" w:eastAsia="Times New Roman" w:hint="default"/>
          <w:spacing w:val="-1"/>
        </w:rPr>
        <w:t>73,668.5173</w:t>
      </w:r>
      <w:r>
        <w:rPr>
          <w:spacing w:val="-1"/>
        </w:rPr>
        <w:t>万元。</w:t>
      </w:r>
      <w:r>
        <w:rPr>
          <w:spacing w:val="60"/>
        </w:rPr>
        <w:t> </w:t>
      </w:r>
      <w:r>
        <w:rPr>
          <w:spacing w:val="60"/>
        </w:rPr>
      </w:r>
      <w:r>
        <w:rPr>
          <w:spacing w:val="-3"/>
        </w:rPr>
        <w:t>上述增资经大华会计师事务所</w:t>
      </w:r>
      <w:r>
        <w:rPr>
          <w:rFonts w:ascii="Times New Roman" w:hAnsi="Times New Roman" w:cs="Times New Roman" w:eastAsia="Times New Roman" w:hint="default"/>
          <w:spacing w:val="-3"/>
        </w:rPr>
        <w:t>(</w:t>
      </w:r>
      <w:r>
        <w:rPr>
          <w:spacing w:val="-3"/>
        </w:rPr>
        <w:t>特殊普通合伙</w:t>
      </w:r>
      <w:r>
        <w:rPr>
          <w:rFonts w:ascii="Times New Roman" w:hAnsi="Times New Roman" w:cs="Times New Roman" w:eastAsia="Times New Roman" w:hint="default"/>
          <w:spacing w:val="-3"/>
        </w:rPr>
        <w:t>)</w:t>
      </w:r>
      <w:r>
        <w:rPr>
          <w:spacing w:val="-3"/>
        </w:rPr>
        <w:t>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18</w:t>
      </w:r>
      <w:r>
        <w:rPr>
          <w:spacing w:val="-3"/>
        </w:rPr>
        <w:t>日以大华验字</w:t>
      </w:r>
      <w:r>
        <w:rPr>
          <w:rFonts w:ascii="Times New Roman" w:hAnsi="Times New Roman" w:cs="Times New Roman" w:eastAsia="Times New Roman" w:hint="default"/>
          <w:spacing w:val="-3"/>
        </w:rPr>
        <w:t>[2015]000961</w:t>
      </w:r>
      <w:r>
        <w:rPr>
          <w:spacing w:val="-3"/>
        </w:rPr>
        <w:t>号验资报告验证。</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19</w:t>
      </w:r>
      <w:r>
        <w:rPr>
          <w:spacing w:val="-3"/>
        </w:rPr>
        <w:t>日，公司完</w:t>
      </w:r>
      <w:r>
        <w:rPr>
          <w:spacing w:val="54"/>
        </w:rPr>
        <w:t> </w:t>
      </w:r>
      <w:r>
        <w:rPr>
          <w:spacing w:val="54"/>
        </w:rPr>
      </w:r>
      <w:r>
        <w:rPr>
          <w:spacing w:val="-3"/>
        </w:rPr>
        <w:t>成了工商变更手续。</w:t>
      </w:r>
    </w:p>
    <w:p>
      <w:pPr>
        <w:pStyle w:val="BodyText"/>
        <w:spacing w:line="300" w:lineRule="auto" w:before="31"/>
        <w:ind w:right="859" w:firstLine="360"/>
        <w:jc w:val="both"/>
      </w:pPr>
      <w:r>
        <w:rPr>
          <w:spacing w:val="-3"/>
        </w:rPr>
        <w:t>根据公司</w:t>
      </w:r>
      <w:r>
        <w:rPr>
          <w:rFonts w:ascii="Times New Roman" w:hAnsi="Times New Roman" w:cs="Times New Roman" w:eastAsia="Times New Roman" w:hint="default"/>
          <w:spacing w:val="-3"/>
        </w:rPr>
        <w:t>2014</w:t>
      </w:r>
      <w:r>
        <w:rPr>
          <w:spacing w:val="-3"/>
        </w:rPr>
        <w:t>年年度股东大会决议，并经证监会证监许可</w:t>
      </w:r>
      <w:r>
        <w:rPr>
          <w:rFonts w:ascii="Times New Roman" w:hAnsi="Times New Roman" w:cs="Times New Roman" w:eastAsia="Times New Roman" w:hint="default"/>
          <w:spacing w:val="-3"/>
        </w:rPr>
        <w:t>[2015]2587</w:t>
      </w:r>
      <w:r>
        <w:rPr>
          <w:spacing w:val="-3"/>
        </w:rPr>
        <w:t>号《关于核准二六三网络通信股份有限公司非公开发行股</w:t>
      </w:r>
      <w:r>
        <w:rPr>
          <w:w w:val="101"/>
        </w:rPr>
        <w:t> </w:t>
      </w:r>
      <w:r>
        <w:rPr>
          <w:spacing w:val="-3"/>
        </w:rPr>
        <w:t>票的批复》核准，公司于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9</w:t>
      </w:r>
      <w:r>
        <w:rPr>
          <w:spacing w:val="-3"/>
        </w:rPr>
        <w:t>日非公开发行人民币普通股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 6,163.5220</w:t>
      </w:r>
      <w:r>
        <w:rPr>
          <w:spacing w:val="-3"/>
        </w:rPr>
        <w:t>万股，每股面值人民币</w:t>
      </w:r>
      <w:r>
        <w:rPr>
          <w:rFonts w:ascii="Times New Roman" w:hAnsi="Times New Roman" w:cs="Times New Roman" w:eastAsia="Times New Roman" w:hint="default"/>
          <w:spacing w:val="-3"/>
        </w:rPr>
        <w:t>1.00</w:t>
      </w:r>
      <w:r>
        <w:rPr>
          <w:spacing w:val="-3"/>
        </w:rPr>
        <w:t>元，每股发行认购价</w:t>
      </w:r>
      <w:r>
        <w:rPr>
          <w:spacing w:val="-45"/>
        </w:rPr>
        <w:t> </w:t>
      </w:r>
      <w:r>
        <w:rPr>
          <w:spacing w:val="-45"/>
        </w:rPr>
      </w:r>
      <w:r>
        <w:rPr>
          <w:spacing w:val="-2"/>
        </w:rPr>
        <w:t>格为人民币</w:t>
      </w:r>
      <w:r>
        <w:rPr>
          <w:rFonts w:ascii="Times New Roman" w:hAnsi="Times New Roman" w:cs="Times New Roman" w:eastAsia="Times New Roman" w:hint="default"/>
          <w:spacing w:val="-2"/>
        </w:rPr>
        <w:t>12.72</w:t>
      </w:r>
      <w:r>
        <w:rPr>
          <w:spacing w:val="-2"/>
        </w:rPr>
        <w:t>元。本次股票发行后，公司的股份总数变更为</w:t>
      </w:r>
      <w:r>
        <w:rPr>
          <w:rFonts w:ascii="Times New Roman" w:hAnsi="Times New Roman" w:cs="Times New Roman" w:eastAsia="Times New Roman" w:hint="default"/>
          <w:spacing w:val="-2"/>
        </w:rPr>
        <w:t>79,832.0393</w:t>
      </w:r>
      <w:r>
        <w:rPr>
          <w:spacing w:val="-2"/>
        </w:rPr>
        <w:t>万股，注册资本及股本总额为人民币</w:t>
      </w:r>
      <w:r>
        <w:rPr>
          <w:rFonts w:ascii="Times New Roman" w:hAnsi="Times New Roman" w:cs="Times New Roman" w:eastAsia="Times New Roman" w:hint="default"/>
          <w:spacing w:val="-2"/>
        </w:rPr>
        <w:t>79,832.0393</w:t>
      </w:r>
      <w:r>
        <w:rPr>
          <w:spacing w:val="-2"/>
        </w:rPr>
        <w:t>万元。</w:t>
      </w:r>
      <w:r>
        <w:rPr>
          <w:spacing w:val="83"/>
        </w:rPr>
        <w:t> </w:t>
      </w:r>
      <w:r>
        <w:rPr>
          <w:spacing w:val="-3"/>
        </w:rPr>
        <w:t>上述增资经大华会计师事务所</w:t>
      </w:r>
      <w:r>
        <w:rPr>
          <w:rFonts w:ascii="Times New Roman" w:hAnsi="Times New Roman" w:cs="Times New Roman" w:eastAsia="Times New Roman" w:hint="default"/>
          <w:spacing w:val="-3"/>
        </w:rPr>
        <w:t>(</w:t>
      </w:r>
      <w:r>
        <w:rPr>
          <w:spacing w:val="-3"/>
        </w:rPr>
        <w:t>特殊普通合伙</w:t>
      </w:r>
      <w:r>
        <w:rPr>
          <w:rFonts w:ascii="Times New Roman" w:hAnsi="Times New Roman" w:cs="Times New Roman" w:eastAsia="Times New Roman" w:hint="default"/>
          <w:spacing w:val="-3"/>
        </w:rPr>
        <w:t>)</w:t>
      </w:r>
      <w:r>
        <w:rPr>
          <w:spacing w:val="-3"/>
        </w:rPr>
        <w:t>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11</w:t>
      </w:r>
      <w:r>
        <w:rPr>
          <w:spacing w:val="-3"/>
        </w:rPr>
        <w:t>日以大华验字</w:t>
      </w:r>
      <w:r>
        <w:rPr>
          <w:rFonts w:ascii="Times New Roman" w:hAnsi="Times New Roman" w:cs="Times New Roman" w:eastAsia="Times New Roman" w:hint="default"/>
          <w:spacing w:val="-3"/>
        </w:rPr>
        <w:t>[2015]001255</w:t>
      </w:r>
      <w:r>
        <w:rPr>
          <w:spacing w:val="-3"/>
        </w:rPr>
        <w:t>号验资报告验证。</w:t>
      </w:r>
    </w:p>
    <w:p>
      <w:pPr>
        <w:pStyle w:val="BodyText"/>
        <w:spacing w:line="300" w:lineRule="auto" w:before="13"/>
        <w:ind w:right="858" w:firstLine="364"/>
        <w:jc w:val="both"/>
      </w:pPr>
      <w:r>
        <w:rPr>
          <w:spacing w:val="-1"/>
        </w:rPr>
        <w:t>根据</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日公司第五届董事会第八次会议决议，董桂英女士已符合限制性股票授予条件，公司将第五届董事会第三</w:t>
      </w:r>
      <w:r>
        <w:rPr>
          <w:w w:val="101"/>
        </w:rPr>
        <w:t> </w:t>
      </w:r>
      <w:r>
        <w:rPr>
          <w:spacing w:val="-2"/>
        </w:rPr>
        <w:t>次会议审议通过的</w:t>
      </w:r>
      <w:r>
        <w:rPr>
          <w:rFonts w:ascii="Times New Roman" w:hAnsi="Times New Roman" w:cs="Times New Roman" w:eastAsia="Times New Roman" w:hint="default"/>
          <w:spacing w:val="-2"/>
        </w:rPr>
        <w:t>10</w:t>
      </w:r>
      <w:r>
        <w:rPr>
          <w:spacing w:val="-2"/>
        </w:rPr>
        <w:t>万股限制性股票授予董桂英女士，每股面值人民币</w:t>
      </w:r>
      <w:r>
        <w:rPr>
          <w:rFonts w:ascii="Times New Roman" w:hAnsi="Times New Roman" w:cs="Times New Roman" w:eastAsia="Times New Roman" w:hint="default"/>
          <w:spacing w:val="-2"/>
        </w:rPr>
        <w:t>1</w:t>
      </w:r>
      <w:r>
        <w:rPr>
          <w:spacing w:val="-2"/>
        </w:rPr>
        <w:t>元，每股发行认购价格人民币</w:t>
      </w:r>
      <w:r>
        <w:rPr>
          <w:rFonts w:ascii="Times New Roman" w:hAnsi="Times New Roman" w:cs="Times New Roman" w:eastAsia="Times New Roman" w:hint="default"/>
          <w:spacing w:val="-2"/>
        </w:rPr>
        <w:t>7.12</w:t>
      </w:r>
      <w:r>
        <w:rPr>
          <w:spacing w:val="-2"/>
        </w:rPr>
        <w:t>元。本次股票发行后，</w:t>
      </w:r>
      <w:r>
        <w:rPr>
          <w:spacing w:val="66"/>
        </w:rPr>
        <w:t> </w:t>
      </w:r>
      <w:r>
        <w:rPr>
          <w:spacing w:val="66"/>
        </w:rPr>
      </w:r>
      <w:r>
        <w:rPr>
          <w:spacing w:val="-2"/>
        </w:rPr>
        <w:t>公司的股份总数变更为</w:t>
      </w:r>
      <w:r>
        <w:rPr>
          <w:rFonts w:ascii="Times New Roman" w:hAnsi="Times New Roman" w:cs="Times New Roman" w:eastAsia="Times New Roman" w:hint="default"/>
          <w:spacing w:val="-2"/>
        </w:rPr>
        <w:t>79,842.0393</w:t>
      </w:r>
      <w:r>
        <w:rPr>
          <w:spacing w:val="-2"/>
        </w:rPr>
        <w:t>万股，注册资本及股本总额为人民币</w:t>
      </w:r>
      <w:r>
        <w:rPr>
          <w:rFonts w:ascii="Times New Roman" w:hAnsi="Times New Roman" w:cs="Times New Roman" w:eastAsia="Times New Roman" w:hint="default"/>
          <w:spacing w:val="-2"/>
        </w:rPr>
        <w:t>79,842.0393</w:t>
      </w:r>
      <w:r>
        <w:rPr>
          <w:spacing w:val="-2"/>
        </w:rPr>
        <w:t>万元。上述增资经大华会计师事务所</w:t>
      </w:r>
      <w:r>
        <w:rPr>
          <w:rFonts w:ascii="Times New Roman" w:hAnsi="Times New Roman" w:cs="Times New Roman" w:eastAsia="Times New Roman" w:hint="default"/>
          <w:spacing w:val="-2"/>
        </w:rPr>
        <w:t>(</w:t>
      </w:r>
      <w:r>
        <w:rPr>
          <w:spacing w:val="-2"/>
        </w:rPr>
        <w:t>特殊普通</w:t>
      </w:r>
      <w:r>
        <w:rPr>
          <w:spacing w:val="62"/>
        </w:rPr>
        <w:t> </w:t>
      </w:r>
      <w:r>
        <w:rPr>
          <w:spacing w:val="62"/>
        </w:rPr>
      </w:r>
      <w:r>
        <w:rPr/>
        <w:t>合伙</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日以大华验字</w:t>
      </w:r>
      <w:r>
        <w:rPr>
          <w:rFonts w:ascii="Times New Roman" w:hAnsi="Times New Roman" w:cs="Times New Roman" w:eastAsia="Times New Roman" w:hint="default"/>
        </w:rPr>
        <w:t>[2015]001365</w:t>
      </w:r>
      <w:r>
        <w:rPr/>
        <w:t>号验资报告验证。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日，公司完成了注册资本的工商变更手续。</w:t>
      </w:r>
    </w:p>
    <w:p>
      <w:pPr>
        <w:spacing w:after="0" w:line="300" w:lineRule="auto"/>
        <w:jc w:val="both"/>
        <w:sectPr>
          <w:headerReference w:type="default" r:id="rId30"/>
          <w:footerReference w:type="default" r:id="rId31"/>
          <w:pgSz w:w="11910" w:h="16840"/>
          <w:pgMar w:header="906" w:footer="1022" w:top="1100" w:bottom="1220" w:left="740" w:right="0"/>
          <w:pgNumType w:start="89"/>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BodyText"/>
        <w:spacing w:line="300" w:lineRule="auto" w:before="60"/>
        <w:ind w:right="862" w:firstLine="364"/>
        <w:jc w:val="both"/>
      </w:pP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w:t>
      </w:r>
      <w:r>
        <w:rPr>
          <w:spacing w:val="-4"/>
        </w:rPr>
        <w:t>月，根据公司《</w:t>
      </w:r>
      <w:r>
        <w:rPr>
          <w:rFonts w:ascii="Times New Roman" w:hAnsi="Times New Roman" w:cs="Times New Roman" w:eastAsia="Times New Roman" w:hint="default"/>
          <w:spacing w:val="-4"/>
        </w:rPr>
        <w:t>2013</w:t>
      </w:r>
      <w:r>
        <w:rPr>
          <w:spacing w:val="-4"/>
        </w:rPr>
        <w:t>年限制性股票激励计划</w:t>
      </w:r>
      <w:r>
        <w:rPr>
          <w:rFonts w:ascii="Times New Roman" w:hAnsi="Times New Roman" w:cs="Times New Roman" w:eastAsia="Times New Roman" w:hint="default"/>
          <w:spacing w:val="-4"/>
        </w:rPr>
        <w:t>(</w:t>
      </w:r>
      <w:r>
        <w:rPr>
          <w:spacing w:val="-4"/>
        </w:rPr>
        <w:t>草案修订稿</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2015</w:t>
      </w:r>
      <w:r>
        <w:rPr>
          <w:spacing w:val="-4"/>
        </w:rPr>
        <w:t>年限制性股票激励计划</w:t>
      </w:r>
      <w:r>
        <w:rPr>
          <w:rFonts w:ascii="Times New Roman" w:hAnsi="Times New Roman" w:cs="Times New Roman" w:eastAsia="Times New Roman" w:hint="default"/>
          <w:spacing w:val="-4"/>
        </w:rPr>
        <w:t>(</w:t>
      </w:r>
      <w:r>
        <w:rPr>
          <w:spacing w:val="-4"/>
        </w:rPr>
        <w:t>草案</w:t>
      </w:r>
      <w:r>
        <w:rPr>
          <w:rFonts w:ascii="Times New Roman" w:hAnsi="Times New Roman" w:cs="Times New Roman" w:eastAsia="Times New Roman" w:hint="default"/>
          <w:spacing w:val="-4"/>
        </w:rPr>
        <w:t>)</w:t>
      </w:r>
      <w:r>
        <w:rPr>
          <w:spacing w:val="-4"/>
        </w:rPr>
        <w:t>》、公司</w:t>
      </w:r>
      <w:r>
        <w:rPr>
          <w:rFonts w:ascii="Times New Roman" w:hAnsi="Times New Roman" w:cs="Times New Roman" w:eastAsia="Times New Roman" w:hint="default"/>
          <w:spacing w:val="-4"/>
        </w:rPr>
        <w:t>2015</w:t>
      </w:r>
      <w:r>
        <w:rPr>
          <w:spacing w:val="-4"/>
        </w:rPr>
        <w:t>年第五</w:t>
      </w:r>
      <w:r>
        <w:rPr>
          <w:w w:val="101"/>
        </w:rPr>
        <w:t> </w:t>
      </w:r>
      <w:r>
        <w:rPr>
          <w:spacing w:val="-4"/>
        </w:rPr>
        <w:t>届董事会第九次会议决定减少麦卫冲等八名自然人投入的注册资本人民币</w:t>
      </w:r>
      <w:r>
        <w:rPr>
          <w:rFonts w:ascii="Times New Roman" w:hAnsi="Times New Roman" w:cs="Times New Roman" w:eastAsia="Times New Roman" w:hint="default"/>
          <w:spacing w:val="-4"/>
        </w:rPr>
        <w:t>28.1025</w:t>
      </w:r>
      <w:r>
        <w:rPr>
          <w:spacing w:val="-4"/>
        </w:rPr>
        <w:t>万元。</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3</w:t>
      </w:r>
      <w:r>
        <w:rPr>
          <w:spacing w:val="-4"/>
        </w:rPr>
        <w:t>月，根据公司《</w:t>
      </w:r>
      <w:r>
        <w:rPr>
          <w:rFonts w:ascii="Times New Roman" w:hAnsi="Times New Roman" w:cs="Times New Roman" w:eastAsia="Times New Roman" w:hint="default"/>
          <w:spacing w:val="-4"/>
        </w:rPr>
        <w:t>2013</w:t>
      </w:r>
      <w:r>
        <w:rPr>
          <w:spacing w:val="-4"/>
        </w:rPr>
        <w:t>年限制性股票</w:t>
      </w:r>
      <w:r>
        <w:rPr>
          <w:spacing w:val="21"/>
        </w:rPr>
        <w:t> </w:t>
      </w:r>
      <w:r>
        <w:rPr>
          <w:spacing w:val="21"/>
        </w:rPr>
      </w:r>
      <w:r>
        <w:rPr>
          <w:spacing w:val="-2"/>
        </w:rPr>
        <w:t>激励计划</w:t>
      </w:r>
      <w:r>
        <w:rPr>
          <w:rFonts w:ascii="Times New Roman" w:hAnsi="Times New Roman" w:cs="Times New Roman" w:eastAsia="Times New Roman" w:hint="default"/>
          <w:spacing w:val="-2"/>
        </w:rPr>
        <w:t>(</w:t>
      </w:r>
      <w:r>
        <w:rPr>
          <w:spacing w:val="-2"/>
        </w:rPr>
        <w:t>草案修订稿</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2015</w:t>
      </w:r>
      <w:r>
        <w:rPr>
          <w:spacing w:val="-2"/>
        </w:rPr>
        <w:t>年限制性股票激励计划</w:t>
      </w:r>
      <w:r>
        <w:rPr>
          <w:rFonts w:ascii="Times New Roman" w:hAnsi="Times New Roman" w:cs="Times New Roman" w:eastAsia="Times New Roman" w:hint="default"/>
          <w:spacing w:val="-2"/>
        </w:rPr>
        <w:t>(</w:t>
      </w:r>
      <w:r>
        <w:rPr>
          <w:spacing w:val="-2"/>
        </w:rPr>
        <w:t>草案</w:t>
      </w:r>
      <w:r>
        <w:rPr>
          <w:rFonts w:ascii="Times New Roman" w:hAnsi="Times New Roman" w:cs="Times New Roman" w:eastAsia="Times New Roman" w:hint="default"/>
          <w:spacing w:val="-2"/>
        </w:rPr>
        <w:t>)</w:t>
      </w:r>
      <w:r>
        <w:rPr>
          <w:spacing w:val="-2"/>
        </w:rPr>
        <w:t>》，公司第五届董事会第十二次会议决定减少赵旭等七十名自然人</w:t>
      </w:r>
      <w:r>
        <w:rPr>
          <w:spacing w:val="44"/>
        </w:rPr>
        <w:t> </w:t>
      </w:r>
      <w:r>
        <w:rPr>
          <w:spacing w:val="44"/>
        </w:rPr>
      </w:r>
      <w:r>
        <w:rPr>
          <w:spacing w:val="-3"/>
        </w:rPr>
        <w:t>投入的注册资本人民币</w:t>
      </w:r>
      <w:r>
        <w:rPr>
          <w:rFonts w:ascii="Times New Roman" w:hAnsi="Times New Roman" w:cs="Times New Roman" w:eastAsia="Times New Roman" w:hint="default"/>
          <w:spacing w:val="-3"/>
        </w:rPr>
        <w:t>118.2148</w:t>
      </w:r>
      <w:r>
        <w:rPr>
          <w:spacing w:val="-3"/>
        </w:rPr>
        <w:t>万元和王昌双等三名自然人投入的注册资本人民币</w:t>
      </w:r>
      <w:r>
        <w:rPr>
          <w:rFonts w:ascii="Times New Roman" w:hAnsi="Times New Roman" w:cs="Times New Roman" w:eastAsia="Times New Roman" w:hint="default"/>
          <w:spacing w:val="-3"/>
        </w:rPr>
        <w:t>5</w:t>
      </w:r>
      <w:r>
        <w:rPr>
          <w:spacing w:val="-3"/>
        </w:rPr>
        <w:t>万元。上述减资经大华会计师事务所</w:t>
      </w:r>
      <w:r>
        <w:rPr>
          <w:rFonts w:ascii="Times New Roman" w:hAnsi="Times New Roman" w:cs="Times New Roman" w:eastAsia="Times New Roman" w:hint="default"/>
          <w:spacing w:val="-3"/>
        </w:rPr>
        <w:t>(</w:t>
      </w:r>
      <w:r>
        <w:rPr>
          <w:spacing w:val="-3"/>
        </w:rPr>
        <w:t>特殊普通</w:t>
      </w:r>
      <w:r>
        <w:rPr>
          <w:spacing w:val="64"/>
        </w:rPr>
        <w:t> </w:t>
      </w:r>
      <w:r>
        <w:rPr>
          <w:spacing w:val="64"/>
        </w:rPr>
      </w:r>
      <w:r>
        <w:rPr>
          <w:spacing w:val="-1"/>
        </w:rPr>
        <w:t>合伙</w:t>
      </w:r>
      <w:r>
        <w:rPr>
          <w:rFonts w:ascii="Times New Roman" w:hAnsi="Times New Roman" w:cs="Times New Roman" w:eastAsia="Times New Roman" w:hint="default"/>
          <w:spacing w:val="-1"/>
        </w:rPr>
        <w:t>)</w:t>
      </w:r>
      <w:r>
        <w:rPr>
          <w:spacing w:val="-1"/>
        </w:rPr>
        <w:t>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5</w:t>
      </w:r>
      <w:r>
        <w:rPr>
          <w:spacing w:val="-1"/>
        </w:rPr>
        <w:t>日以大华验字</w:t>
      </w:r>
      <w:r>
        <w:rPr>
          <w:rFonts w:ascii="Times New Roman" w:hAnsi="Times New Roman" w:cs="Times New Roman" w:eastAsia="Times New Roman" w:hint="default"/>
          <w:spacing w:val="-1"/>
        </w:rPr>
        <w:t>[2016]000304</w:t>
      </w:r>
      <w:r>
        <w:rPr>
          <w:spacing w:val="-1"/>
        </w:rPr>
        <w:t>号验资报告验证。</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w:t>
      </w:r>
      <w:r>
        <w:rPr>
          <w:spacing w:val="-1"/>
        </w:rPr>
        <w:t>日，公司完成了工商变更手续。上述减资完成后，公</w:t>
      </w:r>
      <w:r>
        <w:rPr>
          <w:spacing w:val="56"/>
        </w:rPr>
        <w:t> </w:t>
      </w:r>
      <w:r>
        <w:rPr>
          <w:spacing w:val="56"/>
        </w:rPr>
      </w:r>
      <w:r>
        <w:rPr/>
        <w:t>司注册资本及股本变更为人民币</w:t>
      </w:r>
      <w:r>
        <w:rPr>
          <w:rFonts w:ascii="Times New Roman" w:hAnsi="Times New Roman" w:cs="Times New Roman" w:eastAsia="Times New Roman" w:hint="default"/>
        </w:rPr>
        <w:t>79,690.722</w:t>
      </w:r>
      <w:r>
        <w:rPr/>
        <w:t>万元。</w:t>
      </w:r>
    </w:p>
    <w:p>
      <w:pPr>
        <w:pStyle w:val="BodyText"/>
        <w:spacing w:line="300" w:lineRule="auto" w:before="13"/>
        <w:ind w:right="857" w:firstLine="360"/>
        <w:jc w:val="both"/>
      </w:pPr>
      <w:r>
        <w:rPr>
          <w:spacing w:val="-3"/>
        </w:rPr>
        <w:t>根据公司</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28</w:t>
      </w:r>
      <w:r>
        <w:rPr>
          <w:spacing w:val="-3"/>
        </w:rPr>
        <w:t>日第五届董事会第二十次会议和第五届监事会第十二次会议审议通过的《关于回购</w:t>
      </w:r>
      <w:r>
        <w:rPr>
          <w:rFonts w:ascii="Times New Roman" w:hAnsi="Times New Roman" w:cs="Times New Roman" w:eastAsia="Times New Roman" w:hint="default"/>
          <w:spacing w:val="-3"/>
        </w:rPr>
        <w:t>2015</w:t>
      </w:r>
      <w:r>
        <w:rPr>
          <w:spacing w:val="-3"/>
        </w:rPr>
        <w:t>年股权激励计划</w:t>
      </w:r>
      <w:r>
        <w:rPr>
          <w:w w:val="101"/>
        </w:rPr>
        <w:t> </w:t>
      </w:r>
      <w:r>
        <w:rPr>
          <w:spacing w:val="-1"/>
        </w:rPr>
        <w:t>中已离职股权激励对象所持已获授但尚未解锁的限制性股票》议案，本公司回购已离职股权激励对象初金霞等二十七人所持</w:t>
      </w:r>
      <w:r>
        <w:rPr>
          <w:rFonts w:ascii="Times New Roman" w:hAnsi="Times New Roman" w:cs="Times New Roman" w:eastAsia="Times New Roman" w:hint="default"/>
          <w:spacing w:val="-1"/>
        </w:rPr>
        <w:t>74</w:t>
      </w:r>
      <w:r>
        <w:rPr>
          <w:spacing w:val="-1"/>
        </w:rPr>
        <w:t>万</w:t>
      </w:r>
      <w:r>
        <w:rPr>
          <w:spacing w:val="54"/>
        </w:rPr>
        <w:t> </w:t>
      </w:r>
      <w:r>
        <w:rPr>
          <w:spacing w:val="-4"/>
        </w:rPr>
        <w:t>股已获授但尚未解锁的限制性股票，回购完成后，公司注册资本变更为人民币</w:t>
      </w:r>
      <w:r>
        <w:rPr>
          <w:rFonts w:ascii="Times New Roman" w:hAnsi="Times New Roman" w:cs="Times New Roman" w:eastAsia="Times New Roman" w:hint="default"/>
          <w:spacing w:val="-4"/>
        </w:rPr>
        <w:t>79,616.722</w:t>
      </w:r>
      <w:r>
        <w:rPr>
          <w:spacing w:val="-4"/>
        </w:rPr>
        <w:t>万元。上述减资经德勤会计师事务所</w:t>
      </w:r>
      <w:r>
        <w:rPr>
          <w:rFonts w:ascii="Times New Roman" w:hAnsi="Times New Roman" w:cs="Times New Roman" w:eastAsia="Times New Roman" w:hint="default"/>
          <w:spacing w:val="-4"/>
        </w:rPr>
        <w:t>(</w:t>
      </w:r>
      <w:r>
        <w:rPr>
          <w:spacing w:val="-4"/>
        </w:rPr>
        <w:t>特殊</w:t>
      </w:r>
      <w:r>
        <w:rPr>
          <w:spacing w:val="4"/>
        </w:rPr>
        <w:t> </w:t>
      </w:r>
      <w:r>
        <w:rPr>
          <w:spacing w:val="-3"/>
        </w:rPr>
        <w:t>普通合伙</w:t>
      </w:r>
      <w:r>
        <w:rPr>
          <w:rFonts w:ascii="Times New Roman" w:hAnsi="Times New Roman" w:cs="Times New Roman" w:eastAsia="Times New Roman" w:hint="default"/>
          <w:spacing w:val="-3"/>
        </w:rPr>
        <w:t>)</w:t>
      </w:r>
      <w:r>
        <w:rPr>
          <w:spacing w:val="-3"/>
        </w:rPr>
        <w:t>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11</w:t>
      </w:r>
      <w:r>
        <w:rPr>
          <w:spacing w:val="-3"/>
        </w:rPr>
        <w:t>日以德师报</w:t>
      </w:r>
      <w:r>
        <w:rPr>
          <w:rFonts w:ascii="Times New Roman" w:hAnsi="Times New Roman" w:cs="Times New Roman" w:eastAsia="Times New Roman" w:hint="default"/>
          <w:spacing w:val="-3"/>
        </w:rPr>
        <w:t>(</w:t>
      </w:r>
      <w:r>
        <w:rPr>
          <w:spacing w:val="-3"/>
        </w:rPr>
        <w:t>验</w:t>
      </w:r>
      <w:r>
        <w:rPr>
          <w:rFonts w:ascii="Times New Roman" w:hAnsi="Times New Roman" w:cs="Times New Roman" w:eastAsia="Times New Roman" w:hint="default"/>
          <w:spacing w:val="-3"/>
        </w:rPr>
        <w:t>)</w:t>
      </w:r>
      <w:r>
        <w:rPr>
          <w:spacing w:val="-3"/>
        </w:rPr>
        <w:t>字</w:t>
      </w:r>
      <w:r>
        <w:rPr>
          <w:rFonts w:ascii="Times New Roman" w:hAnsi="Times New Roman" w:cs="Times New Roman" w:eastAsia="Times New Roman" w:hint="default"/>
          <w:spacing w:val="-3"/>
        </w:rPr>
        <w:t>(17)</w:t>
      </w:r>
      <w:r>
        <w:rPr>
          <w:spacing w:val="-3"/>
        </w:rPr>
        <w:t>第</w:t>
      </w:r>
      <w:r>
        <w:rPr>
          <w:rFonts w:ascii="Times New Roman" w:hAnsi="Times New Roman" w:cs="Times New Roman" w:eastAsia="Times New Roman" w:hint="default"/>
          <w:spacing w:val="-3"/>
        </w:rPr>
        <w:t>00168</w:t>
      </w:r>
      <w:r>
        <w:rPr>
          <w:spacing w:val="-3"/>
        </w:rPr>
        <w:t>号验资报告验证。</w:t>
      </w:r>
    </w:p>
    <w:p>
      <w:pPr>
        <w:pStyle w:val="BodyText"/>
        <w:spacing w:line="300" w:lineRule="auto" w:before="13"/>
        <w:ind w:right="862" w:firstLine="360"/>
        <w:jc w:val="both"/>
      </w:pPr>
      <w:r>
        <w:rPr>
          <w:spacing w:val="-3"/>
        </w:rPr>
        <w:t>根据公司</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15</w:t>
      </w:r>
      <w:r>
        <w:rPr>
          <w:spacing w:val="-3"/>
        </w:rPr>
        <w:t>日第五届董事会第二十四次会议和第五届监事会第十五次会议审议通过的《关于终止实施</w:t>
      </w:r>
      <w:r>
        <w:rPr>
          <w:rFonts w:ascii="Times New Roman" w:hAnsi="Times New Roman" w:cs="Times New Roman" w:eastAsia="Times New Roman" w:hint="default"/>
          <w:spacing w:val="-3"/>
        </w:rPr>
        <w:t>2015</w:t>
      </w:r>
      <w:r>
        <w:rPr>
          <w:spacing w:val="-3"/>
        </w:rPr>
        <w:t>年股权激</w:t>
      </w:r>
      <w:r>
        <w:rPr>
          <w:w w:val="101"/>
        </w:rPr>
        <w:t> </w:t>
      </w:r>
      <w:r>
        <w:rPr>
          <w:spacing w:val="-3"/>
        </w:rPr>
        <w:t>励计划暨回购注销已授予未解锁的全部限制性股票》议案，公司以货币方式回购</w:t>
      </w:r>
      <w:r>
        <w:rPr>
          <w:rFonts w:ascii="Times New Roman" w:hAnsi="Times New Roman" w:cs="Times New Roman" w:eastAsia="Times New Roman" w:hint="default"/>
          <w:spacing w:val="-3"/>
        </w:rPr>
        <w:t>2015</w:t>
      </w:r>
      <w:r>
        <w:rPr>
          <w:spacing w:val="-3"/>
        </w:rPr>
        <w:t>年股权激励计划剩余全部</w:t>
      </w:r>
      <w:r>
        <w:rPr>
          <w:rFonts w:ascii="Times New Roman" w:hAnsi="Times New Roman" w:cs="Times New Roman" w:eastAsia="Times New Roman" w:hint="default"/>
          <w:spacing w:val="-3"/>
        </w:rPr>
        <w:t>171</w:t>
      </w:r>
      <w:r>
        <w:rPr>
          <w:spacing w:val="-3"/>
        </w:rPr>
        <w:t>名被激励对象所</w:t>
      </w:r>
      <w:r>
        <w:rPr>
          <w:spacing w:val="76"/>
        </w:rPr>
        <w:t> </w:t>
      </w:r>
      <w:r>
        <w:rPr>
          <w:spacing w:val="76"/>
        </w:rPr>
      </w:r>
      <w:r>
        <w:rPr>
          <w:spacing w:val="-3"/>
        </w:rPr>
        <w:t>持已授权但尚未解锁的</w:t>
      </w:r>
      <w:r>
        <w:rPr>
          <w:rFonts w:ascii="Times New Roman" w:hAnsi="Times New Roman" w:cs="Times New Roman" w:eastAsia="Times New Roman" w:hint="default"/>
          <w:spacing w:val="-3"/>
        </w:rPr>
        <w:t>1,258.7</w:t>
      </w:r>
      <w:r>
        <w:rPr>
          <w:spacing w:val="-3"/>
        </w:rPr>
        <w:t>万股限制性股票。回购完成后，公司注册资本变更为人民币</w:t>
      </w:r>
      <w:r>
        <w:rPr>
          <w:rFonts w:ascii="Times New Roman" w:hAnsi="Times New Roman" w:cs="Times New Roman" w:eastAsia="Times New Roman" w:hint="default"/>
          <w:spacing w:val="-3"/>
        </w:rPr>
        <w:t>78,358.022</w:t>
      </w:r>
      <w:r>
        <w:rPr>
          <w:spacing w:val="-3"/>
        </w:rPr>
        <w:t>万元。上述减资经德勤华永会</w:t>
      </w:r>
      <w:r>
        <w:rPr>
          <w:spacing w:val="5"/>
        </w:rPr>
        <w:t> </w:t>
      </w:r>
      <w:r>
        <w:rPr>
          <w:spacing w:val="5"/>
        </w:rPr>
      </w:r>
      <w:r>
        <w:rPr/>
        <w:t>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日出具的德师报</w:t>
      </w:r>
      <w:r>
        <w:rPr>
          <w:rFonts w:ascii="Times New Roman" w:hAnsi="Times New Roman" w:cs="Times New Roman" w:eastAsia="Times New Roman" w:hint="default"/>
        </w:rPr>
        <w:t>(</w:t>
      </w:r>
      <w:r>
        <w:rPr/>
        <w:t>验</w:t>
      </w:r>
      <w:r>
        <w:rPr>
          <w:rFonts w:ascii="Times New Roman" w:hAnsi="Times New Roman" w:cs="Times New Roman" w:eastAsia="Times New Roman" w:hint="default"/>
        </w:rPr>
        <w:t>)</w:t>
      </w:r>
      <w:r>
        <w:rPr/>
        <w:t>字</w:t>
      </w:r>
      <w:r>
        <w:rPr>
          <w:rFonts w:ascii="Times New Roman" w:hAnsi="Times New Roman" w:cs="Times New Roman" w:eastAsia="Times New Roman" w:hint="default"/>
        </w:rPr>
        <w:t>(17)</w:t>
      </w:r>
      <w:r>
        <w:rPr/>
        <w:t>第</w:t>
      </w:r>
      <w:r>
        <w:rPr>
          <w:rFonts w:ascii="Times New Roman" w:hAnsi="Times New Roman" w:cs="Times New Roman" w:eastAsia="Times New Roman" w:hint="default"/>
        </w:rPr>
        <w:t>00299</w:t>
      </w:r>
      <w:r>
        <w:rPr/>
        <w:t>号验资报告验证。</w:t>
      </w:r>
    </w:p>
    <w:p>
      <w:pPr>
        <w:pStyle w:val="BodyText"/>
        <w:spacing w:line="300" w:lineRule="auto" w:before="13"/>
        <w:ind w:right="858" w:firstLine="360"/>
        <w:jc w:val="both"/>
      </w:pPr>
      <w:r>
        <w:rPr>
          <w:spacing w:val="-3"/>
        </w:rPr>
        <w:t>根据公司</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8</w:t>
      </w:r>
      <w:r>
        <w:rPr>
          <w:spacing w:val="-3"/>
        </w:rPr>
        <w:t>日第五届董事会第二十九次会议、第五届监事会第十九次会议及</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25</w:t>
      </w:r>
      <w:r>
        <w:rPr>
          <w:spacing w:val="-3"/>
        </w:rPr>
        <w:t>日的</w:t>
      </w:r>
      <w:r>
        <w:rPr>
          <w:rFonts w:ascii="Times New Roman" w:hAnsi="Times New Roman" w:cs="Times New Roman" w:eastAsia="Times New Roman" w:hint="default"/>
          <w:spacing w:val="-3"/>
        </w:rPr>
        <w:t>2017</w:t>
      </w:r>
      <w:r>
        <w:rPr>
          <w:spacing w:val="-3"/>
        </w:rPr>
        <w:t>年第三次临时股</w:t>
      </w:r>
      <w:r>
        <w:rPr>
          <w:w w:val="101"/>
        </w:rPr>
        <w:t> </w:t>
      </w:r>
      <w:r>
        <w:rPr>
          <w:spacing w:val="-3"/>
        </w:rPr>
        <w:t>东大会审议通过的《</w:t>
      </w:r>
      <w:r>
        <w:rPr>
          <w:rFonts w:ascii="Times New Roman" w:hAnsi="Times New Roman" w:cs="Times New Roman" w:eastAsia="Times New Roman" w:hint="default"/>
          <w:spacing w:val="-3"/>
        </w:rPr>
        <w:t>2017</w:t>
      </w:r>
      <w:r>
        <w:rPr>
          <w:spacing w:val="-3"/>
        </w:rPr>
        <w:t>年限制性股票激励计划</w:t>
      </w:r>
      <w:r>
        <w:rPr>
          <w:rFonts w:ascii="Times New Roman" w:hAnsi="Times New Roman" w:cs="Times New Roman" w:eastAsia="Times New Roman" w:hint="default"/>
          <w:spacing w:val="-3"/>
        </w:rPr>
        <w:t>(</w:t>
      </w:r>
      <w:r>
        <w:rPr>
          <w:spacing w:val="-3"/>
        </w:rPr>
        <w:t>草案</w:t>
      </w:r>
      <w:r>
        <w:rPr>
          <w:rFonts w:ascii="Times New Roman" w:hAnsi="Times New Roman" w:cs="Times New Roman" w:eastAsia="Times New Roman" w:hint="default"/>
          <w:spacing w:val="-3"/>
        </w:rPr>
        <w:t>)</w:t>
      </w:r>
      <w:r>
        <w:rPr>
          <w:spacing w:val="-3"/>
        </w:rPr>
        <w:t>》及其摘要等议案审议，公司申请增加注册资本人民币</w:t>
      </w:r>
      <w:r>
        <w:rPr>
          <w:rFonts w:ascii="Times New Roman" w:hAnsi="Times New Roman" w:cs="Times New Roman" w:eastAsia="Times New Roman" w:hint="default"/>
          <w:spacing w:val="-3"/>
        </w:rPr>
        <w:t>380</w:t>
      </w:r>
      <w:r>
        <w:rPr>
          <w:spacing w:val="-3"/>
        </w:rPr>
        <w:t>万元，由芦兵等</w:t>
      </w:r>
      <w:r>
        <w:rPr>
          <w:rFonts w:ascii="Times New Roman" w:hAnsi="Times New Roman" w:cs="Times New Roman" w:eastAsia="Times New Roman" w:hint="default"/>
          <w:spacing w:val="-3"/>
        </w:rPr>
        <w:t>9</w:t>
      </w:r>
      <w:r>
        <w:rPr>
          <w:rFonts w:ascii="Times New Roman" w:hAnsi="Times New Roman" w:cs="Times New Roman" w:eastAsia="Times New Roman" w:hint="default"/>
          <w:spacing w:val="9"/>
        </w:rPr>
        <w:t> </w:t>
      </w:r>
      <w:r>
        <w:rPr>
          <w:spacing w:val="-3"/>
        </w:rPr>
        <w:t>名授予的激励对象以货币资金认购</w:t>
      </w:r>
      <w:r>
        <w:rPr>
          <w:rFonts w:ascii="Times New Roman" w:hAnsi="Times New Roman" w:cs="Times New Roman" w:eastAsia="Times New Roman" w:hint="default"/>
          <w:spacing w:val="-3"/>
        </w:rPr>
        <w:t>380</w:t>
      </w:r>
      <w:r>
        <w:rPr>
          <w:spacing w:val="-3"/>
        </w:rPr>
        <w:t>万股限制性股票。截至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25</w:t>
      </w:r>
      <w:r>
        <w:rPr>
          <w:spacing w:val="-3"/>
        </w:rPr>
        <w:t>日止，公司收到芦兵等九名自然人认购的限制性股票认</w:t>
      </w:r>
      <w:r>
        <w:rPr>
          <w:spacing w:val="81"/>
        </w:rPr>
        <w:t> </w:t>
      </w:r>
      <w:r>
        <w:rPr>
          <w:spacing w:val="81"/>
        </w:rPr>
      </w:r>
      <w:r>
        <w:rPr>
          <w:spacing w:val="-2"/>
        </w:rPr>
        <w:t>购款人民币</w:t>
      </w:r>
      <w:r>
        <w:rPr>
          <w:rFonts w:ascii="Times New Roman" w:hAnsi="Times New Roman" w:cs="Times New Roman" w:eastAsia="Times New Roman" w:hint="default"/>
          <w:spacing w:val="-2"/>
        </w:rPr>
        <w:t>1,596</w:t>
      </w:r>
      <w:r>
        <w:rPr>
          <w:spacing w:val="-2"/>
        </w:rPr>
        <w:t>万元，其中新增注册资本人民币</w:t>
      </w:r>
      <w:r>
        <w:rPr>
          <w:rFonts w:ascii="Times New Roman" w:hAnsi="Times New Roman" w:cs="Times New Roman" w:eastAsia="Times New Roman" w:hint="default"/>
          <w:spacing w:val="-2"/>
        </w:rPr>
        <w:t>380</w:t>
      </w:r>
      <w:r>
        <w:rPr>
          <w:spacing w:val="-2"/>
        </w:rPr>
        <w:t>万元，变更后的注册资本及股本为人民币</w:t>
      </w:r>
      <w:r>
        <w:rPr>
          <w:rFonts w:ascii="Times New Roman" w:hAnsi="Times New Roman" w:cs="Times New Roman" w:eastAsia="Times New Roman" w:hint="default"/>
          <w:spacing w:val="-2"/>
        </w:rPr>
        <w:t>78,738.022</w:t>
      </w:r>
      <w:r>
        <w:rPr>
          <w:spacing w:val="-2"/>
        </w:rPr>
        <w:t>万元。上述增资经德勤华</w:t>
      </w:r>
      <w:r>
        <w:rPr>
          <w:spacing w:val="77"/>
        </w:rPr>
        <w:t> </w:t>
      </w:r>
      <w:r>
        <w:rPr>
          <w:spacing w:val="77"/>
        </w:rPr>
      </w:r>
      <w:r>
        <w:rPr/>
        <w:t>永会计师事务所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日出具的德师报</w:t>
      </w:r>
      <w:r>
        <w:rPr>
          <w:rFonts w:ascii="Times New Roman" w:hAnsi="Times New Roman" w:cs="Times New Roman" w:eastAsia="Times New Roman" w:hint="default"/>
        </w:rPr>
        <w:t>(</w:t>
      </w:r>
      <w:r>
        <w:rPr/>
        <w:t>验</w:t>
      </w:r>
      <w:r>
        <w:rPr>
          <w:rFonts w:ascii="Times New Roman" w:hAnsi="Times New Roman" w:cs="Times New Roman" w:eastAsia="Times New Roman" w:hint="default"/>
        </w:rPr>
        <w:t>)</w:t>
      </w:r>
      <w:r>
        <w:rPr/>
        <w:t>字</w:t>
      </w:r>
      <w:r>
        <w:rPr>
          <w:rFonts w:ascii="Times New Roman" w:hAnsi="Times New Roman" w:cs="Times New Roman" w:eastAsia="Times New Roman" w:hint="default"/>
        </w:rPr>
        <w:t>(18)</w:t>
      </w:r>
      <w:r>
        <w:rPr/>
        <w:t>第</w:t>
      </w:r>
      <w:r>
        <w:rPr>
          <w:rFonts w:ascii="Times New Roman" w:hAnsi="Times New Roman" w:cs="Times New Roman" w:eastAsia="Times New Roman" w:hint="default"/>
        </w:rPr>
        <w:t>00032</w:t>
      </w:r>
      <w:r>
        <w:rPr/>
        <w:t>号验资报告验证。</w:t>
      </w:r>
    </w:p>
    <w:p>
      <w:pPr>
        <w:pStyle w:val="BodyText"/>
        <w:spacing w:line="300" w:lineRule="auto" w:before="13"/>
        <w:ind w:right="814" w:firstLine="360"/>
        <w:jc w:val="both"/>
      </w:pPr>
      <w:r>
        <w:rPr>
          <w:spacing w:val="-3"/>
        </w:rPr>
        <w:t>根据公司</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7</w:t>
      </w:r>
      <w:r>
        <w:rPr>
          <w:spacing w:val="-3"/>
        </w:rPr>
        <w:t>日第六届董事会第三次会议及</w:t>
      </w:r>
      <w:r>
        <w:rPr>
          <w:rFonts w:ascii="Times New Roman" w:hAnsi="Times New Roman" w:cs="Times New Roman" w:eastAsia="Times New Roman" w:hint="default"/>
          <w:spacing w:val="-3"/>
        </w:rPr>
        <w:t>2018</w:t>
      </w:r>
      <w:r>
        <w:rPr>
          <w:spacing w:val="-3"/>
        </w:rPr>
        <w:t>年第四次临时股东大会审议通过的《</w:t>
      </w:r>
      <w:r>
        <w:rPr>
          <w:rFonts w:ascii="Times New Roman" w:hAnsi="Times New Roman" w:cs="Times New Roman" w:eastAsia="Times New Roman" w:hint="default"/>
          <w:spacing w:val="-3"/>
        </w:rPr>
        <w:t>2018</w:t>
      </w:r>
      <w:r>
        <w:rPr>
          <w:spacing w:val="-3"/>
        </w:rPr>
        <w:t>年限制性股票与股票期权激</w:t>
      </w:r>
      <w:r>
        <w:rPr>
          <w:w w:val="101"/>
        </w:rPr>
        <w:t> </w:t>
      </w:r>
      <w:r>
        <w:rPr>
          <w:spacing w:val="-2"/>
        </w:rPr>
        <w:t>励计划</w:t>
      </w:r>
      <w:r>
        <w:rPr>
          <w:rFonts w:ascii="Times New Roman" w:hAnsi="Times New Roman" w:cs="Times New Roman" w:eastAsia="Times New Roman" w:hint="default"/>
          <w:spacing w:val="-2"/>
        </w:rPr>
        <w:t>(</w:t>
      </w:r>
      <w:r>
        <w:rPr>
          <w:spacing w:val="-2"/>
        </w:rPr>
        <w:t>草案</w:t>
      </w:r>
      <w:r>
        <w:rPr>
          <w:rFonts w:ascii="Times New Roman" w:hAnsi="Times New Roman" w:cs="Times New Roman" w:eastAsia="Times New Roman" w:hint="default"/>
          <w:spacing w:val="-2"/>
        </w:rPr>
        <w:t>)</w:t>
      </w:r>
      <w:r>
        <w:rPr>
          <w:spacing w:val="-2"/>
        </w:rPr>
        <w:t>》等议案，公司申请增加注册资本人民币</w:t>
      </w:r>
      <w:r>
        <w:rPr>
          <w:rFonts w:ascii="Times New Roman" w:hAnsi="Times New Roman" w:cs="Times New Roman" w:eastAsia="Times New Roman" w:hint="default"/>
          <w:spacing w:val="-2"/>
        </w:rPr>
        <w:t>760</w:t>
      </w:r>
      <w:r>
        <w:rPr>
          <w:spacing w:val="-2"/>
        </w:rPr>
        <w:t>万元，由芦兵等</w:t>
      </w:r>
      <w:r>
        <w:rPr>
          <w:rFonts w:ascii="Times New Roman" w:hAnsi="Times New Roman" w:cs="Times New Roman" w:eastAsia="Times New Roman" w:hint="default"/>
          <w:spacing w:val="-2"/>
        </w:rPr>
        <w:t>9</w:t>
      </w:r>
      <w:r>
        <w:rPr>
          <w:spacing w:val="-2"/>
        </w:rPr>
        <w:t>名被激励对象以货币资金认购</w:t>
      </w:r>
      <w:r>
        <w:rPr>
          <w:rFonts w:ascii="Times New Roman" w:hAnsi="Times New Roman" w:cs="Times New Roman" w:eastAsia="Times New Roman" w:hint="default"/>
          <w:spacing w:val="-2"/>
        </w:rPr>
        <w:t>760</w:t>
      </w:r>
      <w:r>
        <w:rPr>
          <w:spacing w:val="-2"/>
        </w:rPr>
        <w:t>万股限制性股票。截</w:t>
      </w:r>
      <w:r>
        <w:rPr>
          <w:spacing w:val="77"/>
        </w:rPr>
        <w:t> </w:t>
      </w:r>
      <w:r>
        <w:rPr>
          <w:spacing w:val="77"/>
        </w:rPr>
      </w:r>
      <w:r>
        <w:rPr>
          <w:spacing w:val="-3"/>
        </w:rPr>
        <w:t>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15</w:t>
      </w:r>
      <w:r>
        <w:rPr>
          <w:spacing w:val="-3"/>
        </w:rPr>
        <w:t>日止，公司收到芦兵等九名自然人认购的限制性股票认购款人民币</w:t>
      </w:r>
      <w:r>
        <w:rPr>
          <w:rFonts w:ascii="Times New Roman" w:hAnsi="Times New Roman" w:cs="Times New Roman" w:eastAsia="Times New Roman" w:hint="default"/>
          <w:spacing w:val="-3"/>
        </w:rPr>
        <w:t>1,938</w:t>
      </w:r>
      <w:r>
        <w:rPr>
          <w:spacing w:val="-3"/>
        </w:rPr>
        <w:t>万元，其中新增注册资本人民币</w:t>
      </w:r>
      <w:r>
        <w:rPr>
          <w:rFonts w:ascii="Times New Roman" w:hAnsi="Times New Roman" w:cs="Times New Roman" w:eastAsia="Times New Roman" w:hint="default"/>
          <w:spacing w:val="-3"/>
        </w:rPr>
        <w:t>760</w:t>
      </w:r>
      <w:r>
        <w:rPr>
          <w:spacing w:val="-3"/>
        </w:rPr>
        <w:t>万元，</w:t>
      </w:r>
      <w:r>
        <w:rPr>
          <w:spacing w:val="5"/>
        </w:rPr>
        <w:t> </w:t>
      </w:r>
      <w:r>
        <w:rPr>
          <w:spacing w:val="5"/>
        </w:rPr>
      </w:r>
      <w:r>
        <w:rPr>
          <w:spacing w:val="-2"/>
        </w:rPr>
        <w:t>变更后的注册资本及股本为人民币</w:t>
      </w:r>
      <w:r>
        <w:rPr>
          <w:rFonts w:ascii="Times New Roman" w:hAnsi="Times New Roman" w:cs="Times New Roman" w:eastAsia="Times New Roman" w:hint="default"/>
          <w:spacing w:val="-2"/>
        </w:rPr>
        <w:t>79,498.022</w:t>
      </w:r>
      <w:r>
        <w:rPr>
          <w:spacing w:val="-2"/>
        </w:rPr>
        <w:t>万元。上述增资已经德勤华永会计师事务所</w:t>
      </w:r>
      <w:r>
        <w:rPr>
          <w:rFonts w:ascii="Times New Roman" w:hAnsi="Times New Roman" w:cs="Times New Roman" w:eastAsia="Times New Roman" w:hint="default"/>
          <w:spacing w:val="-2"/>
        </w:rPr>
        <w:t>(</w:t>
      </w:r>
      <w:r>
        <w:rPr>
          <w:spacing w:val="-2"/>
        </w:rPr>
        <w:t>特殊普通合伙</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日出具的</w:t>
      </w:r>
      <w:r>
        <w:rPr>
          <w:spacing w:val="5"/>
        </w:rPr>
        <w:t> </w:t>
      </w:r>
      <w:r>
        <w:rPr>
          <w:spacing w:val="5"/>
        </w:rPr>
      </w:r>
      <w:r>
        <w:rPr/>
        <w:t>德师报</w:t>
      </w:r>
      <w:r>
        <w:rPr>
          <w:rFonts w:ascii="Times New Roman" w:hAnsi="Times New Roman" w:cs="Times New Roman" w:eastAsia="Times New Roman" w:hint="default"/>
        </w:rPr>
        <w:t>(</w:t>
      </w:r>
      <w:r>
        <w:rPr/>
        <w:t>验</w:t>
      </w:r>
      <w:r>
        <w:rPr>
          <w:rFonts w:ascii="Times New Roman" w:hAnsi="Times New Roman" w:cs="Times New Roman" w:eastAsia="Times New Roman" w:hint="default"/>
        </w:rPr>
        <w:t>)</w:t>
      </w:r>
      <w:r>
        <w:rPr/>
        <w:t>字</w:t>
      </w:r>
      <w:r>
        <w:rPr>
          <w:rFonts w:ascii="Times New Roman" w:hAnsi="Times New Roman" w:cs="Times New Roman" w:eastAsia="Times New Roman" w:hint="default"/>
        </w:rPr>
        <w:t>(18)</w:t>
      </w:r>
      <w:r>
        <w:rPr/>
        <w:t>第</w:t>
      </w:r>
      <w:r>
        <w:rPr>
          <w:rFonts w:ascii="Times New Roman" w:hAnsi="Times New Roman" w:cs="Times New Roman" w:eastAsia="Times New Roman" w:hint="default"/>
        </w:rPr>
        <w:t>00499</w:t>
      </w:r>
      <w:r>
        <w:rPr/>
        <w:t>号验资报告验证。</w:t>
      </w:r>
    </w:p>
    <w:p>
      <w:pPr>
        <w:pStyle w:val="BodyText"/>
        <w:spacing w:line="300" w:lineRule="auto" w:before="13"/>
        <w:ind w:right="863" w:firstLine="360"/>
        <w:jc w:val="both"/>
      </w:pPr>
      <w:r>
        <w:rPr>
          <w:spacing w:val="-3"/>
        </w:rPr>
        <w:t>根据公司</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28</w:t>
      </w:r>
      <w:r>
        <w:rPr>
          <w:spacing w:val="-3"/>
        </w:rPr>
        <w:t>日第六届董事会第七次会议、第六届监事会第五次会议审议通过的《关于</w:t>
      </w:r>
      <w:r>
        <w:rPr>
          <w:rFonts w:ascii="Times New Roman" w:hAnsi="Times New Roman" w:cs="Times New Roman" w:eastAsia="Times New Roman" w:hint="default"/>
          <w:spacing w:val="-3"/>
        </w:rPr>
        <w:t>2018</w:t>
      </w:r>
      <w:r>
        <w:rPr>
          <w:spacing w:val="-3"/>
        </w:rPr>
        <w:t>年股票期权激励计划第一</w:t>
      </w:r>
      <w:r>
        <w:rPr>
          <w:w w:val="101"/>
        </w:rPr>
        <w:t> </w:t>
      </w:r>
      <w:r>
        <w:rPr>
          <w:spacing w:val="-3"/>
        </w:rPr>
        <w:t>个行权期行权条件成就的议案》，</w:t>
      </w:r>
      <w:r>
        <w:rPr>
          <w:rFonts w:ascii="Times New Roman" w:hAnsi="Times New Roman" w:cs="Times New Roman" w:eastAsia="Times New Roman" w:hint="default"/>
          <w:spacing w:val="-3"/>
        </w:rPr>
        <w:t>2018</w:t>
      </w:r>
      <w:r>
        <w:rPr>
          <w:spacing w:val="-3"/>
        </w:rPr>
        <w:t>年股票期权激励计划第一个行权期行权条件已经满足，</w:t>
      </w:r>
      <w:r>
        <w:rPr>
          <w:rFonts w:ascii="Times New Roman" w:hAnsi="Times New Roman" w:cs="Times New Roman" w:eastAsia="Times New Roman" w:hint="default"/>
          <w:spacing w:val="-3"/>
        </w:rPr>
        <w:t>1,515,000</w:t>
      </w:r>
      <w:r>
        <w:rPr>
          <w:spacing w:val="-3"/>
        </w:rPr>
        <w:t>份期权进入行权有效期。</w:t>
      </w:r>
    </w:p>
    <w:p>
      <w:pPr>
        <w:pStyle w:val="BodyText"/>
        <w:spacing w:line="300" w:lineRule="auto" w:before="13"/>
        <w:ind w:left="498" w:right="858"/>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月，进入行权有效期的期权中</w:t>
      </w:r>
      <w:r>
        <w:rPr>
          <w:rFonts w:ascii="Times New Roman" w:hAnsi="Times New Roman" w:cs="Times New Roman" w:eastAsia="Times New Roman" w:hint="default"/>
        </w:rPr>
        <w:t>1,008,996</w:t>
      </w:r>
      <w:r>
        <w:rPr/>
        <w:t>份行权完毕，剩余</w:t>
      </w:r>
      <w:r>
        <w:rPr>
          <w:rFonts w:ascii="Times New Roman" w:hAnsi="Times New Roman" w:cs="Times New Roman" w:eastAsia="Times New Roman" w:hint="default"/>
        </w:rPr>
        <w:t>506,004</w:t>
      </w:r>
      <w:r>
        <w:rPr/>
        <w:t>份尚未行权。</w:t>
      </w:r>
      <w:r>
        <w:rPr>
          <w:w w:val="101"/>
        </w:rPr>
        <w:t> </w:t>
      </w:r>
      <w:r>
        <w:rPr>
          <w:spacing w:val="-1"/>
        </w:rPr>
        <w:t>根据</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28</w:t>
      </w:r>
      <w:r>
        <w:rPr>
          <w:spacing w:val="-1"/>
        </w:rPr>
        <w:t>日召开的第六届董事会第七次会议及</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22</w:t>
      </w:r>
      <w:r>
        <w:rPr>
          <w:spacing w:val="-1"/>
        </w:rPr>
        <w:t>日召开的</w:t>
      </w:r>
      <w:r>
        <w:rPr>
          <w:rFonts w:ascii="Times New Roman" w:hAnsi="Times New Roman" w:cs="Times New Roman" w:eastAsia="Times New Roman" w:hint="default"/>
          <w:spacing w:val="-1"/>
        </w:rPr>
        <w:t>2018</w:t>
      </w:r>
      <w:r>
        <w:rPr>
          <w:spacing w:val="-1"/>
        </w:rPr>
        <w:t>年年度股东大会审议通过的《关于</w:t>
      </w:r>
      <w:r>
        <w:rPr>
          <w:rFonts w:ascii="Times New Roman" w:hAnsi="Times New Roman" w:cs="Times New Roman" w:eastAsia="Times New Roman" w:hint="default"/>
          <w:spacing w:val="-1"/>
        </w:rPr>
        <w:t>2018</w:t>
      </w:r>
      <w:r>
        <w:rPr>
          <w:spacing w:val="-1"/>
        </w:rPr>
        <w:t>年度</w:t>
      </w:r>
    </w:p>
    <w:p>
      <w:pPr>
        <w:pStyle w:val="BodyText"/>
        <w:spacing w:line="300" w:lineRule="auto" w:before="13"/>
        <w:ind w:right="858"/>
        <w:jc w:val="left"/>
      </w:pPr>
      <w:r>
        <w:rPr>
          <w:spacing w:val="-1"/>
        </w:rPr>
        <w:t>利润分配预案的议案》，公司以截至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14</w:t>
      </w:r>
      <w:r>
        <w:rPr>
          <w:spacing w:val="-1"/>
        </w:rPr>
        <w:t>日的总股本</w:t>
      </w:r>
      <w:r>
        <w:rPr>
          <w:rFonts w:ascii="Times New Roman" w:hAnsi="Times New Roman" w:cs="Times New Roman" w:eastAsia="Times New Roman" w:hint="default"/>
          <w:spacing w:val="-1"/>
        </w:rPr>
        <w:t>795,989,216</w:t>
      </w:r>
      <w:r>
        <w:rPr>
          <w:spacing w:val="-1"/>
        </w:rPr>
        <w:t>股为基数，以资本公积金向全体股东每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7</w:t>
      </w:r>
      <w:r>
        <w:rPr>
          <w:spacing w:val="-1"/>
        </w:rPr>
        <w:t>股，转</w:t>
      </w:r>
      <w:r>
        <w:rPr>
          <w:spacing w:val="54"/>
        </w:rPr>
        <w:t> </w:t>
      </w:r>
      <w:r>
        <w:rPr>
          <w:spacing w:val="54"/>
        </w:rPr>
      </w:r>
      <w:r>
        <w:rPr/>
        <w:t>增后公司股本为</w:t>
      </w:r>
      <w:r>
        <w:rPr>
          <w:rFonts w:ascii="Times New Roman" w:hAnsi="Times New Roman" w:cs="Times New Roman" w:eastAsia="Times New Roman" w:hint="default"/>
        </w:rPr>
        <w:t>1,353,181,667</w:t>
      </w:r>
      <w:r>
        <w:rPr/>
        <w:t>元。原进入行权有效期尚未行权的期权</w:t>
      </w:r>
      <w:r>
        <w:rPr>
          <w:rFonts w:ascii="Times New Roman" w:hAnsi="Times New Roman" w:cs="Times New Roman" w:eastAsia="Times New Roman" w:hint="default"/>
        </w:rPr>
        <w:t>506,004</w:t>
      </w:r>
      <w:r>
        <w:rPr/>
        <w:t>份，相应转换为</w:t>
      </w:r>
      <w:r>
        <w:rPr>
          <w:rFonts w:ascii="Times New Roman" w:hAnsi="Times New Roman" w:cs="Times New Roman" w:eastAsia="Times New Roman" w:hint="default"/>
        </w:rPr>
        <w:t>860,206</w:t>
      </w:r>
      <w:r>
        <w:rPr/>
        <w:t>份。</w:t>
      </w:r>
    </w:p>
    <w:p>
      <w:pPr>
        <w:pStyle w:val="BodyText"/>
        <w:spacing w:line="300" w:lineRule="auto" w:before="13"/>
        <w:ind w:left="494" w:right="858" w:firstLine="4"/>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至</w:t>
      </w:r>
      <w:r>
        <w:rPr>
          <w:rFonts w:ascii="Times New Roman" w:hAnsi="Times New Roman" w:cs="Times New Roman" w:eastAsia="Times New Roman" w:hint="default"/>
          <w:spacing w:val="-3"/>
        </w:rPr>
        <w:t>12</w:t>
      </w:r>
      <w:r>
        <w:rPr>
          <w:spacing w:val="-3"/>
        </w:rPr>
        <w:t>月，进入行权有效期的期权中</w:t>
      </w:r>
      <w:r>
        <w:rPr>
          <w:rFonts w:ascii="Times New Roman" w:hAnsi="Times New Roman" w:cs="Times New Roman" w:eastAsia="Times New Roman" w:hint="default"/>
          <w:spacing w:val="-3"/>
        </w:rPr>
        <w:t>701,286</w:t>
      </w:r>
      <w:r>
        <w:rPr>
          <w:spacing w:val="-3"/>
        </w:rPr>
        <w:t>份行权完毕，公司股本增至</w:t>
      </w:r>
      <w:r>
        <w:rPr>
          <w:rFonts w:ascii="Times New Roman" w:hAnsi="Times New Roman" w:cs="Times New Roman" w:eastAsia="Times New Roman" w:hint="default"/>
          <w:spacing w:val="-3"/>
        </w:rPr>
        <w:t>1,353,882,953</w:t>
      </w:r>
      <w:r>
        <w:rPr>
          <w:spacing w:val="-3"/>
        </w:rPr>
        <w:t>元。</w:t>
      </w:r>
      <w:r>
        <w:rPr>
          <w:spacing w:val="61"/>
        </w:rPr>
        <w:t> </w:t>
      </w:r>
      <w:r>
        <w:rPr>
          <w:spacing w:val="-3"/>
        </w:rPr>
        <w:t>本公司的注册地址为北京市昌平区城区镇超前路</w:t>
      </w:r>
      <w:r>
        <w:rPr>
          <w:rFonts w:ascii="Times New Roman" w:hAnsi="Times New Roman" w:cs="Times New Roman" w:eastAsia="Times New Roman" w:hint="default"/>
          <w:spacing w:val="-3"/>
        </w:rPr>
        <w:t>13</w:t>
      </w:r>
      <w:r>
        <w:rPr>
          <w:spacing w:val="-3"/>
        </w:rPr>
        <w:t>号，总部地址为朝阳区和平里东土城路甲</w:t>
      </w:r>
      <w:r>
        <w:rPr>
          <w:rFonts w:ascii="Times New Roman" w:hAnsi="Times New Roman" w:cs="Times New Roman" w:eastAsia="Times New Roman" w:hint="default"/>
          <w:spacing w:val="-3"/>
        </w:rPr>
        <w:t>14</w:t>
      </w:r>
      <w:r>
        <w:rPr>
          <w:spacing w:val="-3"/>
        </w:rPr>
        <w:t>号建达大厦。</w:t>
      </w:r>
    </w:p>
    <w:p>
      <w:pPr>
        <w:spacing w:line="240" w:lineRule="auto" w:before="12"/>
        <w:rPr>
          <w:rFonts w:ascii="宋体" w:hAnsi="宋体" w:cs="宋体" w:eastAsia="宋体" w:hint="default"/>
          <w:sz w:val="20"/>
          <w:szCs w:val="20"/>
        </w:rPr>
      </w:pPr>
    </w:p>
    <w:p>
      <w:pPr>
        <w:pStyle w:val="Heading2"/>
        <w:spacing w:line="240" w:lineRule="auto"/>
        <w:ind w:left="854" w:right="858"/>
        <w:jc w:val="left"/>
        <w:rPr>
          <w:b w:val="0"/>
          <w:bCs w:val="0"/>
        </w:rPr>
      </w:pPr>
      <w:r>
        <w:rPr>
          <w:rFonts w:ascii="Times New Roman" w:hAnsi="Times New Roman" w:cs="Times New Roman" w:eastAsia="Times New Roman" w:hint="default"/>
        </w:rPr>
        <w:t>2</w:t>
      </w:r>
      <w:r>
        <w:rPr/>
        <w:t>、经营范围</w:t>
      </w:r>
      <w:r>
        <w:rPr>
          <w:b w:val="0"/>
          <w:bCs w:val="0"/>
        </w:rPr>
      </w:r>
    </w:p>
    <w:p>
      <w:pPr>
        <w:pStyle w:val="BodyText"/>
        <w:spacing w:line="307" w:lineRule="auto" w:before="189"/>
        <w:ind w:right="862" w:firstLine="633"/>
        <w:jc w:val="both"/>
      </w:pPr>
      <w:r>
        <w:rPr>
          <w:spacing w:val="-3"/>
        </w:rPr>
        <w:t>本公司的经营范围为：增值电信业务；互联网信息服务；计算机信息网络国际联网经营业务；电子商务；设计和制作网络</w:t>
      </w:r>
      <w:r>
        <w:rPr>
          <w:w w:val="101"/>
        </w:rPr>
        <w:t> </w:t>
      </w:r>
      <w:r>
        <w:rPr>
          <w:spacing w:val="-2"/>
        </w:rPr>
        <w:t>广告；利用</w:t>
      </w:r>
      <w:r>
        <w:rPr>
          <w:rFonts w:ascii="Times New Roman" w:hAnsi="Times New Roman" w:cs="Times New Roman" w:eastAsia="Times New Roman" w:hint="default"/>
          <w:spacing w:val="-2"/>
        </w:rPr>
        <w:t>263</w:t>
      </w:r>
      <w:r>
        <w:rPr>
          <w:spacing w:val="-2"/>
        </w:rPr>
        <w:t>网站</w:t>
      </w:r>
      <w:r>
        <w:rPr>
          <w:rFonts w:ascii="Times New Roman" w:hAnsi="Times New Roman" w:cs="Times New Roman" w:eastAsia="Times New Roman" w:hint="default"/>
          <w:spacing w:val="-2"/>
        </w:rPr>
        <w:t>(www.263.net.cn)</w:t>
      </w:r>
      <w:r>
        <w:rPr>
          <w:spacing w:val="-2"/>
        </w:rPr>
        <w:t>发布网络广告；电子技术、网络技术、计算机软件开发；销售自行开发后产品；物业管理</w:t>
      </w:r>
      <w:r>
        <w:rPr>
          <w:rFonts w:ascii="Times New Roman" w:hAnsi="Times New Roman" w:cs="Times New Roman" w:eastAsia="Times New Roman" w:hint="default"/>
          <w:spacing w:val="-2"/>
        </w:rPr>
        <w:t>(</w:t>
      </w:r>
      <w:r>
        <w:rPr>
          <w:spacing w:val="-2"/>
        </w:rPr>
        <w:t>限</w:t>
      </w:r>
      <w:r>
        <w:rPr>
          <w:spacing w:val="15"/>
        </w:rPr>
        <w:t> </w:t>
      </w:r>
      <w:r>
        <w:rPr>
          <w:spacing w:val="-3"/>
        </w:rPr>
        <w:t>分支机构经营</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28"/>
        </w:rPr>
        <w:t> </w:t>
      </w:r>
      <w:r>
        <w:rPr/>
        <w:t>。</w:t>
      </w:r>
    </w:p>
    <w:p>
      <w:pPr>
        <w:spacing w:line="240" w:lineRule="auto" w:before="6"/>
        <w:rPr>
          <w:rFonts w:ascii="宋体" w:hAnsi="宋体" w:cs="宋体" w:eastAsia="宋体" w:hint="default"/>
          <w:sz w:val="20"/>
          <w:szCs w:val="20"/>
        </w:rPr>
      </w:pPr>
    </w:p>
    <w:p>
      <w:pPr>
        <w:pStyle w:val="Heading2"/>
        <w:spacing w:line="240" w:lineRule="auto"/>
        <w:ind w:left="854" w:right="858"/>
        <w:jc w:val="left"/>
        <w:rPr>
          <w:b w:val="0"/>
          <w:bCs w:val="0"/>
        </w:rPr>
      </w:pPr>
      <w:r>
        <w:rPr>
          <w:rFonts w:ascii="Times New Roman" w:hAnsi="Times New Roman" w:cs="Times New Roman" w:eastAsia="Times New Roman" w:hint="default"/>
        </w:rPr>
        <w:t>3</w:t>
      </w:r>
      <w:r>
        <w:rPr/>
        <w:t>、公司及子公司业务性质和主要经营活动</w:t>
      </w:r>
      <w:r>
        <w:rPr>
          <w:b w:val="0"/>
          <w:bCs w:val="0"/>
        </w:rPr>
      </w:r>
    </w:p>
    <w:p>
      <w:pPr>
        <w:pStyle w:val="BodyText"/>
        <w:spacing w:line="240" w:lineRule="auto" w:before="189"/>
        <w:ind w:left="85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3.1</w:t>
      </w:r>
      <w:r>
        <w:rPr>
          <w:u w:val="single" w:color="000000"/>
        </w:rPr>
        <w:t>．业务性质</w:t>
      </w:r>
      <w:r>
        <w:rPr/>
      </w:r>
    </w:p>
    <w:p>
      <w:pPr>
        <w:pStyle w:val="BodyText"/>
        <w:spacing w:line="300" w:lineRule="auto" w:before="63"/>
        <w:ind w:left="767" w:right="858"/>
        <w:jc w:val="left"/>
      </w:pPr>
      <w:r>
        <w:rPr>
          <w:spacing w:val="-3"/>
        </w:rPr>
        <w:t>本公司及其子公司</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本集团</w:t>
      </w:r>
      <w:r>
        <w:rPr>
          <w:rFonts w:ascii="Times New Roman" w:hAnsi="Times New Roman" w:cs="Times New Roman" w:eastAsia="Times New Roman" w:hint="default"/>
          <w:spacing w:val="-3"/>
        </w:rPr>
        <w:t>”)</w:t>
      </w:r>
      <w:r>
        <w:rPr>
          <w:spacing w:val="-3"/>
        </w:rPr>
        <w:t>是运用互联网技术和转售方式为企业和个人提供虚拟运营服务的新型通信服务商。</w:t>
      </w:r>
      <w:r>
        <w:rPr>
          <w:spacing w:val="64"/>
        </w:rPr>
        <w:t> </w:t>
      </w:r>
      <w:r>
        <w:rPr>
          <w:spacing w:val="64"/>
        </w:rPr>
      </w:r>
      <w:r>
        <w:rPr>
          <w:spacing w:val="-3"/>
        </w:rPr>
        <w:t>本公司于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14</w:t>
      </w:r>
      <w:r>
        <w:rPr>
          <w:spacing w:val="-3"/>
        </w:rPr>
        <w:t>日换取中华人民共和国工业和信息化部颁发的编号为</w:t>
      </w:r>
      <w:r>
        <w:rPr>
          <w:rFonts w:ascii="Times New Roman" w:hAnsi="Times New Roman" w:cs="Times New Roman" w:eastAsia="Times New Roman" w:hint="default"/>
          <w:spacing w:val="-3"/>
        </w:rPr>
        <w:t>A1.B2-20090386</w:t>
      </w:r>
      <w:r>
        <w:rPr>
          <w:spacing w:val="-3"/>
        </w:rPr>
        <w:t>的增值电信业务经营许可证，</w:t>
      </w:r>
    </w:p>
    <w:p>
      <w:pPr>
        <w:pStyle w:val="BodyText"/>
        <w:spacing w:line="300" w:lineRule="auto" w:before="13"/>
        <w:ind w:right="858"/>
        <w:jc w:val="left"/>
      </w:pPr>
      <w:r>
        <w:rPr>
          <w:spacing w:val="-1"/>
        </w:rPr>
        <w:t>有效期至</w:t>
      </w:r>
      <w:r>
        <w:rPr>
          <w:rFonts w:ascii="Times New Roman" w:hAnsi="Times New Roman" w:cs="Times New Roman" w:eastAsia="Times New Roman" w:hint="default"/>
          <w:spacing w:val="-1"/>
        </w:rPr>
        <w:t>2024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14</w:t>
      </w:r>
      <w:r>
        <w:rPr>
          <w:spacing w:val="-1"/>
        </w:rPr>
        <w:t>日，获准在全国转售中国联通的蜂窝移动通信业务。其中，国内多方通信服务业务获准全国经营；呼叫中</w:t>
      </w:r>
      <w:r>
        <w:rPr>
          <w:spacing w:val="49"/>
        </w:rPr>
        <w:t> </w:t>
      </w:r>
      <w:r>
        <w:rPr>
          <w:spacing w:val="49"/>
        </w:rPr>
      </w:r>
      <w:r>
        <w:rPr/>
        <w:t>心业务获准全国经营。</w:t>
      </w:r>
    </w:p>
    <w:p>
      <w:pPr>
        <w:pStyle w:val="BodyText"/>
        <w:spacing w:line="240" w:lineRule="auto" w:before="31"/>
        <w:ind w:left="676" w:right="767"/>
        <w:jc w:val="left"/>
      </w:pPr>
      <w:r>
        <w:rPr>
          <w:spacing w:val="-4"/>
        </w:rPr>
        <w:t>本公司之三级子公司</w:t>
      </w:r>
      <w:r>
        <w:rPr>
          <w:rFonts w:ascii="Times New Roman" w:hAnsi="Times New Roman" w:cs="Times New Roman" w:eastAsia="Times New Roman" w:hint="default"/>
          <w:spacing w:val="-4"/>
        </w:rPr>
        <w:t>iTalk   </w:t>
      </w:r>
      <w:r>
        <w:rPr>
          <w:rFonts w:ascii="Times New Roman" w:hAnsi="Times New Roman" w:cs="Times New Roman" w:eastAsia="Times New Roman" w:hint="default"/>
        </w:rPr>
        <w:t>Mobile </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3"/>
        </w:rPr>
        <w:t>Corporation</w:t>
      </w:r>
      <w:r>
        <w:rPr>
          <w:spacing w:val="-3"/>
        </w:rPr>
        <w:t>，于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22</w:t>
      </w:r>
      <w:r>
        <w:rPr>
          <w:spacing w:val="-3"/>
        </w:rPr>
        <w:t>日获得美国联邦通讯委员会颁发的</w:t>
      </w:r>
      <w:r>
        <w:rPr>
          <w:rFonts w:ascii="Times New Roman" w:hAnsi="Times New Roman" w:cs="Times New Roman" w:eastAsia="Times New Roman" w:hint="default"/>
          <w:spacing w:val="-3"/>
        </w:rPr>
        <w:t>FCC214</w:t>
      </w:r>
      <w:r>
        <w:rPr>
          <w:spacing w:val="-3"/>
        </w:rPr>
        <w:t>牌照，获准基于美</w:t>
      </w:r>
    </w:p>
    <w:p>
      <w:pPr>
        <w:spacing w:after="0" w:line="240" w:lineRule="auto"/>
        <w:jc w:val="left"/>
        <w:sectPr>
          <w:footerReference w:type="default" r:id="rId32"/>
          <w:pgSz w:w="11910" w:h="16840"/>
          <w:pgMar w:footer="1022" w:header="906" w:top="1100" w:bottom="1220" w:left="740" w:right="0"/>
          <w:pgNumType w:start="90"/>
        </w:sectPr>
      </w:pPr>
    </w:p>
    <w:p>
      <w:pPr>
        <w:pStyle w:val="BodyText"/>
        <w:spacing w:line="316" w:lineRule="auto" w:before="80"/>
        <w:ind w:left="916" w:right="0" w:hanging="543"/>
        <w:jc w:val="left"/>
      </w:pPr>
      <w:r>
        <w:rPr>
          <w:spacing w:val="-3"/>
        </w:rPr>
        <w:t>国主要移动运营商的网络基础设施为美国用户提供本地及国际移动通信服务。</w:t>
      </w:r>
      <w:r>
        <w:rPr>
          <w:spacing w:val="8"/>
        </w:rPr>
        <w:t> </w:t>
      </w:r>
      <w:r>
        <w:rPr>
          <w:spacing w:val="8"/>
        </w:rPr>
      </w:r>
      <w:r>
        <w:rPr>
          <w:spacing w:val="6"/>
        </w:rPr>
        <w:t>本公司之三级子公司上海奈盛通信科技有限公司于</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5</w:t>
      </w:r>
      <w:r>
        <w:rPr>
          <w:spacing w:val="6"/>
        </w:rPr>
        <w:t>月</w:t>
      </w:r>
      <w:r>
        <w:rPr>
          <w:rFonts w:ascii="Times New Roman" w:hAnsi="Times New Roman" w:cs="Times New Roman" w:eastAsia="Times New Roman" w:hint="default"/>
          <w:spacing w:val="6"/>
        </w:rPr>
        <w:t>26</w:t>
      </w:r>
      <w:r>
        <w:rPr>
          <w:spacing w:val="6"/>
        </w:rPr>
        <w:t>日取得中华人民共和国工业与信息化部颁发的编号为</w:t>
      </w:r>
    </w:p>
    <w:p>
      <w:pPr>
        <w:pStyle w:val="BodyText"/>
        <w:spacing w:line="300" w:lineRule="auto"/>
        <w:ind w:left="374" w:right="0"/>
        <w:jc w:val="left"/>
      </w:pPr>
      <w:r>
        <w:rPr>
          <w:rFonts w:ascii="Times New Roman" w:hAnsi="Times New Roman" w:cs="Times New Roman" w:eastAsia="Times New Roman" w:hint="default"/>
          <w:spacing w:val="-2"/>
        </w:rPr>
        <w:t>B1-2017009</w:t>
      </w:r>
      <w:r>
        <w:rPr>
          <w:spacing w:val="-2"/>
        </w:rPr>
        <w:t>的增值电信业务经营许可证</w:t>
      </w:r>
      <w:r>
        <w:rPr>
          <w:rFonts w:ascii="Times New Roman" w:hAnsi="Times New Roman" w:cs="Times New Roman" w:eastAsia="Times New Roman" w:hint="default"/>
          <w:spacing w:val="-2"/>
        </w:rPr>
        <w:t>(</w:t>
      </w:r>
      <w:r>
        <w:rPr>
          <w:spacing w:val="-2"/>
        </w:rPr>
        <w:t>有效期至</w:t>
      </w:r>
      <w:r>
        <w:rPr>
          <w:rFonts w:ascii="Times New Roman" w:hAnsi="Times New Roman" w:cs="Times New Roman" w:eastAsia="Times New Roman" w:hint="default"/>
          <w:spacing w:val="-2"/>
        </w:rPr>
        <w:t>2022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26</w:t>
      </w:r>
      <w:r>
        <w:rPr>
          <w:spacing w:val="-2"/>
        </w:rPr>
        <w:t>日</w:t>
      </w:r>
      <w:r>
        <w:rPr>
          <w:rFonts w:ascii="Times New Roman" w:hAnsi="Times New Roman" w:cs="Times New Roman" w:eastAsia="Times New Roman" w:hint="default"/>
          <w:spacing w:val="-2"/>
        </w:rPr>
        <w:t>)</w:t>
      </w:r>
      <w:r>
        <w:rPr>
          <w:spacing w:val="-2"/>
        </w:rPr>
        <w:t>，获准在上海市经营第一类增值电信业务中的互联网数据中心业</w:t>
      </w:r>
      <w:r>
        <w:rPr>
          <w:spacing w:val="2"/>
        </w:rPr>
        <w:t> </w:t>
      </w:r>
      <w:r>
        <w:rPr>
          <w:spacing w:val="2"/>
        </w:rPr>
      </w:r>
      <w:r>
        <w:rPr>
          <w:spacing w:val="-3"/>
        </w:rPr>
        <w:t>务</w:t>
      </w:r>
      <w:r>
        <w:rPr>
          <w:rFonts w:ascii="Times New Roman" w:hAnsi="Times New Roman" w:cs="Times New Roman" w:eastAsia="Times New Roman" w:hint="default"/>
          <w:spacing w:val="-3"/>
        </w:rPr>
        <w:t>(</w:t>
      </w:r>
      <w:r>
        <w:rPr>
          <w:spacing w:val="-3"/>
        </w:rPr>
        <w:t>不含互联网资源协作服务</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2018</w:t>
      </w:r>
      <w:r>
        <w:rPr>
          <w:spacing w:val="-3"/>
        </w:rPr>
        <w:t>年，该证书业务种类增加了互联网资源协作服务</w:t>
      </w:r>
      <w:r>
        <w:rPr>
          <w:rFonts w:ascii="Times New Roman" w:hAnsi="Times New Roman" w:cs="Times New Roman" w:eastAsia="Times New Roman" w:hint="default"/>
          <w:spacing w:val="-3"/>
        </w:rPr>
        <w:t>(</w:t>
      </w:r>
      <w:r>
        <w:rPr>
          <w:spacing w:val="-3"/>
        </w:rPr>
        <w:t>即云服务</w:t>
      </w:r>
      <w:r>
        <w:rPr>
          <w:rFonts w:ascii="Times New Roman" w:hAnsi="Times New Roman" w:cs="Times New Roman" w:eastAsia="Times New Roman" w:hint="default"/>
          <w:spacing w:val="-3"/>
        </w:rPr>
        <w:t>)</w:t>
      </w:r>
      <w:r>
        <w:rPr>
          <w:spacing w:val="-3"/>
        </w:rPr>
        <w:t>。</w:t>
      </w:r>
    </w:p>
    <w:p>
      <w:pPr>
        <w:pStyle w:val="BodyText"/>
        <w:spacing w:line="300" w:lineRule="auto" w:before="13"/>
        <w:ind w:left="1007" w:right="0" w:firstLine="86"/>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3.2</w:t>
      </w:r>
      <w:r>
        <w:rPr>
          <w:u w:val="single" w:color="000000"/>
        </w:rPr>
        <w:t>．主要经营活动</w:t>
      </w:r>
      <w:r>
        <w:rPr>
          <w:w w:val="101"/>
        </w:rPr>
      </w:r>
      <w:r>
        <w:rPr>
          <w:w w:val="101"/>
        </w:rPr>
        <w:t> </w:t>
      </w:r>
      <w:r>
        <w:rPr>
          <w:spacing w:val="-3"/>
        </w:rPr>
        <w:t>在企业客户市场，本集团运用互联网技术和转售方式为企业提供全方位、一站式的通信产品和服务，包括：</w:t>
      </w:r>
      <w:r>
        <w:rPr>
          <w:rFonts w:ascii="Times New Roman" w:hAnsi="Times New Roman" w:cs="Times New Roman" w:eastAsia="Times New Roman" w:hint="default"/>
          <w:spacing w:val="-3"/>
        </w:rPr>
        <w:t>263</w:t>
      </w:r>
      <w:r>
        <w:rPr>
          <w:spacing w:val="-3"/>
        </w:rPr>
        <w:t>云通信</w:t>
      </w:r>
      <w:r>
        <w:rPr>
          <w:rFonts w:ascii="Times New Roman" w:hAnsi="Times New Roman" w:cs="Times New Roman" w:eastAsia="Times New Roman" w:hint="default"/>
          <w:spacing w:val="-3"/>
        </w:rPr>
        <w:t>(</w:t>
      </w:r>
      <w:r>
        <w:rPr>
          <w:spacing w:val="-3"/>
        </w:rPr>
        <w:t>融</w:t>
      </w:r>
    </w:p>
    <w:p>
      <w:pPr>
        <w:pStyle w:val="BodyText"/>
        <w:spacing w:line="300" w:lineRule="auto" w:before="13"/>
        <w:ind w:left="374" w:right="0"/>
        <w:jc w:val="left"/>
      </w:pPr>
      <w:r>
        <w:rPr>
          <w:spacing w:val="-3"/>
        </w:rPr>
        <w:t>合企业邮箱、电话会议、网络会议、视频会议、网络直播、企业网盘、即时通信、协同办公等产品</w:t>
      </w:r>
      <w:r>
        <w:rPr>
          <w:rFonts w:ascii="Times New Roman" w:hAnsi="Times New Roman" w:cs="Times New Roman" w:eastAsia="Times New Roman" w:hint="default"/>
          <w:spacing w:val="-3"/>
        </w:rPr>
        <w:t>)</w:t>
      </w:r>
      <w:r>
        <w:rPr>
          <w:spacing w:val="-3"/>
        </w:rPr>
        <w:t>、企业云电话、企业短信、企</w:t>
      </w:r>
      <w:r>
        <w:rPr>
          <w:spacing w:val="11"/>
        </w:rPr>
        <w:t> </w:t>
      </w:r>
      <w:r>
        <w:rPr>
          <w:spacing w:val="11"/>
        </w:rPr>
      </w:r>
      <w:r>
        <w:rPr>
          <w:spacing w:val="-3"/>
        </w:rPr>
        <w:t>业</w:t>
      </w:r>
      <w:r>
        <w:rPr>
          <w:rFonts w:ascii="Times New Roman" w:hAnsi="Times New Roman" w:cs="Times New Roman" w:eastAsia="Times New Roman" w:hint="default"/>
          <w:spacing w:val="-3"/>
        </w:rPr>
        <w:t>VPN</w:t>
      </w:r>
      <w:r>
        <w:rPr>
          <w:spacing w:val="-3"/>
        </w:rPr>
        <w:t>、企业无线、</w:t>
      </w:r>
      <w:r>
        <w:rPr>
          <w:rFonts w:ascii="Times New Roman" w:hAnsi="Times New Roman" w:cs="Times New Roman" w:eastAsia="Times New Roman" w:hint="default"/>
          <w:spacing w:val="-3"/>
        </w:rPr>
        <w:t>IDC</w:t>
      </w:r>
      <w:r>
        <w:rPr>
          <w:spacing w:val="-3"/>
        </w:rPr>
        <w:t>及云计算、设计和制作网络广告等服务。</w:t>
      </w:r>
    </w:p>
    <w:p>
      <w:pPr>
        <w:pStyle w:val="BodyText"/>
        <w:spacing w:line="300" w:lineRule="auto" w:before="13"/>
        <w:ind w:left="374" w:right="0" w:firstLine="633"/>
        <w:jc w:val="left"/>
      </w:pPr>
      <w:r>
        <w:rPr>
          <w:spacing w:val="-4"/>
        </w:rPr>
        <w:t>在个人客户市场，本集团针对全球华人跨境通信需求，为海外华人家庭提供</w:t>
      </w:r>
      <w:r>
        <w:rPr>
          <w:rFonts w:ascii="Times New Roman" w:hAnsi="Times New Roman" w:cs="Times New Roman" w:eastAsia="Times New Roman" w:hint="default"/>
          <w:spacing w:val="-4"/>
        </w:rPr>
        <w:t>VoIP</w:t>
      </w:r>
      <w:r>
        <w:rPr>
          <w:spacing w:val="-4"/>
        </w:rPr>
        <w:t>、</w:t>
      </w:r>
      <w:r>
        <w:rPr>
          <w:rFonts w:ascii="Times New Roman" w:hAnsi="Times New Roman" w:cs="Times New Roman" w:eastAsia="Times New Roman" w:hint="default"/>
          <w:spacing w:val="-4"/>
        </w:rPr>
        <w:t>IPTV</w:t>
      </w:r>
      <w:r>
        <w:rPr>
          <w:spacing w:val="-4"/>
        </w:rPr>
        <w:t>等互联网综合通信服务，为全球商</w:t>
      </w:r>
      <w:r>
        <w:rPr>
          <w:w w:val="101"/>
        </w:rPr>
        <w:t> </w:t>
      </w:r>
      <w:r>
        <w:rPr>
          <w:spacing w:val="-3"/>
        </w:rPr>
        <w:t>旅华人提供虚拟移动通信服务</w:t>
      </w:r>
      <w:r>
        <w:rPr>
          <w:rFonts w:ascii="Times New Roman" w:hAnsi="Times New Roman" w:cs="Times New Roman" w:eastAsia="Times New Roman" w:hint="default"/>
          <w:spacing w:val="-3"/>
        </w:rPr>
        <w:t>(MVNO)</w:t>
      </w:r>
      <w:r>
        <w:rPr>
          <w:spacing w:val="-3"/>
        </w:rPr>
        <w:t>。此外，本集团也为运营商提供漫游系统解决方案与服务。</w:t>
      </w:r>
    </w:p>
    <w:p>
      <w:pPr>
        <w:pStyle w:val="BodyText"/>
        <w:spacing w:line="240" w:lineRule="auto" w:before="13"/>
        <w:ind w:left="1007" w:right="0"/>
        <w:jc w:val="left"/>
      </w:pPr>
      <w:r>
        <w:rPr>
          <w:spacing w:val="-3"/>
        </w:rPr>
        <w:t>本集团还开展固网语音增值服务</w:t>
      </w:r>
      <w:r>
        <w:rPr>
          <w:rFonts w:ascii="Times New Roman" w:hAnsi="Times New Roman" w:cs="Times New Roman" w:eastAsia="Times New Roman" w:hint="default"/>
          <w:spacing w:val="-3"/>
        </w:rPr>
        <w:t>(</w:t>
      </w:r>
      <w:r>
        <w:rPr>
          <w:spacing w:val="-3"/>
        </w:rPr>
        <w:t>即：</w:t>
      </w:r>
      <w:r>
        <w:rPr>
          <w:rFonts w:ascii="Times New Roman" w:hAnsi="Times New Roman" w:cs="Times New Roman" w:eastAsia="Times New Roman" w:hint="default"/>
          <w:spacing w:val="-3"/>
        </w:rPr>
        <w:t>96446IP</w:t>
      </w:r>
      <w:r>
        <w:rPr>
          <w:spacing w:val="-3"/>
        </w:rPr>
        <w:t>长途转售和</w:t>
      </w:r>
      <w:r>
        <w:rPr>
          <w:rFonts w:ascii="Times New Roman" w:hAnsi="Times New Roman" w:cs="Times New Roman" w:eastAsia="Times New Roman" w:hint="default"/>
          <w:spacing w:val="-3"/>
        </w:rPr>
        <w:t>95050</w:t>
      </w:r>
      <w:r>
        <w:rPr>
          <w:spacing w:val="-3"/>
        </w:rPr>
        <w:t>多方通话服务</w:t>
      </w:r>
      <w:r>
        <w:rPr>
          <w:rFonts w:ascii="Times New Roman" w:hAnsi="Times New Roman" w:cs="Times New Roman" w:eastAsia="Times New Roman" w:hint="default"/>
          <w:spacing w:val="-3"/>
        </w:rPr>
        <w:t>)</w:t>
      </w:r>
      <w:r>
        <w:rPr>
          <w:spacing w:val="-3"/>
        </w:rPr>
        <w:t>。</w:t>
      </w:r>
    </w:p>
    <w:p>
      <w:pPr>
        <w:spacing w:line="240" w:lineRule="auto" w:before="10"/>
        <w:rPr>
          <w:rFonts w:ascii="宋体" w:hAnsi="宋体" w:cs="宋体" w:eastAsia="宋体" w:hint="default"/>
          <w:sz w:val="24"/>
          <w:szCs w:val="24"/>
        </w:rPr>
      </w:pPr>
    </w:p>
    <w:p>
      <w:pPr>
        <w:pStyle w:val="Heading2"/>
        <w:spacing w:line="240" w:lineRule="auto"/>
        <w:ind w:left="1094" w:right="0"/>
        <w:jc w:val="left"/>
        <w:rPr>
          <w:b w:val="0"/>
          <w:bCs w:val="0"/>
        </w:rPr>
      </w:pPr>
      <w:r>
        <w:rPr>
          <w:rFonts w:ascii="Times New Roman" w:hAnsi="Times New Roman" w:cs="Times New Roman" w:eastAsia="Times New Roman" w:hint="default"/>
        </w:rPr>
        <w:t>4</w:t>
      </w:r>
      <w:r>
        <w:rPr/>
        <w:t>、财务报表的批准报出</w:t>
      </w:r>
      <w:r>
        <w:rPr>
          <w:b w:val="0"/>
          <w:bCs w:val="0"/>
        </w:rPr>
      </w:r>
    </w:p>
    <w:p>
      <w:pPr>
        <w:pStyle w:val="BodyText"/>
        <w:spacing w:line="240" w:lineRule="auto" w:before="189"/>
        <w:ind w:left="1094" w:right="0"/>
        <w:jc w:val="left"/>
      </w:pPr>
      <w:r>
        <w:rPr>
          <w:spacing w:val="-3"/>
        </w:rPr>
        <w:t>本公司的公司及合并财务报表于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28</w:t>
      </w:r>
      <w:r>
        <w:rPr>
          <w:spacing w:val="-3"/>
        </w:rPr>
        <w:t>日经本公司董事会批准。</w:t>
      </w:r>
    </w:p>
    <w:p>
      <w:pPr>
        <w:spacing w:line="240" w:lineRule="auto" w:before="9"/>
        <w:rPr>
          <w:rFonts w:ascii="宋体" w:hAnsi="宋体" w:cs="宋体" w:eastAsia="宋体" w:hint="default"/>
          <w:sz w:val="12"/>
          <w:szCs w:val="12"/>
        </w:rPr>
      </w:pPr>
    </w:p>
    <w:p>
      <w:pPr>
        <w:pStyle w:val="Heading2"/>
        <w:spacing w:line="240" w:lineRule="auto"/>
        <w:ind w:left="1094" w:right="0"/>
        <w:jc w:val="left"/>
        <w:rPr>
          <w:b w:val="0"/>
          <w:bCs w:val="0"/>
        </w:rPr>
      </w:pPr>
      <w:r>
        <w:rPr>
          <w:rFonts w:ascii="Times New Roman" w:hAnsi="Times New Roman" w:cs="Times New Roman" w:eastAsia="Times New Roman" w:hint="default"/>
        </w:rPr>
        <w:t>5</w:t>
      </w:r>
      <w:r>
        <w:rPr/>
        <w:t>、合并财务报表范围</w:t>
      </w:r>
      <w:r>
        <w:rPr>
          <w:b w:val="0"/>
          <w:bCs w:val="0"/>
        </w:rPr>
      </w:r>
    </w:p>
    <w:p>
      <w:pPr>
        <w:pStyle w:val="BodyText"/>
        <w:spacing w:line="240" w:lineRule="auto" w:before="189"/>
        <w:ind w:left="1094" w:right="0"/>
        <w:jc w:val="left"/>
      </w:pPr>
      <w:r>
        <w:rPr>
          <w:spacing w:val="-3"/>
        </w:rPr>
        <w:t>本年度纳入合并财务报表范围的主体共</w:t>
      </w:r>
      <w:r>
        <w:rPr>
          <w:rFonts w:ascii="Times New Roman" w:hAnsi="Times New Roman" w:cs="Times New Roman" w:eastAsia="Times New Roman" w:hint="default"/>
          <w:spacing w:val="-3"/>
        </w:rPr>
        <w:t>27</w:t>
      </w:r>
      <w:r>
        <w:rPr>
          <w:spacing w:val="-3"/>
        </w:rPr>
        <w:t>户，具体包括：</w:t>
      </w: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3649"/>
        <w:gridCol w:w="1066"/>
        <w:gridCol w:w="548"/>
        <w:gridCol w:w="715"/>
        <w:gridCol w:w="1373"/>
        <w:gridCol w:w="807"/>
        <w:gridCol w:w="634"/>
        <w:gridCol w:w="288"/>
        <w:gridCol w:w="634"/>
        <w:gridCol w:w="725"/>
      </w:tblGrid>
      <w:tr>
        <w:trPr>
          <w:trHeight w:val="965" w:hRule="exact"/>
        </w:trPr>
        <w:tc>
          <w:tcPr>
            <w:tcW w:w="364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5"/>
              <w:ind w:left="5" w:right="0"/>
              <w:jc w:val="center"/>
              <w:rPr>
                <w:rFonts w:ascii="宋体" w:hAnsi="宋体" w:cs="宋体" w:eastAsia="宋体" w:hint="default"/>
                <w:sz w:val="18"/>
                <w:szCs w:val="18"/>
              </w:rPr>
            </w:pPr>
            <w:r>
              <w:rPr>
                <w:rFonts w:ascii="宋体" w:hAnsi="宋体" w:cs="宋体" w:eastAsia="宋体" w:hint="default"/>
                <w:color w:val="0D0D0D"/>
                <w:sz w:val="18"/>
                <w:szCs w:val="18"/>
              </w:rPr>
              <w:t>子公司名称</w:t>
            </w:r>
            <w:r>
              <w:rPr>
                <w:rFonts w:ascii="宋体" w:hAnsi="宋体" w:cs="宋体" w:eastAsia="宋体" w:hint="default"/>
                <w:sz w:val="18"/>
                <w:szCs w:val="18"/>
              </w:rPr>
            </w:r>
          </w:p>
        </w:tc>
        <w:tc>
          <w:tcPr>
            <w:tcW w:w="106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color w:val="0D0D0D"/>
                <w:sz w:val="18"/>
                <w:szCs w:val="18"/>
              </w:rPr>
              <w:t>公司简称</w:t>
            </w:r>
            <w:r>
              <w:rPr>
                <w:rFonts w:ascii="宋体" w:hAnsi="宋体" w:cs="宋体" w:eastAsia="宋体" w:hint="default"/>
                <w:sz w:val="18"/>
                <w:szCs w:val="18"/>
              </w:rPr>
            </w:r>
          </w:p>
        </w:tc>
        <w:tc>
          <w:tcPr>
            <w:tcW w:w="54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316" w:lineRule="auto" w:before="15"/>
              <w:ind w:left="86" w:right="81"/>
              <w:jc w:val="both"/>
              <w:rPr>
                <w:rFonts w:ascii="宋体" w:hAnsi="宋体" w:cs="宋体" w:eastAsia="宋体" w:hint="default"/>
                <w:sz w:val="18"/>
                <w:szCs w:val="18"/>
              </w:rPr>
            </w:pPr>
            <w:r>
              <w:rPr>
                <w:rFonts w:ascii="宋体" w:hAnsi="宋体" w:cs="宋体" w:eastAsia="宋体" w:hint="default"/>
                <w:color w:val="0D0D0D"/>
                <w:sz w:val="18"/>
                <w:szCs w:val="18"/>
              </w:rPr>
              <w:t>主要</w:t>
            </w:r>
            <w:r>
              <w:rPr>
                <w:rFonts w:ascii="宋体" w:hAnsi="宋体" w:cs="宋体" w:eastAsia="宋体" w:hint="default"/>
                <w:color w:val="0D0D0D"/>
                <w:spacing w:val="-86"/>
                <w:sz w:val="18"/>
                <w:szCs w:val="18"/>
              </w:rPr>
              <w:t> </w:t>
            </w:r>
            <w:r>
              <w:rPr>
                <w:rFonts w:ascii="宋体" w:hAnsi="宋体" w:cs="宋体" w:eastAsia="宋体" w:hint="default"/>
                <w:color w:val="0D0D0D"/>
                <w:sz w:val="18"/>
                <w:szCs w:val="18"/>
              </w:rPr>
              <w:t>经营</w:t>
            </w:r>
            <w:r>
              <w:rPr>
                <w:rFonts w:ascii="宋体" w:hAnsi="宋体" w:cs="宋体" w:eastAsia="宋体" w:hint="default"/>
                <w:color w:val="0D0D0D"/>
                <w:spacing w:val="-86"/>
                <w:sz w:val="18"/>
                <w:szCs w:val="18"/>
              </w:rPr>
              <w:t> </w:t>
            </w:r>
            <w:r>
              <w:rPr>
                <w:rFonts w:ascii="宋体" w:hAnsi="宋体" w:cs="宋体" w:eastAsia="宋体" w:hint="default"/>
                <w:color w:val="0D0D0D"/>
                <w:sz w:val="18"/>
                <w:szCs w:val="18"/>
              </w:rPr>
              <w:t>地</w:t>
            </w:r>
            <w:r>
              <w:rPr>
                <w:rFonts w:ascii="宋体" w:hAnsi="宋体" w:cs="宋体" w:eastAsia="宋体" w:hint="default"/>
                <w:sz w:val="18"/>
                <w:szCs w:val="18"/>
              </w:rPr>
            </w:r>
          </w:p>
        </w:tc>
        <w:tc>
          <w:tcPr>
            <w:tcW w:w="71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color w:val="0D0D0D"/>
                <w:sz w:val="18"/>
                <w:szCs w:val="18"/>
              </w:rPr>
              <w:t>注册地</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color w:val="0D0D0D"/>
                <w:sz w:val="18"/>
                <w:szCs w:val="18"/>
              </w:rPr>
              <w:t>业务性质</w:t>
            </w:r>
            <w:r>
              <w:rPr>
                <w:rFonts w:ascii="宋体" w:hAnsi="宋体" w:cs="宋体" w:eastAsia="宋体" w:hint="default"/>
                <w:sz w:val="18"/>
                <w:szCs w:val="18"/>
              </w:rPr>
            </w:r>
          </w:p>
        </w:tc>
        <w:tc>
          <w:tcPr>
            <w:tcW w:w="8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5"/>
              <w:ind w:left="9" w:right="0"/>
              <w:jc w:val="center"/>
              <w:rPr>
                <w:rFonts w:ascii="宋体" w:hAnsi="宋体" w:cs="宋体" w:eastAsia="宋体" w:hint="default"/>
                <w:sz w:val="18"/>
                <w:szCs w:val="18"/>
              </w:rPr>
            </w:pPr>
            <w:r>
              <w:rPr>
                <w:rFonts w:ascii="宋体" w:hAnsi="宋体" w:cs="宋体" w:eastAsia="宋体" w:hint="default"/>
                <w:color w:val="0D0D0D"/>
                <w:sz w:val="18"/>
                <w:szCs w:val="18"/>
              </w:rPr>
              <w:t>取得方式</w:t>
            </w:r>
            <w:r>
              <w:rPr>
                <w:rFonts w:ascii="宋体" w:hAnsi="宋体" w:cs="宋体" w:eastAsia="宋体" w:hint="default"/>
                <w:sz w:val="18"/>
                <w:szCs w:val="18"/>
              </w:rPr>
            </w:r>
          </w:p>
        </w:tc>
        <w:tc>
          <w:tcPr>
            <w:tcW w:w="63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316" w:lineRule="auto" w:before="15"/>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子公司</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类型</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316" w:lineRule="auto" w:before="15"/>
              <w:ind w:left="48" w:right="41"/>
              <w:jc w:val="left"/>
              <w:rPr>
                <w:rFonts w:ascii="宋体" w:hAnsi="宋体" w:cs="宋体" w:eastAsia="宋体" w:hint="default"/>
                <w:sz w:val="18"/>
                <w:szCs w:val="18"/>
              </w:rPr>
            </w:pPr>
            <w:r>
              <w:rPr>
                <w:rFonts w:ascii="宋体" w:hAnsi="宋体" w:cs="宋体" w:eastAsia="宋体" w:hint="default"/>
                <w:color w:val="0D0D0D"/>
                <w:sz w:val="18"/>
                <w:szCs w:val="18"/>
              </w:rPr>
              <w:t>级</w:t>
            </w:r>
            <w:r>
              <w:rPr>
                <w:rFonts w:ascii="宋体" w:hAnsi="宋体" w:cs="宋体" w:eastAsia="宋体" w:hint="default"/>
                <w:color w:val="0D0D0D"/>
                <w:spacing w:val="-88"/>
                <w:sz w:val="18"/>
                <w:szCs w:val="18"/>
              </w:rPr>
              <w:t> </w:t>
            </w:r>
            <w:r>
              <w:rPr>
                <w:rFonts w:ascii="宋体" w:hAnsi="宋体" w:cs="宋体" w:eastAsia="宋体" w:hint="default"/>
                <w:color w:val="0D0D0D"/>
                <w:sz w:val="18"/>
                <w:szCs w:val="18"/>
              </w:rPr>
              <w:t>次</w:t>
            </w:r>
            <w:r>
              <w:rPr>
                <w:rFonts w:ascii="宋体" w:hAnsi="宋体" w:cs="宋体" w:eastAsia="宋体" w:hint="default"/>
                <w:sz w:val="18"/>
                <w:szCs w:val="18"/>
              </w:rPr>
            </w:r>
          </w:p>
        </w:tc>
        <w:tc>
          <w:tcPr>
            <w:tcW w:w="63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316" w:lineRule="auto" w:before="15"/>
              <w:ind w:left="86" w:right="31" w:hanging="44"/>
              <w:jc w:val="left"/>
              <w:rPr>
                <w:rFonts w:ascii="Times New Roman" w:hAnsi="Times New Roman" w:cs="Times New Roman" w:eastAsia="Times New Roman" w:hint="default"/>
                <w:sz w:val="18"/>
                <w:szCs w:val="18"/>
              </w:rPr>
            </w:pPr>
            <w:r>
              <w:rPr>
                <w:rFonts w:ascii="宋体" w:hAnsi="宋体" w:cs="宋体" w:eastAsia="宋体" w:hint="default"/>
                <w:color w:val="0D0D0D"/>
                <w:sz w:val="18"/>
                <w:szCs w:val="18"/>
              </w:rPr>
              <w:t>持股比</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例</w:t>
            </w:r>
            <w:r>
              <w:rPr>
                <w:rFonts w:ascii="Times New Roman" w:hAnsi="Times New Roman" w:cs="Times New Roman" w:eastAsia="Times New Roman" w:hint="default"/>
                <w:color w:val="0D0D0D"/>
                <w:sz w:val="18"/>
                <w:szCs w:val="18"/>
              </w:rPr>
              <w:t>(%)</w:t>
            </w:r>
            <w:r>
              <w:rPr>
                <w:rFonts w:ascii="Times New Roman" w:hAnsi="Times New Roman" w:cs="Times New Roman" w:eastAsia="Times New Roman" w:hint="default"/>
                <w:sz w:val="18"/>
                <w:szCs w:val="18"/>
              </w:rPr>
            </w:r>
          </w:p>
        </w:tc>
        <w:tc>
          <w:tcPr>
            <w:tcW w:w="72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316" w:lineRule="auto" w:before="15"/>
              <w:ind w:left="38" w:right="38" w:firstLine="48"/>
              <w:jc w:val="left"/>
              <w:rPr>
                <w:rFonts w:ascii="Times New Roman" w:hAnsi="Times New Roman" w:cs="Times New Roman" w:eastAsia="Times New Roman" w:hint="default"/>
                <w:sz w:val="18"/>
                <w:szCs w:val="18"/>
              </w:rPr>
            </w:pPr>
            <w:r>
              <w:rPr>
                <w:rFonts w:ascii="宋体" w:hAnsi="宋体" w:cs="宋体" w:eastAsia="宋体" w:hint="default"/>
                <w:color w:val="0D0D0D"/>
                <w:sz w:val="18"/>
                <w:szCs w:val="18"/>
              </w:rPr>
              <w:t>表决权</w:t>
            </w:r>
            <w:r>
              <w:rPr>
                <w:rFonts w:ascii="宋体" w:hAnsi="宋体" w:cs="宋体" w:eastAsia="宋体" w:hint="default"/>
                <w:color w:val="0D0D0D"/>
                <w:w w:val="101"/>
                <w:sz w:val="18"/>
                <w:szCs w:val="18"/>
              </w:rPr>
              <w:t> </w:t>
            </w:r>
            <w:r>
              <w:rPr>
                <w:rFonts w:ascii="宋体" w:hAnsi="宋体" w:cs="宋体" w:eastAsia="宋体" w:hint="default"/>
                <w:color w:val="0D0D0D"/>
                <w:sz w:val="18"/>
                <w:szCs w:val="18"/>
              </w:rPr>
              <w:t>比例</w:t>
            </w:r>
            <w:r>
              <w:rPr>
                <w:rFonts w:ascii="Times New Roman" w:hAnsi="Times New Roman" w:cs="Times New Roman" w:eastAsia="Times New Roman" w:hint="default"/>
                <w:color w:val="0D0D0D"/>
                <w:sz w:val="18"/>
                <w:szCs w:val="18"/>
              </w:rPr>
              <w:t>(%)</w:t>
            </w:r>
            <w:r>
              <w:rPr>
                <w:rFonts w:ascii="Times New Roman" w:hAnsi="Times New Roman" w:cs="Times New Roman" w:eastAsia="Times New Roman" w:hint="default"/>
                <w:sz w:val="18"/>
                <w:szCs w:val="18"/>
              </w:rPr>
            </w:r>
          </w:p>
        </w:tc>
      </w:tr>
      <w:tr>
        <w:trPr>
          <w:trHeight w:val="350"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color w:val="0D0D0D"/>
                <w:sz w:val="18"/>
                <w:szCs w:val="18"/>
              </w:rPr>
              <w:t>本公司</w:t>
            </w:r>
            <w:r>
              <w:rPr>
                <w:rFonts w:ascii="宋体" w:hAnsi="宋体" w:cs="宋体" w:eastAsia="宋体" w:hint="default"/>
                <w:sz w:val="18"/>
                <w:szCs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color w:val="0D0D0D"/>
                <w:sz w:val="18"/>
                <w:szCs w:val="18"/>
              </w:rPr>
              <w:t>本公司</w:t>
            </w:r>
            <w:r>
              <w:rPr>
                <w:rFonts w:ascii="宋体" w:hAnsi="宋体" w:cs="宋体" w:eastAsia="宋体" w:hint="default"/>
                <w:sz w:val="18"/>
                <w:szCs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color w:val="0D0D0D"/>
                <w:sz w:val="18"/>
                <w:szCs w:val="18"/>
              </w:rPr>
              <w:t>北京</w:t>
            </w:r>
            <w:r>
              <w:rPr>
                <w:rFonts w:ascii="宋体" w:hAnsi="宋体" w:cs="宋体" w:eastAsia="宋体" w:hint="default"/>
                <w:sz w:val="18"/>
                <w:szCs w:val="18"/>
              </w:rPr>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color w:val="0D0D0D"/>
                <w:sz w:val="18"/>
                <w:szCs w:val="18"/>
              </w:rPr>
              <w:t>北京</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Times New Roman" w:hAnsi="Times New Roman" w:cs="Times New Roman" w:eastAsia="Times New Roman" w:hint="default"/>
                <w:sz w:val="18"/>
                <w:szCs w:val="18"/>
              </w:rPr>
            </w:pPr>
            <w:r>
              <w:rPr>
                <w:rFonts w:ascii="宋体" w:hAnsi="宋体" w:cs="宋体" w:eastAsia="宋体" w:hint="default"/>
                <w:color w:val="0D0D0D"/>
                <w:sz w:val="18"/>
                <w:szCs w:val="18"/>
              </w:rPr>
              <w:t>附注一、</w:t>
            </w:r>
            <w:r>
              <w:rPr>
                <w:rFonts w:ascii="Times New Roman" w:hAnsi="Times New Roman" w:cs="Times New Roman" w:eastAsia="Times New Roman" w:hint="default"/>
                <w:color w:val="0D0D0D"/>
                <w:sz w:val="18"/>
                <w:szCs w:val="18"/>
              </w:rPr>
              <w:t>3</w:t>
            </w:r>
            <w:r>
              <w:rPr>
                <w:rFonts w:ascii="Times New Roman" w:hAnsi="Times New Roman" w:cs="Times New Roman" w:eastAsia="Times New Roman" w:hint="default"/>
                <w:sz w:val="18"/>
                <w:szCs w:val="18"/>
              </w:rPr>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color w:val="0D0D0D"/>
                <w:sz w:val="18"/>
                <w:szCs w:val="18"/>
              </w:rPr>
              <w:t>不适用</w:t>
            </w:r>
            <w:r>
              <w:rPr>
                <w:rFonts w:ascii="宋体" w:hAnsi="宋体" w:cs="宋体" w:eastAsia="宋体" w:hint="default"/>
                <w:sz w:val="18"/>
                <w:szCs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3" w:right="0"/>
              <w:jc w:val="left"/>
              <w:rPr>
                <w:rFonts w:ascii="宋体" w:hAnsi="宋体" w:cs="宋体" w:eastAsia="宋体" w:hint="default"/>
                <w:sz w:val="18"/>
                <w:szCs w:val="18"/>
              </w:rPr>
            </w:pPr>
            <w:r>
              <w:rPr>
                <w:rFonts w:ascii="宋体" w:hAnsi="宋体" w:cs="宋体" w:eastAsia="宋体" w:hint="default"/>
                <w:color w:val="0D0D0D"/>
                <w:sz w:val="18"/>
                <w:szCs w:val="18"/>
              </w:rPr>
              <w:t>不适用</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89"/>
              <w:jc w:val="right"/>
              <w:rPr>
                <w:rFonts w:ascii="Times New Roman" w:hAnsi="Times New Roman" w:cs="Times New Roman" w:eastAsia="Times New Roman" w:hint="default"/>
                <w:sz w:val="18"/>
                <w:szCs w:val="18"/>
              </w:rPr>
            </w:pPr>
            <w:r>
              <w:rPr>
                <w:rFonts w:ascii="Times New Roman"/>
                <w:color w:val="0D0D0D"/>
                <w:w w:val="101"/>
                <w:sz w:val="18"/>
              </w:rPr>
              <w:t>1</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color w:val="0D0D0D"/>
                <w:sz w:val="18"/>
                <w:szCs w:val="18"/>
              </w:rPr>
              <w:t>不适用</w:t>
            </w:r>
            <w:r>
              <w:rPr>
                <w:rFonts w:ascii="宋体" w:hAnsi="宋体" w:cs="宋体" w:eastAsia="宋体" w:hint="default"/>
                <w:sz w:val="18"/>
                <w:szCs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color w:val="0D0D0D"/>
                <w:sz w:val="18"/>
                <w:szCs w:val="18"/>
              </w:rPr>
              <w:t>不适用</w:t>
            </w:r>
            <w:r>
              <w:rPr>
                <w:rFonts w:ascii="宋体" w:hAnsi="宋体" w:cs="宋体" w:eastAsia="宋体" w:hint="default"/>
                <w:sz w:val="18"/>
                <w:szCs w:val="18"/>
              </w:rPr>
            </w:r>
          </w:p>
        </w:tc>
      </w:tr>
      <w:tr>
        <w:trPr>
          <w:trHeight w:val="658"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0D0D0D"/>
                <w:spacing w:val="-3"/>
                <w:sz w:val="18"/>
                <w:szCs w:val="18"/>
              </w:rPr>
              <w:t>北京二六三企业通信有限公司</w:t>
            </w:r>
            <w:r>
              <w:rPr>
                <w:rFonts w:ascii="宋体" w:hAnsi="宋体" w:cs="宋体" w:eastAsia="宋体" w:hint="default"/>
                <w:spacing w:val="-3"/>
                <w:sz w:val="18"/>
                <w:szCs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color w:val="0D0D0D"/>
                <w:sz w:val="18"/>
                <w:szCs w:val="18"/>
              </w:rPr>
              <w:t>企业通信</w:t>
            </w:r>
            <w:r>
              <w:rPr>
                <w:rFonts w:ascii="宋体" w:hAnsi="宋体" w:cs="宋体" w:eastAsia="宋体" w:hint="default"/>
                <w:sz w:val="18"/>
                <w:szCs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color w:val="0D0D0D"/>
                <w:sz w:val="18"/>
                <w:szCs w:val="18"/>
              </w:rPr>
              <w:t>北京</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企业通信</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right"/>
              <w:rPr>
                <w:rFonts w:ascii="Times New Roman" w:hAnsi="Times New Roman" w:cs="Times New Roman" w:eastAsia="Times New Roman" w:hint="default"/>
                <w:sz w:val="18"/>
                <w:szCs w:val="18"/>
              </w:rPr>
            </w:pPr>
            <w:r>
              <w:rPr>
                <w:rFonts w:ascii="Times New Roman"/>
                <w:color w:val="0D0D0D"/>
                <w:w w:val="101"/>
                <w:sz w:val="18"/>
              </w:rPr>
              <w:t>2</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8"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0D0D0D"/>
                <w:spacing w:val="-3"/>
                <w:sz w:val="18"/>
                <w:szCs w:val="18"/>
              </w:rPr>
              <w:t>上海二六三通信有限公司</w:t>
            </w:r>
            <w:r>
              <w:rPr>
                <w:rFonts w:ascii="宋体" w:hAnsi="宋体" w:cs="宋体" w:eastAsia="宋体" w:hint="default"/>
                <w:spacing w:val="-3"/>
                <w:sz w:val="18"/>
                <w:szCs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color w:val="0D0D0D"/>
                <w:sz w:val="18"/>
                <w:szCs w:val="18"/>
              </w:rPr>
              <w:t>上海通信</w:t>
            </w:r>
            <w:r>
              <w:rPr>
                <w:rFonts w:ascii="宋体" w:hAnsi="宋体" w:cs="宋体" w:eastAsia="宋体" w:hint="default"/>
                <w:sz w:val="18"/>
                <w:szCs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color w:val="0D0D0D"/>
                <w:sz w:val="18"/>
                <w:szCs w:val="18"/>
              </w:rPr>
              <w:t>上海</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增值通信、</w:t>
            </w:r>
            <w:r>
              <w:rPr>
                <w:rFonts w:ascii="Times New Roman" w:hAnsi="Times New Roman" w:cs="Times New Roman" w:eastAsia="Times New Roman" w:hint="default"/>
                <w:sz w:val="18"/>
                <w:szCs w:val="18"/>
              </w:rPr>
              <w:t>VPN</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right"/>
              <w:rPr>
                <w:rFonts w:ascii="Times New Roman" w:hAnsi="Times New Roman" w:cs="Times New Roman" w:eastAsia="Times New Roman" w:hint="default"/>
                <w:sz w:val="18"/>
                <w:szCs w:val="18"/>
              </w:rPr>
            </w:pPr>
            <w:r>
              <w:rPr>
                <w:rFonts w:ascii="Times New Roman"/>
                <w:color w:val="0D0D0D"/>
                <w:w w:val="101"/>
                <w:sz w:val="18"/>
              </w:rPr>
              <w:t>2</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974"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color w:val="0D0D0D"/>
                <w:spacing w:val="-3"/>
                <w:sz w:val="18"/>
                <w:szCs w:val="18"/>
              </w:rPr>
              <w:t>二六三增值通信香港有限公司</w:t>
            </w:r>
            <w:r>
              <w:rPr>
                <w:rFonts w:ascii="宋体" w:hAnsi="宋体" w:cs="宋体" w:eastAsia="宋体" w:hint="default"/>
                <w:spacing w:val="-3"/>
                <w:sz w:val="18"/>
                <w:szCs w:val="18"/>
              </w:rPr>
            </w:r>
          </w:p>
          <w:p>
            <w:pPr>
              <w:pStyle w:val="TableParagraph"/>
              <w:spacing w:line="340" w:lineRule="auto" w:before="76"/>
              <w:ind w:left="4" w:right="226" w:firstLine="18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英文名：</w:t>
            </w:r>
            <w:r>
              <w:rPr>
                <w:rFonts w:ascii="Times New Roman" w:hAnsi="Times New Roman" w:cs="Times New Roman" w:eastAsia="Times New Roman" w:hint="default"/>
                <w:color w:val="0D0D0D"/>
                <w:sz w:val="18"/>
                <w:szCs w:val="18"/>
              </w:rPr>
              <w:t>263 </w:t>
            </w:r>
            <w:r>
              <w:rPr>
                <w:rFonts w:ascii="Times New Roman" w:hAnsi="Times New Roman" w:cs="Times New Roman" w:eastAsia="Times New Roman" w:hint="default"/>
                <w:color w:val="0D0D0D"/>
                <w:spacing w:val="-7"/>
                <w:sz w:val="18"/>
                <w:szCs w:val="18"/>
              </w:rPr>
              <w:t>Value </w:t>
            </w:r>
            <w:r>
              <w:rPr>
                <w:rFonts w:ascii="Times New Roman" w:hAnsi="Times New Roman" w:cs="Times New Roman" w:eastAsia="Times New Roman" w:hint="default"/>
                <w:color w:val="0D0D0D"/>
                <w:sz w:val="18"/>
                <w:szCs w:val="18"/>
              </w:rPr>
              <w:t>Added</w:t>
            </w:r>
            <w:r>
              <w:rPr>
                <w:rFonts w:ascii="Times New Roman" w:hAnsi="Times New Roman" w:cs="Times New Roman" w:eastAsia="Times New Roman" w:hint="default"/>
                <w:color w:val="0D0D0D"/>
                <w:spacing w:val="-5"/>
                <w:sz w:val="18"/>
                <w:szCs w:val="18"/>
              </w:rPr>
              <w:t> </w:t>
            </w:r>
            <w:r>
              <w:rPr>
                <w:rFonts w:ascii="Times New Roman" w:hAnsi="Times New Roman" w:cs="Times New Roman" w:eastAsia="Times New Roman" w:hint="default"/>
                <w:color w:val="0D0D0D"/>
                <w:sz w:val="18"/>
                <w:szCs w:val="18"/>
              </w:rPr>
              <w:t>Communication</w:t>
            </w:r>
            <w:r>
              <w:rPr>
                <w:rFonts w:ascii="Times New Roman" w:hAnsi="Times New Roman" w:cs="Times New Roman" w:eastAsia="Times New Roman" w:hint="default"/>
                <w:color w:val="0D0D0D"/>
                <w:w w:val="101"/>
                <w:sz w:val="18"/>
                <w:szCs w:val="18"/>
              </w:rPr>
              <w:t> </w:t>
            </w:r>
            <w:r>
              <w:rPr>
                <w:rFonts w:ascii="Times New Roman" w:hAnsi="Times New Roman" w:cs="Times New Roman" w:eastAsia="Times New Roman" w:hint="default"/>
                <w:color w:val="0D0D0D"/>
                <w:sz w:val="18"/>
                <w:szCs w:val="18"/>
              </w:rPr>
              <w:t>Hong Kong</w:t>
            </w:r>
            <w:r>
              <w:rPr>
                <w:rFonts w:ascii="Times New Roman" w:hAnsi="Times New Roman" w:cs="Times New Roman" w:eastAsia="Times New Roman" w:hint="default"/>
                <w:color w:val="0D0D0D"/>
                <w:spacing w:val="-5"/>
                <w:sz w:val="18"/>
                <w:szCs w:val="18"/>
              </w:rPr>
              <w:t> </w:t>
            </w:r>
            <w:r>
              <w:rPr>
                <w:rFonts w:ascii="Times New Roman" w:hAnsi="Times New Roman" w:cs="Times New Roman" w:eastAsia="Times New Roman" w:hint="default"/>
                <w:color w:val="0D0D0D"/>
                <w:sz w:val="18"/>
                <w:szCs w:val="18"/>
              </w:rPr>
              <w:t>Co.,Limited)</w:t>
            </w:r>
            <w:r>
              <w:rPr>
                <w:rFonts w:ascii="Times New Roman" w:hAnsi="Times New Roman" w:cs="Times New Roman" w:eastAsia="Times New Roman" w:hint="default"/>
                <w:sz w:val="18"/>
                <w:szCs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color w:val="0D0D0D"/>
                <w:sz w:val="18"/>
                <w:szCs w:val="18"/>
              </w:rPr>
              <w:t>香港增值</w:t>
            </w:r>
            <w:r>
              <w:rPr>
                <w:rFonts w:ascii="宋体" w:hAnsi="宋体" w:cs="宋体" w:eastAsia="宋体" w:hint="default"/>
                <w:sz w:val="18"/>
                <w:szCs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color w:val="0D0D0D"/>
                <w:sz w:val="18"/>
                <w:szCs w:val="18"/>
              </w:rPr>
              <w:t>香港</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Times New Roman" w:hAnsi="Times New Roman" w:cs="Times New Roman" w:eastAsia="Times New Roman" w:hint="default"/>
                <w:sz w:val="18"/>
                <w:szCs w:val="18"/>
              </w:rPr>
            </w:pPr>
            <w:r>
              <w:rPr>
                <w:rFonts w:ascii="Times New Roman"/>
                <w:sz w:val="18"/>
              </w:rPr>
              <w:t>VPN</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89"/>
              <w:jc w:val="right"/>
              <w:rPr>
                <w:rFonts w:ascii="Times New Roman" w:hAnsi="Times New Roman" w:cs="Times New Roman" w:eastAsia="Times New Roman" w:hint="default"/>
                <w:sz w:val="18"/>
                <w:szCs w:val="18"/>
              </w:rPr>
            </w:pPr>
            <w:r>
              <w:rPr>
                <w:rFonts w:ascii="Times New Roman"/>
                <w:color w:val="0D0D0D"/>
                <w:w w:val="101"/>
                <w:sz w:val="18"/>
              </w:rPr>
              <w:t>3</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9"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8"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0D0D0D"/>
                <w:spacing w:val="-3"/>
                <w:sz w:val="18"/>
                <w:szCs w:val="18"/>
              </w:rPr>
              <w:t>北京二六三网络科技有限公司</w:t>
            </w:r>
            <w:r>
              <w:rPr>
                <w:rFonts w:ascii="宋体" w:hAnsi="宋体" w:cs="宋体" w:eastAsia="宋体" w:hint="default"/>
                <w:spacing w:val="-3"/>
                <w:sz w:val="18"/>
                <w:szCs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color w:val="0D0D0D"/>
                <w:sz w:val="18"/>
                <w:szCs w:val="18"/>
              </w:rPr>
              <w:t>网络科技</w:t>
            </w:r>
            <w:r>
              <w:rPr>
                <w:rFonts w:ascii="宋体" w:hAnsi="宋体" w:cs="宋体" w:eastAsia="宋体" w:hint="default"/>
                <w:sz w:val="18"/>
                <w:szCs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color w:val="0D0D0D"/>
                <w:sz w:val="18"/>
                <w:szCs w:val="18"/>
              </w:rPr>
              <w:t>北京</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VOIP</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IPTV</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right"/>
              <w:rPr>
                <w:rFonts w:ascii="Times New Roman" w:hAnsi="Times New Roman" w:cs="Times New Roman" w:eastAsia="Times New Roman" w:hint="default"/>
                <w:sz w:val="18"/>
                <w:szCs w:val="18"/>
              </w:rPr>
            </w:pPr>
            <w:r>
              <w:rPr>
                <w:rFonts w:ascii="Times New Roman"/>
                <w:color w:val="0D0D0D"/>
                <w:w w:val="101"/>
                <w:sz w:val="18"/>
              </w:rPr>
              <w:t>2</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8"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0D0D0D"/>
                <w:spacing w:val="-3"/>
                <w:sz w:val="18"/>
                <w:szCs w:val="18"/>
              </w:rPr>
              <w:t>二六三软件技术</w:t>
            </w:r>
            <w:r>
              <w:rPr>
                <w:rFonts w:ascii="Times New Roman" w:hAnsi="Times New Roman" w:cs="Times New Roman" w:eastAsia="Times New Roman" w:hint="default"/>
                <w:color w:val="0D0D0D"/>
                <w:spacing w:val="-3"/>
                <w:sz w:val="18"/>
                <w:szCs w:val="18"/>
              </w:rPr>
              <w:t>(</w:t>
            </w:r>
            <w:r>
              <w:rPr>
                <w:rFonts w:ascii="宋体" w:hAnsi="宋体" w:cs="宋体" w:eastAsia="宋体" w:hint="default"/>
                <w:color w:val="0D0D0D"/>
                <w:spacing w:val="-3"/>
                <w:sz w:val="18"/>
                <w:szCs w:val="18"/>
              </w:rPr>
              <w:t>北京</w:t>
            </w:r>
            <w:r>
              <w:rPr>
                <w:rFonts w:ascii="Times New Roman" w:hAnsi="Times New Roman" w:cs="Times New Roman" w:eastAsia="Times New Roman" w:hint="default"/>
                <w:color w:val="0D0D0D"/>
                <w:spacing w:val="-3"/>
                <w:sz w:val="18"/>
                <w:szCs w:val="18"/>
              </w:rPr>
              <w:t>)</w:t>
            </w:r>
            <w:r>
              <w:rPr>
                <w:rFonts w:ascii="宋体" w:hAnsi="宋体" w:cs="宋体" w:eastAsia="宋体" w:hint="default"/>
                <w:color w:val="0D0D0D"/>
                <w:spacing w:val="-3"/>
                <w:sz w:val="18"/>
                <w:szCs w:val="18"/>
              </w:rPr>
              <w:t>有限公司</w:t>
            </w:r>
            <w:r>
              <w:rPr>
                <w:rFonts w:ascii="宋体" w:hAnsi="宋体" w:cs="宋体" w:eastAsia="宋体" w:hint="default"/>
                <w:spacing w:val="-3"/>
                <w:sz w:val="18"/>
                <w:szCs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color w:val="0D0D0D"/>
                <w:sz w:val="18"/>
                <w:szCs w:val="18"/>
              </w:rPr>
              <w:t>软件技术</w:t>
            </w:r>
            <w:r>
              <w:rPr>
                <w:rFonts w:ascii="宋体" w:hAnsi="宋体" w:cs="宋体" w:eastAsia="宋体" w:hint="default"/>
                <w:sz w:val="18"/>
                <w:szCs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color w:val="0D0D0D"/>
                <w:sz w:val="18"/>
                <w:szCs w:val="18"/>
              </w:rPr>
              <w:t>北京</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IT</w:t>
            </w:r>
            <w:r>
              <w:rPr>
                <w:rFonts w:ascii="宋体" w:hAnsi="宋体" w:cs="宋体" w:eastAsia="宋体" w:hint="default"/>
                <w:spacing w:val="-3"/>
                <w:sz w:val="18"/>
                <w:szCs w:val="18"/>
              </w:rPr>
              <w:t>业务</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9"/>
              <w:jc w:val="right"/>
              <w:rPr>
                <w:rFonts w:ascii="Times New Roman" w:hAnsi="Times New Roman" w:cs="Times New Roman" w:eastAsia="Times New Roman" w:hint="default"/>
                <w:sz w:val="18"/>
                <w:szCs w:val="18"/>
              </w:rPr>
            </w:pPr>
            <w:r>
              <w:rPr>
                <w:rFonts w:ascii="Times New Roman"/>
                <w:color w:val="0D0D0D"/>
                <w:w w:val="101"/>
                <w:sz w:val="18"/>
              </w:rPr>
              <w:t>3</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8"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color w:val="0D0D0D"/>
                <w:spacing w:val="-3"/>
                <w:sz w:val="18"/>
              </w:rPr>
              <w:t>iTalk </w:t>
            </w:r>
            <w:r>
              <w:rPr>
                <w:rFonts w:ascii="Times New Roman"/>
                <w:color w:val="0D0D0D"/>
                <w:sz w:val="18"/>
              </w:rPr>
              <w:t>Global Communications,</w:t>
            </w:r>
            <w:r>
              <w:rPr>
                <w:rFonts w:ascii="Times New Roman"/>
                <w:color w:val="0D0D0D"/>
                <w:spacing w:val="1"/>
                <w:sz w:val="18"/>
              </w:rPr>
              <w:t> </w:t>
            </w:r>
            <w:r>
              <w:rPr>
                <w:rFonts w:ascii="Times New Roman"/>
                <w:color w:val="0D0D0D"/>
                <w:spacing w:val="-4"/>
                <w:sz w:val="18"/>
              </w:rPr>
              <w:t>Inc.</w:t>
            </w:r>
            <w:r>
              <w:rPr>
                <w:rFonts w:ascii="Times New Roman"/>
                <w:spacing w:val="-4"/>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color w:val="0D0D0D"/>
                <w:spacing w:val="-3"/>
                <w:sz w:val="18"/>
              </w:rPr>
              <w:t>iTalk</w:t>
            </w:r>
            <w:r>
              <w:rPr>
                <w:rFonts w:ascii="Times New Roman"/>
                <w:color w:val="0D0D0D"/>
                <w:spacing w:val="-1"/>
                <w:sz w:val="18"/>
              </w:rPr>
              <w:t> </w:t>
            </w:r>
            <w:r>
              <w:rPr>
                <w:rFonts w:ascii="Times New Roman"/>
                <w:color w:val="0D0D0D"/>
                <w:sz w:val="18"/>
              </w:rPr>
              <w:t>Global</w:t>
            </w:r>
            <w:r>
              <w:rPr>
                <w:rFonts w:ascii="Times New Roman"/>
                <w:sz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color w:val="0D0D0D"/>
                <w:sz w:val="18"/>
                <w:szCs w:val="18"/>
              </w:rPr>
              <w:t>美国</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pacing w:val="-3"/>
                <w:sz w:val="18"/>
              </w:rPr>
              <w:t>VOIP</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8" w:right="2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right"/>
              <w:rPr>
                <w:rFonts w:ascii="Times New Roman" w:hAnsi="Times New Roman" w:cs="Times New Roman" w:eastAsia="Times New Roman" w:hint="default"/>
                <w:sz w:val="18"/>
                <w:szCs w:val="18"/>
              </w:rPr>
            </w:pPr>
            <w:r>
              <w:rPr>
                <w:rFonts w:ascii="Times New Roman"/>
                <w:color w:val="0D0D0D"/>
                <w:w w:val="101"/>
                <w:sz w:val="18"/>
              </w:rPr>
              <w:t>3</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63"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4" w:right="0"/>
              <w:jc w:val="left"/>
              <w:rPr>
                <w:rFonts w:ascii="Times New Roman" w:hAnsi="Times New Roman" w:cs="Times New Roman" w:eastAsia="Times New Roman" w:hint="default"/>
                <w:sz w:val="18"/>
                <w:szCs w:val="18"/>
              </w:rPr>
            </w:pPr>
            <w:r>
              <w:rPr>
                <w:rFonts w:ascii="Times New Roman"/>
                <w:color w:val="0D0D0D"/>
                <w:spacing w:val="-3"/>
                <w:sz w:val="18"/>
              </w:rPr>
              <w:t>iTalkBB </w:t>
            </w:r>
            <w:r>
              <w:rPr>
                <w:rFonts w:ascii="Times New Roman"/>
                <w:color w:val="0D0D0D"/>
                <w:sz w:val="18"/>
              </w:rPr>
              <w:t>Canada</w:t>
            </w:r>
            <w:r>
              <w:rPr>
                <w:rFonts w:ascii="Times New Roman"/>
                <w:color w:val="0D0D0D"/>
                <w:spacing w:val="16"/>
                <w:sz w:val="18"/>
              </w:rPr>
              <w:t> </w:t>
            </w:r>
            <w:r>
              <w:rPr>
                <w:rFonts w:ascii="Times New Roman"/>
                <w:color w:val="0D0D0D"/>
                <w:spacing w:val="-4"/>
                <w:sz w:val="18"/>
              </w:rPr>
              <w:t>Inc.</w:t>
            </w:r>
            <w:r>
              <w:rPr>
                <w:rFonts w:ascii="Times New Roman"/>
                <w:spacing w:val="-4"/>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7"/>
              <w:ind w:left="255" w:right="213" w:hanging="34"/>
              <w:jc w:val="left"/>
              <w:rPr>
                <w:rFonts w:ascii="Times New Roman" w:hAnsi="Times New Roman" w:cs="Times New Roman" w:eastAsia="Times New Roman" w:hint="default"/>
                <w:sz w:val="18"/>
                <w:szCs w:val="18"/>
              </w:rPr>
            </w:pPr>
            <w:r>
              <w:rPr>
                <w:rFonts w:ascii="Times New Roman"/>
                <w:color w:val="0D0D0D"/>
                <w:spacing w:val="-3"/>
                <w:sz w:val="18"/>
              </w:rPr>
              <w:t>iTalkBB</w:t>
            </w:r>
            <w:r>
              <w:rPr>
                <w:rFonts w:ascii="Times New Roman"/>
                <w:color w:val="0D0D0D"/>
                <w:spacing w:val="-32"/>
                <w:sz w:val="18"/>
              </w:rPr>
              <w:t> </w:t>
            </w:r>
            <w:r>
              <w:rPr>
                <w:rFonts w:ascii="Times New Roman"/>
                <w:color w:val="0D0D0D"/>
                <w:spacing w:val="-32"/>
                <w:sz w:val="18"/>
              </w:rPr>
            </w:r>
            <w:r>
              <w:rPr>
                <w:rFonts w:ascii="Times New Roman"/>
                <w:color w:val="0D0D0D"/>
                <w:sz w:val="18"/>
              </w:rPr>
              <w:t>Canada</w:t>
            </w:r>
            <w:r>
              <w:rPr>
                <w:rFonts w:ascii="Times New Roman"/>
                <w:sz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177" w:right="81" w:hanging="92"/>
              <w:jc w:val="left"/>
              <w:rPr>
                <w:rFonts w:ascii="宋体" w:hAnsi="宋体" w:cs="宋体" w:eastAsia="宋体" w:hint="default"/>
                <w:sz w:val="18"/>
                <w:szCs w:val="18"/>
              </w:rPr>
            </w:pPr>
            <w:r>
              <w:rPr>
                <w:rFonts w:ascii="宋体" w:hAnsi="宋体" w:cs="宋体" w:eastAsia="宋体" w:hint="default"/>
                <w:sz w:val="18"/>
                <w:szCs w:val="18"/>
              </w:rPr>
              <w:t>加拿</w:t>
            </w:r>
            <w:r>
              <w:rPr>
                <w:rFonts w:ascii="宋体" w:hAnsi="宋体" w:cs="宋体" w:eastAsia="宋体" w:hint="default"/>
                <w:spacing w:val="-86"/>
                <w:sz w:val="18"/>
                <w:szCs w:val="18"/>
              </w:rPr>
              <w:t> </w:t>
            </w:r>
            <w:r>
              <w:rPr>
                <w:rFonts w:ascii="宋体" w:hAnsi="宋体" w:cs="宋体" w:eastAsia="宋体" w:hint="default"/>
                <w:sz w:val="18"/>
                <w:szCs w:val="18"/>
              </w:rPr>
              <w:t>大</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color w:val="0D0D0D"/>
                <w:sz w:val="18"/>
                <w:szCs w:val="18"/>
              </w:rPr>
              <w:t>加拿大</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宋体" w:hAnsi="宋体" w:cs="宋体" w:eastAsia="宋体" w:hint="default"/>
                <w:sz w:val="18"/>
                <w:szCs w:val="18"/>
              </w:rPr>
              <w:t>经营推广</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38" w:right="2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89"/>
              <w:jc w:val="right"/>
              <w:rPr>
                <w:rFonts w:ascii="Times New Roman" w:hAnsi="Times New Roman" w:cs="Times New Roman" w:eastAsia="Times New Roman" w:hint="default"/>
                <w:sz w:val="18"/>
                <w:szCs w:val="18"/>
              </w:rPr>
            </w:pPr>
            <w:r>
              <w:rPr>
                <w:rFonts w:ascii="Times New Roman"/>
                <w:color w:val="0D0D0D"/>
                <w:w w:val="101"/>
                <w:sz w:val="18"/>
              </w:rPr>
              <w:t>3</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9"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8"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color w:val="0D0D0D"/>
                <w:spacing w:val="-3"/>
                <w:sz w:val="18"/>
              </w:rPr>
              <w:t>iTalkBB </w:t>
            </w:r>
            <w:r>
              <w:rPr>
                <w:rFonts w:ascii="Times New Roman"/>
                <w:color w:val="0D0D0D"/>
                <w:sz w:val="18"/>
              </w:rPr>
              <w:t>Australia Pty</w:t>
            </w:r>
            <w:r>
              <w:rPr>
                <w:rFonts w:ascii="Times New Roman"/>
                <w:color w:val="0D0D0D"/>
                <w:spacing w:val="-11"/>
                <w:sz w:val="18"/>
              </w:rPr>
              <w:t> </w:t>
            </w:r>
            <w:r>
              <w:rPr>
                <w:rFonts w:ascii="Times New Roman"/>
                <w:color w:val="0D0D0D"/>
                <w:sz w:val="18"/>
              </w:rPr>
              <w:t>Ltd.</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2"/>
              <w:ind w:left="197" w:right="191" w:firstLine="24"/>
              <w:jc w:val="left"/>
              <w:rPr>
                <w:rFonts w:ascii="Times New Roman" w:hAnsi="Times New Roman" w:cs="Times New Roman" w:eastAsia="Times New Roman" w:hint="default"/>
                <w:sz w:val="18"/>
                <w:szCs w:val="18"/>
              </w:rPr>
            </w:pPr>
            <w:r>
              <w:rPr>
                <w:rFonts w:ascii="Times New Roman"/>
                <w:color w:val="0D0D0D"/>
                <w:spacing w:val="-3"/>
                <w:sz w:val="18"/>
              </w:rPr>
              <w:t>iTalkBB</w:t>
            </w:r>
            <w:r>
              <w:rPr>
                <w:rFonts w:ascii="Times New Roman"/>
                <w:color w:val="0D0D0D"/>
                <w:w w:val="101"/>
                <w:sz w:val="18"/>
              </w:rPr>
              <w:t> </w:t>
            </w:r>
            <w:r>
              <w:rPr>
                <w:rFonts w:ascii="Times New Roman"/>
                <w:color w:val="0D0D0D"/>
                <w:sz w:val="18"/>
              </w:rPr>
              <w:t>Australia</w:t>
            </w:r>
            <w:r>
              <w:rPr>
                <w:rFonts w:ascii="Times New Roman"/>
                <w:sz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86" w:right="81"/>
              <w:jc w:val="left"/>
              <w:rPr>
                <w:rFonts w:ascii="宋体" w:hAnsi="宋体" w:cs="宋体" w:eastAsia="宋体" w:hint="default"/>
                <w:sz w:val="18"/>
                <w:szCs w:val="18"/>
              </w:rPr>
            </w:pPr>
            <w:r>
              <w:rPr>
                <w:rFonts w:ascii="宋体" w:hAnsi="宋体" w:cs="宋体" w:eastAsia="宋体" w:hint="default"/>
                <w:sz w:val="18"/>
                <w:szCs w:val="18"/>
              </w:rPr>
              <w:t>澳大</w:t>
            </w:r>
            <w:r>
              <w:rPr>
                <w:rFonts w:ascii="宋体" w:hAnsi="宋体" w:cs="宋体" w:eastAsia="宋体" w:hint="default"/>
                <w:spacing w:val="-86"/>
                <w:sz w:val="18"/>
                <w:szCs w:val="18"/>
              </w:rPr>
              <w:t> </w:t>
            </w:r>
            <w:r>
              <w:rPr>
                <w:rFonts w:ascii="宋体" w:hAnsi="宋体" w:cs="宋体" w:eastAsia="宋体" w:hint="default"/>
                <w:sz w:val="18"/>
                <w:szCs w:val="18"/>
              </w:rPr>
              <w:t>利亚</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63" w:right="69" w:hanging="178"/>
              <w:jc w:val="left"/>
              <w:rPr>
                <w:rFonts w:ascii="宋体" w:hAnsi="宋体" w:cs="宋体" w:eastAsia="宋体" w:hint="default"/>
                <w:sz w:val="18"/>
                <w:szCs w:val="18"/>
              </w:rPr>
            </w:pPr>
            <w:r>
              <w:rPr>
                <w:rFonts w:ascii="宋体" w:hAnsi="宋体" w:cs="宋体" w:eastAsia="宋体" w:hint="default"/>
                <w:color w:val="0D0D0D"/>
                <w:sz w:val="18"/>
                <w:szCs w:val="18"/>
              </w:rPr>
              <w:t>澳大利</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亚</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宋体" w:hAnsi="宋体" w:cs="宋体" w:eastAsia="宋体" w:hint="default"/>
                <w:sz w:val="18"/>
                <w:szCs w:val="18"/>
              </w:rPr>
              <w:t>经营推广</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8" w:right="2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right"/>
              <w:rPr>
                <w:rFonts w:ascii="Times New Roman" w:hAnsi="Times New Roman" w:cs="Times New Roman" w:eastAsia="Times New Roman" w:hint="default"/>
                <w:sz w:val="18"/>
                <w:szCs w:val="18"/>
              </w:rPr>
            </w:pPr>
            <w:r>
              <w:rPr>
                <w:rFonts w:ascii="Times New Roman"/>
                <w:color w:val="0D0D0D"/>
                <w:w w:val="101"/>
                <w:sz w:val="18"/>
              </w:rPr>
              <w:t>3</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8"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color w:val="0D0D0D"/>
                <w:sz w:val="18"/>
              </w:rPr>
              <w:t>Freedom Enterprise,</w:t>
            </w:r>
            <w:r>
              <w:rPr>
                <w:rFonts w:ascii="Times New Roman"/>
                <w:color w:val="0D0D0D"/>
                <w:spacing w:val="-11"/>
                <w:sz w:val="18"/>
              </w:rPr>
              <w:t> </w:t>
            </w:r>
            <w:r>
              <w:rPr>
                <w:rFonts w:ascii="Times New Roman"/>
                <w:color w:val="0D0D0D"/>
                <w:sz w:val="18"/>
              </w:rPr>
              <w:t>L.L.C</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color w:val="0D0D0D"/>
                <w:sz w:val="18"/>
              </w:rPr>
              <w:t>Freedom</w:t>
            </w:r>
            <w:r>
              <w:rPr>
                <w:rFonts w:ascii="Times New Roman"/>
                <w:sz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color w:val="0D0D0D"/>
                <w:sz w:val="18"/>
                <w:szCs w:val="18"/>
              </w:rPr>
              <w:t>美国</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8" w:right="2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right"/>
              <w:rPr>
                <w:rFonts w:ascii="Times New Roman" w:hAnsi="Times New Roman" w:cs="Times New Roman" w:eastAsia="Times New Roman" w:hint="default"/>
                <w:sz w:val="18"/>
                <w:szCs w:val="18"/>
              </w:rPr>
            </w:pPr>
            <w:r>
              <w:rPr>
                <w:rFonts w:ascii="Times New Roman"/>
                <w:color w:val="0D0D0D"/>
                <w:w w:val="101"/>
                <w:sz w:val="18"/>
              </w:rPr>
              <w:t>4</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63"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7"/>
              <w:ind w:left="4" w:right="193"/>
              <w:jc w:val="left"/>
              <w:rPr>
                <w:rFonts w:ascii="Times New Roman" w:hAnsi="Times New Roman" w:cs="Times New Roman" w:eastAsia="Times New Roman" w:hint="default"/>
                <w:sz w:val="18"/>
                <w:szCs w:val="18"/>
              </w:rPr>
            </w:pPr>
            <w:r>
              <w:rPr>
                <w:rFonts w:ascii="Times New Roman"/>
                <w:color w:val="0D0D0D"/>
                <w:sz w:val="18"/>
              </w:rPr>
              <w:t>Digital </w:t>
            </w:r>
            <w:r>
              <w:rPr>
                <w:rFonts w:ascii="Times New Roman"/>
                <w:color w:val="0D0D0D"/>
                <w:spacing w:val="-3"/>
                <w:sz w:val="18"/>
              </w:rPr>
              <w:t>Technology </w:t>
            </w:r>
            <w:r>
              <w:rPr>
                <w:rFonts w:ascii="Times New Roman"/>
                <w:color w:val="0D0D0D"/>
                <w:sz w:val="18"/>
              </w:rPr>
              <w:t>Marketing and</w:t>
            </w:r>
            <w:r>
              <w:rPr>
                <w:rFonts w:ascii="Times New Roman"/>
                <w:color w:val="0D0D0D"/>
                <w:spacing w:val="-4"/>
                <w:sz w:val="18"/>
              </w:rPr>
              <w:t> </w:t>
            </w:r>
            <w:r>
              <w:rPr>
                <w:rFonts w:ascii="Times New Roman"/>
                <w:color w:val="0D0D0D"/>
                <w:sz w:val="18"/>
              </w:rPr>
              <w:t>Information,</w:t>
            </w:r>
            <w:r>
              <w:rPr>
                <w:rFonts w:ascii="Times New Roman"/>
                <w:color w:val="0D0D0D"/>
                <w:w w:val="101"/>
                <w:sz w:val="18"/>
              </w:rPr>
              <w:t> </w:t>
            </w:r>
            <w:r>
              <w:rPr>
                <w:rFonts w:ascii="Times New Roman"/>
                <w:color w:val="0D0D0D"/>
                <w:spacing w:val="-3"/>
                <w:sz w:val="18"/>
              </w:rPr>
              <w:t>Inc.</w:t>
            </w:r>
            <w:r>
              <w:rPr>
                <w:rFonts w:ascii="Times New Roman"/>
                <w:spacing w:val="-3"/>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color w:val="0D0D0D"/>
                <w:sz w:val="18"/>
              </w:rPr>
              <w:t>DTMI</w:t>
            </w:r>
            <w:r>
              <w:rPr>
                <w:rFonts w:ascii="Times New Roman"/>
                <w:sz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color w:val="0D0D0D"/>
                <w:sz w:val="18"/>
                <w:szCs w:val="18"/>
              </w:rPr>
              <w:t>美国</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宋体" w:hAnsi="宋体" w:cs="宋体" w:eastAsia="宋体" w:hint="default"/>
                <w:sz w:val="18"/>
                <w:szCs w:val="18"/>
              </w:rPr>
              <w:t>经营推广</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38" w:right="2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89"/>
              <w:jc w:val="right"/>
              <w:rPr>
                <w:rFonts w:ascii="Times New Roman" w:hAnsi="Times New Roman" w:cs="Times New Roman" w:eastAsia="Times New Roman" w:hint="default"/>
                <w:sz w:val="18"/>
                <w:szCs w:val="18"/>
              </w:rPr>
            </w:pPr>
            <w:r>
              <w:rPr>
                <w:rFonts w:ascii="Times New Roman"/>
                <w:color w:val="0D0D0D"/>
                <w:w w:val="101"/>
                <w:sz w:val="18"/>
              </w:rPr>
              <w:t>3</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9"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8"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color w:val="0D0D0D"/>
                <w:spacing w:val="-3"/>
                <w:sz w:val="18"/>
              </w:rPr>
              <w:t>iTalkBB </w:t>
            </w:r>
            <w:r>
              <w:rPr>
                <w:rFonts w:ascii="Times New Roman"/>
                <w:color w:val="0D0D0D"/>
                <w:sz w:val="18"/>
              </w:rPr>
              <w:t>Singapore Pte,</w:t>
            </w:r>
            <w:r>
              <w:rPr>
                <w:rFonts w:ascii="Times New Roman"/>
                <w:color w:val="0D0D0D"/>
                <w:spacing w:val="11"/>
                <w:sz w:val="18"/>
              </w:rPr>
              <w:t> </w:t>
            </w:r>
            <w:r>
              <w:rPr>
                <w:rFonts w:ascii="Times New Roman"/>
                <w:color w:val="0D0D0D"/>
                <w:spacing w:val="-3"/>
                <w:sz w:val="18"/>
              </w:rPr>
              <w:t>Ltd.</w:t>
            </w:r>
            <w:r>
              <w:rPr>
                <w:rFonts w:ascii="Times New Roman"/>
                <w:spacing w:val="-3"/>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2"/>
              <w:ind w:left="158" w:right="157" w:firstLine="62"/>
              <w:jc w:val="left"/>
              <w:rPr>
                <w:rFonts w:ascii="Times New Roman" w:hAnsi="Times New Roman" w:cs="Times New Roman" w:eastAsia="Times New Roman" w:hint="default"/>
                <w:sz w:val="18"/>
                <w:szCs w:val="18"/>
              </w:rPr>
            </w:pPr>
            <w:r>
              <w:rPr>
                <w:rFonts w:ascii="Times New Roman"/>
                <w:color w:val="0D0D0D"/>
                <w:spacing w:val="-3"/>
                <w:sz w:val="18"/>
              </w:rPr>
              <w:t>iTalkBB</w:t>
            </w:r>
            <w:r>
              <w:rPr>
                <w:rFonts w:ascii="Times New Roman"/>
                <w:color w:val="0D0D0D"/>
                <w:w w:val="101"/>
                <w:sz w:val="18"/>
              </w:rPr>
              <w:t> </w:t>
            </w:r>
            <w:r>
              <w:rPr>
                <w:rFonts w:ascii="Times New Roman"/>
                <w:color w:val="0D0D0D"/>
                <w:sz w:val="18"/>
              </w:rPr>
              <w:t>Singapore</w:t>
            </w:r>
            <w:r>
              <w:rPr>
                <w:rFonts w:ascii="Times New Roman"/>
                <w:sz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77" w:right="81" w:hanging="92"/>
              <w:jc w:val="left"/>
              <w:rPr>
                <w:rFonts w:ascii="宋体" w:hAnsi="宋体" w:cs="宋体" w:eastAsia="宋体" w:hint="default"/>
                <w:sz w:val="18"/>
                <w:szCs w:val="18"/>
              </w:rPr>
            </w:pPr>
            <w:r>
              <w:rPr>
                <w:rFonts w:ascii="宋体" w:hAnsi="宋体" w:cs="宋体" w:eastAsia="宋体" w:hint="default"/>
                <w:sz w:val="18"/>
                <w:szCs w:val="18"/>
              </w:rPr>
              <w:t>新加</w:t>
            </w:r>
            <w:r>
              <w:rPr>
                <w:rFonts w:ascii="宋体" w:hAnsi="宋体" w:cs="宋体" w:eastAsia="宋体" w:hint="default"/>
                <w:spacing w:val="-86"/>
                <w:sz w:val="18"/>
                <w:szCs w:val="18"/>
              </w:rPr>
              <w:t> </w:t>
            </w:r>
            <w:r>
              <w:rPr>
                <w:rFonts w:ascii="宋体" w:hAnsi="宋体" w:cs="宋体" w:eastAsia="宋体" w:hint="default"/>
                <w:sz w:val="18"/>
                <w:szCs w:val="18"/>
              </w:rPr>
              <w:t>坡</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color w:val="0D0D0D"/>
                <w:sz w:val="18"/>
                <w:szCs w:val="18"/>
              </w:rPr>
              <w:t>加拿大</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pacing w:val="-3"/>
                <w:sz w:val="18"/>
              </w:rPr>
              <w:t>VOIP</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8" w:right="2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9"/>
              <w:jc w:val="right"/>
              <w:rPr>
                <w:rFonts w:ascii="Times New Roman" w:hAnsi="Times New Roman" w:cs="Times New Roman" w:eastAsia="Times New Roman" w:hint="default"/>
                <w:sz w:val="18"/>
                <w:szCs w:val="18"/>
              </w:rPr>
            </w:pPr>
            <w:r>
              <w:rPr>
                <w:rFonts w:ascii="Times New Roman"/>
                <w:color w:val="0D0D0D"/>
                <w:w w:val="101"/>
                <w:sz w:val="18"/>
              </w:rPr>
              <w:t>4</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2" w:top="1100" w:bottom="1300" w:left="500" w:right="0"/>
        </w:sectPr>
      </w:pPr>
    </w:p>
    <w:tbl>
      <w:tblPr>
        <w:tblW w:w="0" w:type="auto"/>
        <w:jc w:val="left"/>
        <w:tblInd w:w="100" w:type="dxa"/>
        <w:tblLayout w:type="fixed"/>
        <w:tblCellMar>
          <w:top w:w="0" w:type="dxa"/>
          <w:left w:w="0" w:type="dxa"/>
          <w:bottom w:w="0" w:type="dxa"/>
          <w:right w:w="0" w:type="dxa"/>
        </w:tblCellMar>
        <w:tblLook w:val="01E0"/>
      </w:tblPr>
      <w:tblGrid>
        <w:gridCol w:w="3649"/>
        <w:gridCol w:w="1066"/>
        <w:gridCol w:w="548"/>
        <w:gridCol w:w="715"/>
        <w:gridCol w:w="1373"/>
        <w:gridCol w:w="807"/>
        <w:gridCol w:w="634"/>
        <w:gridCol w:w="288"/>
        <w:gridCol w:w="634"/>
        <w:gridCol w:w="725"/>
      </w:tblGrid>
      <w:tr>
        <w:trPr>
          <w:trHeight w:val="965" w:hRule="exact"/>
        </w:trPr>
        <w:tc>
          <w:tcPr>
            <w:tcW w:w="364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32" w:lineRule="exact"/>
              <w:ind w:left="5" w:right="0"/>
              <w:jc w:val="center"/>
              <w:rPr>
                <w:rFonts w:ascii="宋体" w:hAnsi="宋体" w:cs="宋体" w:eastAsia="宋体" w:hint="default"/>
                <w:sz w:val="18"/>
                <w:szCs w:val="18"/>
              </w:rPr>
            </w:pPr>
            <w:r>
              <w:rPr>
                <w:rFonts w:ascii="宋体" w:hAnsi="宋体" w:cs="宋体" w:eastAsia="宋体" w:hint="default"/>
                <w:color w:val="0D0D0D"/>
                <w:sz w:val="18"/>
                <w:szCs w:val="18"/>
              </w:rPr>
              <w:t>子公司名称</w:t>
            </w:r>
            <w:r>
              <w:rPr>
                <w:rFonts w:ascii="宋体" w:hAnsi="宋体" w:cs="宋体" w:eastAsia="宋体" w:hint="default"/>
                <w:sz w:val="18"/>
                <w:szCs w:val="18"/>
              </w:rPr>
            </w:r>
          </w:p>
        </w:tc>
        <w:tc>
          <w:tcPr>
            <w:tcW w:w="106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color w:val="0D0D0D"/>
                <w:sz w:val="18"/>
                <w:szCs w:val="18"/>
              </w:rPr>
              <w:t>公司简称</w:t>
            </w:r>
            <w:r>
              <w:rPr>
                <w:rFonts w:ascii="宋体" w:hAnsi="宋体" w:cs="宋体" w:eastAsia="宋体" w:hint="default"/>
                <w:sz w:val="18"/>
                <w:szCs w:val="18"/>
              </w:rPr>
            </w:r>
          </w:p>
        </w:tc>
        <w:tc>
          <w:tcPr>
            <w:tcW w:w="54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316" w:lineRule="auto"/>
              <w:ind w:left="86" w:right="81"/>
              <w:jc w:val="both"/>
              <w:rPr>
                <w:rFonts w:ascii="宋体" w:hAnsi="宋体" w:cs="宋体" w:eastAsia="宋体" w:hint="default"/>
                <w:sz w:val="18"/>
                <w:szCs w:val="18"/>
              </w:rPr>
            </w:pPr>
            <w:r>
              <w:rPr>
                <w:rFonts w:ascii="宋体" w:hAnsi="宋体" w:cs="宋体" w:eastAsia="宋体" w:hint="default"/>
                <w:color w:val="0D0D0D"/>
                <w:sz w:val="18"/>
                <w:szCs w:val="18"/>
              </w:rPr>
              <w:t>主要</w:t>
            </w:r>
            <w:r>
              <w:rPr>
                <w:rFonts w:ascii="宋体" w:hAnsi="宋体" w:cs="宋体" w:eastAsia="宋体" w:hint="default"/>
                <w:color w:val="0D0D0D"/>
                <w:spacing w:val="-86"/>
                <w:sz w:val="18"/>
                <w:szCs w:val="18"/>
              </w:rPr>
              <w:t> </w:t>
            </w:r>
            <w:r>
              <w:rPr>
                <w:rFonts w:ascii="宋体" w:hAnsi="宋体" w:cs="宋体" w:eastAsia="宋体" w:hint="default"/>
                <w:color w:val="0D0D0D"/>
                <w:sz w:val="18"/>
                <w:szCs w:val="18"/>
              </w:rPr>
              <w:t>经营</w:t>
            </w:r>
            <w:r>
              <w:rPr>
                <w:rFonts w:ascii="宋体" w:hAnsi="宋体" w:cs="宋体" w:eastAsia="宋体" w:hint="default"/>
                <w:color w:val="0D0D0D"/>
                <w:spacing w:val="-86"/>
                <w:sz w:val="18"/>
                <w:szCs w:val="18"/>
              </w:rPr>
              <w:t> </w:t>
            </w:r>
            <w:r>
              <w:rPr>
                <w:rFonts w:ascii="宋体" w:hAnsi="宋体" w:cs="宋体" w:eastAsia="宋体" w:hint="default"/>
                <w:color w:val="0D0D0D"/>
                <w:sz w:val="18"/>
                <w:szCs w:val="18"/>
              </w:rPr>
              <w:t>地</w:t>
            </w:r>
            <w:r>
              <w:rPr>
                <w:rFonts w:ascii="宋体" w:hAnsi="宋体" w:cs="宋体" w:eastAsia="宋体" w:hint="default"/>
                <w:sz w:val="18"/>
                <w:szCs w:val="18"/>
              </w:rPr>
            </w:r>
          </w:p>
        </w:tc>
        <w:tc>
          <w:tcPr>
            <w:tcW w:w="71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32" w:lineRule="exact"/>
              <w:ind w:left="14" w:right="0"/>
              <w:jc w:val="center"/>
              <w:rPr>
                <w:rFonts w:ascii="宋体" w:hAnsi="宋体" w:cs="宋体" w:eastAsia="宋体" w:hint="default"/>
                <w:sz w:val="18"/>
                <w:szCs w:val="18"/>
              </w:rPr>
            </w:pPr>
            <w:r>
              <w:rPr>
                <w:rFonts w:ascii="宋体" w:hAnsi="宋体" w:cs="宋体" w:eastAsia="宋体" w:hint="default"/>
                <w:color w:val="0D0D0D"/>
                <w:sz w:val="18"/>
                <w:szCs w:val="18"/>
              </w:rPr>
              <w:t>注册地</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color w:val="0D0D0D"/>
                <w:sz w:val="18"/>
                <w:szCs w:val="18"/>
              </w:rPr>
              <w:t>业务性质</w:t>
            </w:r>
            <w:r>
              <w:rPr>
                <w:rFonts w:ascii="宋体" w:hAnsi="宋体" w:cs="宋体" w:eastAsia="宋体" w:hint="default"/>
                <w:sz w:val="18"/>
                <w:szCs w:val="18"/>
              </w:rPr>
            </w:r>
          </w:p>
        </w:tc>
        <w:tc>
          <w:tcPr>
            <w:tcW w:w="8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32" w:lineRule="exact"/>
              <w:ind w:left="9" w:right="0"/>
              <w:jc w:val="center"/>
              <w:rPr>
                <w:rFonts w:ascii="宋体" w:hAnsi="宋体" w:cs="宋体" w:eastAsia="宋体" w:hint="default"/>
                <w:sz w:val="18"/>
                <w:szCs w:val="18"/>
              </w:rPr>
            </w:pPr>
            <w:r>
              <w:rPr>
                <w:rFonts w:ascii="宋体" w:hAnsi="宋体" w:cs="宋体" w:eastAsia="宋体" w:hint="default"/>
                <w:color w:val="0D0D0D"/>
                <w:sz w:val="18"/>
                <w:szCs w:val="18"/>
              </w:rPr>
              <w:t>取得方式</w:t>
            </w:r>
            <w:r>
              <w:rPr>
                <w:rFonts w:ascii="宋体" w:hAnsi="宋体" w:cs="宋体" w:eastAsia="宋体" w:hint="default"/>
                <w:sz w:val="18"/>
                <w:szCs w:val="18"/>
              </w:rPr>
            </w:r>
          </w:p>
        </w:tc>
        <w:tc>
          <w:tcPr>
            <w:tcW w:w="63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316" w:lineRule="auto"/>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子公司</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类型</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316" w:lineRule="auto"/>
              <w:ind w:left="48" w:right="41"/>
              <w:jc w:val="left"/>
              <w:rPr>
                <w:rFonts w:ascii="宋体" w:hAnsi="宋体" w:cs="宋体" w:eastAsia="宋体" w:hint="default"/>
                <w:sz w:val="18"/>
                <w:szCs w:val="18"/>
              </w:rPr>
            </w:pPr>
            <w:r>
              <w:rPr>
                <w:rFonts w:ascii="宋体" w:hAnsi="宋体" w:cs="宋体" w:eastAsia="宋体" w:hint="default"/>
                <w:color w:val="0D0D0D"/>
                <w:sz w:val="18"/>
                <w:szCs w:val="18"/>
              </w:rPr>
              <w:t>级</w:t>
            </w:r>
            <w:r>
              <w:rPr>
                <w:rFonts w:ascii="宋体" w:hAnsi="宋体" w:cs="宋体" w:eastAsia="宋体" w:hint="default"/>
                <w:color w:val="0D0D0D"/>
                <w:spacing w:val="-88"/>
                <w:sz w:val="18"/>
                <w:szCs w:val="18"/>
              </w:rPr>
              <w:t> </w:t>
            </w:r>
            <w:r>
              <w:rPr>
                <w:rFonts w:ascii="宋体" w:hAnsi="宋体" w:cs="宋体" w:eastAsia="宋体" w:hint="default"/>
                <w:color w:val="0D0D0D"/>
                <w:sz w:val="18"/>
                <w:szCs w:val="18"/>
              </w:rPr>
              <w:t>次</w:t>
            </w:r>
            <w:r>
              <w:rPr>
                <w:rFonts w:ascii="宋体" w:hAnsi="宋体" w:cs="宋体" w:eastAsia="宋体" w:hint="default"/>
                <w:sz w:val="18"/>
                <w:szCs w:val="18"/>
              </w:rPr>
            </w:r>
          </w:p>
        </w:tc>
        <w:tc>
          <w:tcPr>
            <w:tcW w:w="63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316" w:lineRule="auto"/>
              <w:ind w:left="86" w:right="31" w:hanging="44"/>
              <w:jc w:val="left"/>
              <w:rPr>
                <w:rFonts w:ascii="Times New Roman" w:hAnsi="Times New Roman" w:cs="Times New Roman" w:eastAsia="Times New Roman" w:hint="default"/>
                <w:sz w:val="18"/>
                <w:szCs w:val="18"/>
              </w:rPr>
            </w:pPr>
            <w:r>
              <w:rPr>
                <w:rFonts w:ascii="宋体" w:hAnsi="宋体" w:cs="宋体" w:eastAsia="宋体" w:hint="default"/>
                <w:color w:val="0D0D0D"/>
                <w:sz w:val="18"/>
                <w:szCs w:val="18"/>
              </w:rPr>
              <w:t>持股比</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例</w:t>
            </w:r>
            <w:r>
              <w:rPr>
                <w:rFonts w:ascii="Times New Roman" w:hAnsi="Times New Roman" w:cs="Times New Roman" w:eastAsia="Times New Roman" w:hint="default"/>
                <w:color w:val="0D0D0D"/>
                <w:sz w:val="18"/>
                <w:szCs w:val="18"/>
              </w:rPr>
              <w:t>(%)</w:t>
            </w:r>
            <w:r>
              <w:rPr>
                <w:rFonts w:ascii="Times New Roman" w:hAnsi="Times New Roman" w:cs="Times New Roman" w:eastAsia="Times New Roman" w:hint="default"/>
                <w:sz w:val="18"/>
                <w:szCs w:val="18"/>
              </w:rPr>
            </w:r>
          </w:p>
        </w:tc>
        <w:tc>
          <w:tcPr>
            <w:tcW w:w="72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316" w:lineRule="auto"/>
              <w:ind w:left="38" w:right="38" w:firstLine="48"/>
              <w:jc w:val="left"/>
              <w:rPr>
                <w:rFonts w:ascii="Times New Roman" w:hAnsi="Times New Roman" w:cs="Times New Roman" w:eastAsia="Times New Roman" w:hint="default"/>
                <w:sz w:val="18"/>
                <w:szCs w:val="18"/>
              </w:rPr>
            </w:pPr>
            <w:r>
              <w:rPr>
                <w:rFonts w:ascii="宋体" w:hAnsi="宋体" w:cs="宋体" w:eastAsia="宋体" w:hint="default"/>
                <w:color w:val="0D0D0D"/>
                <w:sz w:val="18"/>
                <w:szCs w:val="18"/>
              </w:rPr>
              <w:t>表决权</w:t>
            </w:r>
            <w:r>
              <w:rPr>
                <w:rFonts w:ascii="宋体" w:hAnsi="宋体" w:cs="宋体" w:eastAsia="宋体" w:hint="default"/>
                <w:color w:val="0D0D0D"/>
                <w:w w:val="101"/>
                <w:sz w:val="18"/>
                <w:szCs w:val="18"/>
              </w:rPr>
              <w:t> </w:t>
            </w:r>
            <w:r>
              <w:rPr>
                <w:rFonts w:ascii="宋体" w:hAnsi="宋体" w:cs="宋体" w:eastAsia="宋体" w:hint="default"/>
                <w:color w:val="0D0D0D"/>
                <w:sz w:val="18"/>
                <w:szCs w:val="18"/>
              </w:rPr>
              <w:t>比例</w:t>
            </w:r>
            <w:r>
              <w:rPr>
                <w:rFonts w:ascii="Times New Roman" w:hAnsi="Times New Roman" w:cs="Times New Roman" w:eastAsia="Times New Roman" w:hint="default"/>
                <w:color w:val="0D0D0D"/>
                <w:sz w:val="18"/>
                <w:szCs w:val="18"/>
              </w:rPr>
              <w:t>(%)</w:t>
            </w:r>
            <w:r>
              <w:rPr>
                <w:rFonts w:ascii="Times New Roman" w:hAnsi="Times New Roman" w:cs="Times New Roman" w:eastAsia="Times New Roman" w:hint="default"/>
                <w:sz w:val="18"/>
                <w:szCs w:val="18"/>
              </w:rPr>
            </w:r>
          </w:p>
        </w:tc>
      </w:tr>
      <w:tr>
        <w:trPr>
          <w:trHeight w:val="658"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Times New Roman" w:hAnsi="Times New Roman" w:cs="Times New Roman" w:eastAsia="Times New Roman" w:hint="default"/>
                <w:sz w:val="18"/>
                <w:szCs w:val="18"/>
              </w:rPr>
            </w:pPr>
            <w:r>
              <w:rPr>
                <w:rFonts w:ascii="Times New Roman"/>
                <w:color w:val="0D0D0D"/>
                <w:spacing w:val="-3"/>
                <w:sz w:val="18"/>
              </w:rPr>
              <w:t>iTalk </w:t>
            </w:r>
            <w:r>
              <w:rPr>
                <w:rFonts w:ascii="Times New Roman"/>
                <w:color w:val="0D0D0D"/>
                <w:sz w:val="18"/>
              </w:rPr>
              <w:t>Mobile</w:t>
            </w:r>
            <w:r>
              <w:rPr>
                <w:rFonts w:ascii="Times New Roman"/>
                <w:color w:val="0D0D0D"/>
                <w:spacing w:val="-6"/>
                <w:sz w:val="18"/>
              </w:rPr>
              <w:t> </w:t>
            </w:r>
            <w:r>
              <w:rPr>
                <w:rFonts w:ascii="Times New Roman"/>
                <w:color w:val="0D0D0D"/>
                <w:sz w:val="18"/>
              </w:rPr>
              <w:t>Corporation</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color w:val="0D0D0D"/>
                <w:spacing w:val="-3"/>
                <w:sz w:val="18"/>
              </w:rPr>
              <w:t>iTalk</w:t>
            </w:r>
            <w:r>
              <w:rPr>
                <w:rFonts w:ascii="Times New Roman"/>
                <w:color w:val="0D0D0D"/>
                <w:spacing w:val="-2"/>
                <w:sz w:val="18"/>
              </w:rPr>
              <w:t> </w:t>
            </w:r>
            <w:r>
              <w:rPr>
                <w:rFonts w:ascii="Times New Roman"/>
                <w:color w:val="0D0D0D"/>
                <w:sz w:val="18"/>
              </w:rPr>
              <w:t>Mobile</w:t>
            </w:r>
            <w:r>
              <w:rPr>
                <w:rFonts w:ascii="Times New Roman"/>
                <w:sz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hAnsi="宋体" w:cs="宋体" w:eastAsia="宋体" w:hint="default"/>
                <w:color w:val="0D0D0D"/>
                <w:sz w:val="18"/>
                <w:szCs w:val="18"/>
              </w:rPr>
              <w:t>美国</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海外移动虚拟网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络运营业务</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89"/>
              <w:jc w:val="right"/>
              <w:rPr>
                <w:rFonts w:ascii="Times New Roman" w:hAnsi="Times New Roman" w:cs="Times New Roman" w:eastAsia="Times New Roman" w:hint="default"/>
                <w:sz w:val="18"/>
                <w:szCs w:val="18"/>
              </w:rPr>
            </w:pPr>
            <w:r>
              <w:rPr>
                <w:rFonts w:ascii="Times New Roman"/>
                <w:color w:val="0D0D0D"/>
                <w:w w:val="101"/>
                <w:sz w:val="18"/>
              </w:rPr>
              <w:t>3</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77"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62"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18"/>
                <w:szCs w:val="18"/>
              </w:rPr>
            </w:pPr>
            <w:r>
              <w:rPr>
                <w:rFonts w:ascii="宋体" w:hAnsi="宋体" w:cs="宋体" w:eastAsia="宋体" w:hint="default"/>
                <w:color w:val="0D0D0D"/>
                <w:spacing w:val="-3"/>
                <w:sz w:val="18"/>
                <w:szCs w:val="18"/>
              </w:rPr>
              <w:t>北京爱涛视讯科技有限公司</w:t>
            </w:r>
            <w:r>
              <w:rPr>
                <w:rFonts w:ascii="宋体" w:hAnsi="宋体" w:cs="宋体" w:eastAsia="宋体" w:hint="default"/>
                <w:spacing w:val="-3"/>
                <w:sz w:val="18"/>
                <w:szCs w:val="18"/>
              </w:rPr>
            </w:r>
          </w:p>
          <w:p>
            <w:pPr>
              <w:pStyle w:val="TableParagraph"/>
              <w:spacing w:line="240" w:lineRule="auto" w:before="7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color w:val="0D0D0D"/>
                <w:spacing w:val="-3"/>
                <w:sz w:val="18"/>
                <w:szCs w:val="18"/>
              </w:rPr>
              <w:t>(</w:t>
            </w:r>
            <w:r>
              <w:rPr>
                <w:rFonts w:ascii="宋体" w:hAnsi="宋体" w:cs="宋体" w:eastAsia="宋体" w:hint="default"/>
                <w:color w:val="0D0D0D"/>
                <w:spacing w:val="-3"/>
                <w:sz w:val="18"/>
                <w:szCs w:val="18"/>
              </w:rPr>
              <w:t>原名为：北京首都在线网络技术有限公司</w:t>
            </w:r>
            <w:r>
              <w:rPr>
                <w:rFonts w:ascii="Times New Roman" w:hAnsi="Times New Roman" w:cs="Times New Roman" w:eastAsia="Times New Roman" w:hint="default"/>
                <w:color w:val="0D0D0D"/>
                <w:spacing w:val="-3"/>
                <w:sz w:val="18"/>
                <w:szCs w:val="18"/>
              </w:rPr>
              <w:t>)</w:t>
            </w:r>
            <w:r>
              <w:rPr>
                <w:rFonts w:ascii="Times New Roman" w:hAnsi="Times New Roman" w:cs="Times New Roman" w:eastAsia="Times New Roman" w:hint="default"/>
                <w:spacing w:val="-3"/>
                <w:sz w:val="18"/>
                <w:szCs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color w:val="0D0D0D"/>
                <w:sz w:val="18"/>
                <w:szCs w:val="18"/>
              </w:rPr>
              <w:t>爱涛视讯</w:t>
            </w:r>
            <w:r>
              <w:rPr>
                <w:rFonts w:ascii="宋体" w:hAnsi="宋体" w:cs="宋体" w:eastAsia="宋体" w:hint="default"/>
                <w:sz w:val="18"/>
                <w:szCs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hAnsi="宋体" w:cs="宋体" w:eastAsia="宋体" w:hint="default"/>
                <w:color w:val="0D0D0D"/>
                <w:sz w:val="18"/>
                <w:szCs w:val="18"/>
              </w:rPr>
              <w:t>北京</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IPTV</w:t>
            </w:r>
            <w:r>
              <w:rPr>
                <w:rFonts w:ascii="宋体" w:hAnsi="宋体" w:cs="宋体" w:eastAsia="宋体" w:hint="default"/>
                <w:spacing w:val="-3"/>
                <w:sz w:val="18"/>
                <w:szCs w:val="18"/>
              </w:rPr>
              <w:t>业务</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
              <w:ind w:left="38" w:right="2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89"/>
              <w:jc w:val="right"/>
              <w:rPr>
                <w:rFonts w:ascii="Times New Roman" w:hAnsi="Times New Roman" w:cs="Times New Roman" w:eastAsia="Times New Roman" w:hint="default"/>
                <w:sz w:val="18"/>
                <w:szCs w:val="18"/>
              </w:rPr>
            </w:pPr>
            <w:r>
              <w:rPr>
                <w:rFonts w:ascii="Times New Roman"/>
                <w:color w:val="0D0D0D"/>
                <w:w w:val="101"/>
                <w:sz w:val="18"/>
              </w:rPr>
              <w:t>3</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77"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8"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1"/>
              <w:ind w:left="4" w:right="73"/>
              <w:jc w:val="left"/>
              <w:rPr>
                <w:rFonts w:ascii="Times New Roman" w:hAnsi="Times New Roman" w:cs="Times New Roman" w:eastAsia="Times New Roman" w:hint="default"/>
                <w:sz w:val="18"/>
                <w:szCs w:val="18"/>
              </w:rPr>
            </w:pPr>
            <w:r>
              <w:rPr>
                <w:rFonts w:ascii="宋体" w:hAnsi="宋体" w:cs="宋体" w:eastAsia="宋体" w:hint="default"/>
                <w:color w:val="0D0D0D"/>
                <w:spacing w:val="-3"/>
                <w:sz w:val="18"/>
                <w:szCs w:val="18"/>
              </w:rPr>
              <w:t>爱涛网络电视香港有限公司</w:t>
            </w:r>
            <w:r>
              <w:rPr>
                <w:rFonts w:ascii="Times New Roman" w:hAnsi="Times New Roman" w:cs="Times New Roman" w:eastAsia="Times New Roman" w:hint="default"/>
                <w:color w:val="0D0D0D"/>
                <w:spacing w:val="-3"/>
                <w:sz w:val="18"/>
                <w:szCs w:val="18"/>
              </w:rPr>
              <w:t>(</w:t>
            </w:r>
            <w:r>
              <w:rPr>
                <w:rFonts w:ascii="宋体" w:hAnsi="宋体" w:cs="宋体" w:eastAsia="宋体" w:hint="default"/>
                <w:color w:val="0D0D0D"/>
                <w:spacing w:val="-3"/>
                <w:sz w:val="18"/>
                <w:szCs w:val="18"/>
              </w:rPr>
              <w:t>英文名：</w:t>
            </w:r>
            <w:r>
              <w:rPr>
                <w:rFonts w:ascii="Times New Roman" w:hAnsi="Times New Roman" w:cs="Times New Roman" w:eastAsia="Times New Roman" w:hint="default"/>
                <w:color w:val="0D0D0D"/>
                <w:spacing w:val="-3"/>
                <w:sz w:val="18"/>
                <w:szCs w:val="18"/>
              </w:rPr>
              <w:t>iTalkTV</w:t>
            </w:r>
            <w:r>
              <w:rPr>
                <w:rFonts w:ascii="Times New Roman" w:hAnsi="Times New Roman" w:cs="Times New Roman" w:eastAsia="Times New Roman" w:hint="default"/>
                <w:color w:val="0D0D0D"/>
                <w:spacing w:val="14"/>
                <w:sz w:val="18"/>
                <w:szCs w:val="18"/>
              </w:rPr>
              <w:t> </w:t>
            </w:r>
            <w:r>
              <w:rPr>
                <w:rFonts w:ascii="Times New Roman" w:hAnsi="Times New Roman" w:cs="Times New Roman" w:eastAsia="Times New Roman" w:hint="default"/>
                <w:color w:val="0D0D0D"/>
                <w:spacing w:val="14"/>
                <w:sz w:val="18"/>
                <w:szCs w:val="18"/>
              </w:rPr>
            </w:r>
            <w:r>
              <w:rPr>
                <w:rFonts w:ascii="Times New Roman" w:hAnsi="Times New Roman" w:cs="Times New Roman" w:eastAsia="Times New Roman" w:hint="default"/>
                <w:color w:val="0D0D0D"/>
                <w:sz w:val="18"/>
                <w:szCs w:val="18"/>
              </w:rPr>
              <w:t>Hongkong</w:t>
            </w:r>
            <w:r>
              <w:rPr>
                <w:rFonts w:ascii="Times New Roman" w:hAnsi="Times New Roman" w:cs="Times New Roman" w:eastAsia="Times New Roman" w:hint="default"/>
                <w:color w:val="0D0D0D"/>
                <w:spacing w:val="-4"/>
                <w:sz w:val="18"/>
                <w:szCs w:val="18"/>
              </w:rPr>
              <w:t> </w:t>
            </w:r>
            <w:r>
              <w:rPr>
                <w:rFonts w:ascii="Times New Roman" w:hAnsi="Times New Roman" w:cs="Times New Roman" w:eastAsia="Times New Roman" w:hint="default"/>
                <w:color w:val="0D0D0D"/>
                <w:sz w:val="18"/>
                <w:szCs w:val="18"/>
              </w:rPr>
              <w:t>Limited)</w:t>
            </w:r>
            <w:r>
              <w:rPr>
                <w:rFonts w:ascii="Times New Roman" w:hAnsi="Times New Roman" w:cs="Times New Roman" w:eastAsia="Times New Roman" w:hint="default"/>
                <w:sz w:val="18"/>
                <w:szCs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color w:val="0D0D0D"/>
                <w:sz w:val="18"/>
                <w:szCs w:val="18"/>
              </w:rPr>
              <w:t>爱涛网络</w:t>
            </w:r>
            <w:r>
              <w:rPr>
                <w:rFonts w:ascii="宋体" w:hAnsi="宋体" w:cs="宋体" w:eastAsia="宋体" w:hint="default"/>
                <w:sz w:val="18"/>
                <w:szCs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hAnsi="宋体" w:cs="宋体" w:eastAsia="宋体" w:hint="default"/>
                <w:color w:val="0D0D0D"/>
                <w:sz w:val="18"/>
                <w:szCs w:val="18"/>
              </w:rPr>
              <w:t>香港</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pacing w:val="-3"/>
                <w:sz w:val="18"/>
              </w:rPr>
              <w:t>IPTV</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
              <w:ind w:left="38" w:right="2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89"/>
              <w:jc w:val="right"/>
              <w:rPr>
                <w:rFonts w:ascii="Times New Roman" w:hAnsi="Times New Roman" w:cs="Times New Roman" w:eastAsia="Times New Roman" w:hint="default"/>
                <w:sz w:val="18"/>
                <w:szCs w:val="18"/>
              </w:rPr>
            </w:pPr>
            <w:r>
              <w:rPr>
                <w:rFonts w:ascii="Times New Roman"/>
                <w:color w:val="0D0D0D"/>
                <w:w w:val="101"/>
                <w:sz w:val="18"/>
              </w:rPr>
              <w:t>4</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77"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8"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1"/>
              <w:ind w:left="4" w:right="242"/>
              <w:jc w:val="left"/>
              <w:rPr>
                <w:rFonts w:ascii="Times New Roman" w:hAnsi="Times New Roman" w:cs="Times New Roman" w:eastAsia="Times New Roman" w:hint="default"/>
                <w:sz w:val="18"/>
                <w:szCs w:val="18"/>
              </w:rPr>
            </w:pPr>
            <w:r>
              <w:rPr>
                <w:rFonts w:ascii="宋体" w:hAnsi="宋体" w:cs="宋体" w:eastAsia="宋体" w:hint="default"/>
                <w:color w:val="0D0D0D"/>
                <w:spacing w:val="-3"/>
                <w:sz w:val="18"/>
                <w:szCs w:val="18"/>
              </w:rPr>
              <w:t>二六三香港控股有限公司</w:t>
            </w:r>
            <w:r>
              <w:rPr>
                <w:rFonts w:ascii="Times New Roman" w:hAnsi="Times New Roman" w:cs="Times New Roman" w:eastAsia="Times New Roman" w:hint="default"/>
                <w:color w:val="0D0D0D"/>
                <w:spacing w:val="-3"/>
                <w:sz w:val="18"/>
                <w:szCs w:val="18"/>
              </w:rPr>
              <w:t>(</w:t>
            </w:r>
            <w:r>
              <w:rPr>
                <w:rFonts w:ascii="宋体" w:hAnsi="宋体" w:cs="宋体" w:eastAsia="宋体" w:hint="default"/>
                <w:color w:val="0D0D0D"/>
                <w:spacing w:val="-3"/>
                <w:sz w:val="18"/>
                <w:szCs w:val="18"/>
              </w:rPr>
              <w:t>英文名：</w:t>
            </w:r>
            <w:r>
              <w:rPr>
                <w:rFonts w:ascii="Times New Roman" w:hAnsi="Times New Roman" w:cs="Times New Roman" w:eastAsia="Times New Roman" w:hint="default"/>
                <w:color w:val="0D0D0D"/>
                <w:spacing w:val="-3"/>
                <w:sz w:val="18"/>
                <w:szCs w:val="18"/>
              </w:rPr>
              <w:t>NET263</w:t>
            </w:r>
            <w:r>
              <w:rPr>
                <w:rFonts w:ascii="Times New Roman" w:hAnsi="Times New Roman" w:cs="Times New Roman" w:eastAsia="Times New Roman" w:hint="default"/>
                <w:color w:val="0D0D0D"/>
                <w:spacing w:val="21"/>
                <w:sz w:val="18"/>
                <w:szCs w:val="18"/>
              </w:rPr>
              <w:t> </w:t>
            </w:r>
            <w:r>
              <w:rPr>
                <w:rFonts w:ascii="Times New Roman" w:hAnsi="Times New Roman" w:cs="Times New Roman" w:eastAsia="Times New Roman" w:hint="default"/>
                <w:color w:val="0D0D0D"/>
                <w:spacing w:val="21"/>
                <w:sz w:val="18"/>
                <w:szCs w:val="18"/>
              </w:rPr>
            </w:r>
            <w:r>
              <w:rPr>
                <w:rFonts w:ascii="Times New Roman" w:hAnsi="Times New Roman" w:cs="Times New Roman" w:eastAsia="Times New Roman" w:hint="default"/>
                <w:color w:val="0D0D0D"/>
                <w:sz w:val="18"/>
                <w:szCs w:val="18"/>
              </w:rPr>
              <w:t>Holdings Limited</w:t>
            </w:r>
            <w:r>
              <w:rPr>
                <w:rFonts w:ascii="Times New Roman" w:hAnsi="Times New Roman" w:cs="Times New Roman" w:eastAsia="Times New Roman" w:hint="default"/>
                <w:color w:val="0D0D0D"/>
                <w:spacing w:val="-7"/>
                <w:sz w:val="18"/>
                <w:szCs w:val="18"/>
              </w:rPr>
              <w:t> </w:t>
            </w:r>
            <w:r>
              <w:rPr>
                <w:rFonts w:ascii="Times New Roman" w:hAnsi="Times New Roman" w:cs="Times New Roman" w:eastAsia="Times New Roman" w:hint="default"/>
                <w:color w:val="0D0D0D"/>
                <w:sz w:val="18"/>
                <w:szCs w:val="18"/>
              </w:rPr>
              <w:t>)</w:t>
            </w:r>
            <w:r>
              <w:rPr>
                <w:rFonts w:ascii="Times New Roman" w:hAnsi="Times New Roman" w:cs="Times New Roman" w:eastAsia="Times New Roman" w:hint="default"/>
                <w:sz w:val="18"/>
                <w:szCs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
              <w:ind w:left="346" w:right="70" w:hanging="270"/>
              <w:jc w:val="left"/>
              <w:rPr>
                <w:rFonts w:ascii="宋体" w:hAnsi="宋体" w:cs="宋体" w:eastAsia="宋体" w:hint="default"/>
                <w:sz w:val="18"/>
                <w:szCs w:val="18"/>
              </w:rPr>
            </w:pPr>
            <w:r>
              <w:rPr>
                <w:rFonts w:ascii="宋体" w:hAnsi="宋体" w:cs="宋体" w:eastAsia="宋体" w:hint="default"/>
                <w:color w:val="0D0D0D"/>
                <w:sz w:val="18"/>
                <w:szCs w:val="18"/>
              </w:rPr>
              <w:t>二六三香港</w:t>
            </w:r>
            <w:r>
              <w:rPr>
                <w:rFonts w:ascii="宋体" w:hAnsi="宋体" w:cs="宋体" w:eastAsia="宋体" w:hint="default"/>
                <w:color w:val="0D0D0D"/>
                <w:w w:val="101"/>
                <w:sz w:val="18"/>
                <w:szCs w:val="18"/>
              </w:rPr>
              <w:t> </w:t>
            </w:r>
            <w:r>
              <w:rPr>
                <w:rFonts w:ascii="宋体" w:hAnsi="宋体" w:cs="宋体" w:eastAsia="宋体" w:hint="default"/>
                <w:color w:val="0D0D0D"/>
                <w:sz w:val="18"/>
                <w:szCs w:val="18"/>
              </w:rPr>
              <w:t>控股</w:t>
            </w:r>
            <w:r>
              <w:rPr>
                <w:rFonts w:ascii="宋体" w:hAnsi="宋体" w:cs="宋体" w:eastAsia="宋体" w:hint="default"/>
                <w:sz w:val="18"/>
                <w:szCs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hAnsi="宋体" w:cs="宋体" w:eastAsia="宋体" w:hint="default"/>
                <w:color w:val="0D0D0D"/>
                <w:sz w:val="18"/>
                <w:szCs w:val="18"/>
              </w:rPr>
              <w:t>香港</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投资控股</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89"/>
              <w:jc w:val="right"/>
              <w:rPr>
                <w:rFonts w:ascii="Times New Roman" w:hAnsi="Times New Roman" w:cs="Times New Roman" w:eastAsia="Times New Roman" w:hint="default"/>
                <w:sz w:val="18"/>
                <w:szCs w:val="18"/>
              </w:rPr>
            </w:pPr>
            <w:r>
              <w:rPr>
                <w:rFonts w:ascii="Times New Roman"/>
                <w:color w:val="0D0D0D"/>
                <w:w w:val="101"/>
                <w:sz w:val="18"/>
              </w:rPr>
              <w:t>2</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77"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970"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Times New Roman" w:hAnsi="Times New Roman" w:cs="Times New Roman" w:eastAsia="Times New Roman" w:hint="default"/>
                <w:sz w:val="18"/>
                <w:szCs w:val="18"/>
              </w:rPr>
            </w:pPr>
            <w:r>
              <w:rPr>
                <w:rFonts w:ascii="Times New Roman"/>
                <w:color w:val="0D0D0D"/>
                <w:sz w:val="18"/>
              </w:rPr>
              <w:t>United </w:t>
            </w:r>
            <w:r>
              <w:rPr>
                <w:rFonts w:ascii="Times New Roman"/>
                <w:color w:val="0D0D0D"/>
                <w:spacing w:val="-5"/>
                <w:sz w:val="18"/>
              </w:rPr>
              <w:t>Wise </w:t>
            </w:r>
            <w:r>
              <w:rPr>
                <w:rFonts w:ascii="Times New Roman"/>
                <w:color w:val="0D0D0D"/>
                <w:sz w:val="18"/>
              </w:rPr>
              <w:t>Services</w:t>
            </w:r>
            <w:r>
              <w:rPr>
                <w:rFonts w:ascii="Times New Roman"/>
                <w:color w:val="0D0D0D"/>
                <w:spacing w:val="6"/>
                <w:sz w:val="18"/>
              </w:rPr>
              <w:t> </w:t>
            </w:r>
            <w:r>
              <w:rPr>
                <w:rFonts w:ascii="Times New Roman"/>
                <w:color w:val="0D0D0D"/>
                <w:sz w:val="18"/>
              </w:rPr>
              <w:t>Limited</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color w:val="0D0D0D"/>
                <w:sz w:val="18"/>
              </w:rPr>
              <w:t>United</w:t>
            </w:r>
            <w:r>
              <w:rPr>
                <w:rFonts w:ascii="Times New Roman"/>
                <w:color w:val="0D0D0D"/>
                <w:spacing w:val="8"/>
                <w:sz w:val="18"/>
              </w:rPr>
              <w:t> </w:t>
            </w:r>
            <w:r>
              <w:rPr>
                <w:rFonts w:ascii="Times New Roman"/>
                <w:color w:val="0D0D0D"/>
                <w:spacing w:val="-5"/>
                <w:sz w:val="18"/>
              </w:rPr>
              <w:t>Wise</w:t>
            </w:r>
            <w:r>
              <w:rPr>
                <w:rFonts w:ascii="Times New Roman"/>
                <w:spacing w:val="-5"/>
                <w:sz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
              <w:ind w:left="86" w:right="69"/>
              <w:jc w:val="center"/>
              <w:rPr>
                <w:rFonts w:ascii="宋体" w:hAnsi="宋体" w:cs="宋体" w:eastAsia="宋体" w:hint="default"/>
                <w:sz w:val="18"/>
                <w:szCs w:val="18"/>
              </w:rPr>
            </w:pPr>
            <w:r>
              <w:rPr>
                <w:rFonts w:ascii="宋体" w:hAnsi="宋体" w:cs="宋体" w:eastAsia="宋体" w:hint="default"/>
                <w:color w:val="0D0D0D"/>
                <w:sz w:val="18"/>
                <w:szCs w:val="18"/>
              </w:rPr>
              <w:t>英属维</w:t>
            </w:r>
            <w:r>
              <w:rPr>
                <w:rFonts w:ascii="宋体" w:hAnsi="宋体" w:cs="宋体" w:eastAsia="宋体" w:hint="default"/>
                <w:color w:val="0D0D0D"/>
                <w:w w:val="101"/>
                <w:sz w:val="18"/>
                <w:szCs w:val="18"/>
              </w:rPr>
              <w:t> </w:t>
            </w:r>
            <w:r>
              <w:rPr>
                <w:rFonts w:ascii="宋体" w:hAnsi="宋体" w:cs="宋体" w:eastAsia="宋体" w:hint="default"/>
                <w:color w:val="0D0D0D"/>
                <w:sz w:val="18"/>
                <w:szCs w:val="18"/>
              </w:rPr>
              <w:t>尔京群</w:t>
            </w:r>
            <w:r>
              <w:rPr>
                <w:rFonts w:ascii="宋体" w:hAnsi="宋体" w:cs="宋体" w:eastAsia="宋体" w:hint="default"/>
                <w:color w:val="0D0D0D"/>
                <w:w w:val="101"/>
                <w:sz w:val="18"/>
                <w:szCs w:val="18"/>
              </w:rPr>
              <w:t> </w:t>
            </w:r>
            <w:r>
              <w:rPr>
                <w:rFonts w:ascii="宋体" w:hAnsi="宋体" w:cs="宋体" w:eastAsia="宋体" w:hint="default"/>
                <w:color w:val="0D0D0D"/>
                <w:sz w:val="18"/>
                <w:szCs w:val="18"/>
              </w:rPr>
              <w:t>岛</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投资控股</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89"/>
              <w:jc w:val="right"/>
              <w:rPr>
                <w:rFonts w:ascii="Times New Roman" w:hAnsi="Times New Roman" w:cs="Times New Roman" w:eastAsia="Times New Roman" w:hint="default"/>
                <w:sz w:val="18"/>
                <w:szCs w:val="18"/>
              </w:rPr>
            </w:pPr>
            <w:r>
              <w:rPr>
                <w:rFonts w:ascii="Times New Roman"/>
                <w:color w:val="0D0D0D"/>
                <w:w w:val="101"/>
                <w:sz w:val="18"/>
              </w:rPr>
              <w:t>3</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77"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63"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color w:val="0D0D0D"/>
                <w:spacing w:val="-3"/>
                <w:sz w:val="18"/>
                <w:szCs w:val="18"/>
              </w:rPr>
              <w:t>广州二六三通信有限公司</w:t>
            </w:r>
            <w:r>
              <w:rPr>
                <w:rFonts w:ascii="宋体" w:hAnsi="宋体" w:cs="宋体" w:eastAsia="宋体" w:hint="default"/>
                <w:spacing w:val="-3"/>
                <w:sz w:val="18"/>
                <w:szCs w:val="18"/>
              </w:rPr>
            </w:r>
          </w:p>
          <w:p>
            <w:pPr>
              <w:pStyle w:val="TableParagraph"/>
              <w:spacing w:line="240" w:lineRule="auto" w:before="7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color w:val="0D0D0D"/>
                <w:spacing w:val="-3"/>
                <w:sz w:val="18"/>
                <w:szCs w:val="18"/>
              </w:rPr>
              <w:t>(</w:t>
            </w:r>
            <w:r>
              <w:rPr>
                <w:rFonts w:ascii="宋体" w:hAnsi="宋体" w:cs="宋体" w:eastAsia="宋体" w:hint="default"/>
                <w:color w:val="0D0D0D"/>
                <w:spacing w:val="-3"/>
                <w:sz w:val="18"/>
                <w:szCs w:val="18"/>
              </w:rPr>
              <w:t>原名为：广州二六三移动通信有限公司</w:t>
            </w:r>
            <w:r>
              <w:rPr>
                <w:rFonts w:ascii="Times New Roman" w:hAnsi="Times New Roman" w:cs="Times New Roman" w:eastAsia="Times New Roman" w:hint="default"/>
                <w:color w:val="0D0D0D"/>
                <w:spacing w:val="-3"/>
                <w:sz w:val="18"/>
                <w:szCs w:val="18"/>
              </w:rPr>
              <w:t>)</w:t>
            </w:r>
            <w:r>
              <w:rPr>
                <w:rFonts w:ascii="Times New Roman" w:hAnsi="Times New Roman" w:cs="Times New Roman" w:eastAsia="Times New Roman" w:hint="default"/>
                <w:spacing w:val="-3"/>
                <w:sz w:val="18"/>
                <w:szCs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0"/>
              <w:jc w:val="center"/>
              <w:rPr>
                <w:rFonts w:ascii="宋体" w:hAnsi="宋体" w:cs="宋体" w:eastAsia="宋体" w:hint="default"/>
                <w:sz w:val="18"/>
                <w:szCs w:val="18"/>
              </w:rPr>
            </w:pPr>
            <w:r>
              <w:rPr>
                <w:rFonts w:ascii="宋体" w:hAnsi="宋体" w:cs="宋体" w:eastAsia="宋体" w:hint="default"/>
                <w:color w:val="0D0D0D"/>
                <w:sz w:val="18"/>
                <w:szCs w:val="18"/>
              </w:rPr>
              <w:t>广州二六三</w:t>
            </w:r>
            <w:r>
              <w:rPr>
                <w:rFonts w:ascii="宋体" w:hAnsi="宋体" w:cs="宋体" w:eastAsia="宋体" w:hint="default"/>
                <w:sz w:val="18"/>
                <w:szCs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9" w:right="0"/>
              <w:jc w:val="center"/>
              <w:rPr>
                <w:rFonts w:ascii="宋体" w:hAnsi="宋体" w:cs="宋体" w:eastAsia="宋体" w:hint="default"/>
                <w:sz w:val="18"/>
                <w:szCs w:val="18"/>
              </w:rPr>
            </w:pPr>
            <w:r>
              <w:rPr>
                <w:rFonts w:ascii="宋体" w:hAnsi="宋体" w:cs="宋体" w:eastAsia="宋体" w:hint="default"/>
                <w:color w:val="0D0D0D"/>
                <w:sz w:val="18"/>
                <w:szCs w:val="18"/>
              </w:rPr>
              <w:t>广州</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 w:right="0"/>
              <w:jc w:val="center"/>
              <w:rPr>
                <w:rFonts w:ascii="宋体" w:hAnsi="宋体" w:cs="宋体" w:eastAsia="宋体" w:hint="default"/>
                <w:sz w:val="18"/>
                <w:szCs w:val="18"/>
              </w:rPr>
            </w:pPr>
            <w:r>
              <w:rPr>
                <w:rFonts w:ascii="宋体" w:hAnsi="宋体" w:cs="宋体" w:eastAsia="宋体" w:hint="default"/>
                <w:sz w:val="18"/>
                <w:szCs w:val="18"/>
              </w:rPr>
              <w:t>移动通信业务</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9"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9"/>
              <w:jc w:val="right"/>
              <w:rPr>
                <w:rFonts w:ascii="Times New Roman" w:hAnsi="Times New Roman" w:cs="Times New Roman" w:eastAsia="Times New Roman" w:hint="default"/>
                <w:sz w:val="18"/>
                <w:szCs w:val="18"/>
              </w:rPr>
            </w:pPr>
            <w:r>
              <w:rPr>
                <w:rFonts w:ascii="Times New Roman"/>
                <w:color w:val="0D0D0D"/>
                <w:w w:val="101"/>
                <w:sz w:val="18"/>
              </w:rPr>
              <w:t>2</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77"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8"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18"/>
                <w:szCs w:val="18"/>
              </w:rPr>
            </w:pPr>
            <w:r>
              <w:rPr>
                <w:rFonts w:ascii="宋体" w:hAnsi="宋体" w:cs="宋体" w:eastAsia="宋体" w:hint="default"/>
                <w:color w:val="0D0D0D"/>
                <w:spacing w:val="-3"/>
                <w:sz w:val="18"/>
                <w:szCs w:val="18"/>
              </w:rPr>
              <w:t>二六三移动通信</w:t>
            </w:r>
            <w:r>
              <w:rPr>
                <w:rFonts w:ascii="Times New Roman" w:hAnsi="Times New Roman" w:cs="Times New Roman" w:eastAsia="Times New Roman" w:hint="default"/>
                <w:color w:val="0D0D0D"/>
                <w:spacing w:val="-3"/>
                <w:sz w:val="18"/>
                <w:szCs w:val="18"/>
              </w:rPr>
              <w:t>(</w:t>
            </w:r>
            <w:r>
              <w:rPr>
                <w:rFonts w:ascii="宋体" w:hAnsi="宋体" w:cs="宋体" w:eastAsia="宋体" w:hint="default"/>
                <w:color w:val="0D0D0D"/>
                <w:spacing w:val="-3"/>
                <w:sz w:val="18"/>
                <w:szCs w:val="18"/>
              </w:rPr>
              <w:t>香港</w:t>
            </w:r>
            <w:r>
              <w:rPr>
                <w:rFonts w:ascii="Times New Roman" w:hAnsi="Times New Roman" w:cs="Times New Roman" w:eastAsia="Times New Roman" w:hint="default"/>
                <w:color w:val="0D0D0D"/>
                <w:spacing w:val="-3"/>
                <w:sz w:val="18"/>
                <w:szCs w:val="18"/>
              </w:rPr>
              <w:t>)</w:t>
            </w:r>
            <w:r>
              <w:rPr>
                <w:rFonts w:ascii="宋体" w:hAnsi="宋体" w:cs="宋体" w:eastAsia="宋体" w:hint="default"/>
                <w:color w:val="0D0D0D"/>
                <w:spacing w:val="-3"/>
                <w:sz w:val="18"/>
                <w:szCs w:val="18"/>
              </w:rPr>
              <w:t>有限公司</w:t>
            </w:r>
            <w:r>
              <w:rPr>
                <w:rFonts w:ascii="宋体" w:hAnsi="宋体" w:cs="宋体" w:eastAsia="宋体" w:hint="default"/>
                <w:spacing w:val="-3"/>
                <w:sz w:val="18"/>
                <w:szCs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
              <w:ind w:left="346" w:right="70" w:hanging="270"/>
              <w:jc w:val="left"/>
              <w:rPr>
                <w:rFonts w:ascii="宋体" w:hAnsi="宋体" w:cs="宋体" w:eastAsia="宋体" w:hint="default"/>
                <w:sz w:val="18"/>
                <w:szCs w:val="18"/>
              </w:rPr>
            </w:pPr>
            <w:r>
              <w:rPr>
                <w:rFonts w:ascii="宋体" w:hAnsi="宋体" w:cs="宋体" w:eastAsia="宋体" w:hint="default"/>
                <w:color w:val="0D0D0D"/>
                <w:sz w:val="18"/>
                <w:szCs w:val="18"/>
              </w:rPr>
              <w:t>二六三移动</w:t>
            </w:r>
            <w:r>
              <w:rPr>
                <w:rFonts w:ascii="宋体" w:hAnsi="宋体" w:cs="宋体" w:eastAsia="宋体" w:hint="default"/>
                <w:color w:val="0D0D0D"/>
                <w:w w:val="101"/>
                <w:sz w:val="18"/>
                <w:szCs w:val="18"/>
              </w:rPr>
              <w:t> </w:t>
            </w:r>
            <w:r>
              <w:rPr>
                <w:rFonts w:ascii="宋体" w:hAnsi="宋体" w:cs="宋体" w:eastAsia="宋体" w:hint="default"/>
                <w:color w:val="0D0D0D"/>
                <w:sz w:val="18"/>
                <w:szCs w:val="18"/>
              </w:rPr>
              <w:t>香港</w:t>
            </w:r>
            <w:r>
              <w:rPr>
                <w:rFonts w:ascii="宋体" w:hAnsi="宋体" w:cs="宋体" w:eastAsia="宋体" w:hint="default"/>
                <w:sz w:val="18"/>
                <w:szCs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hAnsi="宋体" w:cs="宋体" w:eastAsia="宋体" w:hint="default"/>
                <w:color w:val="0D0D0D"/>
                <w:sz w:val="18"/>
                <w:szCs w:val="18"/>
              </w:rPr>
              <w:t>香港</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18"/>
                <w:szCs w:val="18"/>
              </w:rPr>
            </w:pPr>
            <w:r>
              <w:rPr>
                <w:rFonts w:ascii="宋体" w:hAnsi="宋体" w:cs="宋体" w:eastAsia="宋体" w:hint="default"/>
                <w:sz w:val="18"/>
                <w:szCs w:val="18"/>
              </w:rPr>
              <w:t>移动通信业务</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89"/>
              <w:jc w:val="right"/>
              <w:rPr>
                <w:rFonts w:ascii="Times New Roman" w:hAnsi="Times New Roman" w:cs="Times New Roman" w:eastAsia="Times New Roman" w:hint="default"/>
                <w:sz w:val="18"/>
                <w:szCs w:val="18"/>
              </w:rPr>
            </w:pPr>
            <w:r>
              <w:rPr>
                <w:rFonts w:ascii="Times New Roman"/>
                <w:color w:val="0D0D0D"/>
                <w:w w:val="101"/>
                <w:sz w:val="18"/>
              </w:rPr>
              <w:t>3</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77"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8"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18"/>
                <w:szCs w:val="18"/>
              </w:rPr>
            </w:pPr>
            <w:r>
              <w:rPr>
                <w:rFonts w:ascii="宋体" w:hAnsi="宋体" w:cs="宋体" w:eastAsia="宋体" w:hint="default"/>
                <w:color w:val="0D0D0D"/>
                <w:spacing w:val="-3"/>
                <w:sz w:val="18"/>
                <w:szCs w:val="18"/>
              </w:rPr>
              <w:t>展动科技</w:t>
            </w:r>
            <w:r>
              <w:rPr>
                <w:rFonts w:ascii="Times New Roman" w:hAnsi="Times New Roman" w:cs="Times New Roman" w:eastAsia="Times New Roman" w:hint="default"/>
                <w:color w:val="0D0D0D"/>
                <w:spacing w:val="-3"/>
                <w:sz w:val="18"/>
                <w:szCs w:val="18"/>
              </w:rPr>
              <w:t>(</w:t>
            </w:r>
            <w:r>
              <w:rPr>
                <w:rFonts w:ascii="宋体" w:hAnsi="宋体" w:cs="宋体" w:eastAsia="宋体" w:hint="default"/>
                <w:color w:val="0D0D0D"/>
                <w:spacing w:val="-3"/>
                <w:sz w:val="18"/>
                <w:szCs w:val="18"/>
              </w:rPr>
              <w:t>北京</w:t>
            </w:r>
            <w:r>
              <w:rPr>
                <w:rFonts w:ascii="Times New Roman" w:hAnsi="Times New Roman" w:cs="Times New Roman" w:eastAsia="Times New Roman" w:hint="default"/>
                <w:color w:val="0D0D0D"/>
                <w:spacing w:val="-3"/>
                <w:sz w:val="18"/>
                <w:szCs w:val="18"/>
              </w:rPr>
              <w:t>)</w:t>
            </w:r>
            <w:r>
              <w:rPr>
                <w:rFonts w:ascii="宋体" w:hAnsi="宋体" w:cs="宋体" w:eastAsia="宋体" w:hint="default"/>
                <w:color w:val="0D0D0D"/>
                <w:spacing w:val="-3"/>
                <w:sz w:val="18"/>
                <w:szCs w:val="18"/>
              </w:rPr>
              <w:t>有限公司</w:t>
            </w:r>
            <w:r>
              <w:rPr>
                <w:rFonts w:ascii="Times New Roman" w:hAnsi="Times New Roman" w:cs="Times New Roman" w:eastAsia="Times New Roman" w:hint="default"/>
                <w:color w:val="0D0D0D"/>
                <w:spacing w:val="-3"/>
                <w:sz w:val="18"/>
                <w:szCs w:val="18"/>
              </w:rPr>
              <w:t>(</w:t>
            </w:r>
            <w:r>
              <w:rPr>
                <w:rFonts w:ascii="宋体" w:hAnsi="宋体" w:cs="宋体" w:eastAsia="宋体" w:hint="default"/>
                <w:color w:val="0D0D0D"/>
                <w:spacing w:val="-3"/>
                <w:sz w:val="18"/>
                <w:szCs w:val="18"/>
              </w:rPr>
              <w:t>注</w:t>
            </w:r>
            <w:r>
              <w:rPr>
                <w:rFonts w:ascii="Times New Roman" w:hAnsi="Times New Roman" w:cs="Times New Roman" w:eastAsia="Times New Roman" w:hint="default"/>
                <w:color w:val="0D0D0D"/>
                <w:spacing w:val="-3"/>
                <w:sz w:val="18"/>
                <w:szCs w:val="18"/>
              </w:rPr>
              <w:t>1)</w:t>
            </w:r>
            <w:r>
              <w:rPr>
                <w:rFonts w:ascii="Times New Roman" w:hAnsi="Times New Roman" w:cs="Times New Roman" w:eastAsia="Times New Roman" w:hint="default"/>
                <w:sz w:val="18"/>
                <w:szCs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color w:val="0D0D0D"/>
                <w:sz w:val="18"/>
                <w:szCs w:val="18"/>
              </w:rPr>
              <w:t>展动科技</w:t>
            </w:r>
            <w:r>
              <w:rPr>
                <w:rFonts w:ascii="宋体" w:hAnsi="宋体" w:cs="宋体" w:eastAsia="宋体" w:hint="default"/>
                <w:sz w:val="18"/>
                <w:szCs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hAnsi="宋体" w:cs="宋体" w:eastAsia="宋体" w:hint="default"/>
                <w:color w:val="0D0D0D"/>
                <w:sz w:val="18"/>
                <w:szCs w:val="18"/>
              </w:rPr>
              <w:t>北京</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直播业务</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
              <w:ind w:left="38" w:right="2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89"/>
              <w:jc w:val="right"/>
              <w:rPr>
                <w:rFonts w:ascii="Times New Roman" w:hAnsi="Times New Roman" w:cs="Times New Roman" w:eastAsia="Times New Roman" w:hint="default"/>
                <w:sz w:val="18"/>
                <w:szCs w:val="18"/>
              </w:rPr>
            </w:pPr>
            <w:r>
              <w:rPr>
                <w:rFonts w:ascii="Times New Roman"/>
                <w:color w:val="0D0D0D"/>
                <w:w w:val="101"/>
                <w:sz w:val="18"/>
              </w:rPr>
              <w:t>3</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77"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62"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18"/>
                <w:szCs w:val="18"/>
              </w:rPr>
            </w:pPr>
            <w:r>
              <w:rPr>
                <w:rFonts w:ascii="宋体" w:hAnsi="宋体" w:cs="宋体" w:eastAsia="宋体" w:hint="default"/>
                <w:color w:val="0D0D0D"/>
                <w:spacing w:val="-3"/>
                <w:sz w:val="18"/>
                <w:szCs w:val="18"/>
              </w:rPr>
              <w:t>北京展视互动科技有限公司</w:t>
            </w:r>
            <w:r>
              <w:rPr>
                <w:rFonts w:ascii="宋体" w:hAnsi="宋体" w:cs="宋体" w:eastAsia="宋体" w:hint="default"/>
                <w:spacing w:val="-3"/>
                <w:sz w:val="18"/>
                <w:szCs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color w:val="0D0D0D"/>
                <w:sz w:val="18"/>
                <w:szCs w:val="18"/>
              </w:rPr>
              <w:t>北京展视</w:t>
            </w:r>
            <w:r>
              <w:rPr>
                <w:rFonts w:ascii="宋体" w:hAnsi="宋体" w:cs="宋体" w:eastAsia="宋体" w:hint="default"/>
                <w:sz w:val="18"/>
                <w:szCs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hAnsi="宋体" w:cs="宋体" w:eastAsia="宋体" w:hint="default"/>
                <w:color w:val="0D0D0D"/>
                <w:sz w:val="18"/>
                <w:szCs w:val="18"/>
              </w:rPr>
              <w:t>北京</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直播业务</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
              <w:ind w:left="38" w:right="2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89"/>
              <w:jc w:val="right"/>
              <w:rPr>
                <w:rFonts w:ascii="Times New Roman" w:hAnsi="Times New Roman" w:cs="Times New Roman" w:eastAsia="Times New Roman" w:hint="default"/>
                <w:sz w:val="18"/>
                <w:szCs w:val="18"/>
              </w:rPr>
            </w:pPr>
            <w:r>
              <w:rPr>
                <w:rFonts w:ascii="Times New Roman"/>
                <w:color w:val="0D0D0D"/>
                <w:w w:val="101"/>
                <w:sz w:val="18"/>
              </w:rPr>
              <w:t>4</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77"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8"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Times New Roman" w:hAnsi="Times New Roman" w:cs="Times New Roman" w:eastAsia="Times New Roman" w:hint="default"/>
                <w:sz w:val="18"/>
                <w:szCs w:val="18"/>
              </w:rPr>
            </w:pPr>
            <w:r>
              <w:rPr>
                <w:rFonts w:ascii="Times New Roman"/>
                <w:color w:val="0D0D0D"/>
                <w:spacing w:val="-3"/>
                <w:sz w:val="18"/>
              </w:rPr>
              <w:t>iTalkBB </w:t>
            </w:r>
            <w:r>
              <w:rPr>
                <w:rFonts w:ascii="Times New Roman"/>
                <w:color w:val="0D0D0D"/>
                <w:sz w:val="18"/>
              </w:rPr>
              <w:t>Media</w:t>
            </w:r>
            <w:r>
              <w:rPr>
                <w:rFonts w:ascii="Times New Roman"/>
                <w:color w:val="0D0D0D"/>
                <w:spacing w:val="13"/>
                <w:sz w:val="18"/>
              </w:rPr>
              <w:t> </w:t>
            </w:r>
            <w:r>
              <w:rPr>
                <w:rFonts w:ascii="Times New Roman"/>
                <w:color w:val="0D0D0D"/>
                <w:spacing w:val="-4"/>
                <w:sz w:val="18"/>
              </w:rPr>
              <w:t>Inc.</w:t>
            </w:r>
            <w:r>
              <w:rPr>
                <w:rFonts w:ascii="Times New Roman"/>
                <w:spacing w:val="-4"/>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color w:val="0D0D0D"/>
                <w:spacing w:val="-3"/>
                <w:sz w:val="18"/>
              </w:rPr>
              <w:t>iTalk</w:t>
            </w:r>
            <w:r>
              <w:rPr>
                <w:rFonts w:ascii="Times New Roman"/>
                <w:color w:val="0D0D0D"/>
                <w:spacing w:val="1"/>
                <w:sz w:val="18"/>
              </w:rPr>
              <w:t> </w:t>
            </w:r>
            <w:r>
              <w:rPr>
                <w:rFonts w:ascii="Times New Roman"/>
                <w:color w:val="0D0D0D"/>
                <w:sz w:val="18"/>
              </w:rPr>
              <w:t>Media</w:t>
            </w:r>
            <w:r>
              <w:rPr>
                <w:rFonts w:ascii="Times New Roman"/>
                <w:sz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hAnsi="宋体" w:cs="宋体" w:eastAsia="宋体" w:hint="default"/>
                <w:color w:val="0D0D0D"/>
                <w:sz w:val="18"/>
                <w:szCs w:val="18"/>
              </w:rPr>
              <w:t>美国</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color w:val="0D0D0D"/>
                <w:sz w:val="18"/>
                <w:szCs w:val="18"/>
              </w:rPr>
              <w:t>广告业务</w:t>
            </w:r>
            <w:r>
              <w:rPr>
                <w:rFonts w:ascii="宋体" w:hAnsi="宋体" w:cs="宋体" w:eastAsia="宋体" w:hint="default"/>
                <w:sz w:val="18"/>
                <w:szCs w:val="18"/>
              </w:rPr>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
              <w:ind w:left="38" w:right="2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89"/>
              <w:jc w:val="right"/>
              <w:rPr>
                <w:rFonts w:ascii="Times New Roman" w:hAnsi="Times New Roman" w:cs="Times New Roman" w:eastAsia="Times New Roman" w:hint="default"/>
                <w:sz w:val="18"/>
                <w:szCs w:val="18"/>
              </w:rPr>
            </w:pPr>
            <w:r>
              <w:rPr>
                <w:rFonts w:ascii="Times New Roman"/>
                <w:color w:val="0D0D0D"/>
                <w:w w:val="101"/>
                <w:sz w:val="18"/>
              </w:rPr>
              <w:t>4</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77"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8"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Times New Roman" w:hAnsi="Times New Roman" w:cs="Times New Roman" w:eastAsia="Times New Roman" w:hint="default"/>
                <w:sz w:val="18"/>
                <w:szCs w:val="18"/>
              </w:rPr>
            </w:pPr>
            <w:r>
              <w:rPr>
                <w:rFonts w:ascii="Times New Roman"/>
                <w:color w:val="0D0D0D"/>
                <w:spacing w:val="-3"/>
                <w:sz w:val="18"/>
              </w:rPr>
              <w:t>iTalk </w:t>
            </w:r>
            <w:r>
              <w:rPr>
                <w:rFonts w:ascii="Times New Roman"/>
                <w:color w:val="0D0D0D"/>
                <w:sz w:val="18"/>
              </w:rPr>
              <w:t>Media</w:t>
            </w:r>
            <w:r>
              <w:rPr>
                <w:rFonts w:ascii="Times New Roman"/>
                <w:color w:val="0D0D0D"/>
                <w:spacing w:val="-5"/>
                <w:sz w:val="18"/>
              </w:rPr>
              <w:t> </w:t>
            </w:r>
            <w:r>
              <w:rPr>
                <w:rFonts w:ascii="Times New Roman"/>
                <w:color w:val="0D0D0D"/>
                <w:sz w:val="18"/>
              </w:rPr>
              <w:t>Corporation</w:t>
            </w:r>
            <w:r>
              <w:rPr>
                <w:rFonts w:ascii="Times New Roman"/>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43"/>
              <w:ind w:left="398" w:right="88" w:hanging="313"/>
              <w:jc w:val="left"/>
              <w:rPr>
                <w:rFonts w:ascii="Times New Roman" w:hAnsi="Times New Roman" w:cs="Times New Roman" w:eastAsia="Times New Roman" w:hint="default"/>
                <w:sz w:val="18"/>
                <w:szCs w:val="18"/>
              </w:rPr>
            </w:pPr>
            <w:r>
              <w:rPr>
                <w:rFonts w:ascii="Times New Roman"/>
                <w:color w:val="0D0D0D"/>
                <w:spacing w:val="-3"/>
                <w:sz w:val="18"/>
              </w:rPr>
              <w:t>iTalk </w:t>
            </w:r>
            <w:r>
              <w:rPr>
                <w:rFonts w:ascii="Times New Roman"/>
                <w:color w:val="0D0D0D"/>
                <w:sz w:val="18"/>
              </w:rPr>
              <w:t>Media</w:t>
            </w:r>
            <w:r>
              <w:rPr>
                <w:rFonts w:ascii="Times New Roman"/>
                <w:color w:val="0D0D0D"/>
                <w:spacing w:val="-41"/>
                <w:sz w:val="18"/>
              </w:rPr>
              <w:t> </w:t>
            </w:r>
            <w:r>
              <w:rPr>
                <w:rFonts w:ascii="Times New Roman"/>
                <w:color w:val="0D0D0D"/>
                <w:spacing w:val="-41"/>
                <w:sz w:val="18"/>
              </w:rPr>
            </w:r>
            <w:r>
              <w:rPr>
                <w:rFonts w:ascii="Times New Roman"/>
                <w:color w:val="0D0D0D"/>
                <w:sz w:val="18"/>
              </w:rPr>
              <w:t>CA</w:t>
            </w:r>
            <w:r>
              <w:rPr>
                <w:rFonts w:ascii="Times New Roman"/>
                <w:sz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
              <w:ind w:left="177" w:right="81" w:hanging="92"/>
              <w:jc w:val="left"/>
              <w:rPr>
                <w:rFonts w:ascii="宋体" w:hAnsi="宋体" w:cs="宋体" w:eastAsia="宋体" w:hint="default"/>
                <w:sz w:val="18"/>
                <w:szCs w:val="18"/>
              </w:rPr>
            </w:pPr>
            <w:r>
              <w:rPr>
                <w:rFonts w:ascii="宋体" w:hAnsi="宋体" w:cs="宋体" w:eastAsia="宋体" w:hint="default"/>
                <w:color w:val="0D0D0D"/>
                <w:sz w:val="18"/>
                <w:szCs w:val="18"/>
              </w:rPr>
              <w:t>加拿</w:t>
            </w:r>
            <w:r>
              <w:rPr>
                <w:rFonts w:ascii="宋体" w:hAnsi="宋体" w:cs="宋体" w:eastAsia="宋体" w:hint="default"/>
                <w:color w:val="0D0D0D"/>
                <w:spacing w:val="-86"/>
                <w:sz w:val="18"/>
                <w:szCs w:val="18"/>
              </w:rPr>
              <w:t> </w:t>
            </w:r>
            <w:r>
              <w:rPr>
                <w:rFonts w:ascii="宋体" w:hAnsi="宋体" w:cs="宋体" w:eastAsia="宋体" w:hint="default"/>
                <w:color w:val="0D0D0D"/>
                <w:sz w:val="18"/>
                <w:szCs w:val="18"/>
              </w:rPr>
              <w:t>大</w:t>
            </w:r>
            <w:r>
              <w:rPr>
                <w:rFonts w:ascii="宋体" w:hAnsi="宋体" w:cs="宋体" w:eastAsia="宋体" w:hint="default"/>
                <w:sz w:val="18"/>
                <w:szCs w:val="18"/>
              </w:rPr>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4" w:right="0"/>
              <w:jc w:val="center"/>
              <w:rPr>
                <w:rFonts w:ascii="宋体" w:hAnsi="宋体" w:cs="宋体" w:eastAsia="宋体" w:hint="default"/>
                <w:sz w:val="18"/>
                <w:szCs w:val="18"/>
              </w:rPr>
            </w:pPr>
            <w:r>
              <w:rPr>
                <w:rFonts w:ascii="宋体" w:hAnsi="宋体" w:cs="宋体" w:eastAsia="宋体" w:hint="default"/>
                <w:color w:val="0D0D0D"/>
                <w:sz w:val="18"/>
                <w:szCs w:val="18"/>
              </w:rPr>
              <w:t>加拿大</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color w:val="0D0D0D"/>
                <w:sz w:val="18"/>
                <w:szCs w:val="18"/>
              </w:rPr>
              <w:t>广告业务</w:t>
            </w:r>
            <w:r>
              <w:rPr>
                <w:rFonts w:ascii="宋体" w:hAnsi="宋体" w:cs="宋体" w:eastAsia="宋体" w:hint="default"/>
                <w:sz w:val="18"/>
                <w:szCs w:val="18"/>
              </w:rPr>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
              <w:ind w:left="38" w:right="2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89"/>
              <w:jc w:val="right"/>
              <w:rPr>
                <w:rFonts w:ascii="Times New Roman" w:hAnsi="Times New Roman" w:cs="Times New Roman" w:eastAsia="Times New Roman" w:hint="default"/>
                <w:sz w:val="18"/>
                <w:szCs w:val="18"/>
              </w:rPr>
            </w:pPr>
            <w:r>
              <w:rPr>
                <w:rFonts w:ascii="Times New Roman"/>
                <w:color w:val="0D0D0D"/>
                <w:w w:val="101"/>
                <w:sz w:val="18"/>
              </w:rPr>
              <w:t>5</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77"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8"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18"/>
                <w:szCs w:val="18"/>
              </w:rPr>
            </w:pPr>
            <w:r>
              <w:rPr>
                <w:rFonts w:ascii="宋体" w:hAnsi="宋体" w:cs="宋体" w:eastAsia="宋体" w:hint="default"/>
                <w:color w:val="0D0D0D"/>
                <w:spacing w:val="-3"/>
                <w:sz w:val="18"/>
                <w:szCs w:val="18"/>
              </w:rPr>
              <w:t>上海奈盛通信科技有限公司</w:t>
            </w:r>
            <w:r>
              <w:rPr>
                <w:rFonts w:ascii="宋体" w:hAnsi="宋体" w:cs="宋体" w:eastAsia="宋体" w:hint="default"/>
                <w:spacing w:val="-3"/>
                <w:sz w:val="18"/>
                <w:szCs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color w:val="0D0D0D"/>
                <w:sz w:val="18"/>
                <w:szCs w:val="18"/>
              </w:rPr>
              <w:t>上海奈盛</w:t>
            </w:r>
            <w:r>
              <w:rPr>
                <w:rFonts w:ascii="宋体" w:hAnsi="宋体" w:cs="宋体" w:eastAsia="宋体" w:hint="default"/>
                <w:sz w:val="18"/>
                <w:szCs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hAnsi="宋体" w:cs="宋体" w:eastAsia="宋体" w:hint="default"/>
                <w:color w:val="0D0D0D"/>
                <w:sz w:val="18"/>
                <w:szCs w:val="18"/>
              </w:rPr>
              <w:t>上海</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宋体" w:hAnsi="宋体" w:cs="宋体" w:eastAsia="宋体" w:hint="default"/>
                <w:sz w:val="18"/>
                <w:szCs w:val="18"/>
              </w:rPr>
              <w:t>业务</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
              <w:ind w:left="38" w:right="2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
              <w:ind w:left="43" w:right="31"/>
              <w:jc w:val="left"/>
              <w:rPr>
                <w:rFonts w:ascii="宋体" w:hAnsi="宋体" w:cs="宋体" w:eastAsia="宋体" w:hint="default"/>
                <w:sz w:val="18"/>
                <w:szCs w:val="18"/>
              </w:rPr>
            </w:pPr>
            <w:r>
              <w:rPr>
                <w:rFonts w:ascii="宋体" w:hAnsi="宋体" w:cs="宋体" w:eastAsia="宋体" w:hint="default"/>
                <w:color w:val="0D0D0D"/>
                <w:sz w:val="18"/>
                <w:szCs w:val="18"/>
              </w:rPr>
              <w:t>非全资</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子公司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89"/>
              <w:jc w:val="right"/>
              <w:rPr>
                <w:rFonts w:ascii="Times New Roman" w:hAnsi="Times New Roman" w:cs="Times New Roman" w:eastAsia="Times New Roman" w:hint="default"/>
                <w:sz w:val="18"/>
                <w:szCs w:val="18"/>
              </w:rPr>
            </w:pPr>
            <w:r>
              <w:rPr>
                <w:rFonts w:ascii="Times New Roman"/>
                <w:color w:val="0D0D0D"/>
                <w:w w:val="101"/>
                <w:sz w:val="18"/>
              </w:rPr>
              <w:t>3</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20" w:right="0"/>
              <w:jc w:val="left"/>
              <w:rPr>
                <w:rFonts w:ascii="Times New Roman" w:hAnsi="Times New Roman" w:cs="Times New Roman" w:eastAsia="Times New Roman" w:hint="default"/>
                <w:sz w:val="18"/>
                <w:szCs w:val="18"/>
              </w:rPr>
            </w:pPr>
            <w:r>
              <w:rPr>
                <w:rFonts w:ascii="Times New Roman"/>
                <w:color w:val="0D0D0D"/>
                <w:sz w:val="18"/>
              </w:rPr>
              <w:t>51</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color w:val="0D0D0D"/>
                <w:sz w:val="18"/>
              </w:rPr>
              <w:t>51</w:t>
            </w:r>
            <w:r>
              <w:rPr>
                <w:rFonts w:ascii="Times New Roman"/>
                <w:sz w:val="18"/>
              </w:rPr>
            </w:r>
          </w:p>
        </w:tc>
      </w:tr>
      <w:tr>
        <w:trPr>
          <w:trHeight w:val="663"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color w:val="0D0D0D"/>
                <w:spacing w:val="-3"/>
                <w:sz w:val="18"/>
                <w:szCs w:val="18"/>
              </w:rPr>
              <w:t>深圳市日升科技有限公司</w:t>
            </w:r>
            <w:r>
              <w:rPr>
                <w:rFonts w:ascii="宋体" w:hAnsi="宋体" w:cs="宋体" w:eastAsia="宋体" w:hint="default"/>
                <w:spacing w:val="-3"/>
                <w:sz w:val="18"/>
                <w:szCs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color w:val="0D0D0D"/>
                <w:sz w:val="18"/>
                <w:szCs w:val="18"/>
              </w:rPr>
              <w:t>深圳日升</w:t>
            </w:r>
            <w:r>
              <w:rPr>
                <w:rFonts w:ascii="宋体" w:hAnsi="宋体" w:cs="宋体" w:eastAsia="宋体" w:hint="default"/>
                <w:sz w:val="18"/>
                <w:szCs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9" w:right="0"/>
              <w:jc w:val="center"/>
              <w:rPr>
                <w:rFonts w:ascii="宋体" w:hAnsi="宋体" w:cs="宋体" w:eastAsia="宋体" w:hint="default"/>
                <w:sz w:val="18"/>
                <w:szCs w:val="18"/>
              </w:rPr>
            </w:pPr>
            <w:r>
              <w:rPr>
                <w:rFonts w:ascii="宋体" w:hAnsi="宋体" w:cs="宋体" w:eastAsia="宋体" w:hint="default"/>
                <w:color w:val="0D0D0D"/>
                <w:sz w:val="18"/>
                <w:szCs w:val="18"/>
              </w:rPr>
              <w:t>深圳</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增值通信、</w:t>
            </w:r>
            <w:r>
              <w:rPr>
                <w:rFonts w:ascii="Times New Roman" w:hAnsi="Times New Roman" w:cs="Times New Roman" w:eastAsia="Times New Roman" w:hint="default"/>
                <w:sz w:val="18"/>
                <w:szCs w:val="18"/>
              </w:rPr>
              <w:t>VPN</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
              <w:ind w:left="38" w:right="2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9"/>
              <w:jc w:val="right"/>
              <w:rPr>
                <w:rFonts w:ascii="Times New Roman" w:hAnsi="Times New Roman" w:cs="Times New Roman" w:eastAsia="Times New Roman" w:hint="default"/>
                <w:sz w:val="18"/>
                <w:szCs w:val="18"/>
              </w:rPr>
            </w:pPr>
            <w:r>
              <w:rPr>
                <w:rFonts w:ascii="Times New Roman"/>
                <w:color w:val="0D0D0D"/>
                <w:w w:val="101"/>
                <w:sz w:val="18"/>
              </w:rPr>
              <w:t>3</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77"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970"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18"/>
                <w:szCs w:val="18"/>
              </w:rPr>
            </w:pPr>
            <w:r>
              <w:rPr>
                <w:rFonts w:ascii="Times New Roman" w:hAnsi="Times New Roman" w:cs="Times New Roman" w:eastAsia="Times New Roman" w:hint="default"/>
                <w:color w:val="0D0D0D"/>
                <w:sz w:val="18"/>
                <w:szCs w:val="18"/>
              </w:rPr>
              <w:t>263 </w:t>
            </w:r>
            <w:r>
              <w:rPr>
                <w:rFonts w:ascii="Times New Roman" w:hAnsi="Times New Roman" w:cs="Times New Roman" w:eastAsia="Times New Roman" w:hint="default"/>
                <w:color w:val="0D0D0D"/>
                <w:spacing w:val="3"/>
                <w:sz w:val="18"/>
                <w:szCs w:val="18"/>
              </w:rPr>
              <w:t> </w:t>
            </w:r>
            <w:r>
              <w:rPr>
                <w:rFonts w:ascii="宋体" w:hAnsi="宋体" w:cs="宋体" w:eastAsia="宋体" w:hint="default"/>
                <w:color w:val="0D0D0D"/>
                <w:sz w:val="18"/>
                <w:szCs w:val="18"/>
              </w:rPr>
              <w:t>环球通信有限公司</w:t>
            </w:r>
            <w:r>
              <w:rPr>
                <w:rFonts w:ascii="宋体" w:hAnsi="宋体" w:cs="宋体" w:eastAsia="宋体" w:hint="default"/>
                <w:sz w:val="18"/>
                <w:szCs w:val="18"/>
              </w:rPr>
            </w:r>
          </w:p>
          <w:p>
            <w:pPr>
              <w:pStyle w:val="TableParagraph"/>
              <w:spacing w:line="300" w:lineRule="auto" w:before="63"/>
              <w:ind w:left="4" w:right="-2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英文名：</w:t>
            </w:r>
            <w:r>
              <w:rPr>
                <w:rFonts w:ascii="Times New Roman" w:hAnsi="Times New Roman" w:cs="Times New Roman" w:eastAsia="Times New Roman" w:hint="default"/>
                <w:color w:val="0D0D0D"/>
                <w:sz w:val="18"/>
                <w:szCs w:val="18"/>
              </w:rPr>
              <w:t>263 Global Communications</w:t>
            </w:r>
            <w:r>
              <w:rPr>
                <w:rFonts w:ascii="Times New Roman" w:hAnsi="Times New Roman" w:cs="Times New Roman" w:eastAsia="Times New Roman" w:hint="default"/>
                <w:color w:val="0D0D0D"/>
                <w:spacing w:val="-9"/>
                <w:sz w:val="18"/>
                <w:szCs w:val="18"/>
              </w:rPr>
              <w:t> </w:t>
            </w:r>
            <w:r>
              <w:rPr>
                <w:rFonts w:ascii="Times New Roman" w:hAnsi="Times New Roman" w:cs="Times New Roman" w:eastAsia="Times New Roman" w:hint="default"/>
                <w:color w:val="0D0D0D"/>
                <w:sz w:val="18"/>
                <w:szCs w:val="18"/>
              </w:rPr>
              <w:t>Limited</w:t>
            </w:r>
            <w:r>
              <w:rPr>
                <w:rFonts w:ascii="宋体" w:hAnsi="宋体" w:cs="宋体" w:eastAsia="宋体" w:hint="default"/>
                <w:color w:val="0D0D0D"/>
                <w:sz w:val="18"/>
                <w:szCs w:val="18"/>
              </w:rPr>
              <w:t>，</w:t>
            </w:r>
            <w:r>
              <w:rPr>
                <w:rFonts w:ascii="宋体" w:hAnsi="宋体" w:cs="宋体" w:eastAsia="宋体" w:hint="default"/>
                <w:color w:val="0D0D0D"/>
                <w:w w:val="101"/>
                <w:sz w:val="18"/>
                <w:szCs w:val="18"/>
              </w:rPr>
              <w:t> </w:t>
            </w:r>
            <w:r>
              <w:rPr>
                <w:rFonts w:ascii="宋体" w:hAnsi="宋体" w:cs="宋体" w:eastAsia="宋体" w:hint="default"/>
                <w:color w:val="0D0D0D"/>
                <w:sz w:val="18"/>
                <w:szCs w:val="18"/>
              </w:rPr>
              <w:t>原名：</w:t>
            </w:r>
            <w:r>
              <w:rPr>
                <w:rFonts w:ascii="Times New Roman" w:hAnsi="Times New Roman" w:cs="Times New Roman" w:eastAsia="Times New Roman" w:hint="default"/>
                <w:color w:val="0D0D0D"/>
                <w:sz w:val="18"/>
                <w:szCs w:val="18"/>
              </w:rPr>
              <w:t>I-Access Network</w:t>
            </w:r>
            <w:r>
              <w:rPr>
                <w:rFonts w:ascii="Times New Roman" w:hAnsi="Times New Roman" w:cs="Times New Roman" w:eastAsia="Times New Roman" w:hint="default"/>
                <w:color w:val="0D0D0D"/>
                <w:spacing w:val="-10"/>
                <w:sz w:val="18"/>
                <w:szCs w:val="18"/>
              </w:rPr>
              <w:t> </w:t>
            </w:r>
            <w:r>
              <w:rPr>
                <w:rFonts w:ascii="Times New Roman" w:hAnsi="Times New Roman" w:cs="Times New Roman" w:eastAsia="Times New Roman" w:hint="default"/>
                <w:color w:val="0D0D0D"/>
                <w:sz w:val="18"/>
                <w:szCs w:val="18"/>
              </w:rPr>
              <w:t>Limited)</w:t>
            </w:r>
            <w:r>
              <w:rPr>
                <w:rFonts w:ascii="Times New Roman" w:hAnsi="Times New Roman" w:cs="Times New Roman" w:eastAsia="Times New Roman" w:hint="default"/>
                <w:sz w:val="18"/>
                <w:szCs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
              <w:ind w:left="437" w:right="69" w:hanging="361"/>
              <w:jc w:val="left"/>
              <w:rPr>
                <w:rFonts w:ascii="宋体" w:hAnsi="宋体" w:cs="宋体" w:eastAsia="宋体" w:hint="default"/>
                <w:sz w:val="18"/>
                <w:szCs w:val="18"/>
              </w:rPr>
            </w:pPr>
            <w:r>
              <w:rPr>
                <w:rFonts w:ascii="Times New Roman" w:hAnsi="Times New Roman" w:cs="Times New Roman" w:eastAsia="Times New Roman" w:hint="default"/>
                <w:color w:val="0D0D0D"/>
                <w:sz w:val="18"/>
                <w:szCs w:val="18"/>
              </w:rPr>
              <w:t>263</w:t>
            </w:r>
            <w:r>
              <w:rPr>
                <w:rFonts w:ascii="Times New Roman" w:hAnsi="Times New Roman" w:cs="Times New Roman" w:eastAsia="Times New Roman" w:hint="default"/>
                <w:color w:val="0D0D0D"/>
                <w:spacing w:val="1"/>
                <w:sz w:val="18"/>
                <w:szCs w:val="18"/>
              </w:rPr>
              <w:t> </w:t>
            </w:r>
            <w:r>
              <w:rPr>
                <w:rFonts w:ascii="宋体" w:hAnsi="宋体" w:cs="宋体" w:eastAsia="宋体" w:hint="default"/>
                <w:color w:val="0D0D0D"/>
                <w:sz w:val="18"/>
                <w:szCs w:val="18"/>
              </w:rPr>
              <w:t>环球通</w:t>
            </w:r>
            <w:r>
              <w:rPr>
                <w:rFonts w:ascii="宋体" w:hAnsi="宋体" w:cs="宋体" w:eastAsia="宋体" w:hint="default"/>
                <w:color w:val="0D0D0D"/>
                <w:w w:val="101"/>
                <w:sz w:val="18"/>
                <w:szCs w:val="18"/>
              </w:rPr>
              <w:t> </w:t>
            </w:r>
            <w:r>
              <w:rPr>
                <w:rFonts w:ascii="宋体" w:hAnsi="宋体" w:cs="宋体" w:eastAsia="宋体" w:hint="default"/>
                <w:color w:val="0D0D0D"/>
                <w:sz w:val="18"/>
                <w:szCs w:val="18"/>
              </w:rPr>
              <w:t>信</w:t>
            </w:r>
            <w:r>
              <w:rPr>
                <w:rFonts w:ascii="宋体" w:hAnsi="宋体" w:cs="宋体" w:eastAsia="宋体" w:hint="default"/>
                <w:sz w:val="18"/>
                <w:szCs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hAnsi="宋体" w:cs="宋体" w:eastAsia="宋体" w:hint="default"/>
                <w:color w:val="0D0D0D"/>
                <w:sz w:val="18"/>
                <w:szCs w:val="18"/>
              </w:rPr>
              <w:t>香港</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增值通信、</w:t>
            </w:r>
            <w:r>
              <w:rPr>
                <w:rFonts w:ascii="Times New Roman" w:hAnsi="Times New Roman" w:cs="Times New Roman" w:eastAsia="Times New Roman" w:hint="default"/>
                <w:sz w:val="18"/>
                <w:szCs w:val="18"/>
              </w:rPr>
              <w:t>VPN</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
              <w:ind w:left="38" w:right="2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89"/>
              <w:jc w:val="right"/>
              <w:rPr>
                <w:rFonts w:ascii="Times New Roman" w:hAnsi="Times New Roman" w:cs="Times New Roman" w:eastAsia="Times New Roman" w:hint="default"/>
                <w:sz w:val="18"/>
                <w:szCs w:val="18"/>
              </w:rPr>
            </w:pPr>
            <w:r>
              <w:rPr>
                <w:rFonts w:ascii="Times New Roman"/>
                <w:color w:val="0D0D0D"/>
                <w:w w:val="101"/>
                <w:sz w:val="18"/>
              </w:rPr>
              <w:t>3</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77"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r>
        <w:trPr>
          <w:trHeight w:val="658" w:hRule="exact"/>
        </w:trPr>
        <w:tc>
          <w:tcPr>
            <w:tcW w:w="3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left"/>
              <w:rPr>
                <w:rFonts w:ascii="Times New Roman" w:hAnsi="Times New Roman" w:cs="Times New Roman" w:eastAsia="Times New Roman" w:hint="default"/>
                <w:sz w:val="18"/>
                <w:szCs w:val="18"/>
              </w:rPr>
            </w:pPr>
            <w:r>
              <w:rPr>
                <w:rFonts w:ascii="Times New Roman"/>
                <w:color w:val="0D0D0D"/>
                <w:spacing w:val="-3"/>
                <w:sz w:val="18"/>
              </w:rPr>
              <w:t>iTalkBB </w:t>
            </w:r>
            <w:r>
              <w:rPr>
                <w:rFonts w:ascii="Times New Roman"/>
                <w:color w:val="0D0D0D"/>
                <w:spacing w:val="-8"/>
                <w:sz w:val="18"/>
              </w:rPr>
              <w:t>VIP,</w:t>
            </w:r>
            <w:r>
              <w:rPr>
                <w:rFonts w:ascii="Times New Roman"/>
                <w:color w:val="0D0D0D"/>
                <w:spacing w:val="22"/>
                <w:sz w:val="18"/>
              </w:rPr>
              <w:t> </w:t>
            </w:r>
            <w:r>
              <w:rPr>
                <w:rFonts w:ascii="Times New Roman"/>
                <w:color w:val="0D0D0D"/>
                <w:spacing w:val="-4"/>
                <w:sz w:val="18"/>
              </w:rPr>
              <w:t>Inc.</w:t>
            </w:r>
            <w:r>
              <w:rPr>
                <w:rFonts w:ascii="Times New Roman"/>
                <w:spacing w:val="-4"/>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8"/>
              <w:jc w:val="center"/>
              <w:rPr>
                <w:rFonts w:ascii="Times New Roman" w:hAnsi="Times New Roman" w:cs="Times New Roman" w:eastAsia="Times New Roman" w:hint="default"/>
                <w:sz w:val="18"/>
                <w:szCs w:val="18"/>
              </w:rPr>
            </w:pPr>
            <w:r>
              <w:rPr>
                <w:rFonts w:ascii="Times New Roman"/>
                <w:color w:val="0D0D0D"/>
                <w:spacing w:val="-3"/>
                <w:sz w:val="18"/>
              </w:rPr>
              <w:t>iTalkBB</w:t>
            </w:r>
            <w:r>
              <w:rPr>
                <w:rFonts w:ascii="Times New Roman"/>
                <w:color w:val="0D0D0D"/>
                <w:spacing w:val="9"/>
                <w:sz w:val="18"/>
              </w:rPr>
              <w:t> </w:t>
            </w:r>
            <w:r>
              <w:rPr>
                <w:rFonts w:ascii="Times New Roman"/>
                <w:color w:val="0D0D0D"/>
                <w:spacing w:val="-4"/>
                <w:sz w:val="18"/>
              </w:rPr>
              <w:t>VIP</w:t>
            </w:r>
            <w:r>
              <w:rPr>
                <w:rFonts w:ascii="Times New Roman"/>
                <w:spacing w:val="-4"/>
                <w:sz w:val="18"/>
              </w:rPr>
            </w:r>
          </w:p>
        </w:tc>
        <w:tc>
          <w:tcPr>
            <w:tcW w:w="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hAnsi="宋体" w:cs="宋体" w:eastAsia="宋体" w:hint="default"/>
                <w:color w:val="0D0D0D"/>
                <w:sz w:val="18"/>
                <w:szCs w:val="18"/>
              </w:rPr>
              <w:t>美国</w:t>
            </w:r>
            <w:r>
              <w:rPr>
                <w:rFonts w:ascii="宋体" w:hAnsi="宋体" w:cs="宋体" w:eastAsia="宋体" w:hint="default"/>
                <w:sz w:val="18"/>
                <w:szCs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
              <w:ind w:left="129" w:right="31" w:hanging="87"/>
              <w:jc w:val="left"/>
              <w:rPr>
                <w:rFonts w:ascii="宋体" w:hAnsi="宋体" w:cs="宋体" w:eastAsia="宋体" w:hint="default"/>
                <w:sz w:val="18"/>
                <w:szCs w:val="18"/>
              </w:rPr>
            </w:pPr>
            <w:r>
              <w:rPr>
                <w:rFonts w:ascii="宋体" w:hAnsi="宋体" w:cs="宋体" w:eastAsia="宋体" w:hint="default"/>
                <w:color w:val="0D0D0D"/>
                <w:sz w:val="18"/>
                <w:szCs w:val="18"/>
              </w:rPr>
              <w:t>全资子</w:t>
            </w:r>
            <w:r>
              <w:rPr>
                <w:rFonts w:ascii="宋体" w:hAnsi="宋体" w:cs="宋体" w:eastAsia="宋体" w:hint="default"/>
                <w:color w:val="0D0D0D"/>
                <w:spacing w:val="-88"/>
                <w:sz w:val="18"/>
                <w:szCs w:val="18"/>
              </w:rPr>
              <w:t> </w:t>
            </w:r>
            <w:r>
              <w:rPr>
                <w:rFonts w:ascii="宋体" w:hAnsi="宋体" w:cs="宋体" w:eastAsia="宋体" w:hint="default"/>
                <w:color w:val="0D0D0D"/>
                <w:spacing w:val="-88"/>
                <w:sz w:val="18"/>
                <w:szCs w:val="18"/>
              </w:rPr>
            </w:r>
            <w:r>
              <w:rPr>
                <w:rFonts w:ascii="宋体" w:hAnsi="宋体" w:cs="宋体" w:eastAsia="宋体" w:hint="default"/>
                <w:color w:val="0D0D0D"/>
                <w:sz w:val="18"/>
                <w:szCs w:val="18"/>
              </w:rPr>
              <w:t>公司</w:t>
            </w:r>
            <w:r>
              <w:rPr>
                <w:rFonts w:ascii="宋体" w:hAnsi="宋体" w:cs="宋体" w:eastAsia="宋体" w:hint="default"/>
                <w:sz w:val="18"/>
                <w:szCs w:val="18"/>
              </w:rPr>
            </w:r>
          </w:p>
        </w:tc>
        <w:tc>
          <w:tcPr>
            <w:tcW w:w="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89"/>
              <w:jc w:val="right"/>
              <w:rPr>
                <w:rFonts w:ascii="Times New Roman" w:hAnsi="Times New Roman" w:cs="Times New Roman" w:eastAsia="Times New Roman" w:hint="default"/>
                <w:sz w:val="18"/>
                <w:szCs w:val="18"/>
              </w:rPr>
            </w:pPr>
            <w:r>
              <w:rPr>
                <w:rFonts w:ascii="Times New Roman"/>
                <w:color w:val="0D0D0D"/>
                <w:w w:val="101"/>
                <w:sz w:val="18"/>
              </w:rPr>
              <w:t>4</w:t>
            </w:r>
            <w:r>
              <w:rPr>
                <w:rFonts w:ascii="Times New Roman"/>
                <w:sz w:val="18"/>
              </w:rPr>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77" w:right="0"/>
              <w:jc w:val="left"/>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 w:right="0"/>
              <w:jc w:val="center"/>
              <w:rPr>
                <w:rFonts w:ascii="Times New Roman" w:hAnsi="Times New Roman" w:cs="Times New Roman" w:eastAsia="Times New Roman" w:hint="default"/>
                <w:sz w:val="18"/>
                <w:szCs w:val="18"/>
              </w:rPr>
            </w:pPr>
            <w:r>
              <w:rPr>
                <w:rFonts w:ascii="Times New Roman"/>
                <w:color w:val="0D0D0D"/>
                <w:sz w:val="18"/>
              </w:rPr>
              <w:t>100</w:t>
            </w:r>
            <w:r>
              <w:rPr>
                <w:rFonts w:ascii="Times New Roman"/>
                <w:sz w:val="18"/>
              </w:rPr>
            </w:r>
          </w:p>
        </w:tc>
      </w:tr>
    </w:tbl>
    <w:p>
      <w:pPr>
        <w:pStyle w:val="BodyText"/>
        <w:spacing w:line="241" w:lineRule="exact"/>
        <w:ind w:left="374" w:right="0"/>
        <w:jc w:val="left"/>
      </w:pPr>
      <w:r>
        <w:rPr/>
        <w:t>注</w:t>
      </w:r>
      <w:r>
        <w:rPr>
          <w:rFonts w:ascii="Times New Roman" w:hAnsi="Times New Roman" w:cs="Times New Roman" w:eastAsia="Times New Roman" w:hint="default"/>
        </w:rPr>
        <w:t>1</w:t>
      </w:r>
      <w:r>
        <w:rPr/>
        <w:t>：已于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月被北京展视吸收合并。</w:t>
      </w:r>
    </w:p>
    <w:p>
      <w:pPr>
        <w:spacing w:line="240" w:lineRule="auto" w:before="9"/>
        <w:rPr>
          <w:rFonts w:ascii="宋体" w:hAnsi="宋体" w:cs="宋体" w:eastAsia="宋体" w:hint="default"/>
          <w:sz w:val="23"/>
          <w:szCs w:val="23"/>
        </w:rPr>
      </w:pPr>
    </w:p>
    <w:p>
      <w:pPr>
        <w:pStyle w:val="Heading2"/>
        <w:spacing w:line="240" w:lineRule="auto"/>
        <w:ind w:left="374" w:right="0"/>
        <w:jc w:val="left"/>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left="374" w:right="0"/>
        <w:jc w:val="left"/>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34" w:right="0"/>
        <w:jc w:val="left"/>
      </w:pPr>
      <w:r>
        <w:rPr/>
        <w:t>本集团执行财政部颁布的企业会计准则相及相关规定。此外，本集团还按照《公开发行证券的公司信息披露编报规则第</w:t>
      </w:r>
      <w:r>
        <w:rPr>
          <w:rFonts w:ascii="Times New Roman" w:hAnsi="Times New Roman" w:cs="Times New Roman" w:eastAsia="Times New Roman" w:hint="default"/>
        </w:rPr>
        <w:t>15</w:t>
      </w:r>
      <w:r>
        <w:rPr/>
        <w:t>号</w:t>
      </w:r>
    </w:p>
    <w:p>
      <w:pPr>
        <w:pStyle w:val="BodyText"/>
        <w:spacing w:line="240" w:lineRule="auto" w:before="62"/>
        <w:ind w:left="374" w:right="0"/>
        <w:jc w:val="left"/>
      </w:pPr>
      <w:r>
        <w:rPr>
          <w:rFonts w:ascii="Times New Roman" w:hAnsi="Times New Roman" w:cs="Times New Roman" w:eastAsia="Times New Roman" w:hint="default"/>
          <w:spacing w:val="-3"/>
        </w:rPr>
        <w:t>——</w:t>
      </w:r>
      <w:r>
        <w:rPr>
          <w:spacing w:val="-3"/>
        </w:rPr>
        <w:t>财务报告的一般规定</w:t>
      </w:r>
      <w:r>
        <w:rPr>
          <w:rFonts w:ascii="Times New Roman" w:hAnsi="Times New Roman" w:cs="Times New Roman" w:eastAsia="Times New Roman" w:hint="default"/>
          <w:spacing w:val="-3"/>
        </w:rPr>
        <w:t>(2014</w:t>
      </w:r>
      <w:r>
        <w:rPr>
          <w:spacing w:val="-3"/>
        </w:rPr>
        <w:t>年修订</w:t>
      </w:r>
      <w:r>
        <w:rPr>
          <w:rFonts w:ascii="Times New Roman" w:hAnsi="Times New Roman" w:cs="Times New Roman" w:eastAsia="Times New Roman" w:hint="default"/>
          <w:spacing w:val="-3"/>
        </w:rPr>
        <w:t>)</w:t>
      </w:r>
      <w:r>
        <w:rPr>
          <w:spacing w:val="-3"/>
        </w:rPr>
        <w:t>》披露有关财务信息。</w:t>
      </w:r>
    </w:p>
    <w:p>
      <w:pPr>
        <w:pStyle w:val="BodyText"/>
        <w:spacing w:line="240" w:lineRule="auto" w:before="63"/>
        <w:ind w:left="734" w:right="0"/>
        <w:jc w:val="left"/>
      </w:pPr>
      <w:r>
        <w:rPr>
          <w:rFonts w:ascii="Times New Roman" w:hAnsi="Times New Roman" w:cs="Times New Roman" w:eastAsia="Times New Roman" w:hint="default"/>
          <w:w w:val="101"/>
        </w:rPr>
      </w:r>
      <w:r>
        <w:rPr>
          <w:rFonts w:ascii="Times New Roman" w:hAnsi="Times New Roman" w:cs="Times New Roman" w:eastAsia="Times New Roman" w:hint="default"/>
          <w:w w:val="101"/>
          <w:u w:val="single" w:color="000000"/>
        </w:rPr>
        <w:t> </w:t>
      </w:r>
      <w:r>
        <w:rPr>
          <w:rFonts w:ascii="Times New Roman" w:hAnsi="Times New Roman" w:cs="Times New Roman" w:eastAsia="Times New Roman" w:hint="default"/>
          <w:u w:val="single" w:color="000000"/>
        </w:rPr>
        <w:t> </w:t>
      </w:r>
      <w:r>
        <w:rPr>
          <w:spacing w:val="-3"/>
          <w:u w:val="single" w:color="000000"/>
        </w:rPr>
        <w:t>记账基础和计价原则</w:t>
      </w:r>
      <w:r>
        <w:rPr>
          <w:spacing w:val="-3"/>
        </w:rPr>
      </w:r>
    </w:p>
    <w:p>
      <w:pPr>
        <w:spacing w:after="0" w:line="240" w:lineRule="auto"/>
        <w:jc w:val="left"/>
        <w:sectPr>
          <w:pgSz w:w="11910" w:h="16840"/>
          <w:pgMar w:header="906" w:footer="1022" w:top="1200" w:bottom="1220" w:left="500" w:right="0"/>
        </w:sectPr>
      </w:pPr>
    </w:p>
    <w:p>
      <w:pPr>
        <w:pStyle w:val="BodyText"/>
        <w:spacing w:line="316" w:lineRule="auto" w:before="80"/>
        <w:ind w:right="859" w:firstLine="360"/>
        <w:jc w:val="both"/>
      </w:pPr>
      <w:r>
        <w:rPr>
          <w:spacing w:val="-1"/>
        </w:rPr>
        <w:t>本集团会计核算以权责发生制为记账基础。除某些金融工具以公允价值计量外，本财务报表以历史成本作为计量基础。资产</w:t>
      </w:r>
      <w:r>
        <w:rPr>
          <w:w w:val="101"/>
        </w:rPr>
        <w:t> </w:t>
      </w:r>
      <w:r>
        <w:rPr>
          <w:spacing w:val="-3"/>
        </w:rPr>
        <w:t>如果发生减值，则按照相关规定计提相应的减值准备。 在历史成本计量下，资产按照购置时支付的现金或者现金等价物的金额或</w:t>
      </w:r>
      <w:r>
        <w:rPr>
          <w:spacing w:val="-20"/>
        </w:rPr>
        <w:t> </w:t>
      </w:r>
      <w:r>
        <w:rPr>
          <w:spacing w:val="-20"/>
        </w:rPr>
      </w:r>
      <w:r>
        <w:rPr>
          <w:spacing w:val="-1"/>
        </w:rPr>
        <w:t>者所付出的对价的公允价值计量。负债按照因承担现时义务而实际收到的款项或者资产的金额，或者承担现时义务的合同金额，</w:t>
      </w:r>
      <w:r>
        <w:rPr>
          <w:spacing w:val="50"/>
        </w:rPr>
        <w:t> </w:t>
      </w:r>
      <w:r>
        <w:rPr>
          <w:spacing w:val="50"/>
        </w:rPr>
      </w:r>
      <w:r>
        <w:rPr>
          <w:spacing w:val="-3"/>
        </w:rPr>
        <w:t>或者按照日常活动中为偿还负债预期需要支付的现金或者现金等价物的金额计量。</w:t>
      </w:r>
    </w:p>
    <w:p>
      <w:pPr>
        <w:pStyle w:val="BodyText"/>
        <w:spacing w:line="316" w:lineRule="auto" w:before="19"/>
        <w:ind w:right="861" w:firstLine="360"/>
        <w:jc w:val="both"/>
      </w:pPr>
      <w:r>
        <w:rPr>
          <w:spacing w:val="-1"/>
        </w:rPr>
        <w:t>公允价值是市场参与者在计量日发生的有序交易中，出售一项资产所能收到或者转移一项负债所需支付的价格。无论公允价</w:t>
      </w:r>
      <w:r>
        <w:rPr>
          <w:w w:val="101"/>
        </w:rPr>
        <w:t> </w:t>
      </w:r>
      <w:r>
        <w:rPr>
          <w:spacing w:val="-3"/>
        </w:rPr>
        <w:t>值是可观察到的还是采用估值技术估计的，在本财务报表中计量和披露的公允价值均在此基础上予以确定。</w:t>
      </w:r>
    </w:p>
    <w:p>
      <w:pPr>
        <w:pStyle w:val="BodyText"/>
        <w:spacing w:line="316" w:lineRule="auto" w:before="19"/>
        <w:ind w:right="861" w:firstLine="360"/>
        <w:jc w:val="both"/>
      </w:pPr>
      <w:r>
        <w:rPr>
          <w:spacing w:val="-1"/>
        </w:rPr>
        <w:t>对于以交易价格作为初始确认时的公允价值，且在公允价值后续计量中使用了涉及不可观察输入值的估值技术的金融资产，</w:t>
      </w:r>
      <w:r>
        <w:rPr>
          <w:w w:val="101"/>
        </w:rPr>
        <w:t> </w:t>
      </w:r>
      <w:r>
        <w:rPr>
          <w:spacing w:val="-3"/>
        </w:rPr>
        <w:t>在估值过程中校正该估值技术，以使估值技术确定的初始确认结果与交易价格相等。</w:t>
      </w:r>
    </w:p>
    <w:p>
      <w:pPr>
        <w:pStyle w:val="BodyText"/>
        <w:spacing w:line="319" w:lineRule="auto" w:before="19"/>
        <w:ind w:left="767" w:right="858"/>
        <w:jc w:val="left"/>
      </w:pPr>
      <w:r>
        <w:rPr>
          <w:spacing w:val="-3"/>
        </w:rPr>
        <w:t>公允价值计量基于公允价值的输入值的可观察程度以及该等输入值对公允价值计量整体的重要性，被划分为三个层次：</w:t>
      </w:r>
      <w:r>
        <w:rPr>
          <w:spacing w:val="60"/>
        </w:rPr>
        <w:t> </w:t>
      </w:r>
      <w:r>
        <w:rPr>
          <w:spacing w:val="60"/>
        </w:rPr>
      </w:r>
      <w:r>
        <w:rPr>
          <w:spacing w:val="-3"/>
        </w:rPr>
        <w:t>第一层次输入值是在计量日能够取得的相同资产或负债在活跃市场上未经调整的报价。</w:t>
      </w:r>
      <w:r>
        <w:rPr>
          <w:spacing w:val="20"/>
        </w:rPr>
        <w:t> </w:t>
      </w:r>
      <w:r>
        <w:rPr>
          <w:spacing w:val="20"/>
        </w:rPr>
      </w:r>
      <w:r>
        <w:rPr>
          <w:spacing w:val="-3"/>
        </w:rPr>
        <w:t>第二层次输入值是除第一层次输入值外相关资产或负债直接或间接可观察的输入值。</w:t>
      </w:r>
      <w:r>
        <w:rPr>
          <w:spacing w:val="20"/>
        </w:rPr>
        <w:t> </w:t>
      </w:r>
      <w:r>
        <w:rPr>
          <w:spacing w:val="20"/>
        </w:rPr>
      </w:r>
      <w:r>
        <w:rPr>
          <w:spacing w:val="-3"/>
        </w:rPr>
        <w:t>第三层次输入值是相关资产或负债的不可观察输入值。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858"/>
        <w:jc w:val="left"/>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858" w:firstLine="240"/>
        <w:jc w:val="left"/>
      </w:pPr>
      <w:r>
        <w:rPr>
          <w:spacing w:val="-3"/>
        </w:rPr>
        <w:t>本集团对自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日起</w:t>
      </w:r>
      <w:r>
        <w:rPr>
          <w:rFonts w:ascii="Times New Roman" w:hAnsi="Times New Roman" w:cs="Times New Roman" w:eastAsia="Times New Roman" w:hint="default"/>
          <w:spacing w:val="-3"/>
        </w:rPr>
        <w:t>12</w:t>
      </w:r>
      <w:r>
        <w:rPr>
          <w:spacing w:val="-3"/>
        </w:rPr>
        <w:t>个月的持续经营能力进行了评价，未发现对持续经营能力产生重大怀疑的事项和情况。因此，</w:t>
      </w:r>
      <w:r>
        <w:rPr>
          <w:w w:val="101"/>
        </w:rPr>
        <w:t> </w:t>
      </w:r>
      <w:r>
        <w:rPr>
          <w:spacing w:val="-3"/>
        </w:rPr>
        <w:t>本财务报表系在持续经营假设的基础上编制。</w:t>
      </w:r>
    </w:p>
    <w:p>
      <w:pPr>
        <w:spacing w:line="240" w:lineRule="auto" w:before="3"/>
        <w:rPr>
          <w:rFonts w:ascii="宋体" w:hAnsi="宋体" w:cs="宋体" w:eastAsia="宋体" w:hint="default"/>
          <w:sz w:val="21"/>
          <w:szCs w:val="21"/>
        </w:rPr>
      </w:pPr>
    </w:p>
    <w:p>
      <w:pPr>
        <w:pStyle w:val="Heading2"/>
        <w:spacing w:line="240" w:lineRule="auto"/>
        <w:ind w:left="134" w:right="858"/>
        <w:jc w:val="left"/>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3"/>
        <w:rPr>
          <w:rFonts w:ascii="宋体" w:hAnsi="宋体" w:cs="宋体" w:eastAsia="宋体" w:hint="default"/>
          <w:b/>
          <w:bCs/>
          <w:sz w:val="27"/>
          <w:szCs w:val="27"/>
        </w:rPr>
      </w:pPr>
    </w:p>
    <w:p>
      <w:pPr>
        <w:pStyle w:val="BodyText"/>
        <w:spacing w:line="357" w:lineRule="auto"/>
        <w:ind w:right="8387"/>
        <w:jc w:val="left"/>
      </w:pPr>
      <w:r>
        <w:rPr>
          <w:spacing w:val="-3"/>
        </w:rPr>
        <w:t>具体会计政策和会计估计提示：</w:t>
      </w:r>
      <w:r>
        <w:rPr>
          <w:spacing w:val="-45"/>
        </w:rPr>
        <w:t> </w:t>
      </w:r>
      <w:r>
        <w:rPr>
          <w:spacing w:val="-45"/>
        </w:rPr>
      </w:r>
      <w:r>
        <w:rPr/>
        <w:t>无</w:t>
      </w:r>
    </w:p>
    <w:p>
      <w:pPr>
        <w:spacing w:line="240" w:lineRule="auto" w:before="3"/>
        <w:rPr>
          <w:rFonts w:ascii="宋体" w:hAnsi="宋体" w:cs="宋体" w:eastAsia="宋体" w:hint="default"/>
          <w:sz w:val="20"/>
          <w:szCs w:val="20"/>
        </w:rPr>
      </w:pPr>
    </w:p>
    <w:p>
      <w:pPr>
        <w:pStyle w:val="Heading4"/>
        <w:spacing w:line="240" w:lineRule="auto"/>
        <w:ind w:right="858"/>
        <w:jc w:val="left"/>
        <w:rPr>
          <w:b w:val="0"/>
          <w:bCs w:val="0"/>
        </w:rPr>
      </w:pPr>
      <w:bookmarkStart w:name="1、遵循企业会计准则的声明" w:id="171"/>
      <w:bookmarkEnd w:id="17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858" w:firstLine="480"/>
        <w:jc w:val="left"/>
      </w:pPr>
      <w:r>
        <w:rPr>
          <w:spacing w:val="-3"/>
        </w:rPr>
        <w:t>本财务报表符合企业会计准则的要求，真实、完整地反映了本公司于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日的合并及公司财务状况以及</w:t>
      </w:r>
      <w:r>
        <w:rPr>
          <w:rFonts w:ascii="Times New Roman" w:hAnsi="Times New Roman" w:cs="Times New Roman" w:eastAsia="Times New Roman" w:hint="default"/>
          <w:spacing w:val="-3"/>
        </w:rPr>
        <w:t>2019</w:t>
      </w:r>
      <w:r>
        <w:rPr>
          <w:spacing w:val="-3"/>
        </w:rPr>
        <w:t>年度的</w:t>
      </w:r>
      <w:r>
        <w:rPr>
          <w:w w:val="101"/>
        </w:rPr>
        <w:t> </w:t>
      </w:r>
      <w:r>
        <w:rPr>
          <w:spacing w:val="-3"/>
        </w:rPr>
        <w:t>合并及公司经营成果、合并及公司股东权益变动和合并及公司现金流量。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9"/>
        <w:ind w:right="858"/>
        <w:jc w:val="left"/>
        <w:rPr>
          <w:b w:val="0"/>
          <w:bCs w:val="0"/>
        </w:rPr>
      </w:pPr>
      <w:bookmarkStart w:name="2、会计期间" w:id="172"/>
      <w:bookmarkEnd w:id="17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858"/>
        <w:jc w:val="left"/>
      </w:pPr>
      <w:r>
        <w:rPr>
          <w:spacing w:val="-3"/>
        </w:rPr>
        <w:t>本集团的会计年度为公历年度，即每年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日起至</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858"/>
        <w:jc w:val="left"/>
        <w:rPr>
          <w:b w:val="0"/>
          <w:bCs w:val="0"/>
        </w:rPr>
      </w:pPr>
      <w:bookmarkStart w:name="3、营业周期" w:id="173"/>
      <w:bookmarkEnd w:id="17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858"/>
        <w:jc w:val="left"/>
      </w:pPr>
      <w:r>
        <w:rPr>
          <w:spacing w:val="-3"/>
        </w:rPr>
        <w:t>营业周期是指企业从购买用于加工的资产起至实现现金或现金等价物的期间。本公司的营业周期为</w:t>
      </w:r>
      <w:r>
        <w:rPr>
          <w:rFonts w:ascii="Times New Roman" w:hAnsi="Times New Roman" w:cs="Times New Roman" w:eastAsia="Times New Roman" w:hint="default"/>
          <w:spacing w:val="-3"/>
        </w:rPr>
        <w:t>12</w:t>
      </w:r>
      <w:r>
        <w:rPr>
          <w:spacing w:val="-3"/>
        </w:rPr>
        <w:t>个月。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4"/>
        <w:spacing w:line="240" w:lineRule="auto"/>
        <w:ind w:right="858"/>
        <w:jc w:val="left"/>
        <w:rPr>
          <w:b w:val="0"/>
          <w:bCs w:val="0"/>
        </w:rPr>
      </w:pPr>
      <w:bookmarkStart w:name="4、记账本位币" w:id="174"/>
      <w:bookmarkEnd w:id="17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10"/>
        <w:rPr>
          <w:rFonts w:ascii="宋体" w:hAnsi="宋体" w:cs="宋体" w:eastAsia="宋体" w:hint="default"/>
          <w:b/>
          <w:bCs/>
          <w:sz w:val="26"/>
          <w:szCs w:val="26"/>
        </w:rPr>
      </w:pPr>
    </w:p>
    <w:p>
      <w:pPr>
        <w:pStyle w:val="BodyText"/>
        <w:spacing w:line="316" w:lineRule="auto"/>
        <w:ind w:right="858" w:firstLine="480"/>
        <w:jc w:val="left"/>
      </w:pPr>
      <w:r>
        <w:rPr>
          <w:spacing w:val="-4"/>
        </w:rPr>
        <w:t>人民币为本公司及境内子公司经营所处的主要经济环境中的货币，本公司及境内子公司以人民币为记账本位币。本公司之境</w:t>
      </w:r>
      <w:r>
        <w:rPr>
          <w:w w:val="101"/>
        </w:rPr>
        <w:t> </w:t>
      </w:r>
      <w:r>
        <w:rPr>
          <w:spacing w:val="-3"/>
        </w:rPr>
        <w:t>外子公司根据其经营所处的主要经济环境中的货币确定为其记账本位币。本公司编制本财务报表时采用的货币为人民币。</w:t>
      </w:r>
    </w:p>
    <w:p>
      <w:pPr>
        <w:spacing w:after="0" w:line="316" w:lineRule="auto"/>
        <w:jc w:val="left"/>
        <w:sectPr>
          <w:pgSz w:w="11910" w:h="16840"/>
          <w:pgMar w:header="906" w:footer="1022" w:top="1100" w:bottom="1220" w:left="740" w:right="0"/>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right="0"/>
        <w:jc w:val="both"/>
        <w:rPr>
          <w:b w:val="0"/>
          <w:bCs w:val="0"/>
        </w:rPr>
      </w:pPr>
      <w:bookmarkStart w:name="5、同一控制下和非同一控制下企业合并的会计处理方法" w:id="175"/>
      <w:bookmarkEnd w:id="17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494" w:right="858"/>
        <w:jc w:val="left"/>
      </w:pPr>
      <w:r>
        <w:rPr>
          <w:spacing w:val="-3"/>
        </w:rPr>
        <w:t>参与合并的企业在合并前后不受同一方或相同的多方最终控制，为非同一控制下的企业合并。</w:t>
      </w:r>
      <w:r>
        <w:rPr>
          <w:spacing w:val="31"/>
        </w:rPr>
        <w:t> </w:t>
      </w:r>
      <w:r>
        <w:rPr>
          <w:spacing w:val="31"/>
        </w:rPr>
      </w:r>
      <w:r>
        <w:rPr>
          <w:spacing w:val="-1"/>
        </w:rPr>
        <w:t>合并成本指购买方为取得被购买方的控制权而付出的资产、发生或承担的负债和发行的权益性工具的公允价值。通过多次交</w:t>
      </w:r>
    </w:p>
    <w:p>
      <w:pPr>
        <w:pStyle w:val="BodyText"/>
        <w:spacing w:line="316" w:lineRule="auto" w:before="19"/>
        <w:ind w:right="858"/>
        <w:jc w:val="left"/>
      </w:pPr>
      <w:r>
        <w:rPr>
          <w:spacing w:val="-1"/>
        </w:rPr>
        <w:t>易分步实现非同一控制下的企业合并的，合并成本为购买日支付的对价与购买日之前已经持有的被购买方的股权在购买日的公允</w:t>
      </w:r>
      <w:r>
        <w:rPr>
          <w:spacing w:val="50"/>
        </w:rPr>
        <w:t> </w:t>
      </w:r>
      <w:r>
        <w:rPr>
          <w:spacing w:val="50"/>
        </w:rPr>
      </w:r>
      <w:r>
        <w:rPr>
          <w:spacing w:val="-3"/>
        </w:rPr>
        <w:t>价值之和。购买方为企业合并发生的审计、法律服务、评估咨询等中介费用以及其他相关管理费用，于发生时计入当期损益。</w:t>
      </w:r>
    </w:p>
    <w:p>
      <w:pPr>
        <w:pStyle w:val="BodyText"/>
        <w:spacing w:line="316" w:lineRule="auto" w:before="19"/>
        <w:ind w:left="494" w:right="858"/>
        <w:jc w:val="left"/>
      </w:pPr>
      <w:r>
        <w:rPr>
          <w:spacing w:val="-3"/>
        </w:rPr>
        <w:t>购买方在合并中所取得的被购买方符合确认条件的可辨认资产、负债及或有负债在购买日以公允价值计量。</w:t>
      </w:r>
      <w:r>
        <w:rPr>
          <w:spacing w:val="48"/>
        </w:rPr>
        <w:t> </w:t>
      </w:r>
      <w:r>
        <w:rPr>
          <w:spacing w:val="48"/>
        </w:rPr>
      </w:r>
      <w:r>
        <w:rPr>
          <w:spacing w:val="-1"/>
        </w:rPr>
        <w:t>当合并协议中约定根据未来一项或有事项的发生，购买方要求返还之前已经支付的合并对价时，本集团将合并协议约定的或</w:t>
      </w:r>
    </w:p>
    <w:p>
      <w:pPr>
        <w:pStyle w:val="BodyText"/>
        <w:spacing w:line="312" w:lineRule="auto" w:before="19"/>
        <w:ind w:right="858"/>
        <w:jc w:val="both"/>
      </w:pPr>
      <w:r>
        <w:rPr>
          <w:spacing w:val="-1"/>
        </w:rPr>
        <w:t>有对价确认为一项资产，作为企业合并转移对价的一部分，按照其在购买日的公允价值计入企业合并成本。购买日后</w:t>
      </w:r>
      <w:r>
        <w:rPr>
          <w:rFonts w:ascii="Times New Roman" w:hAnsi="Times New Roman" w:cs="Times New Roman" w:eastAsia="Times New Roman" w:hint="default"/>
          <w:spacing w:val="-1"/>
        </w:rPr>
        <w:t>12</w:t>
      </w:r>
      <w:r>
        <w:rPr>
          <w:spacing w:val="-1"/>
        </w:rPr>
        <w:t>个月内，</w:t>
      </w:r>
      <w:r>
        <w:rPr>
          <w:spacing w:val="53"/>
        </w:rPr>
        <w:t> </w:t>
      </w:r>
      <w:r>
        <w:rPr>
          <w:spacing w:val="53"/>
        </w:rPr>
      </w:r>
      <w:r>
        <w:rPr>
          <w:spacing w:val="-1"/>
        </w:rPr>
        <w:t>若出现对购买日已存在情况的新的或者进一步证据而需要调整或有对价的，将予以确认并对原计入商誉的金额进行调整。其他情</w:t>
      </w:r>
      <w:r>
        <w:rPr>
          <w:spacing w:val="50"/>
        </w:rPr>
        <w:t> </w:t>
      </w:r>
      <w:r>
        <w:rPr>
          <w:spacing w:val="50"/>
        </w:rPr>
      </w:r>
      <w:r>
        <w:rPr>
          <w:spacing w:val="-1"/>
        </w:rPr>
        <w:t>况下发生的或有对价变化或调整，区分以下不同情况进行处理：对于权益性质的或有对价不进行会计处理；对于资产性质的或有</w:t>
      </w:r>
      <w:r>
        <w:rPr>
          <w:spacing w:val="50"/>
        </w:rPr>
        <w:t> </w:t>
      </w:r>
      <w:r>
        <w:rPr>
          <w:spacing w:val="50"/>
        </w:rPr>
      </w:r>
      <w:r>
        <w:rPr>
          <w:spacing w:val="-3"/>
        </w:rPr>
        <w:t>对价，按照《企业会计准则第</w:t>
      </w:r>
      <w:r>
        <w:rPr>
          <w:rFonts w:ascii="Times New Roman" w:hAnsi="Times New Roman" w:cs="Times New Roman" w:eastAsia="Times New Roman" w:hint="default"/>
          <w:spacing w:val="-3"/>
        </w:rPr>
        <w:t>22</w:t>
      </w:r>
      <w:r>
        <w:rPr>
          <w:spacing w:val="-3"/>
        </w:rPr>
        <w:t>号</w:t>
      </w:r>
      <w:r>
        <w:rPr>
          <w:rFonts w:ascii="Times New Roman" w:hAnsi="Times New Roman" w:cs="Times New Roman" w:eastAsia="Times New Roman" w:hint="default"/>
          <w:spacing w:val="-3"/>
        </w:rPr>
        <w:t>—</w:t>
      </w:r>
      <w:r>
        <w:rPr>
          <w:spacing w:val="-3"/>
        </w:rPr>
        <w:t>金融工具确认和计量》计量，发生的变化或调整计入当期损益。</w:t>
      </w:r>
    </w:p>
    <w:p>
      <w:pPr>
        <w:pStyle w:val="BodyText"/>
        <w:spacing w:line="319" w:lineRule="auto" w:before="3"/>
        <w:ind w:right="860" w:firstLine="360"/>
        <w:jc w:val="both"/>
      </w:pPr>
      <w:r>
        <w:rPr>
          <w:spacing w:val="-1"/>
        </w:rPr>
        <w:t>合并成本大于合并中取得的被购买方可辨认净资产公允价值份额的差额，作为一项资产确认为商誉并按成本进行初始计量。</w:t>
      </w:r>
      <w:r>
        <w:rPr>
          <w:w w:val="101"/>
        </w:rPr>
        <w:t> </w:t>
      </w:r>
      <w:r>
        <w:rPr>
          <w:spacing w:val="-1"/>
        </w:rPr>
        <w:t>合并成本小于合并中取得的被购买方可辨认净资产公允价值份额的，首先对取得的被购买方各项可辨认资产、负债及或有负债的</w:t>
      </w:r>
      <w:r>
        <w:rPr>
          <w:spacing w:val="50"/>
        </w:rPr>
        <w:t> </w:t>
      </w:r>
      <w:r>
        <w:rPr>
          <w:spacing w:val="50"/>
        </w:rPr>
      </w:r>
      <w:r>
        <w:rPr>
          <w:spacing w:val="-1"/>
        </w:rPr>
        <w:t>公允价值以及合并成本的计量进行复核，复核后合并成本仍小于合并中取得的被购买方可辨认净资产公允价值份额的，计入当期</w:t>
      </w:r>
      <w:r>
        <w:rPr>
          <w:spacing w:val="50"/>
        </w:rPr>
        <w:t> </w:t>
      </w:r>
      <w:r>
        <w:rPr>
          <w:spacing w:val="50"/>
        </w:rPr>
      </w:r>
      <w:r>
        <w:rPr/>
        <w:t>损益。</w:t>
      </w:r>
    </w:p>
    <w:p>
      <w:pPr>
        <w:pStyle w:val="BodyText"/>
        <w:spacing w:line="240" w:lineRule="auto" w:before="17"/>
        <w:ind w:left="494" w:right="858"/>
        <w:jc w:val="left"/>
      </w:pPr>
      <w:r>
        <w:rPr>
          <w:spacing w:val="-3"/>
        </w:rPr>
        <w:t>因企业合并形成的商誉在合并财务报表中单独列报，并按照成本扣除累计减值准备后的金额计量。</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859" w:firstLine="360"/>
        <w:jc w:val="both"/>
      </w:pPr>
      <w:r>
        <w:rPr>
          <w:spacing w:val="-1"/>
        </w:rPr>
        <w:t>合并财务报表的合并范围以控制为基础予以确定。控制是指投资方拥有对被投资方的权力，通过参与被投资方的相关活动而</w:t>
      </w:r>
      <w:r>
        <w:rPr>
          <w:w w:val="101"/>
        </w:rPr>
        <w:t> </w:t>
      </w:r>
      <w:r>
        <w:rPr>
          <w:spacing w:val="-1"/>
        </w:rPr>
        <w:t>享有可变回报，并且有能力运用对被投资方的权力影响其回报金额。一旦相关事实和情况的变化导致上述控制定义涉及的相关要</w:t>
      </w:r>
      <w:r>
        <w:rPr>
          <w:spacing w:val="50"/>
        </w:rPr>
        <w:t> </w:t>
      </w:r>
      <w:r>
        <w:rPr>
          <w:spacing w:val="50"/>
        </w:rPr>
      </w:r>
      <w:r>
        <w:rPr>
          <w:spacing w:val="-3"/>
        </w:rPr>
        <w:t>素发生了变化，本集团将进行重新评估。</w:t>
      </w:r>
    </w:p>
    <w:p>
      <w:pPr>
        <w:pStyle w:val="BodyText"/>
        <w:spacing w:line="316" w:lineRule="auto" w:before="19"/>
        <w:ind w:left="494" w:right="858"/>
        <w:jc w:val="left"/>
      </w:pPr>
      <w:r>
        <w:rPr>
          <w:spacing w:val="-3"/>
        </w:rPr>
        <w:t>子公司的合并起始于本集团获得对该子公司的控制权时，终止于本集团丧失对该子公司的控制权时。</w:t>
      </w:r>
      <w:r>
        <w:rPr>
          <w:spacing w:val="37"/>
        </w:rPr>
        <w:t> </w:t>
      </w:r>
      <w:r>
        <w:rPr>
          <w:spacing w:val="37"/>
        </w:rPr>
      </w:r>
      <w:r>
        <w:rPr>
          <w:spacing w:val="-4"/>
        </w:rPr>
        <w:t>对于本集团处置的子公司，处置日</w:t>
      </w:r>
      <w:r>
        <w:rPr>
          <w:rFonts w:ascii="Times New Roman" w:hAnsi="Times New Roman" w:cs="Times New Roman" w:eastAsia="Times New Roman" w:hint="default"/>
          <w:spacing w:val="-4"/>
        </w:rPr>
        <w:t>(</w:t>
      </w:r>
      <w:r>
        <w:rPr>
          <w:spacing w:val="-4"/>
        </w:rPr>
        <w:t>丧失控制权的日期</w:t>
      </w:r>
      <w:r>
        <w:rPr>
          <w:rFonts w:ascii="Times New Roman" w:hAnsi="Times New Roman" w:cs="Times New Roman" w:eastAsia="Times New Roman" w:hint="default"/>
          <w:spacing w:val="-4"/>
        </w:rPr>
        <w:t>)</w:t>
      </w:r>
      <w:r>
        <w:rPr>
          <w:spacing w:val="-4"/>
        </w:rPr>
        <w:t>前的经营成果和现金流量已经适当地包括在合并利润表和合并现金流量</w:t>
      </w:r>
    </w:p>
    <w:p>
      <w:pPr>
        <w:pStyle w:val="BodyText"/>
        <w:spacing w:line="235" w:lineRule="exact"/>
        <w:ind w:right="0"/>
        <w:jc w:val="both"/>
      </w:pPr>
      <w:r>
        <w:rPr/>
        <w:t>表中。</w:t>
      </w:r>
    </w:p>
    <w:p>
      <w:pPr>
        <w:pStyle w:val="BodyText"/>
        <w:spacing w:line="300" w:lineRule="auto" w:before="77"/>
        <w:ind w:right="862" w:firstLine="360"/>
        <w:jc w:val="both"/>
      </w:pPr>
      <w:r>
        <w:rPr>
          <w:spacing w:val="-4"/>
        </w:rPr>
        <w:t>对于通过非同一控制下的企业合并取得的子公司，其自购买日</w:t>
      </w:r>
      <w:r>
        <w:rPr>
          <w:rFonts w:ascii="Times New Roman" w:hAnsi="Times New Roman" w:cs="Times New Roman" w:eastAsia="Times New Roman" w:hint="default"/>
          <w:spacing w:val="-4"/>
        </w:rPr>
        <w:t>(</w:t>
      </w:r>
      <w:r>
        <w:rPr>
          <w:spacing w:val="-4"/>
        </w:rPr>
        <w:t>取得控制权的日期</w:t>
      </w:r>
      <w:r>
        <w:rPr>
          <w:rFonts w:ascii="Times New Roman" w:hAnsi="Times New Roman" w:cs="Times New Roman" w:eastAsia="Times New Roman" w:hint="default"/>
          <w:spacing w:val="-4"/>
        </w:rPr>
        <w:t>)</w:t>
      </w:r>
      <w:r>
        <w:rPr>
          <w:spacing w:val="-4"/>
        </w:rPr>
        <w:t>起的经营成果及现金流量已经适当地包括在</w:t>
      </w:r>
      <w:r>
        <w:rPr>
          <w:w w:val="101"/>
        </w:rPr>
        <w:t> </w:t>
      </w:r>
      <w:r>
        <w:rPr>
          <w:spacing w:val="-3"/>
        </w:rPr>
        <w:t>合并利润表和合并现金流量表中。</w:t>
      </w:r>
    </w:p>
    <w:p>
      <w:pPr>
        <w:pStyle w:val="BodyText"/>
        <w:spacing w:line="316" w:lineRule="auto" w:before="31"/>
        <w:ind w:right="861" w:firstLine="360"/>
        <w:jc w:val="both"/>
      </w:pPr>
      <w:r>
        <w:rPr>
          <w:spacing w:val="-1"/>
        </w:rPr>
        <w:t>子公司采用的会计政策与本公司不一致，在编制合并财务报表时，本公司已按照本公司的会计政策对子公司的财务报表进行</w:t>
      </w:r>
      <w:r>
        <w:rPr>
          <w:w w:val="101"/>
        </w:rPr>
        <w:t> </w:t>
      </w:r>
      <w:r>
        <w:rPr>
          <w:spacing w:val="-3"/>
        </w:rPr>
        <w:t>了必要的调整。</w:t>
      </w:r>
    </w:p>
    <w:p>
      <w:pPr>
        <w:pStyle w:val="BodyText"/>
        <w:spacing w:line="319" w:lineRule="auto" w:before="19"/>
        <w:ind w:left="494" w:right="858"/>
        <w:jc w:val="left"/>
      </w:pPr>
      <w:r>
        <w:rPr>
          <w:spacing w:val="-3"/>
        </w:rPr>
        <w:t>子公司采用的会计期间按照本公司统一规定的会计期间厘定。</w:t>
      </w:r>
      <w:r>
        <w:rPr>
          <w:spacing w:val="-10"/>
        </w:rPr>
        <w:t> </w:t>
      </w:r>
      <w:r>
        <w:rPr>
          <w:spacing w:val="-10"/>
        </w:rPr>
      </w:r>
      <w:r>
        <w:rPr>
          <w:spacing w:val="-3"/>
        </w:rPr>
        <w:t>本公司与子公司及子公司相互之间发生的内部交易对合并财务报表的影响于合并时抵销。</w:t>
      </w:r>
      <w:r>
        <w:rPr>
          <w:spacing w:val="25"/>
        </w:rPr>
        <w:t> </w:t>
      </w:r>
      <w:r>
        <w:rPr>
          <w:spacing w:val="25"/>
        </w:rPr>
      </w:r>
      <w:r>
        <w:rPr>
          <w:spacing w:val="-1"/>
        </w:rPr>
        <w:t>子公司所有者权益中不属于母公司的份额作为少数股东权益，在合并资产负债表中股东权益项目下以</w:t>
      </w:r>
      <w:r>
        <w:rPr>
          <w:rFonts w:ascii="Times New Roman" w:hAnsi="Times New Roman" w:cs="Times New Roman" w:eastAsia="Times New Roman" w:hint="default"/>
          <w:spacing w:val="-1"/>
        </w:rPr>
        <w:t>“</w:t>
      </w:r>
      <w:r>
        <w:rPr>
          <w:spacing w:val="-1"/>
        </w:rPr>
        <w:t>少数股东权益</w:t>
      </w:r>
      <w:r>
        <w:rPr>
          <w:rFonts w:ascii="Times New Roman" w:hAnsi="Times New Roman" w:cs="Times New Roman" w:eastAsia="Times New Roman" w:hint="default"/>
          <w:spacing w:val="-1"/>
        </w:rPr>
        <w:t>”</w:t>
      </w:r>
      <w:r>
        <w:rPr>
          <w:spacing w:val="-1"/>
        </w:rPr>
        <w:t>项目列</w:t>
      </w:r>
    </w:p>
    <w:p>
      <w:pPr>
        <w:pStyle w:val="BodyText"/>
        <w:spacing w:line="300" w:lineRule="auto"/>
        <w:ind w:left="494" w:right="858" w:hanging="360"/>
        <w:jc w:val="left"/>
      </w:pPr>
      <w:r>
        <w:rPr>
          <w:spacing w:val="-3"/>
        </w:rPr>
        <w:t>示。子公司当期净损益中属于少数股东权益的份额，在合并利润表中净利润项目下以</w:t>
      </w:r>
      <w:r>
        <w:rPr>
          <w:rFonts w:ascii="Times New Roman" w:hAnsi="Times New Roman" w:cs="Times New Roman" w:eastAsia="Times New Roman" w:hint="default"/>
          <w:spacing w:val="-3"/>
        </w:rPr>
        <w:t>“</w:t>
      </w:r>
      <w:r>
        <w:rPr>
          <w:spacing w:val="-3"/>
        </w:rPr>
        <w:t>少数股东损益</w:t>
      </w:r>
      <w:r>
        <w:rPr>
          <w:rFonts w:ascii="Times New Roman" w:hAnsi="Times New Roman" w:cs="Times New Roman" w:eastAsia="Times New Roman" w:hint="default"/>
          <w:spacing w:val="-3"/>
        </w:rPr>
        <w:t>”</w:t>
      </w:r>
      <w:r>
        <w:rPr>
          <w:spacing w:val="-3"/>
        </w:rPr>
        <w:t>项目列示。</w:t>
      </w:r>
      <w:r>
        <w:rPr>
          <w:spacing w:val="58"/>
        </w:rPr>
        <w:t> </w:t>
      </w:r>
      <w:r>
        <w:rPr>
          <w:spacing w:val="58"/>
        </w:rPr>
      </w:r>
      <w:r>
        <w:rPr>
          <w:spacing w:val="-3"/>
        </w:rPr>
        <w:t>少数股东分担的子公司的亏损超过了少数股东在该子公司期初所有者权益中所享有的份额，其余额仍冲减少数股东权益。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9"/>
        <w:ind w:right="0"/>
        <w:jc w:val="both"/>
        <w:rPr>
          <w:b w:val="0"/>
          <w:bCs w:val="0"/>
        </w:rPr>
      </w:pPr>
      <w:bookmarkStart w:name="7、现金及现金等价物的确定标准" w:id="177"/>
      <w:bookmarkEnd w:id="177"/>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858" w:firstLine="480"/>
        <w:jc w:val="left"/>
      </w:pPr>
      <w:r>
        <w:rPr>
          <w:spacing w:val="-5"/>
        </w:rPr>
        <w:t>现金是指库存现金以及可以随时用于支付的存款。现金等价物是指本集团持有的期限短（一般指从购买日起三个月内到期）、</w:t>
      </w:r>
      <w:r>
        <w:rPr>
          <w:w w:val="101"/>
        </w:rPr>
        <w:t> </w:t>
      </w:r>
      <w:r>
        <w:rPr>
          <w:spacing w:val="-3"/>
        </w:rPr>
        <w:t>流动性强、易于转换为已知金额现金、价值变动风险很小的投资。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7"/>
        <w:ind w:right="0"/>
        <w:jc w:val="both"/>
        <w:rPr>
          <w:b w:val="0"/>
          <w:bCs w:val="0"/>
        </w:rPr>
      </w:pPr>
      <w:bookmarkStart w:name="8、外币业务和外币报表折算" w:id="178"/>
      <w:bookmarkEnd w:id="178"/>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8.1</w:t>
      </w:r>
      <w:r>
        <w:rPr>
          <w:u w:val="single" w:color="000000"/>
        </w:rPr>
        <w:t>外币业务</w:t>
      </w:r>
      <w:r>
        <w:rPr/>
      </w:r>
    </w:p>
    <w:p>
      <w:pPr>
        <w:spacing w:after="0" w:line="240" w:lineRule="auto"/>
        <w:jc w:val="left"/>
        <w:sectPr>
          <w:pgSz w:w="11910" w:h="16840"/>
          <w:pgMar w:header="906" w:footer="1022" w:top="1100" w:bottom="1220" w:left="740" w:right="0"/>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BodyText"/>
        <w:spacing w:line="316" w:lineRule="auto" w:before="60"/>
        <w:ind w:left="494" w:right="858"/>
        <w:jc w:val="left"/>
      </w:pPr>
      <w:r>
        <w:rPr>
          <w:spacing w:val="-3"/>
        </w:rPr>
        <w:t>外币交易在初始确认时采用与交易发生日的即期汇率近似的汇率折算。</w:t>
      </w:r>
      <w:r>
        <w:rPr>
          <w:spacing w:val="2"/>
        </w:rPr>
        <w:t> </w:t>
      </w:r>
      <w:r>
        <w:rPr>
          <w:spacing w:val="2"/>
        </w:rPr>
      </w:r>
      <w:r>
        <w:rPr>
          <w:spacing w:val="-1"/>
        </w:rPr>
        <w:t>于资产负债表日，外币货币性项目采用该日即期汇率折算为人民币，因该日的即期汇率与初始确认时或者前一资产负债表日</w:t>
      </w:r>
    </w:p>
    <w:p>
      <w:pPr>
        <w:pStyle w:val="BodyText"/>
        <w:spacing w:line="316" w:lineRule="auto" w:before="19"/>
        <w:ind w:left="494" w:right="858" w:hanging="360"/>
        <w:jc w:val="left"/>
      </w:pPr>
      <w:r>
        <w:rPr>
          <w:spacing w:val="-3"/>
        </w:rPr>
        <w:t>即期汇率不同而产生的汇兑差额，均计入当期损益。</w:t>
      </w:r>
      <w:r>
        <w:rPr>
          <w:spacing w:val="-21"/>
        </w:rPr>
        <w:t> </w:t>
      </w:r>
      <w:r>
        <w:rPr>
          <w:spacing w:val="-21"/>
        </w:rPr>
      </w:r>
      <w:r>
        <w:rPr>
          <w:spacing w:val="-1"/>
        </w:rPr>
        <w:t>以历史成本计量的外币非货币性项目仍以交易发生日的即期汇率折算的记账本位币金额计量。以公允价值计量的外币非货币</w:t>
      </w:r>
    </w:p>
    <w:p>
      <w:pPr>
        <w:pStyle w:val="BodyText"/>
        <w:spacing w:line="300" w:lineRule="auto" w:before="19"/>
        <w:ind w:right="863"/>
        <w:jc w:val="both"/>
      </w:pPr>
      <w:r>
        <w:rPr>
          <w:spacing w:val="-3"/>
        </w:rPr>
        <w:t>性项目，采用公允价值确定日的即期汇率折算，折算后的记账本位币金额与原记账本位币金额的差额，作为公允价值变动</w:t>
      </w:r>
      <w:r>
        <w:rPr>
          <w:rFonts w:ascii="Times New Roman" w:hAnsi="Times New Roman" w:cs="Times New Roman" w:eastAsia="Times New Roman" w:hint="default"/>
          <w:spacing w:val="-3"/>
        </w:rPr>
        <w:t>(</w:t>
      </w:r>
      <w:r>
        <w:rPr>
          <w:spacing w:val="-3"/>
        </w:rPr>
        <w:t>含汇率</w:t>
      </w:r>
      <w:r>
        <w:rPr>
          <w:spacing w:val="12"/>
        </w:rPr>
        <w:t> </w:t>
      </w:r>
      <w:r>
        <w:rPr>
          <w:spacing w:val="-3"/>
        </w:rPr>
        <w:t>变动</w:t>
      </w:r>
      <w:r>
        <w:rPr>
          <w:rFonts w:ascii="Times New Roman" w:hAnsi="Times New Roman" w:cs="Times New Roman" w:eastAsia="Times New Roman" w:hint="default"/>
          <w:spacing w:val="-3"/>
        </w:rPr>
        <w:t>)</w:t>
      </w:r>
      <w:r>
        <w:rPr>
          <w:spacing w:val="-3"/>
        </w:rPr>
        <w:t>处理，计入当期损益或确认为其他综合收益。</w:t>
      </w:r>
    </w:p>
    <w:p>
      <w:pPr>
        <w:spacing w:line="240" w:lineRule="auto" w:before="11"/>
        <w:rPr>
          <w:rFonts w:ascii="宋体" w:hAnsi="宋体" w:cs="宋体" w:eastAsia="宋体" w:hint="default"/>
          <w:sz w:val="24"/>
          <w:szCs w:val="24"/>
        </w:rPr>
      </w:pPr>
    </w:p>
    <w:p>
      <w:pPr>
        <w:pStyle w:val="BodyText"/>
        <w:spacing w:line="300" w:lineRule="auto"/>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w w:val="101"/>
          <w:u w:val="single" w:color="000000"/>
        </w:rPr>
        <w:t> </w:t>
      </w:r>
      <w:r>
        <w:rPr>
          <w:rFonts w:ascii="Times New Roman" w:hAnsi="Times New Roman" w:cs="Times New Roman" w:eastAsia="Times New Roman" w:hint="default"/>
          <w:spacing w:val="-14"/>
          <w:u w:val="single" w:color="000000"/>
        </w:rPr>
        <w:t> </w:t>
      </w:r>
      <w:r>
        <w:rPr>
          <w:rFonts w:ascii="Times New Roman" w:hAnsi="Times New Roman" w:cs="Times New Roman" w:eastAsia="Times New Roman" w:hint="default"/>
          <w:spacing w:val="-3"/>
          <w:u w:val="single" w:color="000000"/>
        </w:rPr>
        <w:t>8.2</w:t>
      </w:r>
      <w:r>
        <w:rPr>
          <w:spacing w:val="-3"/>
          <w:u w:val="single" w:color="000000"/>
        </w:rPr>
        <w:t>外币财务报表折算</w:t>
      </w:r>
      <w:r>
        <w:rPr>
          <w:w w:val="101"/>
        </w:rPr>
      </w:r>
      <w:r>
        <w:rPr>
          <w:w w:val="101"/>
        </w:rPr>
        <w:t> </w:t>
      </w:r>
      <w:r>
        <w:rPr>
          <w:spacing w:val="-1"/>
        </w:rPr>
        <w:t>为编制合并财务报表，境外经营的外币财务报表按以下方法折算为人民币报表：资产负债表中的所有资产、负债类项目按资</w:t>
      </w:r>
    </w:p>
    <w:p>
      <w:pPr>
        <w:pStyle w:val="BodyText"/>
        <w:spacing w:line="312" w:lineRule="auto" w:before="31"/>
        <w:ind w:right="860"/>
        <w:jc w:val="both"/>
      </w:pPr>
      <w:r>
        <w:rPr>
          <w:spacing w:val="-4"/>
        </w:rPr>
        <w:t>产负债表日的即期汇率折算；除</w:t>
      </w:r>
      <w:r>
        <w:rPr>
          <w:rFonts w:ascii="Times New Roman" w:hAnsi="Times New Roman" w:cs="Times New Roman" w:eastAsia="Times New Roman" w:hint="default"/>
          <w:spacing w:val="-4"/>
        </w:rPr>
        <w:t>“</w:t>
      </w:r>
      <w:r>
        <w:rPr>
          <w:spacing w:val="-4"/>
        </w:rPr>
        <w:t>未分配利润</w:t>
      </w:r>
      <w:r>
        <w:rPr>
          <w:rFonts w:ascii="Times New Roman" w:hAnsi="Times New Roman" w:cs="Times New Roman" w:eastAsia="Times New Roman" w:hint="default"/>
          <w:spacing w:val="-4"/>
        </w:rPr>
        <w:t>”</w:t>
      </w:r>
      <w:r>
        <w:rPr>
          <w:spacing w:val="-4"/>
        </w:rPr>
        <w:t>项目外的股东权益项目按发生时的即期汇率折算；利润表中的所有项目及反映利润分</w:t>
      </w:r>
      <w:r>
        <w:rPr>
          <w:spacing w:val="56"/>
        </w:rPr>
        <w:t> </w:t>
      </w:r>
      <w:r>
        <w:rPr>
          <w:spacing w:val="56"/>
        </w:rPr>
      </w:r>
      <w:r>
        <w:rPr>
          <w:spacing w:val="-1"/>
        </w:rPr>
        <w:t>配发生额的项目按与交易发生日即期汇率近似的汇率折算；年初未分配利润为上一年折算后的年末未分配利润；年末未分配利润</w:t>
      </w:r>
      <w:r>
        <w:rPr>
          <w:spacing w:val="50"/>
        </w:rPr>
        <w:t> </w:t>
      </w:r>
      <w:r>
        <w:rPr>
          <w:spacing w:val="50"/>
        </w:rPr>
      </w:r>
      <w:r>
        <w:rPr>
          <w:spacing w:val="-1"/>
        </w:rPr>
        <w:t>按折算后的利润分配各项目计算列示；折算后资产类项目与负债类项目和股东权益类项目合计数的差额确认为其他综合收益并计</w:t>
      </w:r>
      <w:r>
        <w:rPr>
          <w:spacing w:val="50"/>
        </w:rPr>
        <w:t> </w:t>
      </w:r>
      <w:r>
        <w:rPr>
          <w:spacing w:val="50"/>
        </w:rPr>
      </w:r>
      <w:r>
        <w:rPr/>
        <w:t>入股东权益。</w:t>
      </w:r>
    </w:p>
    <w:p>
      <w:pPr>
        <w:pStyle w:val="BodyText"/>
        <w:spacing w:line="316" w:lineRule="auto" w:before="22"/>
        <w:ind w:right="861" w:firstLine="360"/>
        <w:jc w:val="both"/>
      </w:pPr>
      <w:r>
        <w:rPr>
          <w:spacing w:val="-1"/>
        </w:rPr>
        <w:t>外币现金流量以及境外子公司的现金流量，采用与现金流量发生日即期汇率近似的汇率折算，汇率变动对现金及现金等价物</w:t>
      </w:r>
      <w:r>
        <w:rPr>
          <w:w w:val="101"/>
        </w:rPr>
        <w:t> </w:t>
      </w:r>
      <w:r>
        <w:rPr>
          <w:spacing w:val="-3"/>
        </w:rPr>
        <w:t>的影响额，作为调节项目，在现金流量表中以</w:t>
      </w:r>
      <w:r>
        <w:rPr>
          <w:rFonts w:ascii="Times New Roman" w:hAnsi="Times New Roman" w:cs="Times New Roman" w:eastAsia="Times New Roman" w:hint="default"/>
          <w:spacing w:val="-3"/>
        </w:rPr>
        <w:t>“</w:t>
      </w:r>
      <w:r>
        <w:rPr>
          <w:spacing w:val="-3"/>
        </w:rPr>
        <w:t>汇率变动对现金及现金等价物的影响</w:t>
      </w:r>
      <w:r>
        <w:rPr>
          <w:rFonts w:ascii="Times New Roman" w:hAnsi="Times New Roman" w:cs="Times New Roman" w:eastAsia="Times New Roman" w:hint="default"/>
          <w:spacing w:val="-3"/>
        </w:rPr>
        <w:t>”</w:t>
      </w:r>
      <w:r>
        <w:rPr>
          <w:spacing w:val="-3"/>
        </w:rPr>
        <w:t>单独列示。</w:t>
      </w:r>
    </w:p>
    <w:p>
      <w:pPr>
        <w:pStyle w:val="BodyText"/>
        <w:spacing w:line="316" w:lineRule="auto"/>
        <w:ind w:left="494" w:right="858"/>
        <w:jc w:val="left"/>
      </w:pPr>
      <w:r>
        <w:rPr>
          <w:spacing w:val="-3"/>
        </w:rPr>
        <w:t>上年年末数和上年实际数按照上年财务报表折算后的数额列示。</w:t>
      </w:r>
      <w:r>
        <w:rPr>
          <w:spacing w:val="-9"/>
        </w:rPr>
        <w:t> </w:t>
      </w:r>
      <w:r>
        <w:rPr>
          <w:spacing w:val="-9"/>
        </w:rPr>
      </w:r>
      <w:r>
        <w:rPr>
          <w:spacing w:val="-1"/>
        </w:rPr>
        <w:t>在处置本集团在境外经营的全部所有者权益或因处置部分股权投资或其他原因丧失了对境外经营控制权时，将资产负债表中</w:t>
      </w:r>
    </w:p>
    <w:p>
      <w:pPr>
        <w:pStyle w:val="BodyText"/>
        <w:spacing w:line="240" w:lineRule="auto" w:before="19"/>
        <w:ind w:right="858"/>
        <w:jc w:val="left"/>
      </w:pPr>
      <w:r>
        <w:rPr>
          <w:spacing w:val="-3"/>
        </w:rPr>
        <w:t>股东权益项目下列示的、与该境外经营相关的归属于母公司所有者权益的外币报表折算差额，全部转入处置当期损益。</w:t>
      </w:r>
    </w:p>
    <w:p>
      <w:pPr>
        <w:spacing w:line="240" w:lineRule="auto" w:before="0"/>
        <w:rPr>
          <w:rFonts w:ascii="宋体" w:hAnsi="宋体" w:cs="宋体" w:eastAsia="宋体" w:hint="default"/>
          <w:sz w:val="18"/>
          <w:szCs w:val="18"/>
        </w:rPr>
      </w:pPr>
    </w:p>
    <w:p>
      <w:pPr>
        <w:pStyle w:val="Heading4"/>
        <w:spacing w:line="240" w:lineRule="auto" w:before="118"/>
        <w:ind w:right="858"/>
        <w:jc w:val="left"/>
        <w:rPr>
          <w:b w:val="0"/>
          <w:bCs w:val="0"/>
        </w:rPr>
      </w:pPr>
      <w:bookmarkStart w:name="9、金融工具" w:id="179"/>
      <w:bookmarkEnd w:id="179"/>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494" w:right="858"/>
        <w:jc w:val="left"/>
      </w:pPr>
      <w:r>
        <w:rPr>
          <w:spacing w:val="-3"/>
        </w:rPr>
        <w:t>本集团在成为金融工具合同的一方时确认一项金融资产或金融负债。 对于以常规方式购买或出售金融资产的，在交易日确认将收到的资产和为此将承担的负债，或者在交易日终止确认已出售的</w:t>
      </w:r>
    </w:p>
    <w:p>
      <w:pPr>
        <w:pStyle w:val="BodyText"/>
        <w:spacing w:line="240" w:lineRule="auto" w:before="19"/>
        <w:ind w:right="858"/>
        <w:jc w:val="left"/>
      </w:pPr>
      <w:r>
        <w:rPr/>
        <w:t>资产。</w:t>
      </w:r>
    </w:p>
    <w:p>
      <w:pPr>
        <w:pStyle w:val="BodyText"/>
        <w:spacing w:line="312" w:lineRule="auto" w:before="76"/>
        <w:ind w:right="946" w:firstLine="360"/>
        <w:jc w:val="both"/>
      </w:pPr>
      <w:r>
        <w:rPr>
          <w:spacing w:val="-3"/>
        </w:rPr>
        <w:t>金融资产和金融负债在初始确认时以公允价值计量。对于以公允价值计量且其变动计入当期损益的金融资产和金融负债，相</w:t>
      </w:r>
      <w:r>
        <w:rPr>
          <w:w w:val="101"/>
        </w:rPr>
        <w:t> </w:t>
      </w:r>
      <w:r>
        <w:rPr>
          <w:spacing w:val="-3"/>
        </w:rPr>
        <w:t>关的交易费用直接计入当期损益；对于其他类别的金融资产和金融负债，相关交易费用计入初始确认金额。当本集团按照《企业</w:t>
      </w:r>
      <w:r>
        <w:rPr>
          <w:spacing w:val="72"/>
        </w:rPr>
        <w:t> </w:t>
      </w:r>
      <w:r>
        <w:rPr>
          <w:spacing w:val="72"/>
        </w:rPr>
      </w:r>
      <w:r>
        <w:rPr/>
        <w:t>会计准则第</w:t>
      </w:r>
      <w:r>
        <w:rPr>
          <w:rFonts w:ascii="Times New Roman" w:hAnsi="Times New Roman" w:cs="Times New Roman" w:eastAsia="Times New Roman" w:hint="default"/>
        </w:rPr>
        <w:t>14 </w:t>
      </w:r>
      <w:r>
        <w:rPr>
          <w:spacing w:val="-3"/>
        </w:rPr>
        <w:t>号</w:t>
      </w:r>
      <w:r>
        <w:rPr>
          <w:rFonts w:ascii="Times New Roman" w:hAnsi="Times New Roman" w:cs="Times New Roman" w:eastAsia="Times New Roman" w:hint="default"/>
          <w:spacing w:val="-3"/>
        </w:rPr>
        <w:t>——</w:t>
      </w:r>
      <w:r>
        <w:rPr>
          <w:spacing w:val="-3"/>
        </w:rPr>
        <w:t>收入》</w:t>
      </w:r>
      <w:r>
        <w:rPr>
          <w:rFonts w:ascii="Times New Roman" w:hAnsi="Times New Roman" w:cs="Times New Roman" w:eastAsia="Times New Roman" w:hint="default"/>
          <w:spacing w:val="-3"/>
        </w:rPr>
        <w:t>(“</w:t>
      </w:r>
      <w:r>
        <w:rPr>
          <w:spacing w:val="-3"/>
        </w:rPr>
        <w:t>收入准则</w:t>
      </w:r>
      <w:r>
        <w:rPr>
          <w:rFonts w:ascii="Times New Roman" w:hAnsi="Times New Roman" w:cs="Times New Roman" w:eastAsia="Times New Roman" w:hint="default"/>
          <w:spacing w:val="-3"/>
        </w:rPr>
        <w:t>”)</w:t>
      </w:r>
      <w:r>
        <w:rPr>
          <w:spacing w:val="-3"/>
        </w:rPr>
        <w:t>初始确认未包含重大融资成分或不考虑不超过一年的合同中的融资成分的应收账款时，</w:t>
      </w:r>
      <w:r>
        <w:rPr>
          <w:spacing w:val="-48"/>
        </w:rPr>
        <w:t> </w:t>
      </w:r>
      <w:r>
        <w:rPr>
          <w:spacing w:val="-48"/>
        </w:rPr>
      </w:r>
      <w:r>
        <w:rPr>
          <w:spacing w:val="-3"/>
        </w:rPr>
        <w:t>按照收入准则定义的交易价格进行初始计量。</w:t>
      </w:r>
    </w:p>
    <w:p>
      <w:pPr>
        <w:pStyle w:val="BodyText"/>
        <w:spacing w:line="316" w:lineRule="auto" w:before="22"/>
        <w:ind w:left="494" w:right="858"/>
        <w:jc w:val="left"/>
      </w:pPr>
      <w:r>
        <w:rPr>
          <w:spacing w:val="-3"/>
        </w:rPr>
        <w:t>实际利率法是指计算金融资产或金融负债的摊余成本以及将利息收入或利息费用分摊计入各会计期间的方法。</w:t>
      </w:r>
      <w:r>
        <w:rPr>
          <w:spacing w:val="49"/>
        </w:rPr>
        <w:t> </w:t>
      </w:r>
      <w:r>
        <w:rPr>
          <w:spacing w:val="49"/>
        </w:rPr>
      </w:r>
      <w:r>
        <w:rPr>
          <w:spacing w:val="-3"/>
        </w:rPr>
        <w:t>实际利率，是指将金融资产或金融负债在预计存续期的估计未来现金流量，折现为该金融资产账面余额或该金融负债摊余成</w:t>
      </w:r>
    </w:p>
    <w:p>
      <w:pPr>
        <w:pStyle w:val="BodyText"/>
        <w:spacing w:line="300" w:lineRule="auto" w:before="19"/>
        <w:ind w:right="864"/>
        <w:jc w:val="both"/>
      </w:pPr>
      <w:r>
        <w:rPr>
          <w:spacing w:val="-4"/>
        </w:rPr>
        <w:t>本所使用的利率。在确定实际利率时，在考虑金融资产或金融负债所有合同条款</w:t>
      </w:r>
      <w:r>
        <w:rPr>
          <w:rFonts w:ascii="Times New Roman" w:hAnsi="Times New Roman" w:cs="Times New Roman" w:eastAsia="Times New Roman" w:hint="default"/>
          <w:spacing w:val="-4"/>
        </w:rPr>
        <w:t>(</w:t>
      </w:r>
      <w:r>
        <w:rPr>
          <w:spacing w:val="-4"/>
        </w:rPr>
        <w:t>如提前还款、展期、看涨期权或其他类似期权等</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18"/>
        </w:rPr>
        <w:t> </w:t>
      </w:r>
      <w:r>
        <w:rPr>
          <w:spacing w:val="-3"/>
        </w:rPr>
        <w:t>的基础上估计预期现金流量，但不考虑预期信用损失。</w:t>
      </w:r>
    </w:p>
    <w:p>
      <w:pPr>
        <w:pStyle w:val="BodyText"/>
        <w:spacing w:line="316" w:lineRule="auto" w:before="31"/>
        <w:ind w:right="946" w:firstLine="360"/>
        <w:jc w:val="both"/>
      </w:pPr>
      <w:r>
        <w:rPr>
          <w:spacing w:val="-3"/>
        </w:rPr>
        <w:t>金融资产或金融负债的摊余成本是以该金融资产或金融负债的初始确认金额扣除已偿还的本金，加上或减去采用实际利率法</w:t>
      </w:r>
      <w:r>
        <w:rPr>
          <w:w w:val="101"/>
        </w:rPr>
        <w:t> </w:t>
      </w:r>
      <w:r>
        <w:rPr>
          <w:spacing w:val="-3"/>
        </w:rPr>
        <w:t>将该初始确认金额与到期日金额之间的差额进行摊销形成的累计摊销额，再扣除累计计提的损失准备</w:t>
      </w:r>
      <w:r>
        <w:rPr>
          <w:rFonts w:ascii="Times New Roman" w:hAnsi="Times New Roman" w:cs="Times New Roman" w:eastAsia="Times New Roman" w:hint="default"/>
          <w:spacing w:val="-3"/>
        </w:rPr>
        <w:t>(</w:t>
      </w:r>
      <w:r>
        <w:rPr>
          <w:spacing w:val="-3"/>
        </w:rPr>
        <w:t>仅适用于金融资产</w:t>
      </w:r>
      <w:r>
        <w:rPr>
          <w:rFonts w:ascii="Times New Roman" w:hAnsi="Times New Roman" w:cs="Times New Roman" w:eastAsia="Times New Roman" w:hint="default"/>
          <w:spacing w:val="-3"/>
        </w:rPr>
        <w:t>)</w:t>
      </w:r>
      <w:r>
        <w:rPr>
          <w:spacing w:val="-3"/>
        </w:rPr>
        <w:t>。</w:t>
      </w:r>
    </w:p>
    <w:p>
      <w:pPr>
        <w:pStyle w:val="BodyText"/>
        <w:spacing w:line="300" w:lineRule="auto"/>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spacing w:val="-3"/>
          <w:u w:val="single" w:color="000000"/>
        </w:rPr>
        <w:t>9.1</w:t>
      </w:r>
      <w:r>
        <w:rPr>
          <w:spacing w:val="-3"/>
          <w:u w:val="single" w:color="000000"/>
        </w:rPr>
        <w:t>金融资产的分类、确认与计量</w:t>
      </w:r>
      <w:r>
        <w:rPr>
          <w:spacing w:val="-41"/>
          <w:u w:val="single" w:color="000000"/>
        </w:rPr>
        <w:t> </w:t>
      </w:r>
      <w:r>
        <w:rPr>
          <w:spacing w:val="-41"/>
        </w:rPr>
      </w:r>
      <w:r>
        <w:rPr>
          <w:spacing w:val="-41"/>
        </w:rPr>
      </w:r>
      <w:r>
        <w:rPr>
          <w:spacing w:val="-3"/>
        </w:rPr>
        <w:t>初始确认后，本集团对不同类别的金融资产，分别以摊余成本、以公允价值计量且其变动计入其他综合收益或以公允价值计</w:t>
      </w:r>
    </w:p>
    <w:p>
      <w:pPr>
        <w:pStyle w:val="BodyText"/>
        <w:spacing w:line="319" w:lineRule="auto" w:before="31"/>
        <w:ind w:left="494" w:right="858" w:hanging="360"/>
        <w:jc w:val="left"/>
      </w:pPr>
      <w:r>
        <w:rPr>
          <w:spacing w:val="-3"/>
        </w:rPr>
        <w:t>量且其变动计入当期损益进行后续计量。</w:t>
      </w:r>
      <w:r>
        <w:rPr>
          <w:spacing w:val="-33"/>
        </w:rPr>
        <w:t> </w:t>
      </w:r>
      <w:r>
        <w:rPr>
          <w:spacing w:val="-33"/>
        </w:rPr>
      </w:r>
      <w:r>
        <w:rPr>
          <w:spacing w:val="-3"/>
        </w:rPr>
        <w:t>金融资产的合同条款规定在特定日期产生的现金流量仅为对本金和以未偿付本金金额为基础的利息的支付，且本集团管理该</w:t>
      </w:r>
    </w:p>
    <w:p>
      <w:pPr>
        <w:pStyle w:val="BodyText"/>
        <w:spacing w:line="316" w:lineRule="auto" w:before="17"/>
        <w:ind w:right="946"/>
        <w:jc w:val="both"/>
      </w:pPr>
      <w:r>
        <w:rPr>
          <w:spacing w:val="-3"/>
        </w:rPr>
        <w:t>金融资产的业务模式是以收取合同现金流量为目标，则本集团将该金融资产分类为以摊余成本计量的金融资产。此类金融资产主</w:t>
      </w:r>
      <w:r>
        <w:rPr>
          <w:spacing w:val="72"/>
        </w:rPr>
        <w:t> </w:t>
      </w:r>
      <w:r>
        <w:rPr>
          <w:spacing w:val="72"/>
        </w:rPr>
      </w:r>
      <w:r>
        <w:rPr>
          <w:spacing w:val="-3"/>
        </w:rPr>
        <w:t>要包括货币资金、应收账款、其他应收款。</w:t>
      </w:r>
    </w:p>
    <w:p>
      <w:pPr>
        <w:pStyle w:val="BodyText"/>
        <w:spacing w:line="316" w:lineRule="auto" w:before="19"/>
        <w:ind w:right="865" w:firstLine="451"/>
        <w:jc w:val="both"/>
      </w:pPr>
      <w:r>
        <w:rPr>
          <w:spacing w:val="-3"/>
        </w:rPr>
        <w:t>初始确认时，本集团可以单项金融资产为基础，不可撤销地将非同一控制下的企业合并中确认的或有对价以外的非交易性权</w:t>
      </w:r>
      <w:r>
        <w:rPr>
          <w:w w:val="101"/>
        </w:rPr>
        <w:t> </w:t>
      </w:r>
      <w:r>
        <w:rPr>
          <w:spacing w:val="-3"/>
        </w:rPr>
        <w:t>益工具投资指定为以公允价值计量且其变动计入其他综合收益的金融资产。此类金融资产作为其他权益工具投资列示。</w:t>
      </w:r>
    </w:p>
    <w:p>
      <w:pPr>
        <w:pStyle w:val="BodyText"/>
        <w:spacing w:line="316" w:lineRule="auto" w:before="19"/>
        <w:ind w:left="494" w:right="858"/>
        <w:jc w:val="left"/>
      </w:pPr>
      <w:r>
        <w:rPr>
          <w:spacing w:val="-3"/>
        </w:rPr>
        <w:t>金融资产满足下列条件之一的，表明本集团持有该金融资产的目的是交易性的：</w:t>
      </w:r>
      <w:r>
        <w:rPr>
          <w:spacing w:val="13"/>
        </w:rPr>
        <w:t> </w:t>
      </w:r>
      <w:r>
        <w:rPr>
          <w:spacing w:val="13"/>
        </w:rPr>
      </w:r>
      <w:r>
        <w:rPr>
          <w:spacing w:val="-3"/>
        </w:rPr>
        <w:t>取得相关金融资产的目的，主要是为了近期出售。</w:t>
      </w:r>
      <w:r>
        <w:rPr>
          <w:spacing w:val="-22"/>
        </w:rPr>
        <w:t> </w:t>
      </w:r>
      <w:r>
        <w:rPr>
          <w:spacing w:val="-22"/>
        </w:rPr>
      </w:r>
      <w:r>
        <w:rPr>
          <w:spacing w:val="-3"/>
        </w:rPr>
        <w:t>相关金融资产在初始确认时属于集中管理的可辨认金融工具组合的一部分，且有客观证据表明近期实际存在短期获利模式。</w:t>
      </w:r>
      <w:r>
        <w:rPr>
          <w:spacing w:val="66"/>
        </w:rPr>
        <w:t> </w:t>
      </w:r>
      <w:r>
        <w:rPr>
          <w:spacing w:val="66"/>
        </w:rPr>
      </w:r>
      <w:r>
        <w:rPr>
          <w:spacing w:val="-3"/>
        </w:rPr>
        <w:t>相关金融资产属于衍生工具。但符合财务担保合同定义的衍生工具以及被指定为有效套期工具的衍生工具除外。</w:t>
      </w:r>
    </w:p>
    <w:p>
      <w:pPr>
        <w:spacing w:after="0" w:line="316" w:lineRule="auto"/>
        <w:jc w:val="left"/>
        <w:sectPr>
          <w:footerReference w:type="default" r:id="rId33"/>
          <w:pgSz w:w="11910" w:h="16840"/>
          <w:pgMar w:footer="1022" w:header="906" w:top="1100" w:bottom="1220" w:left="740" w:right="0"/>
          <w:pgNumType w:start="95"/>
        </w:sectPr>
      </w:pPr>
    </w:p>
    <w:p>
      <w:pPr>
        <w:pStyle w:val="BodyText"/>
        <w:spacing w:line="316" w:lineRule="auto" w:before="80"/>
        <w:ind w:right="858" w:firstLine="360"/>
        <w:jc w:val="left"/>
      </w:pPr>
      <w:r>
        <w:rPr>
          <w:spacing w:val="-3"/>
        </w:rPr>
        <w:t>以公允价值计量且其变动计入当期损益的金融资产包括分类为以公允价值计量且其变动计入当期损益的金融资产和指定为以</w:t>
      </w:r>
      <w:r>
        <w:rPr>
          <w:w w:val="101"/>
        </w:rPr>
        <w:t> </w:t>
      </w:r>
      <w:r>
        <w:rPr>
          <w:spacing w:val="-3"/>
        </w:rPr>
        <w:t>公允价值计量且其变动计入当期损益的金融资产：</w:t>
      </w:r>
    </w:p>
    <w:p>
      <w:pPr>
        <w:pStyle w:val="BodyText"/>
        <w:spacing w:line="316" w:lineRule="auto" w:before="19"/>
        <w:ind w:right="858" w:firstLine="360"/>
        <w:jc w:val="left"/>
      </w:pPr>
      <w:r>
        <w:rPr>
          <w:spacing w:val="-3"/>
        </w:rPr>
        <w:t>不符合分类为以摊余成本计量的金融资产、以公允价值计量且其变动计入其他综合收益的金融资产条件的金融资产均分类为</w:t>
      </w:r>
      <w:r>
        <w:rPr>
          <w:w w:val="101"/>
        </w:rPr>
        <w:t> </w:t>
      </w:r>
      <w:r>
        <w:rPr>
          <w:spacing w:val="-3"/>
        </w:rPr>
        <w:t>以公允价值计量且其变动计入当期损益的金融资产。</w:t>
      </w:r>
    </w:p>
    <w:p>
      <w:pPr>
        <w:pStyle w:val="BodyText"/>
        <w:spacing w:line="316" w:lineRule="auto" w:before="19"/>
        <w:ind w:right="858" w:firstLine="360"/>
        <w:jc w:val="left"/>
      </w:pPr>
      <w:r>
        <w:rPr>
          <w:spacing w:val="-3"/>
        </w:rPr>
        <w:t>在初始确认时，为消除或显著减少会计错配，本集团可以将金融资产不可撤销地指定为以公允价值计量且其变动计入当期损</w:t>
      </w:r>
      <w:r>
        <w:rPr>
          <w:w w:val="101"/>
        </w:rPr>
        <w:t> </w:t>
      </w:r>
      <w:r>
        <w:rPr>
          <w:spacing w:val="-3"/>
        </w:rPr>
        <w:t>益的金融资产。</w:t>
      </w:r>
    </w:p>
    <w:p>
      <w:pPr>
        <w:pStyle w:val="BodyText"/>
        <w:spacing w:line="300" w:lineRule="auto" w:before="19"/>
        <w:ind w:right="858" w:firstLine="360"/>
        <w:jc w:val="left"/>
      </w:pPr>
      <w:r>
        <w:rPr>
          <w:spacing w:val="-3"/>
        </w:rPr>
        <w:t>以公允价值计量且其变动计入当期损益的金融资产列示于交易性金融资产。自资产负债表日起超过一年到期</w:t>
      </w:r>
      <w:r>
        <w:rPr>
          <w:rFonts w:ascii="Times New Roman" w:hAnsi="Times New Roman" w:cs="Times New Roman" w:eastAsia="Times New Roman" w:hint="default"/>
          <w:spacing w:val="-3"/>
        </w:rPr>
        <w:t>(</w:t>
      </w:r>
      <w:r>
        <w:rPr>
          <w:spacing w:val="-3"/>
        </w:rPr>
        <w:t>或无固定期限</w:t>
      </w:r>
      <w:r>
        <w:rPr>
          <w:rFonts w:ascii="Times New Roman" w:hAnsi="Times New Roman" w:cs="Times New Roman" w:eastAsia="Times New Roman" w:hint="default"/>
          <w:spacing w:val="-3"/>
        </w:rPr>
        <w:t>)</w:t>
      </w:r>
      <w:r>
        <w:rPr>
          <w:rFonts w:ascii="Times New Roman" w:hAnsi="Times New Roman" w:cs="Times New Roman" w:eastAsia="Times New Roman" w:hint="default"/>
          <w:w w:val="101"/>
        </w:rPr>
        <w:t> </w:t>
      </w:r>
      <w:r>
        <w:rPr>
          <w:spacing w:val="-3"/>
        </w:rPr>
        <w:t>且预期持有超过一年的，列示于其他非流动金融资产。</w:t>
      </w:r>
    </w:p>
    <w:p>
      <w:pPr>
        <w:pStyle w:val="BodyText"/>
        <w:spacing w:line="300" w:lineRule="auto" w:before="31"/>
        <w:ind w:left="585" w:right="858" w:hanging="92"/>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9.1.1</w:t>
      </w:r>
      <w:r>
        <w:rPr>
          <w:u w:val="single" w:color="000000"/>
        </w:rPr>
        <w:t>以摊余成本计量的金融资产</w:t>
      </w:r>
      <w:r>
        <w:rPr>
          <w:spacing w:val="-88"/>
          <w:u w:val="single" w:color="000000"/>
        </w:rPr>
        <w:t> </w:t>
      </w:r>
      <w:r>
        <w:rPr>
          <w:spacing w:val="-88"/>
        </w:rPr>
      </w:r>
      <w:r>
        <w:rPr>
          <w:spacing w:val="-88"/>
        </w:rPr>
      </w:r>
      <w:r>
        <w:rPr>
          <w:spacing w:val="-3"/>
        </w:rPr>
        <w:t>以摊余成本计量的金融资产采用实际利率法，按摊余成本进行后续计量，发生减值或终止确认产生的利得或损失，计入当期</w:t>
      </w:r>
    </w:p>
    <w:p>
      <w:pPr>
        <w:pStyle w:val="BodyText"/>
        <w:spacing w:line="240" w:lineRule="auto" w:before="32"/>
        <w:ind w:right="858"/>
        <w:jc w:val="left"/>
      </w:pPr>
      <w:r>
        <w:rPr/>
        <w:t>损益。</w:t>
      </w:r>
    </w:p>
    <w:p>
      <w:pPr>
        <w:pStyle w:val="BodyText"/>
        <w:spacing w:line="316" w:lineRule="auto" w:before="76"/>
        <w:ind w:right="858" w:firstLine="451"/>
        <w:jc w:val="left"/>
      </w:pPr>
      <w:r>
        <w:rPr>
          <w:spacing w:val="-3"/>
        </w:rPr>
        <w:t>本集团对以摊余成本计量的金融资产按照实际利率法确认利息收入。除下列情况外，本集团根据金融资产账面余额乘以实际</w:t>
      </w:r>
      <w:r>
        <w:rPr>
          <w:w w:val="101"/>
        </w:rPr>
        <w:t> </w:t>
      </w:r>
      <w:r>
        <w:rPr>
          <w:spacing w:val="-3"/>
        </w:rPr>
        <w:t>利率计算确定利息收入：</w:t>
      </w:r>
    </w:p>
    <w:p>
      <w:pPr>
        <w:pStyle w:val="BodyText"/>
        <w:spacing w:line="316" w:lineRule="auto" w:before="19"/>
        <w:ind w:right="858" w:firstLine="360"/>
        <w:jc w:val="left"/>
      </w:pPr>
      <w:r>
        <w:rPr>
          <w:spacing w:val="-3"/>
        </w:rPr>
        <w:t>对于购入或源生的已发生信用减值的金融资产，本集团自初始确认起，按照该金融资产的摊余成本和经信用调整的实际利率</w:t>
      </w:r>
      <w:r>
        <w:rPr>
          <w:w w:val="101"/>
        </w:rPr>
        <w:t> </w:t>
      </w:r>
      <w:r>
        <w:rPr/>
        <w:t>计算确定其利息收入。</w:t>
      </w:r>
    </w:p>
    <w:p>
      <w:pPr>
        <w:pStyle w:val="BodyText"/>
        <w:spacing w:line="316" w:lineRule="auto" w:before="19"/>
        <w:ind w:right="947" w:firstLine="360"/>
        <w:jc w:val="both"/>
      </w:pPr>
      <w:r>
        <w:rPr>
          <w:spacing w:val="-3"/>
        </w:rPr>
        <w:t>对于购入或源生的未发生信用减值、但在后续期间成为已发生信用减值的金融资产，本集团在后续期间，按照该金融资产的</w:t>
      </w:r>
      <w:r>
        <w:rPr>
          <w:w w:val="101"/>
        </w:rPr>
        <w:t> </w:t>
      </w:r>
      <w:r>
        <w:rPr>
          <w:spacing w:val="-3"/>
        </w:rPr>
        <w:t>摊余成本和实际利率计算确定其利息收入。若该金融工具在后续期间因其信用风险有所改善而不再存在信用减值，并且这一改善</w:t>
      </w:r>
      <w:r>
        <w:rPr>
          <w:spacing w:val="72"/>
        </w:rPr>
        <w:t> </w:t>
      </w:r>
      <w:r>
        <w:rPr>
          <w:spacing w:val="72"/>
        </w:rPr>
      </w:r>
      <w:r>
        <w:rPr>
          <w:spacing w:val="-3"/>
        </w:rPr>
        <w:t>可与应用上述规定之后发生的某一事件相联系，本集团转按实际利率乘以该金融资产账面余额来计算确定利息收入。</w:t>
      </w:r>
    </w:p>
    <w:p>
      <w:pPr>
        <w:pStyle w:val="BodyText"/>
        <w:spacing w:line="300" w:lineRule="auto" w:before="19"/>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spacing w:val="-3"/>
          <w:u w:val="single" w:color="000000"/>
        </w:rPr>
        <w:t>9.1.2</w:t>
      </w:r>
      <w:r>
        <w:rPr>
          <w:spacing w:val="-3"/>
          <w:u w:val="single" w:color="000000"/>
        </w:rPr>
        <w:t>以公允价值计量且其变动计入其他综合收益的金融资产</w:t>
      </w:r>
      <w:r>
        <w:rPr>
          <w:spacing w:val="-2"/>
          <w:u w:val="single" w:color="000000"/>
        </w:rPr>
        <w:t> </w:t>
      </w:r>
      <w:r>
        <w:rPr>
          <w:spacing w:val="-2"/>
        </w:rPr>
      </w:r>
      <w:r>
        <w:rPr>
          <w:spacing w:val="-2"/>
        </w:rPr>
      </w:r>
      <w:r>
        <w:rPr>
          <w:spacing w:val="-3"/>
        </w:rPr>
        <w:t>指定为以公允价值计量且其变动计入其他综合收益的非交易性权益工具投资的公允价值变动在其他综合收益中进行确认，该</w:t>
      </w:r>
    </w:p>
    <w:p>
      <w:pPr>
        <w:pStyle w:val="BodyText"/>
        <w:spacing w:line="316" w:lineRule="auto" w:before="32"/>
        <w:ind w:right="945"/>
        <w:jc w:val="both"/>
      </w:pPr>
      <w:r>
        <w:rPr>
          <w:spacing w:val="-3"/>
        </w:rPr>
        <w:t>金融资产终止确认时，之前计入其他综合收益的累计利得或损失从其他综合收益中转出，计入留存收益。本集团持有该等非交易</w:t>
      </w:r>
      <w:r>
        <w:rPr>
          <w:spacing w:val="72"/>
        </w:rPr>
        <w:t> </w:t>
      </w:r>
      <w:r>
        <w:rPr>
          <w:spacing w:val="72"/>
        </w:rPr>
      </w:r>
      <w:r>
        <w:rPr>
          <w:spacing w:val="-3"/>
        </w:rPr>
        <w:t>性权益工具投资期间，在本集团收取股利的权利已经确立，与股利相关的经济利益很可能流入本集团，且股利的金额能够可靠计</w:t>
      </w:r>
      <w:r>
        <w:rPr>
          <w:spacing w:val="72"/>
        </w:rPr>
        <w:t> </w:t>
      </w:r>
      <w:r>
        <w:rPr>
          <w:spacing w:val="72"/>
        </w:rPr>
      </w:r>
      <w:r>
        <w:rPr>
          <w:spacing w:val="-3"/>
        </w:rPr>
        <w:t>量时，确认股利收入并计入当期损益。</w:t>
      </w:r>
    </w:p>
    <w:p>
      <w:pPr>
        <w:pStyle w:val="BodyText"/>
        <w:spacing w:line="300" w:lineRule="auto" w:before="19"/>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spacing w:val="-3"/>
          <w:u w:val="single" w:color="000000"/>
        </w:rPr>
        <w:t>9.1.3</w:t>
      </w:r>
      <w:r>
        <w:rPr>
          <w:spacing w:val="-3"/>
          <w:u w:val="single" w:color="000000"/>
        </w:rPr>
        <w:t>以公允价值计量且其变动计入当期损益的金融资产</w:t>
      </w:r>
      <w:r>
        <w:rPr>
          <w:spacing w:val="-8"/>
          <w:u w:val="single" w:color="000000"/>
        </w:rPr>
        <w:t> </w:t>
      </w:r>
      <w:r>
        <w:rPr>
          <w:spacing w:val="-8"/>
        </w:rPr>
      </w:r>
      <w:r>
        <w:rPr>
          <w:spacing w:val="-8"/>
        </w:rPr>
      </w:r>
      <w:r>
        <w:rPr>
          <w:spacing w:val="-3"/>
        </w:rPr>
        <w:t>以公允价值计量且其变动计入当期损益的金融资产以公允价值进行后续计量，公允价值变动形成的利得或损失以及与该金融</w:t>
      </w:r>
    </w:p>
    <w:p>
      <w:pPr>
        <w:pStyle w:val="BodyText"/>
        <w:spacing w:line="240" w:lineRule="auto" w:before="31"/>
        <w:ind w:right="858"/>
        <w:jc w:val="left"/>
      </w:pPr>
      <w:r>
        <w:rPr>
          <w:spacing w:val="-3"/>
        </w:rPr>
        <w:t>资产相关的股利和利息收入计入当期损益。</w:t>
      </w:r>
    </w:p>
    <w:p>
      <w:pPr>
        <w:pStyle w:val="BodyText"/>
        <w:spacing w:line="300" w:lineRule="auto" w:before="77"/>
        <w:ind w:left="494" w:right="1951"/>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9.2</w:t>
      </w:r>
      <w:r>
        <w:rPr>
          <w:u w:val="single" w:color="000000"/>
        </w:rPr>
        <w:t>金融工具减值</w:t>
      </w:r>
      <w:r>
        <w:rPr>
          <w:spacing w:val="-86"/>
          <w:u w:val="single" w:color="000000"/>
        </w:rPr>
        <w:t> </w:t>
      </w:r>
      <w:r>
        <w:rPr>
          <w:spacing w:val="-86"/>
        </w:rPr>
      </w:r>
      <w:r>
        <w:rPr>
          <w:spacing w:val="-86"/>
        </w:rPr>
      </w:r>
      <w:r>
        <w:rPr>
          <w:spacing w:val="-3"/>
        </w:rPr>
        <w:t>本集团对以摊余成本计量的金融资产以预期信用损失为基础进行减值会计处理并确认损失准备。</w:t>
      </w:r>
    </w:p>
    <w:p>
      <w:pPr>
        <w:pStyle w:val="BodyText"/>
        <w:spacing w:line="316" w:lineRule="auto" w:before="31"/>
        <w:ind w:left="494" w:right="858"/>
        <w:jc w:val="left"/>
      </w:pPr>
      <w:r>
        <w:rPr>
          <w:spacing w:val="-3"/>
        </w:rPr>
        <w:t>本集团对由收入准则规范的交易形成的全部应收账款按照相当于整个存续期内预期信用损失的金额计量损失准备。</w:t>
      </w:r>
      <w:r>
        <w:rPr>
          <w:spacing w:val="56"/>
        </w:rPr>
        <w:t> </w:t>
      </w:r>
      <w:r>
        <w:rPr>
          <w:spacing w:val="56"/>
        </w:rPr>
      </w:r>
      <w:r>
        <w:rPr>
          <w:spacing w:val="-3"/>
        </w:rPr>
        <w:t>对于其他金融工具，本集团在每个资产负债表日评估相关金融工具的信用风险自初始确认后的变动情况。若该金融工具的信</w:t>
      </w:r>
    </w:p>
    <w:p>
      <w:pPr>
        <w:pStyle w:val="BodyText"/>
        <w:spacing w:line="312" w:lineRule="auto" w:before="19"/>
        <w:ind w:right="858"/>
        <w:jc w:val="left"/>
      </w:pPr>
      <w:r>
        <w:rPr>
          <w:spacing w:val="-3"/>
        </w:rPr>
        <w:t>用风险自初始确认后已显著增加，本集团按照相当于该金融工具整个存续期内预期信用损失的金额计量其损失准备；若该金融工</w:t>
      </w:r>
      <w:r>
        <w:rPr>
          <w:spacing w:val="72"/>
        </w:rPr>
        <w:t> </w:t>
      </w:r>
      <w:r>
        <w:rPr>
          <w:spacing w:val="72"/>
        </w:rPr>
      </w:r>
      <w:r>
        <w:rPr>
          <w:spacing w:val="-3"/>
        </w:rPr>
        <w:t>具的信用风险自初始确认后并未显著增加，本集团按照相当于该金融工具未来</w:t>
      </w:r>
      <w:r>
        <w:rPr>
          <w:rFonts w:ascii="Times New Roman" w:hAnsi="Times New Roman" w:cs="Times New Roman" w:eastAsia="Times New Roman" w:hint="default"/>
          <w:spacing w:val="-3"/>
        </w:rPr>
        <w:t>12 </w:t>
      </w:r>
      <w:r>
        <w:rPr>
          <w:spacing w:val="-3"/>
        </w:rPr>
        <w:t>个月内预期信用损失的金额计量其损失准备。信</w:t>
      </w:r>
      <w:r>
        <w:rPr>
          <w:spacing w:val="-62"/>
        </w:rPr>
        <w:t> </w:t>
      </w:r>
      <w:r>
        <w:rPr>
          <w:spacing w:val="-62"/>
        </w:rPr>
      </w:r>
      <w:r>
        <w:rPr>
          <w:spacing w:val="-3"/>
        </w:rPr>
        <w:t>用损失准备的增加或转回金额，除分类为以公允价值计量且其变动计入其他综合收益的金融资产外，作为减值损失或利得计入当</w:t>
      </w:r>
      <w:r>
        <w:rPr>
          <w:spacing w:val="72"/>
        </w:rPr>
        <w:t> </w:t>
      </w:r>
      <w:r>
        <w:rPr>
          <w:spacing w:val="72"/>
        </w:rPr>
      </w:r>
      <w:r>
        <w:rPr/>
        <w:t>期损益。</w:t>
      </w:r>
    </w:p>
    <w:p>
      <w:pPr>
        <w:pStyle w:val="BodyText"/>
        <w:spacing w:line="309" w:lineRule="auto" w:before="22"/>
        <w:ind w:right="858" w:firstLine="360"/>
        <w:jc w:val="left"/>
      </w:pPr>
      <w:r>
        <w:rPr>
          <w:spacing w:val="-3"/>
        </w:rPr>
        <w:t>本集团在前一会计期间已经按照相当于金融工具整个存续期内预期信用损失的金额计量了损失准备，但在当期资产负债表日，</w:t>
      </w:r>
      <w:r>
        <w:rPr>
          <w:w w:val="101"/>
        </w:rPr>
        <w:t> </w:t>
      </w:r>
      <w:r>
        <w:rPr>
          <w:spacing w:val="-3"/>
        </w:rPr>
        <w:t>该金融工具已不再属于自初始确认后信用风险显著增加的情形的，本集团在当期资产负债表日按照相当于未来</w:t>
      </w:r>
      <w:r>
        <w:rPr>
          <w:rFonts w:ascii="Times New Roman" w:hAnsi="Times New Roman" w:cs="Times New Roman" w:eastAsia="Times New Roman" w:hint="default"/>
          <w:spacing w:val="-3"/>
        </w:rPr>
        <w:t>12</w:t>
      </w:r>
      <w:r>
        <w:rPr>
          <w:spacing w:val="-3"/>
        </w:rPr>
        <w:t>个月内预期信用</w:t>
      </w:r>
      <w:r>
        <w:rPr>
          <w:spacing w:val="76"/>
        </w:rPr>
        <w:t> </w:t>
      </w:r>
      <w:r>
        <w:rPr>
          <w:spacing w:val="76"/>
        </w:rPr>
      </w:r>
      <w:r>
        <w:rPr>
          <w:spacing w:val="-3"/>
        </w:rPr>
        <w:t>损失的金额计量该金融工具的损失准备，由此形成的损失准备的转回金额作为减值利得计入当期损益。</w:t>
      </w:r>
    </w:p>
    <w:p>
      <w:pPr>
        <w:pStyle w:val="BodyText"/>
        <w:spacing w:line="300" w:lineRule="auto" w:before="24"/>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9.2.1</w:t>
      </w:r>
      <w:r>
        <w:rPr>
          <w:u w:val="single" w:color="000000"/>
        </w:rPr>
        <w:t>信用风险显著增加</w:t>
      </w:r>
      <w:r>
        <w:rPr>
          <w:spacing w:val="-88"/>
          <w:u w:val="single" w:color="000000"/>
        </w:rPr>
        <w:t> </w:t>
      </w:r>
      <w:r>
        <w:rPr>
          <w:spacing w:val="-88"/>
        </w:rPr>
      </w:r>
      <w:r>
        <w:rPr>
          <w:spacing w:val="-88"/>
        </w:rPr>
      </w:r>
      <w:r>
        <w:rPr>
          <w:spacing w:val="-3"/>
        </w:rPr>
        <w:t>本集团利用可获得的合理且有依据的前瞻性信息，通过比较金融工具在资产负债表日发生违约的风险与在初始确认日发生违</w:t>
      </w:r>
    </w:p>
    <w:p>
      <w:pPr>
        <w:pStyle w:val="BodyText"/>
        <w:spacing w:line="316" w:lineRule="auto" w:before="31"/>
        <w:ind w:left="494" w:right="1951" w:hanging="360"/>
        <w:jc w:val="left"/>
      </w:pPr>
      <w:r>
        <w:rPr>
          <w:spacing w:val="-3"/>
        </w:rPr>
        <w:t>约的风险，以确定金融工具的信用风险自初始确认后是否已显著增加。</w:t>
      </w:r>
      <w:r>
        <w:rPr>
          <w:spacing w:val="2"/>
        </w:rPr>
        <w:t> </w:t>
      </w:r>
      <w:r>
        <w:rPr>
          <w:spacing w:val="2"/>
        </w:rPr>
      </w:r>
      <w:r>
        <w:rPr>
          <w:spacing w:val="-3"/>
        </w:rPr>
        <w:t>本集团在评估信用风险是否显著增加时会考虑如下因素：</w:t>
      </w:r>
    </w:p>
    <w:p>
      <w:pPr>
        <w:pStyle w:val="BodyText"/>
        <w:tabs>
          <w:tab w:pos="973" w:val="left" w:leader="none"/>
        </w:tabs>
        <w:spacing w:line="240" w:lineRule="auto" w:before="19"/>
        <w:ind w:left="494" w:right="858"/>
        <w:jc w:val="left"/>
      </w:pPr>
      <w:r>
        <w:rPr>
          <w:rFonts w:ascii="Times New Roman" w:hAnsi="Times New Roman" w:cs="Times New Roman" w:eastAsia="Times New Roman" w:hint="default"/>
        </w:rPr>
        <w:t>(1)</w:t>
        <w:tab/>
      </w:r>
      <w:r>
        <w:rPr>
          <w:spacing w:val="-3"/>
        </w:rPr>
        <w:t>预期将导致债务人履行其偿债义务的能力发生显著变化的业务、财务或经济状况是否发生不利变化。</w:t>
      </w:r>
    </w:p>
    <w:p>
      <w:pPr>
        <w:pStyle w:val="BodyText"/>
        <w:tabs>
          <w:tab w:pos="973" w:val="left" w:leader="none"/>
        </w:tabs>
        <w:spacing w:line="240" w:lineRule="auto" w:before="63"/>
        <w:ind w:left="494" w:right="858"/>
        <w:jc w:val="left"/>
      </w:pPr>
      <w:r>
        <w:rPr>
          <w:rFonts w:ascii="Times New Roman" w:hAnsi="Times New Roman" w:cs="Times New Roman" w:eastAsia="Times New Roman" w:hint="default"/>
        </w:rPr>
        <w:t>(2)</w:t>
        <w:tab/>
      </w:r>
      <w:r>
        <w:rPr>
          <w:spacing w:val="-3"/>
        </w:rPr>
        <w:t>债务人经营成果实际或预期是否发生显著变化。</w:t>
      </w:r>
    </w:p>
    <w:p>
      <w:pPr>
        <w:pStyle w:val="BodyText"/>
        <w:tabs>
          <w:tab w:pos="973" w:val="left" w:leader="none"/>
        </w:tabs>
        <w:spacing w:line="240" w:lineRule="auto" w:before="63"/>
        <w:ind w:left="494" w:right="858"/>
        <w:jc w:val="left"/>
      </w:pPr>
      <w:r>
        <w:rPr>
          <w:rFonts w:ascii="Times New Roman" w:hAnsi="Times New Roman" w:cs="Times New Roman" w:eastAsia="Times New Roman" w:hint="default"/>
        </w:rPr>
        <w:t>(3)</w:t>
        <w:tab/>
      </w:r>
      <w:r>
        <w:rPr>
          <w:spacing w:val="-3"/>
        </w:rPr>
        <w:t>债务人所处的监管、经济或技术环境是否发生显著不利变化。</w:t>
      </w:r>
    </w:p>
    <w:p>
      <w:pPr>
        <w:pStyle w:val="BodyText"/>
        <w:tabs>
          <w:tab w:pos="973" w:val="left" w:leader="none"/>
        </w:tabs>
        <w:spacing w:line="240" w:lineRule="auto" w:before="62"/>
        <w:ind w:left="494" w:right="858"/>
        <w:jc w:val="left"/>
      </w:pPr>
      <w:r>
        <w:rPr>
          <w:rFonts w:ascii="Times New Roman" w:hAnsi="Times New Roman" w:cs="Times New Roman" w:eastAsia="Times New Roman" w:hint="default"/>
        </w:rPr>
        <w:t>(4)</w:t>
        <w:tab/>
      </w:r>
      <w:r>
        <w:rPr>
          <w:spacing w:val="-3"/>
        </w:rPr>
        <w:t>债务人预期表现和还款行为是否发生显著变化。</w:t>
      </w:r>
    </w:p>
    <w:p>
      <w:pPr>
        <w:pStyle w:val="BodyText"/>
        <w:tabs>
          <w:tab w:pos="973" w:val="left" w:leader="none"/>
        </w:tabs>
        <w:spacing w:line="240" w:lineRule="auto" w:before="63"/>
        <w:ind w:left="494" w:right="858"/>
        <w:jc w:val="left"/>
      </w:pPr>
      <w:r>
        <w:rPr>
          <w:rFonts w:ascii="Times New Roman" w:hAnsi="Times New Roman" w:cs="Times New Roman" w:eastAsia="Times New Roman" w:hint="default"/>
        </w:rPr>
        <w:t>(5)</w:t>
        <w:tab/>
      </w:r>
      <w:r>
        <w:rPr>
          <w:spacing w:val="-3"/>
        </w:rPr>
        <w:t>本集团对金融工具信用管理方法是否发生变化。</w:t>
      </w:r>
    </w:p>
    <w:p>
      <w:pPr>
        <w:spacing w:after="0" w:line="240" w:lineRule="auto"/>
        <w:jc w:val="left"/>
        <w:sectPr>
          <w:footerReference w:type="default" r:id="rId34"/>
          <w:pgSz w:w="11910" w:h="16840"/>
          <w:pgMar w:footer="1022" w:header="906" w:top="1100" w:bottom="1220" w:left="740" w:right="0"/>
          <w:pgNumType w:start="96"/>
        </w:sectPr>
      </w:pPr>
    </w:p>
    <w:p>
      <w:pPr>
        <w:pStyle w:val="BodyText"/>
        <w:spacing w:line="316" w:lineRule="auto" w:before="80"/>
        <w:ind w:right="945" w:firstLine="360"/>
        <w:jc w:val="both"/>
      </w:pPr>
      <w:r>
        <w:rPr>
          <w:spacing w:val="-3"/>
        </w:rPr>
        <w:t>于资产负债表日，若本集团判断金融工具只具有较低的信用风险，则本集团假定该金融工具的信用风险自初始确认后并未显</w:t>
      </w:r>
      <w:r>
        <w:rPr>
          <w:w w:val="101"/>
        </w:rPr>
        <w:t> </w:t>
      </w:r>
      <w:r>
        <w:rPr>
          <w:spacing w:val="-3"/>
        </w:rPr>
        <w:t>著增加。如果金融工具的违约风险较低，借款人在短期内履行其合同现金流量义务的能力很强，并且即使较长时期内经济形势和</w:t>
      </w:r>
      <w:r>
        <w:rPr>
          <w:spacing w:val="73"/>
        </w:rPr>
        <w:t> </w:t>
      </w:r>
      <w:r>
        <w:rPr>
          <w:spacing w:val="73"/>
        </w:rPr>
      </w:r>
      <w:r>
        <w:rPr>
          <w:spacing w:val="-3"/>
        </w:rPr>
        <w:t>经营环境存在不利变化但未必一定降低借款人履行其合同现金义务，则该金融工具被视为具有较低的信用风险。</w:t>
      </w:r>
    </w:p>
    <w:p>
      <w:pPr>
        <w:pStyle w:val="BodyText"/>
        <w:spacing w:line="300" w:lineRule="auto" w:before="19"/>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9.2.2</w:t>
      </w:r>
      <w:r>
        <w:rPr>
          <w:u w:val="single" w:color="000000"/>
        </w:rPr>
        <w:t>已发生信用减值的金融资产</w:t>
      </w:r>
      <w:r>
        <w:rPr>
          <w:spacing w:val="-88"/>
          <w:u w:val="single" w:color="000000"/>
        </w:rPr>
        <w:t> </w:t>
      </w:r>
      <w:r>
        <w:rPr>
          <w:spacing w:val="-88"/>
        </w:rPr>
      </w:r>
      <w:r>
        <w:rPr>
          <w:spacing w:val="-88"/>
        </w:rPr>
      </w:r>
      <w:r>
        <w:rPr>
          <w:spacing w:val="-3"/>
        </w:rPr>
        <w:t>当本集团预期对金融资产未来现金流量具有不利影响的一项或多项事件发生时，该金融资产成为已发生信用减值的金融资产。</w:t>
      </w:r>
    </w:p>
    <w:p>
      <w:pPr>
        <w:pStyle w:val="BodyText"/>
        <w:spacing w:line="240" w:lineRule="auto" w:before="31"/>
        <w:ind w:right="858"/>
        <w:jc w:val="left"/>
      </w:pPr>
      <w:r>
        <w:rPr>
          <w:spacing w:val="-3"/>
        </w:rPr>
        <w:t>金融资产已发生信用减值的证据包括下列可观察信息：</w:t>
      </w:r>
    </w:p>
    <w:p>
      <w:pPr>
        <w:pStyle w:val="BodyText"/>
        <w:tabs>
          <w:tab w:pos="973" w:val="left" w:leader="none"/>
        </w:tabs>
        <w:spacing w:line="240" w:lineRule="auto" w:before="76"/>
        <w:ind w:left="494" w:right="858"/>
        <w:jc w:val="left"/>
      </w:pPr>
      <w:r>
        <w:rPr>
          <w:rFonts w:ascii="Times New Roman" w:hAnsi="Times New Roman" w:cs="Times New Roman" w:eastAsia="Times New Roman" w:hint="default"/>
        </w:rPr>
        <w:t>(1)</w:t>
        <w:tab/>
      </w:r>
      <w:r>
        <w:rPr>
          <w:spacing w:val="-3"/>
        </w:rPr>
        <w:t>发行方或债务人发生重大财务困难；</w:t>
      </w:r>
    </w:p>
    <w:p>
      <w:pPr>
        <w:pStyle w:val="BodyText"/>
        <w:tabs>
          <w:tab w:pos="973" w:val="left" w:leader="none"/>
        </w:tabs>
        <w:spacing w:line="240" w:lineRule="auto" w:before="63"/>
        <w:ind w:left="494" w:right="858"/>
        <w:jc w:val="left"/>
      </w:pPr>
      <w:r>
        <w:rPr>
          <w:rFonts w:ascii="Times New Roman" w:hAnsi="Times New Roman" w:cs="Times New Roman" w:eastAsia="Times New Roman" w:hint="default"/>
        </w:rPr>
        <w:t>(2)</w:t>
        <w:tab/>
      </w:r>
      <w:r>
        <w:rPr>
          <w:spacing w:val="-3"/>
        </w:rPr>
        <w:t>债务人违反合同，如偿付利息或本金违约或逾期等；</w:t>
      </w:r>
    </w:p>
    <w:p>
      <w:pPr>
        <w:pStyle w:val="BodyText"/>
        <w:tabs>
          <w:tab w:pos="973" w:val="left" w:leader="none"/>
        </w:tabs>
        <w:spacing w:line="240" w:lineRule="auto" w:before="63"/>
        <w:ind w:left="494" w:right="858"/>
        <w:jc w:val="left"/>
      </w:pPr>
      <w:r>
        <w:rPr>
          <w:rFonts w:ascii="Times New Roman" w:hAnsi="Times New Roman" w:cs="Times New Roman" w:eastAsia="Times New Roman" w:hint="default"/>
        </w:rPr>
        <w:t>(3)</w:t>
        <w:tab/>
      </w:r>
      <w:r>
        <w:rPr>
          <w:spacing w:val="-3"/>
        </w:rPr>
        <w:t>债权人出于与债务人财务困难有关的经济或合同考虑，给予债务人在任何其他情况下都不会做出的让步；</w:t>
      </w:r>
    </w:p>
    <w:p>
      <w:pPr>
        <w:pStyle w:val="BodyText"/>
        <w:tabs>
          <w:tab w:pos="973" w:val="left" w:leader="none"/>
        </w:tabs>
        <w:spacing w:line="240" w:lineRule="auto" w:before="63"/>
        <w:ind w:left="494" w:right="858"/>
        <w:jc w:val="left"/>
      </w:pPr>
      <w:r>
        <w:rPr>
          <w:rFonts w:ascii="Times New Roman" w:hAnsi="Times New Roman" w:cs="Times New Roman" w:eastAsia="Times New Roman" w:hint="default"/>
        </w:rPr>
        <w:t>(4)</w:t>
        <w:tab/>
      </w:r>
      <w:r>
        <w:rPr>
          <w:spacing w:val="-3"/>
        </w:rPr>
        <w:t>债务人很可能破产或进行其他财务重组；</w:t>
      </w:r>
    </w:p>
    <w:p>
      <w:pPr>
        <w:pStyle w:val="BodyText"/>
        <w:tabs>
          <w:tab w:pos="973" w:val="left" w:leader="none"/>
        </w:tabs>
        <w:spacing w:line="240" w:lineRule="auto" w:before="63"/>
        <w:ind w:left="494" w:right="858"/>
        <w:jc w:val="left"/>
      </w:pPr>
      <w:r>
        <w:rPr>
          <w:rFonts w:ascii="Times New Roman" w:hAnsi="Times New Roman" w:cs="Times New Roman" w:eastAsia="Times New Roman" w:hint="default"/>
        </w:rPr>
        <w:t>(5)</w:t>
        <w:tab/>
      </w:r>
      <w:r>
        <w:rPr>
          <w:spacing w:val="-3"/>
        </w:rPr>
        <w:t>发行方或债务人财务困难导致该金融资产的活跃市场消失；</w:t>
      </w:r>
    </w:p>
    <w:p>
      <w:pPr>
        <w:pStyle w:val="BodyText"/>
        <w:tabs>
          <w:tab w:pos="973" w:val="left" w:leader="none"/>
        </w:tabs>
        <w:spacing w:line="240" w:lineRule="auto" w:before="63"/>
        <w:ind w:left="494" w:right="858"/>
        <w:jc w:val="left"/>
      </w:pPr>
      <w:r>
        <w:rPr>
          <w:rFonts w:ascii="Times New Roman" w:hAnsi="Times New Roman" w:cs="Times New Roman" w:eastAsia="Times New Roman" w:hint="default"/>
        </w:rPr>
        <w:t>(6)</w:t>
        <w:tab/>
      </w:r>
      <w:r>
        <w:rPr>
          <w:spacing w:val="-3"/>
        </w:rPr>
        <w:t>以大幅折扣购买或源生一项金融资产，该折扣反映了发生信用损失的事实。</w:t>
      </w:r>
    </w:p>
    <w:p>
      <w:pPr>
        <w:pStyle w:val="BodyText"/>
        <w:spacing w:line="300" w:lineRule="auto" w:before="63"/>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9.2.3</w:t>
      </w:r>
      <w:r>
        <w:rPr>
          <w:u w:val="single" w:color="000000"/>
        </w:rPr>
        <w:t>预期信用损失的确定</w:t>
      </w:r>
      <w:r>
        <w:rPr>
          <w:w w:val="101"/>
        </w:rPr>
      </w:r>
      <w:r>
        <w:rPr>
          <w:w w:val="101"/>
        </w:rPr>
        <w:t> </w:t>
      </w:r>
      <w:r>
        <w:rPr>
          <w:spacing w:val="-3"/>
        </w:rPr>
        <w:t>本集团对应收账款、其他应收款在组合基础上采用减值矩阵确定相关金融工具的信用损失。本集团以共同风险特征为依据，</w:t>
      </w:r>
    </w:p>
    <w:p>
      <w:pPr>
        <w:pStyle w:val="BodyText"/>
        <w:spacing w:line="319" w:lineRule="auto" w:before="31"/>
        <w:ind w:right="858"/>
        <w:jc w:val="left"/>
      </w:pPr>
      <w:r>
        <w:rPr>
          <w:spacing w:val="-3"/>
        </w:rPr>
        <w:t>将金融工具分为不同组别。本集团采用的共同信用风险特征包括：金融工具类型、信用风险评级、担保物类型、初始确认日期、</w:t>
      </w:r>
      <w:r>
        <w:rPr>
          <w:spacing w:val="72"/>
        </w:rPr>
        <w:t> </w:t>
      </w:r>
      <w:r>
        <w:rPr>
          <w:spacing w:val="72"/>
        </w:rPr>
      </w:r>
      <w:r>
        <w:rPr>
          <w:spacing w:val="-3"/>
        </w:rPr>
        <w:t>剩余合同期限、债务人所处行业、债务人所处地理位置、担保品相对于金融资产的价值等。</w:t>
      </w:r>
    </w:p>
    <w:p>
      <w:pPr>
        <w:pStyle w:val="BodyText"/>
        <w:spacing w:line="316" w:lineRule="auto" w:before="17"/>
        <w:ind w:left="494" w:right="858"/>
        <w:jc w:val="left"/>
      </w:pPr>
      <w:r>
        <w:rPr>
          <w:spacing w:val="-3"/>
        </w:rPr>
        <w:t>本集团按照下列方法确定相关金融工具的预期信用损失：</w:t>
      </w:r>
      <w:r>
        <w:rPr>
          <w:spacing w:val="-15"/>
        </w:rPr>
        <w:t> </w:t>
      </w:r>
      <w:r>
        <w:rPr>
          <w:spacing w:val="-15"/>
        </w:rPr>
      </w:r>
      <w:r>
        <w:rPr>
          <w:spacing w:val="-3"/>
        </w:rPr>
        <w:t>对于金融资产，信用损失为本集团应收取的合同现金流量与预期收取的现金流量之间差额的现值。</w:t>
      </w:r>
      <w:r>
        <w:rPr>
          <w:spacing w:val="37"/>
        </w:rPr>
        <w:t> </w:t>
      </w:r>
      <w:r>
        <w:rPr>
          <w:spacing w:val="37"/>
        </w:rPr>
      </w:r>
      <w:r>
        <w:rPr>
          <w:spacing w:val="-3"/>
        </w:rPr>
        <w:t>对于资产负债表日已发生信用减值但并非购买或源生已发生信用减值的金融资产，信用损失为该金融资产账面余额与按原实</w:t>
      </w:r>
    </w:p>
    <w:p>
      <w:pPr>
        <w:pStyle w:val="BodyText"/>
        <w:spacing w:line="319" w:lineRule="auto" w:before="19"/>
        <w:ind w:left="494" w:right="858" w:hanging="360"/>
        <w:jc w:val="left"/>
      </w:pPr>
      <w:r>
        <w:rPr>
          <w:spacing w:val="-3"/>
        </w:rPr>
        <w:t>际利率折现的估计未来现金流量的现值之间的差额。</w:t>
      </w:r>
      <w:r>
        <w:rPr>
          <w:spacing w:val="-21"/>
        </w:rPr>
        <w:t> </w:t>
      </w:r>
      <w:r>
        <w:rPr>
          <w:spacing w:val="-21"/>
        </w:rPr>
      </w:r>
      <w:r>
        <w:rPr>
          <w:spacing w:val="-3"/>
        </w:rPr>
        <w:t>本集团计量金融工具预期信用损失的方法反映的因素包括：通过评价一系列可能的结果而确定的无偏概率加权平均金额；货</w:t>
      </w:r>
    </w:p>
    <w:p>
      <w:pPr>
        <w:pStyle w:val="BodyText"/>
        <w:spacing w:line="316" w:lineRule="auto" w:before="17"/>
        <w:ind w:right="858"/>
        <w:jc w:val="left"/>
      </w:pPr>
      <w:r>
        <w:rPr>
          <w:spacing w:val="-3"/>
        </w:rPr>
        <w:t>币时间价值；在资产负债表日无须付出不必要的额外成本或努力即可获得的有关过去事项、当前状况以及未来经济状况预测的合</w:t>
      </w:r>
      <w:r>
        <w:rPr>
          <w:spacing w:val="73"/>
        </w:rPr>
        <w:t> </w:t>
      </w:r>
      <w:r>
        <w:rPr>
          <w:spacing w:val="73"/>
        </w:rPr>
      </w:r>
      <w:r>
        <w:rPr>
          <w:spacing w:val="-3"/>
        </w:rPr>
        <w:t>理且有依据的信息。</w:t>
      </w:r>
    </w:p>
    <w:p>
      <w:pPr>
        <w:pStyle w:val="BodyText"/>
        <w:spacing w:line="300" w:lineRule="auto" w:before="19"/>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9.2.4</w:t>
      </w:r>
      <w:r>
        <w:rPr>
          <w:u w:val="single" w:color="000000"/>
        </w:rPr>
        <w:t>减记金融资产</w:t>
      </w:r>
      <w:r>
        <w:rPr>
          <w:spacing w:val="-87"/>
          <w:u w:val="single" w:color="000000"/>
        </w:rPr>
        <w:t> </w:t>
      </w:r>
      <w:r>
        <w:rPr>
          <w:spacing w:val="-87"/>
        </w:rPr>
      </w:r>
      <w:r>
        <w:rPr>
          <w:spacing w:val="-87"/>
        </w:rPr>
      </w:r>
      <w:r>
        <w:rPr>
          <w:spacing w:val="-3"/>
        </w:rPr>
        <w:t>当本集团不再合理预期金融资产合同现金流量能够全部或部分收回的，直接减记该金融资产的账面余额。这种减记构成相关</w:t>
      </w:r>
    </w:p>
    <w:p>
      <w:pPr>
        <w:pStyle w:val="BodyText"/>
        <w:spacing w:line="240" w:lineRule="auto" w:before="31"/>
        <w:ind w:right="858"/>
        <w:jc w:val="left"/>
      </w:pPr>
      <w:r>
        <w:rPr/>
        <w:t>金融资产的终止确认。</w:t>
      </w:r>
    </w:p>
    <w:p>
      <w:pPr>
        <w:pStyle w:val="BodyText"/>
        <w:spacing w:line="300" w:lineRule="auto" w:before="77"/>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9.3</w:t>
      </w:r>
      <w:r>
        <w:rPr>
          <w:u w:val="single" w:color="000000"/>
        </w:rPr>
        <w:t>金融资产的转移</w:t>
      </w:r>
      <w:r>
        <w:rPr>
          <w:w w:val="101"/>
        </w:rPr>
      </w:r>
      <w:r>
        <w:rPr>
          <w:w w:val="101"/>
        </w:rPr>
        <w:t> </w:t>
      </w:r>
      <w:r>
        <w:rPr>
          <w:spacing w:val="-2"/>
        </w:rPr>
        <w:t>满足下列条件之一的金融资产，予以终止确认：</w:t>
      </w:r>
      <w:r>
        <w:rPr>
          <w:rFonts w:ascii="Times New Roman" w:hAnsi="Times New Roman" w:cs="Times New Roman" w:eastAsia="Times New Roman" w:hint="default"/>
          <w:spacing w:val="-2"/>
        </w:rPr>
        <w:t>(1)</w:t>
      </w:r>
      <w:r>
        <w:rPr>
          <w:spacing w:val="-2"/>
        </w:rPr>
        <w:t>收取该金融资产现金流量的合同权利终止；</w:t>
      </w:r>
      <w:r>
        <w:rPr>
          <w:rFonts w:ascii="Times New Roman" w:hAnsi="Times New Roman" w:cs="Times New Roman" w:eastAsia="Times New Roman" w:hint="default"/>
          <w:spacing w:val="-2"/>
        </w:rPr>
        <w:t>(2)</w:t>
      </w:r>
      <w:r>
        <w:rPr>
          <w:spacing w:val="-2"/>
        </w:rPr>
        <w:t>该金融资产已转移，且将金</w:t>
      </w:r>
    </w:p>
    <w:p>
      <w:pPr>
        <w:pStyle w:val="BodyText"/>
        <w:spacing w:line="300" w:lineRule="auto" w:before="13"/>
        <w:ind w:right="858"/>
        <w:jc w:val="left"/>
      </w:pPr>
      <w:r>
        <w:rPr>
          <w:spacing w:val="-2"/>
        </w:rPr>
        <w:t>融资产所有权上几乎所有的风险和报酬转移给转入方；</w:t>
      </w:r>
      <w:r>
        <w:rPr>
          <w:rFonts w:ascii="Times New Roman" w:hAnsi="Times New Roman" w:cs="Times New Roman" w:eastAsia="Times New Roman" w:hint="default"/>
          <w:spacing w:val="-2"/>
        </w:rPr>
        <w:t>(3)</w:t>
      </w:r>
      <w:r>
        <w:rPr>
          <w:spacing w:val="-2"/>
        </w:rPr>
        <w:t>该金融资产已转移，虽然本集团既没有转移也没有保留金融资产所有权</w:t>
      </w:r>
      <w:r>
        <w:rPr>
          <w:spacing w:val="73"/>
        </w:rPr>
        <w:t> </w:t>
      </w:r>
      <w:r>
        <w:rPr>
          <w:spacing w:val="73"/>
        </w:rPr>
      </w:r>
      <w:r>
        <w:rPr>
          <w:spacing w:val="-3"/>
        </w:rPr>
        <w:t>上几乎所有的风险和报酬，但是未保留对该金融资产的控制。</w:t>
      </w:r>
    </w:p>
    <w:p>
      <w:pPr>
        <w:pStyle w:val="BodyText"/>
        <w:spacing w:line="319" w:lineRule="auto" w:before="31"/>
        <w:ind w:right="860" w:firstLine="451"/>
        <w:jc w:val="both"/>
      </w:pPr>
      <w:r>
        <w:rPr>
          <w:spacing w:val="-3"/>
        </w:rPr>
        <w:t>金融资产整体转移满足终止确认条件的，将所转移金融资产在终止确认日的账面价值及因转移金融资产而收到的对价与原计</w:t>
      </w:r>
      <w:r>
        <w:rPr>
          <w:w w:val="101"/>
        </w:rPr>
        <w:t> </w:t>
      </w:r>
      <w:r>
        <w:rPr>
          <w:spacing w:val="-1"/>
        </w:rPr>
        <w:t>入其他综合收益的公允价值变动累计额中对应终止确认部分的金额之和的差额计入当期损益。若本集团转移的金融资产是指定为</w:t>
      </w:r>
      <w:r>
        <w:rPr>
          <w:spacing w:val="50"/>
        </w:rPr>
        <w:t> </w:t>
      </w:r>
      <w:r>
        <w:rPr>
          <w:spacing w:val="50"/>
        </w:rPr>
      </w:r>
      <w:r>
        <w:rPr>
          <w:spacing w:val="-1"/>
        </w:rPr>
        <w:t>以公允价值计量且其变动计入其他综合收益的非交易性权益工具投资，之前计入其他综合收益的累计利得或损失从其他综合收益</w:t>
      </w:r>
      <w:r>
        <w:rPr>
          <w:spacing w:val="50"/>
        </w:rPr>
        <w:t> </w:t>
      </w:r>
      <w:r>
        <w:rPr>
          <w:spacing w:val="50"/>
        </w:rPr>
      </w:r>
      <w:r>
        <w:rPr>
          <w:spacing w:val="-3"/>
        </w:rPr>
        <w:t>中转出，计入留存收益。</w:t>
      </w:r>
    </w:p>
    <w:p>
      <w:pPr>
        <w:pStyle w:val="BodyText"/>
        <w:spacing w:line="319" w:lineRule="auto" w:before="17"/>
        <w:ind w:right="860" w:firstLine="360"/>
        <w:jc w:val="both"/>
      </w:pPr>
      <w:r>
        <w:rPr>
          <w:spacing w:val="-1"/>
        </w:rPr>
        <w:t>金融资产部分转移满足终止确认条件的，将转移前金融资产整体的账面价值在终止确认部分和继续确认部分之间按照转移日</w:t>
      </w:r>
      <w:r>
        <w:rPr>
          <w:w w:val="101"/>
        </w:rPr>
        <w:t> </w:t>
      </w:r>
      <w:r>
        <w:rPr>
          <w:spacing w:val="-1"/>
        </w:rPr>
        <w:t>各自的相对公允价值进行分摊，并将终止确认部分收到的对价和原计入其他综合收益的公允价值变动累计额中对应终止确认部分</w:t>
      </w:r>
      <w:r>
        <w:rPr>
          <w:spacing w:val="50"/>
        </w:rPr>
        <w:t> </w:t>
      </w:r>
      <w:r>
        <w:rPr>
          <w:spacing w:val="50"/>
        </w:rPr>
      </w:r>
      <w:r>
        <w:rPr>
          <w:spacing w:val="-1"/>
        </w:rPr>
        <w:t>的金额之和与终止确认部分在终止确认日的账面价值之差额计入当期损益。若本集团转移的金融资产是指定为以公允价值计量且</w:t>
      </w:r>
      <w:r>
        <w:rPr>
          <w:spacing w:val="50"/>
        </w:rPr>
        <w:t> </w:t>
      </w:r>
      <w:r>
        <w:rPr>
          <w:spacing w:val="50"/>
        </w:rPr>
      </w:r>
      <w:r>
        <w:rPr>
          <w:spacing w:val="-1"/>
        </w:rPr>
        <w:t>其变动计入其他综合收益的非交易性权益工具投资，之前计入其他综合收益的累计利得或损失从其他综合收益中转出，计入留存</w:t>
      </w:r>
      <w:r>
        <w:rPr>
          <w:spacing w:val="50"/>
        </w:rPr>
        <w:t> </w:t>
      </w:r>
      <w:r>
        <w:rPr>
          <w:spacing w:val="50"/>
        </w:rPr>
      </w:r>
      <w:r>
        <w:rPr/>
        <w:t>收益。</w:t>
      </w:r>
    </w:p>
    <w:p>
      <w:pPr>
        <w:pStyle w:val="BodyText"/>
        <w:spacing w:line="309" w:lineRule="auto" w:before="17"/>
        <w:ind w:left="494" w:right="858"/>
        <w:jc w:val="left"/>
      </w:pPr>
      <w:r>
        <w:rPr>
          <w:spacing w:val="-3"/>
        </w:rPr>
        <w:t>金融资产整体转移未满足终止确认条件的，本集团继续确认所转移的金融资产整体，并将收到的对价确认为金融负债。</w:t>
      </w:r>
      <w:r>
        <w:rPr>
          <w:spacing w:val="60"/>
        </w:rPr>
        <w:t> </w:t>
      </w:r>
      <w:r>
        <w:rPr>
          <w:spacing w:val="60"/>
        </w:rPr>
      </w:r>
      <w:r>
        <w:rPr>
          <w:rFonts w:ascii="Times New Roman" w:hAnsi="Times New Roman" w:cs="Times New Roman" w:eastAsia="Times New Roman" w:hint="default"/>
          <w:spacing w:val="60"/>
        </w:rPr>
      </w:r>
      <w:r>
        <w:rPr>
          <w:rFonts w:ascii="Times New Roman" w:hAnsi="Times New Roman" w:cs="Times New Roman" w:eastAsia="Times New Roman" w:hint="default"/>
          <w:u w:val="single" w:color="000000"/>
        </w:rPr>
        <w:t>9.4</w:t>
      </w:r>
      <w:r>
        <w:rPr>
          <w:u w:val="single" w:color="000000"/>
        </w:rPr>
        <w:t>金融负债和权益工具的分类</w:t>
      </w:r>
      <w:r>
        <w:rPr>
          <w:spacing w:val="-87"/>
          <w:u w:val="single" w:color="000000"/>
        </w:rPr>
        <w:t> </w:t>
      </w:r>
      <w:r>
        <w:rPr>
          <w:spacing w:val="-87"/>
        </w:rPr>
      </w:r>
      <w:r>
        <w:rPr>
          <w:spacing w:val="-87"/>
        </w:rPr>
      </w:r>
      <w:r>
        <w:rPr>
          <w:spacing w:val="-1"/>
        </w:rPr>
        <w:t>本集团根据所发行金融工具的合同条款及其所反映的经济实质而非仅以法律形式，结合金融负债和权益工具的定义，在初始</w:t>
      </w:r>
    </w:p>
    <w:p>
      <w:pPr>
        <w:pStyle w:val="BodyText"/>
        <w:spacing w:line="240" w:lineRule="auto" w:before="25"/>
        <w:ind w:right="858"/>
        <w:jc w:val="left"/>
      </w:pPr>
      <w:r>
        <w:rPr>
          <w:spacing w:val="-3"/>
        </w:rPr>
        <w:t>确认时将该金融工具或其组成部分分类为金融负债或权益工具。</w:t>
      </w:r>
    </w:p>
    <w:p>
      <w:pPr>
        <w:pStyle w:val="BodyText"/>
        <w:spacing w:line="300" w:lineRule="auto" w:before="76"/>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9.4.1 </w:t>
      </w:r>
      <w:r>
        <w:rPr>
          <w:spacing w:val="-3"/>
          <w:u w:val="single" w:color="000000"/>
        </w:rPr>
        <w:t>金融负债的分类、确认及计量</w:t>
      </w:r>
      <w:r>
        <w:rPr>
          <w:spacing w:val="-69"/>
          <w:u w:val="single" w:color="000000"/>
        </w:rPr>
        <w:t> </w:t>
      </w:r>
      <w:r>
        <w:rPr>
          <w:spacing w:val="-69"/>
        </w:rPr>
      </w:r>
      <w:r>
        <w:rPr>
          <w:spacing w:val="-69"/>
        </w:rPr>
      </w:r>
      <w:r>
        <w:rPr>
          <w:spacing w:val="-1"/>
        </w:rPr>
        <w:t>金融负债在初始确认时划分为以公允价值计量且其变动计入当期损益的金融负债和其他金融负债，本集团的金融负债为其他</w:t>
      </w:r>
    </w:p>
    <w:p>
      <w:pPr>
        <w:pStyle w:val="BodyText"/>
        <w:spacing w:line="240" w:lineRule="auto" w:before="31"/>
        <w:ind w:right="858"/>
        <w:jc w:val="left"/>
      </w:pPr>
      <w:r>
        <w:rPr>
          <w:spacing w:val="-3"/>
        </w:rPr>
        <w:t>金融负债，主要包括应付账款和其他应付款。</w:t>
      </w:r>
    </w:p>
    <w:p>
      <w:pPr>
        <w:spacing w:after="0" w:line="240" w:lineRule="auto"/>
        <w:jc w:val="left"/>
        <w:sectPr>
          <w:pgSz w:w="11910" w:h="16840"/>
          <w:pgMar w:header="906" w:footer="1022" w:top="1100" w:bottom="1220" w:left="740" w:right="0"/>
        </w:sectPr>
      </w:pPr>
    </w:p>
    <w:p>
      <w:pPr>
        <w:pStyle w:val="BodyText"/>
        <w:spacing w:line="300" w:lineRule="auto" w:before="80"/>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9.4.1.1</w:t>
      </w:r>
      <w:r>
        <w:rPr>
          <w:u w:val="single" w:color="000000"/>
        </w:rPr>
        <w:t>其他金融负债</w:t>
      </w:r>
      <w:r>
        <w:rPr>
          <w:w w:val="101"/>
        </w:rPr>
      </w:r>
      <w:r>
        <w:rPr>
          <w:w w:val="101"/>
        </w:rPr>
        <w:t> </w:t>
      </w:r>
      <w:r>
        <w:rPr>
          <w:spacing w:val="-1"/>
        </w:rPr>
        <w:t>其他金融负债分类为以摊余成本计量的金融负债，按摊余成本进行后续计量，终止确认或摊销产生的利得或损失计入当期损</w:t>
      </w:r>
    </w:p>
    <w:p>
      <w:pPr>
        <w:pStyle w:val="BodyText"/>
        <w:spacing w:line="300" w:lineRule="auto" w:before="31"/>
        <w:ind w:left="494" w:right="858" w:hanging="360"/>
        <w:jc w:val="left"/>
      </w:pPr>
      <w:r>
        <w:rPr>
          <w:spacing w:val="-3"/>
        </w:rPr>
        <w:t>益。</w:t>
      </w:r>
      <w:r>
        <w:rPr>
          <w:rFonts w:ascii="Times New Roman" w:hAnsi="Times New Roman" w:cs="Times New Roman" w:eastAsia="Times New Roman" w:hint="default"/>
          <w:spacing w:val="-3"/>
        </w:rPr>
      </w:r>
      <w:r>
        <w:rPr>
          <w:rFonts w:ascii="Times New Roman" w:hAnsi="Times New Roman" w:cs="Times New Roman" w:eastAsia="Times New Roman" w:hint="default"/>
          <w:spacing w:val="-3"/>
          <w:u w:val="single" w:color="000000"/>
        </w:rPr>
        <w:t>9.4.2</w:t>
      </w:r>
      <w:r>
        <w:rPr>
          <w:spacing w:val="-3"/>
          <w:u w:val="single" w:color="000000"/>
        </w:rPr>
        <w:t>金融负债的终止确认</w:t>
      </w:r>
      <w:r>
        <w:rPr>
          <w:spacing w:val="-42"/>
          <w:u w:val="single" w:color="000000"/>
        </w:rPr>
        <w:t> </w:t>
      </w:r>
      <w:r>
        <w:rPr>
          <w:spacing w:val="-42"/>
        </w:rPr>
      </w:r>
      <w:r>
        <w:rPr>
          <w:spacing w:val="-42"/>
        </w:rPr>
      </w:r>
      <w:r>
        <w:rPr>
          <w:spacing w:val="-4"/>
        </w:rPr>
        <w:t>金融负债的现时义务全部或部分已经解除的，终止确认该金融负债或其一部分。本集团</w:t>
      </w:r>
      <w:r>
        <w:rPr>
          <w:rFonts w:ascii="Times New Roman" w:hAnsi="Times New Roman" w:cs="Times New Roman" w:eastAsia="Times New Roman" w:hint="default"/>
          <w:spacing w:val="-4"/>
        </w:rPr>
        <w:t>(</w:t>
      </w:r>
      <w:r>
        <w:rPr>
          <w:spacing w:val="-4"/>
        </w:rPr>
        <w:t>借入方</w:t>
      </w:r>
      <w:r>
        <w:rPr>
          <w:rFonts w:ascii="Times New Roman" w:hAnsi="Times New Roman" w:cs="Times New Roman" w:eastAsia="Times New Roman" w:hint="default"/>
          <w:spacing w:val="-4"/>
        </w:rPr>
        <w:t>)</w:t>
      </w:r>
      <w:r>
        <w:rPr>
          <w:spacing w:val="-4"/>
        </w:rPr>
        <w:t>与借出方之间签订协议，以承</w:t>
      </w:r>
    </w:p>
    <w:p>
      <w:pPr>
        <w:pStyle w:val="BodyText"/>
        <w:spacing w:line="316" w:lineRule="auto" w:before="13"/>
        <w:ind w:right="858"/>
        <w:jc w:val="left"/>
      </w:pPr>
      <w:r>
        <w:rPr>
          <w:spacing w:val="-1"/>
        </w:rPr>
        <w:t>担新金融负债方式替换原金融负债，且新金融负债与原金融负债的合同条款实质上不同的，本集团终止确认原金融负债，并同时</w:t>
      </w:r>
      <w:r>
        <w:rPr>
          <w:spacing w:val="50"/>
        </w:rPr>
        <w:t> </w:t>
      </w:r>
      <w:r>
        <w:rPr>
          <w:spacing w:val="50"/>
        </w:rPr>
      </w:r>
      <w:r>
        <w:rPr/>
        <w:t>确认新金融负债。</w:t>
      </w:r>
    </w:p>
    <w:p>
      <w:pPr>
        <w:pStyle w:val="BodyText"/>
        <w:spacing w:line="300" w:lineRule="auto" w:before="19"/>
        <w:ind w:right="867" w:firstLine="360"/>
        <w:jc w:val="both"/>
      </w:pPr>
      <w:r>
        <w:rPr>
          <w:spacing w:val="-4"/>
        </w:rPr>
        <w:t>金融负债全部或部分终止确认的，将终止确认部分的账面价值与支付的对价</w:t>
      </w:r>
      <w:r>
        <w:rPr>
          <w:rFonts w:ascii="Times New Roman" w:hAnsi="Times New Roman" w:cs="Times New Roman" w:eastAsia="Times New Roman" w:hint="default"/>
          <w:spacing w:val="-4"/>
        </w:rPr>
        <w:t>(</w:t>
      </w:r>
      <w:r>
        <w:rPr>
          <w:spacing w:val="-4"/>
        </w:rPr>
        <w:t>包括转出的非现金资产或承担的新金融负债</w:t>
      </w:r>
      <w:r>
        <w:rPr>
          <w:rFonts w:ascii="Times New Roman" w:hAnsi="Times New Roman" w:cs="Times New Roman" w:eastAsia="Times New Roman" w:hint="default"/>
          <w:spacing w:val="-4"/>
        </w:rPr>
        <w:t>)</w:t>
      </w:r>
      <w:r>
        <w:rPr>
          <w:spacing w:val="-4"/>
        </w:rPr>
        <w:t>之间</w:t>
      </w:r>
      <w:r>
        <w:rPr>
          <w:spacing w:val="-5"/>
          <w:w w:val="101"/>
        </w:rPr>
        <w:t> </w:t>
      </w:r>
      <w:r>
        <w:rPr>
          <w:spacing w:val="-3"/>
        </w:rPr>
        <w:t>的差额，计入当期损益。</w:t>
      </w:r>
    </w:p>
    <w:p>
      <w:pPr>
        <w:pStyle w:val="BodyText"/>
        <w:spacing w:line="300" w:lineRule="auto" w:before="31"/>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9.4.3</w:t>
      </w:r>
      <w:r>
        <w:rPr>
          <w:u w:val="single" w:color="000000"/>
        </w:rPr>
        <w:t>权益工具</w:t>
      </w:r>
      <w:r>
        <w:rPr>
          <w:spacing w:val="-87"/>
          <w:u w:val="single" w:color="000000"/>
        </w:rPr>
        <w:t> </w:t>
      </w:r>
      <w:r>
        <w:rPr>
          <w:spacing w:val="-87"/>
        </w:rPr>
      </w:r>
      <w:r>
        <w:rPr>
          <w:spacing w:val="-87"/>
        </w:rPr>
      </w:r>
      <w:r>
        <w:rPr>
          <w:spacing w:val="-4"/>
        </w:rPr>
        <w:t>权益工具是指能证明拥有本集团在扣除所有负债后的资产中的剩余权益的合同。本集团发行</w:t>
      </w:r>
      <w:r>
        <w:rPr>
          <w:rFonts w:ascii="Times New Roman" w:hAnsi="Times New Roman" w:cs="Times New Roman" w:eastAsia="Times New Roman" w:hint="default"/>
          <w:spacing w:val="-4"/>
        </w:rPr>
        <w:t>(</w:t>
      </w:r>
      <w:r>
        <w:rPr>
          <w:spacing w:val="-4"/>
        </w:rPr>
        <w:t>含再融资</w:t>
      </w:r>
      <w:r>
        <w:rPr>
          <w:rFonts w:ascii="Times New Roman" w:hAnsi="Times New Roman" w:cs="Times New Roman" w:eastAsia="Times New Roman" w:hint="default"/>
          <w:spacing w:val="-4"/>
        </w:rPr>
        <w:t>)</w:t>
      </w:r>
      <w:r>
        <w:rPr>
          <w:spacing w:val="-4"/>
        </w:rPr>
        <w:t>、回购、出售或注销权</w:t>
      </w:r>
    </w:p>
    <w:p>
      <w:pPr>
        <w:pStyle w:val="BodyText"/>
        <w:spacing w:line="316" w:lineRule="auto" w:before="13"/>
        <w:ind w:left="494" w:right="1951" w:hanging="360"/>
        <w:jc w:val="left"/>
      </w:pPr>
      <w:r>
        <w:rPr>
          <w:spacing w:val="-3"/>
        </w:rPr>
        <w:t>益工具作为权益的变动处理。本集团不确认权益工具的公允价值变动。与权益性交易相关的交易费用从权益中扣减。</w:t>
      </w:r>
      <w:r>
        <w:rPr>
          <w:spacing w:val="60"/>
        </w:rPr>
        <w:t> </w:t>
      </w:r>
      <w:r>
        <w:rPr>
          <w:spacing w:val="60"/>
        </w:rPr>
      </w:r>
      <w:r>
        <w:rPr>
          <w:spacing w:val="-3"/>
        </w:rPr>
        <w:t>本集团对权益工具持有方的分配作为利润分配处理，发放的股票股利不影响股东权益总额。</w:t>
      </w:r>
      <w:r>
        <w:rPr>
          <w:w w:val="101"/>
        </w:rPr>
        <w:t> </w:t>
      </w: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9.5</w:t>
      </w:r>
      <w:r>
        <w:rPr>
          <w:u w:val="single" w:color="000000"/>
        </w:rPr>
        <w:t>金融资产与金融负债的抵销</w:t>
      </w:r>
      <w:r>
        <w:rPr/>
      </w:r>
    </w:p>
    <w:p>
      <w:pPr>
        <w:pStyle w:val="BodyText"/>
        <w:spacing w:line="319" w:lineRule="auto"/>
        <w:ind w:right="860" w:firstLine="360"/>
        <w:jc w:val="both"/>
      </w:pPr>
      <w:r>
        <w:rPr>
          <w:spacing w:val="-1"/>
        </w:rPr>
        <w:t>当本集团具有抵销已确认金融资产和金融负债金额的法定权利，且该种法定权利是当前可执行的，同时本集团计划以净额结</w:t>
      </w:r>
      <w:r>
        <w:rPr>
          <w:w w:val="101"/>
        </w:rPr>
        <w:t> </w:t>
      </w:r>
      <w:r>
        <w:rPr>
          <w:spacing w:val="-1"/>
        </w:rPr>
        <w:t>算或同时变现该金融资产和清偿该金融负债时，金融资产和金融负债以相互抵销后的金额在资产负债表内列示。除此以外，金融</w:t>
      </w:r>
      <w:r>
        <w:rPr>
          <w:spacing w:val="50"/>
        </w:rPr>
        <w:t> </w:t>
      </w:r>
      <w:r>
        <w:rPr>
          <w:spacing w:val="50"/>
        </w:rPr>
      </w:r>
      <w:r>
        <w:rPr>
          <w:spacing w:val="-3"/>
        </w:rPr>
        <w:t>资产和金融负债在资产负债表内分别列示，不予相互抵销。</w:t>
      </w:r>
    </w:p>
    <w:p>
      <w:pPr>
        <w:spacing w:line="240" w:lineRule="auto" w:before="6"/>
        <w:rPr>
          <w:rFonts w:ascii="宋体" w:hAnsi="宋体" w:cs="宋体" w:eastAsia="宋体" w:hint="default"/>
          <w:sz w:val="22"/>
          <w:szCs w:val="22"/>
        </w:rPr>
      </w:pPr>
    </w:p>
    <w:p>
      <w:pPr>
        <w:pStyle w:val="Heading4"/>
        <w:spacing w:line="240" w:lineRule="auto"/>
        <w:ind w:right="858"/>
        <w:jc w:val="left"/>
        <w:rPr>
          <w:b w:val="0"/>
          <w:bCs w:val="0"/>
        </w:rPr>
      </w:pPr>
      <w:bookmarkStart w:name="10、存货" w:id="180"/>
      <w:bookmarkEnd w:id="180"/>
      <w:r>
        <w:rPr>
          <w:b w:val="0"/>
          <w:bCs w:val="0"/>
        </w:rPr>
      </w:r>
      <w:r>
        <w:rPr>
          <w:rFonts w:ascii="Times New Roman" w:hAnsi="Times New Roman" w:cs="Times New Roman" w:eastAsia="Times New Roman" w:hint="default"/>
        </w:rPr>
        <w:t>10</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10.1</w:t>
      </w:r>
      <w:r>
        <w:rPr>
          <w:u w:val="single" w:color="000000"/>
        </w:rPr>
        <w:t>存货的分类</w:t>
      </w:r>
      <w:r>
        <w:rPr>
          <w:spacing w:val="-87"/>
          <w:u w:val="single" w:color="000000"/>
        </w:rPr>
        <w:t> </w:t>
      </w:r>
      <w:r>
        <w:rPr>
          <w:spacing w:val="-87"/>
        </w:rPr>
      </w:r>
      <w:r>
        <w:rPr>
          <w:spacing w:val="-87"/>
        </w:rPr>
      </w:r>
      <w:r>
        <w:rPr>
          <w:spacing w:val="-1"/>
        </w:rPr>
        <w:t>本集团的存货主要包括库存商品和周转材料。存货按成本进行初始计量，存货成本包括采购成本和其他使存货达到目前场所</w:t>
      </w:r>
    </w:p>
    <w:p>
      <w:pPr>
        <w:pStyle w:val="BodyText"/>
        <w:spacing w:line="240" w:lineRule="auto" w:before="31"/>
        <w:ind w:right="858"/>
        <w:jc w:val="left"/>
      </w:pPr>
      <w:r>
        <w:rPr/>
        <w:t>和状态所发生的支出。</w:t>
      </w:r>
    </w:p>
    <w:p>
      <w:pPr>
        <w:pStyle w:val="BodyText"/>
        <w:spacing w:line="309" w:lineRule="auto" w:before="76"/>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10.2</w:t>
      </w:r>
      <w:r>
        <w:rPr>
          <w:u w:val="single" w:color="000000"/>
        </w:rPr>
        <w:t>发出存货的计价方法</w:t>
      </w:r>
      <w:r>
        <w:rPr>
          <w:spacing w:val="-88"/>
          <w:u w:val="single" w:color="000000"/>
        </w:rPr>
        <w:t> </w:t>
      </w:r>
      <w:r>
        <w:rPr>
          <w:spacing w:val="-88"/>
        </w:rPr>
      </w:r>
      <w:r>
        <w:rPr>
          <w:spacing w:val="-88"/>
        </w:rPr>
      </w:r>
      <w:r>
        <w:rPr>
          <w:spacing w:val="-3"/>
        </w:rPr>
        <w:t>存货发出时，库存商品发出时按先进先出法确定其实际成本，周转材料按加权平均法确定其实际成本。</w:t>
      </w:r>
      <w:r>
        <w:rPr>
          <w:spacing w:val="42"/>
        </w:rPr>
        <w:t> </w:t>
      </w:r>
      <w:r>
        <w:rPr>
          <w:spacing w:val="42"/>
        </w:rPr>
      </w:r>
      <w:r>
        <w:rPr>
          <w:rFonts w:ascii="Times New Roman" w:hAnsi="Times New Roman" w:cs="Times New Roman" w:eastAsia="Times New Roman" w:hint="default"/>
          <w:spacing w:val="42"/>
        </w:rPr>
      </w:r>
      <w:r>
        <w:rPr>
          <w:rFonts w:ascii="Times New Roman" w:hAnsi="Times New Roman" w:cs="Times New Roman" w:eastAsia="Times New Roman" w:hint="default"/>
          <w:spacing w:val="-3"/>
          <w:u w:val="single" w:color="000000"/>
        </w:rPr>
        <w:t>10.3</w:t>
      </w:r>
      <w:r>
        <w:rPr>
          <w:spacing w:val="-3"/>
          <w:u w:val="single" w:color="000000"/>
        </w:rPr>
        <w:t>存货可变现净值的确定依据及存货跌价准备的计提方法</w:t>
      </w:r>
      <w:r>
        <w:rPr>
          <w:spacing w:val="-8"/>
          <w:u w:val="single" w:color="000000"/>
        </w:rPr>
        <w:t> </w:t>
      </w:r>
      <w:r>
        <w:rPr>
          <w:spacing w:val="-8"/>
        </w:rPr>
      </w:r>
      <w:r>
        <w:rPr>
          <w:spacing w:val="-8"/>
        </w:rPr>
      </w:r>
      <w:r>
        <w:rPr>
          <w:spacing w:val="-3"/>
        </w:rPr>
        <w:t>资产负债表日，存货按照成本与可变现净值孰低计量。当其可变现净值低于成本时，提取存货跌价准备。</w:t>
      </w:r>
      <w:r>
        <w:rPr>
          <w:spacing w:val="43"/>
        </w:rPr>
        <w:t> </w:t>
      </w:r>
      <w:r>
        <w:rPr>
          <w:spacing w:val="43"/>
        </w:rPr>
      </w:r>
      <w:r>
        <w:rPr>
          <w:spacing w:val="-3"/>
        </w:rPr>
        <w:t>可变现净值是指在日常活动中，存货的估计售价减去至完工时估计将要发生的成本、估计的销售费用以及相关税费后的金额。</w:t>
      </w:r>
    </w:p>
    <w:p>
      <w:pPr>
        <w:pStyle w:val="BodyText"/>
        <w:spacing w:line="316" w:lineRule="auto" w:before="24"/>
        <w:ind w:left="494" w:right="858" w:hanging="360"/>
        <w:jc w:val="left"/>
      </w:pPr>
      <w:r>
        <w:rPr>
          <w:spacing w:val="-3"/>
        </w:rPr>
        <w:t>在确定存货的可变现净值时，以取得的确凿证据为基础，同时考虑持有存货的目的以及资产负债表日后事项的影响。</w:t>
      </w:r>
      <w:r>
        <w:rPr>
          <w:spacing w:val="60"/>
        </w:rPr>
        <w:t> </w:t>
      </w:r>
      <w:r>
        <w:rPr>
          <w:spacing w:val="60"/>
        </w:rPr>
      </w:r>
      <w:r>
        <w:rPr>
          <w:spacing w:val="-1"/>
        </w:rPr>
        <w:t>对于数量繁多、单价较低的存货，按存货类别计提存货跌价准备；对在同一地区生产和销售的产品系列相关、具有相同或类</w:t>
      </w:r>
    </w:p>
    <w:p>
      <w:pPr>
        <w:pStyle w:val="BodyText"/>
        <w:spacing w:line="316" w:lineRule="auto" w:before="19"/>
        <w:ind w:left="494" w:right="858" w:hanging="360"/>
        <w:jc w:val="left"/>
      </w:pPr>
      <w:r>
        <w:rPr>
          <w:spacing w:val="-3"/>
        </w:rPr>
        <w:t>似最终用途或目的，且难以与其他项目分开计量的存货，合并计提存货跌价准备。</w:t>
      </w:r>
      <w:r>
        <w:rPr>
          <w:spacing w:val="14"/>
        </w:rPr>
        <w:t> </w:t>
      </w:r>
      <w:r>
        <w:rPr>
          <w:spacing w:val="14"/>
        </w:rPr>
      </w:r>
      <w:r>
        <w:rPr>
          <w:spacing w:val="-1"/>
        </w:rPr>
        <w:t>计提存货跌价准备后，如果以前减记存货价值的影响因素已经消失，导致存货的可变现净值高于其账面价值的，在原已计提</w:t>
      </w:r>
    </w:p>
    <w:p>
      <w:pPr>
        <w:pStyle w:val="BodyText"/>
        <w:spacing w:line="240" w:lineRule="auto" w:before="19"/>
        <w:ind w:right="858"/>
        <w:jc w:val="left"/>
      </w:pPr>
      <w:r>
        <w:rPr>
          <w:spacing w:val="-3"/>
        </w:rPr>
        <w:t>的存货跌价准备金额内予以转回，转回的金额计入当期损益。</w:t>
      </w:r>
    </w:p>
    <w:p>
      <w:pPr>
        <w:pStyle w:val="BodyText"/>
        <w:spacing w:line="307" w:lineRule="auto" w:before="76"/>
        <w:ind w:left="494" w:right="6814"/>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10.4</w:t>
      </w:r>
      <w:r>
        <w:rPr>
          <w:u w:val="single" w:color="000000"/>
        </w:rPr>
        <w:t>存货的盘存制度</w:t>
      </w:r>
      <w:r>
        <w:rPr>
          <w:spacing w:val="-87"/>
          <w:u w:val="single" w:color="000000"/>
        </w:rPr>
        <w:t> </w:t>
      </w:r>
      <w:r>
        <w:rPr>
          <w:spacing w:val="-87"/>
        </w:rPr>
      </w:r>
      <w:r>
        <w:rPr>
          <w:spacing w:val="-87"/>
        </w:rPr>
      </w:r>
      <w:r>
        <w:rPr>
          <w:spacing w:val="-3"/>
        </w:rPr>
        <w:t>存货盘存制度为永续盘存制。</w:t>
      </w:r>
      <w:r>
        <w:rPr>
          <w:spacing w:val="-50"/>
        </w:rPr>
        <w:t> </w:t>
      </w:r>
      <w:r>
        <w:rPr>
          <w:spacing w:val="-50"/>
        </w:rPr>
      </w:r>
      <w:r>
        <w:rPr>
          <w:rFonts w:ascii="Times New Roman" w:hAnsi="Times New Roman" w:cs="Times New Roman" w:eastAsia="Times New Roman" w:hint="default"/>
          <w:spacing w:val="-50"/>
        </w:rPr>
      </w:r>
      <w:r>
        <w:rPr>
          <w:rFonts w:ascii="Times New Roman" w:hAnsi="Times New Roman" w:cs="Times New Roman" w:eastAsia="Times New Roman" w:hint="default"/>
          <w:u w:val="single" w:color="000000"/>
        </w:rPr>
        <w:t>10.5</w:t>
      </w:r>
      <w:r>
        <w:rPr>
          <w:u w:val="single" w:color="000000"/>
        </w:rPr>
        <w:t>周转材料的摊销方法</w:t>
      </w:r>
      <w:r>
        <w:rPr>
          <w:spacing w:val="-88"/>
          <w:u w:val="single" w:color="000000"/>
        </w:rPr>
        <w:t> </w:t>
      </w:r>
      <w:r>
        <w:rPr>
          <w:spacing w:val="-88"/>
        </w:rPr>
      </w:r>
      <w:r>
        <w:rPr>
          <w:spacing w:val="-88"/>
        </w:rPr>
      </w:r>
      <w:r>
        <w:rPr>
          <w:spacing w:val="-3"/>
        </w:rPr>
        <w:t>周转材料采用一次转销法进行摊销。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4"/>
        <w:ind w:right="858"/>
        <w:jc w:val="left"/>
        <w:rPr>
          <w:b w:val="0"/>
          <w:bCs w:val="0"/>
        </w:rPr>
      </w:pPr>
      <w:bookmarkStart w:name="11、长期股权投资" w:id="181"/>
      <w:bookmarkEnd w:id="181"/>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spacing w:val="-3"/>
          <w:u w:val="single" w:color="000000"/>
        </w:rPr>
        <w:t>11.1</w:t>
      </w:r>
      <w:r>
        <w:rPr>
          <w:spacing w:val="-3"/>
          <w:u w:val="single" w:color="000000"/>
        </w:rPr>
        <w:t>共同控制、重大影响的判断标准</w:t>
      </w:r>
      <w:r>
        <w:rPr>
          <w:spacing w:val="-42"/>
          <w:u w:val="single" w:color="000000"/>
        </w:rPr>
        <w:t> </w:t>
      </w:r>
      <w:r>
        <w:rPr>
          <w:spacing w:val="-42"/>
        </w:rPr>
      </w:r>
      <w:r>
        <w:rPr>
          <w:spacing w:val="-42"/>
        </w:rPr>
      </w:r>
      <w:r>
        <w:rPr>
          <w:spacing w:val="-1"/>
        </w:rPr>
        <w:t>控制是指投资方拥有对被投资方的权力，通过参与被投资方的相关活动而享有可变回报，并且有能力运用对被投资方的权力</w:t>
      </w:r>
    </w:p>
    <w:p>
      <w:pPr>
        <w:pStyle w:val="BodyText"/>
        <w:spacing w:line="316" w:lineRule="auto" w:before="32"/>
        <w:ind w:right="858"/>
        <w:jc w:val="both"/>
      </w:pPr>
      <w:r>
        <w:rPr>
          <w:spacing w:val="-1"/>
        </w:rPr>
        <w:t>影响其回报金额。共同控制是指按照相关约定对某项安排所共有的控制，并且该安排的相关活动必须经过分享控制权的参与方一</w:t>
      </w:r>
      <w:r>
        <w:rPr>
          <w:spacing w:val="50"/>
        </w:rPr>
        <w:t> </w:t>
      </w:r>
      <w:r>
        <w:rPr>
          <w:spacing w:val="50"/>
        </w:rPr>
      </w:r>
      <w:r>
        <w:rPr>
          <w:spacing w:val="-1"/>
        </w:rPr>
        <w:t>致同意后才能决策。重大影响是指对被投资方的财务和经营政策有参与决策的权力，但并不能够控制或者与其他方一起共同控制</w:t>
      </w:r>
      <w:r>
        <w:rPr>
          <w:spacing w:val="50"/>
        </w:rPr>
        <w:t> </w:t>
      </w:r>
      <w:r>
        <w:rPr>
          <w:spacing w:val="50"/>
        </w:rPr>
      </w:r>
      <w:r>
        <w:rPr>
          <w:spacing w:val="-1"/>
        </w:rPr>
        <w:t>这些政策的制定。在确定能否对被投资单位实施控制或施加重大影响时，已考虑投资方和其他方持有的被投资单位当期可转换公</w:t>
      </w:r>
      <w:r>
        <w:rPr>
          <w:spacing w:val="53"/>
        </w:rPr>
        <w:t> </w:t>
      </w:r>
      <w:r>
        <w:rPr>
          <w:spacing w:val="53"/>
        </w:rPr>
      </w:r>
      <w:r>
        <w:rPr>
          <w:spacing w:val="-3"/>
        </w:rPr>
        <w:t>司债券、当期可执行认股权证等潜在表决权因素。</w:t>
      </w:r>
    </w:p>
    <w:p>
      <w:pPr>
        <w:spacing w:after="0" w:line="316" w:lineRule="auto"/>
        <w:jc w:val="both"/>
        <w:sectPr>
          <w:footerReference w:type="default" r:id="rId35"/>
          <w:pgSz w:w="11910" w:h="16840"/>
          <w:pgMar w:footer="1022" w:header="906" w:top="1100" w:bottom="1220" w:left="740" w:right="0"/>
          <w:pgNumType w:start="98"/>
        </w:sectPr>
      </w:pPr>
    </w:p>
    <w:p>
      <w:pPr>
        <w:pStyle w:val="BodyText"/>
        <w:spacing w:line="300" w:lineRule="auto" w:before="80"/>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spacing w:val="-3"/>
          <w:u w:val="single" w:color="000000"/>
        </w:rPr>
        <w:t>11.2</w:t>
      </w:r>
      <w:r>
        <w:rPr>
          <w:spacing w:val="-3"/>
          <w:u w:val="single" w:color="000000"/>
        </w:rPr>
        <w:t>初始投资成本的确定</w:t>
      </w:r>
      <w:r>
        <w:rPr>
          <w:spacing w:val="-54"/>
          <w:u w:val="single" w:color="000000"/>
        </w:rPr>
        <w:t> </w:t>
      </w:r>
      <w:r>
        <w:rPr>
          <w:spacing w:val="-54"/>
        </w:rPr>
      </w:r>
      <w:r>
        <w:rPr>
          <w:spacing w:val="-54"/>
        </w:rPr>
      </w:r>
      <w:r>
        <w:rPr>
          <w:spacing w:val="-1"/>
        </w:rPr>
        <w:t>对于非同一控制下的企业合并取得的长期股权投资，在购买日按照合并成本作为长期股权投资的初始投资成本。通过多次交</w:t>
      </w:r>
    </w:p>
    <w:p>
      <w:pPr>
        <w:pStyle w:val="BodyText"/>
        <w:spacing w:line="300" w:lineRule="auto" w:before="31"/>
        <w:ind w:right="809"/>
        <w:jc w:val="both"/>
      </w:pPr>
      <w:r>
        <w:rPr>
          <w:spacing w:val="-3"/>
        </w:rPr>
        <w:t>易分步取得被购买方的股权，最终形成非同一控制下的企业合并的，分别是否属于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进行处理：属于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w:t>
      </w:r>
      <w:r>
        <w:rPr>
          <w:spacing w:val="74"/>
        </w:rPr>
        <w:t> </w:t>
      </w:r>
      <w:r>
        <w:rPr>
          <w:spacing w:val="-4"/>
        </w:rPr>
        <w:t>将各项交易作为一项取得控制权的交易进行会计处理。不属于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的，按照原持有被购买方的股权投资账面价值加上新增</w:t>
      </w:r>
      <w:r>
        <w:rPr>
          <w:spacing w:val="60"/>
        </w:rPr>
        <w:t> </w:t>
      </w:r>
      <w:r>
        <w:rPr>
          <w:spacing w:val="60"/>
        </w:rPr>
      </w:r>
      <w:r>
        <w:rPr>
          <w:spacing w:val="-3"/>
        </w:rPr>
        <w:t>投资成本之和，作为改按成本法核算的长期股权投资的初始投资成本。</w:t>
      </w:r>
    </w:p>
    <w:p>
      <w:pPr>
        <w:pStyle w:val="BodyText"/>
        <w:spacing w:line="316" w:lineRule="auto" w:before="31"/>
        <w:ind w:left="494" w:right="858"/>
        <w:jc w:val="left"/>
      </w:pPr>
      <w:r>
        <w:rPr>
          <w:spacing w:val="-3"/>
        </w:rPr>
        <w:t>合并方或购买方为企业合并发生的审计、法律服务、评估咨询等中介费用以及其他相关管理费用，于发生时计入当期损益。</w:t>
      </w:r>
      <w:r>
        <w:rPr>
          <w:spacing w:val="66"/>
        </w:rPr>
        <w:t> </w:t>
      </w:r>
      <w:r>
        <w:rPr>
          <w:spacing w:val="66"/>
        </w:rPr>
      </w:r>
      <w:r>
        <w:rPr>
          <w:spacing w:val="-3"/>
        </w:rPr>
        <w:t>除企业合并形成的长期股权投资外其他方式取得的长期股权投资，按成本进行初始计量。</w:t>
      </w:r>
    </w:p>
    <w:p>
      <w:pPr>
        <w:pStyle w:val="BodyText"/>
        <w:spacing w:line="240" w:lineRule="auto" w:before="19"/>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spacing w:val="-3"/>
          <w:u w:val="single" w:color="000000"/>
        </w:rPr>
        <w:t>11.3</w:t>
      </w:r>
      <w:r>
        <w:rPr>
          <w:spacing w:val="-3"/>
          <w:u w:val="single" w:color="000000"/>
        </w:rPr>
        <w:t>后续计量及损益确认方法</w:t>
      </w:r>
      <w:r>
        <w:rPr>
          <w:spacing w:val="-3"/>
        </w:rPr>
      </w:r>
    </w:p>
    <w:p>
      <w:pPr>
        <w:pStyle w:val="BodyText"/>
        <w:spacing w:line="309" w:lineRule="auto" w:before="63"/>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spacing w:val="-3"/>
          <w:u w:val="single" w:color="000000"/>
        </w:rPr>
        <w:t>11.3.1</w:t>
      </w:r>
      <w:r>
        <w:rPr>
          <w:spacing w:val="-3"/>
          <w:u w:val="single" w:color="000000"/>
        </w:rPr>
        <w:t>按成本法核算的长期股权投资</w:t>
      </w:r>
      <w:r>
        <w:rPr>
          <w:spacing w:val="-37"/>
          <w:u w:val="single" w:color="000000"/>
        </w:rPr>
        <w:t> </w:t>
      </w:r>
      <w:r>
        <w:rPr>
          <w:spacing w:val="-37"/>
        </w:rPr>
      </w:r>
      <w:r>
        <w:rPr>
          <w:spacing w:val="-37"/>
        </w:rPr>
      </w:r>
      <w:r>
        <w:rPr>
          <w:spacing w:val="-3"/>
        </w:rPr>
        <w:t>公司财务报表采用成本法核算对子公司的长期股权投资。子公司是指本集团能够对其实施控制的被投资主体。</w:t>
      </w:r>
      <w:r>
        <w:rPr>
          <w:spacing w:val="49"/>
        </w:rPr>
        <w:t> </w:t>
      </w:r>
      <w:r>
        <w:rPr>
          <w:spacing w:val="49"/>
        </w:rPr>
      </w:r>
      <w:r>
        <w:rPr>
          <w:spacing w:val="-1"/>
        </w:rPr>
        <w:t>采用成本法核算的长期股权投资按初始投资成本计量。追加或收回投资调整长期股权投资的成本。当期投资收益按照享有被</w:t>
      </w:r>
    </w:p>
    <w:p>
      <w:pPr>
        <w:pStyle w:val="BodyText"/>
        <w:spacing w:line="240" w:lineRule="auto" w:before="24"/>
        <w:ind w:right="858"/>
        <w:jc w:val="left"/>
      </w:pPr>
      <w:r>
        <w:rPr>
          <w:spacing w:val="-3"/>
        </w:rPr>
        <w:t>投资单位宣告发放的现金股利或利润确认。</w:t>
      </w:r>
    </w:p>
    <w:p>
      <w:pPr>
        <w:pStyle w:val="BodyText"/>
        <w:spacing w:line="300" w:lineRule="auto" w:before="76"/>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spacing w:val="-3"/>
          <w:u w:val="single" w:color="000000"/>
        </w:rPr>
        <w:t>11.3.2</w:t>
      </w:r>
      <w:r>
        <w:rPr>
          <w:spacing w:val="-3"/>
          <w:u w:val="single" w:color="000000"/>
        </w:rPr>
        <w:t>按权益法核算的长期股权投资</w:t>
      </w:r>
      <w:r>
        <w:rPr>
          <w:spacing w:val="-37"/>
          <w:u w:val="single" w:color="000000"/>
        </w:rPr>
        <w:t> </w:t>
      </w:r>
      <w:r>
        <w:rPr>
          <w:spacing w:val="-37"/>
        </w:rPr>
      </w:r>
      <w:r>
        <w:rPr>
          <w:spacing w:val="-37"/>
        </w:rPr>
      </w:r>
      <w:r>
        <w:rPr>
          <w:spacing w:val="-1"/>
        </w:rPr>
        <w:t>本集团对联营企业的投资采用权益法核算。联营企业是指本集团能够对其施加重大影响的被投资单位。采用权益法核算时，</w:t>
      </w:r>
    </w:p>
    <w:p>
      <w:pPr>
        <w:pStyle w:val="BodyText"/>
        <w:spacing w:line="319" w:lineRule="auto" w:before="31"/>
        <w:ind w:right="858"/>
        <w:jc w:val="left"/>
      </w:pPr>
      <w:r>
        <w:rPr>
          <w:spacing w:val="-3"/>
        </w:rPr>
        <w:t>长期股权投资的初始投资成本大于投资时应享有被投资单位可辨认净资产公允价值份额的，不调整长期股权投资的初始投资成本；</w:t>
      </w:r>
      <w:r>
        <w:rPr>
          <w:spacing w:val="67"/>
        </w:rPr>
        <w:t> </w:t>
      </w:r>
      <w:r>
        <w:rPr>
          <w:spacing w:val="67"/>
        </w:rPr>
      </w:r>
      <w:r>
        <w:rPr>
          <w:spacing w:val="-3"/>
        </w:rPr>
        <w:t>初始投资成本小于投资时应享有被投资单位可辨认净资产公允价值份额的，其差额计入当期损益，同时调整长期股权投资的成本。</w:t>
      </w:r>
    </w:p>
    <w:p>
      <w:pPr>
        <w:pStyle w:val="BodyText"/>
        <w:spacing w:line="316" w:lineRule="auto" w:before="17"/>
        <w:ind w:right="857" w:firstLine="360"/>
        <w:jc w:val="both"/>
      </w:pPr>
      <w:r>
        <w:rPr>
          <w:spacing w:val="-1"/>
        </w:rPr>
        <w:t>采用权益法核算时，按照应享有或应分担的被投资单位实现的净损益和其他综合收益的份额，分别确认投资收益和其他综合</w:t>
      </w:r>
      <w:r>
        <w:rPr>
          <w:w w:val="101"/>
        </w:rPr>
        <w:t> </w:t>
      </w:r>
      <w:r>
        <w:rPr/>
        <w:t>收益 </w:t>
      </w:r>
      <w:r>
        <w:rPr>
          <w:spacing w:val="-3"/>
        </w:rPr>
        <w:t>，同时调整长期股权投资的账面价值；按照被投资单位宣告分派的利润或现金股利计算应享有的部分，相应减少长期股权投</w:t>
      </w:r>
      <w:r>
        <w:rPr>
          <w:spacing w:val="-32"/>
        </w:rPr>
        <w:t> </w:t>
      </w:r>
      <w:r>
        <w:rPr>
          <w:spacing w:val="-32"/>
        </w:rPr>
      </w:r>
      <w:r>
        <w:rPr>
          <w:spacing w:val="-1"/>
        </w:rPr>
        <w:t>资的账面价值；对于被投资单位除净损益、其他综合收益和利润分配以外所有者权益的其他变动，调整长期股权投资的账面价值</w:t>
      </w:r>
      <w:r>
        <w:rPr>
          <w:spacing w:val="50"/>
        </w:rPr>
        <w:t> </w:t>
      </w:r>
      <w:r>
        <w:rPr>
          <w:spacing w:val="50"/>
        </w:rPr>
      </w:r>
      <w:r>
        <w:rPr>
          <w:spacing w:val="-1"/>
        </w:rPr>
        <w:t>并计入资本公积。在确认应享有被投资单位净损益的份额时，以取得投资时被投资单位各项可辨认资产等的公允价值为基础，对</w:t>
      </w:r>
      <w:r>
        <w:rPr>
          <w:spacing w:val="50"/>
        </w:rPr>
        <w:t> </w:t>
      </w:r>
      <w:r>
        <w:rPr>
          <w:spacing w:val="50"/>
        </w:rPr>
      </w:r>
      <w:r>
        <w:rPr>
          <w:spacing w:val="-1"/>
        </w:rPr>
        <w:t>被投资单位的净利润进行调整后确认。被投资单位采用的会计政策及会计期间与本公司不一致的，按照本公司的会计政策及会计</w:t>
      </w:r>
      <w:r>
        <w:rPr>
          <w:spacing w:val="50"/>
        </w:rPr>
        <w:t> </w:t>
      </w:r>
      <w:r>
        <w:rPr>
          <w:spacing w:val="50"/>
        </w:rPr>
      </w:r>
      <w:r>
        <w:rPr>
          <w:spacing w:val="-1"/>
        </w:rPr>
        <w:t>期间对被投资单位的财务报表进行调整，并据以确认投资收益和其他综合收益。对于本集团与联营企业之间发生的交易，投出或</w:t>
      </w:r>
      <w:r>
        <w:rPr>
          <w:spacing w:val="53"/>
        </w:rPr>
        <w:t> </w:t>
      </w:r>
      <w:r>
        <w:rPr>
          <w:spacing w:val="53"/>
        </w:rPr>
      </w:r>
      <w:r>
        <w:rPr>
          <w:spacing w:val="-1"/>
        </w:rPr>
        <w:t>出售的资产不构成业务的，未实现内部交易损益按照享有的比例计算归属于本集团的部分予以抵销，在此基础上确认投资损益。</w:t>
      </w:r>
      <w:r>
        <w:rPr>
          <w:spacing w:val="50"/>
        </w:rPr>
        <w:t> </w:t>
      </w:r>
      <w:r>
        <w:rPr>
          <w:spacing w:val="50"/>
        </w:rPr>
      </w:r>
      <w:r>
        <w:rPr>
          <w:spacing w:val="-3"/>
        </w:rPr>
        <w:t>但本集团与被投资单位发生的未实现内部交易损失，属于所转让资产减值损失的，不予以抵销。</w:t>
      </w:r>
    </w:p>
    <w:p>
      <w:pPr>
        <w:pStyle w:val="BodyText"/>
        <w:spacing w:line="319" w:lineRule="auto" w:before="19"/>
        <w:ind w:right="860" w:firstLine="360"/>
        <w:jc w:val="both"/>
      </w:pPr>
      <w:r>
        <w:rPr>
          <w:spacing w:val="-1"/>
        </w:rPr>
        <w:t>在确认应分担被投资单位发生的净亏损时，以长期股权投资的账面价值和其他实质上构成对被投资单位净投资的长期权益减</w:t>
      </w:r>
      <w:r>
        <w:rPr>
          <w:w w:val="101"/>
        </w:rPr>
        <w:t> </w:t>
      </w:r>
      <w:r>
        <w:rPr>
          <w:spacing w:val="-1"/>
        </w:rPr>
        <w:t>记至零为限。此外，如本集团对被投资单位负有承担额外损失的义务，则按预计承担的义务确认预计负债，计入当期投资损失。</w:t>
      </w:r>
      <w:r>
        <w:rPr>
          <w:spacing w:val="50"/>
        </w:rPr>
        <w:t> </w:t>
      </w:r>
      <w:r>
        <w:rPr>
          <w:spacing w:val="50"/>
        </w:rPr>
      </w:r>
      <w:r>
        <w:rPr>
          <w:spacing w:val="-3"/>
        </w:rPr>
        <w:t>被投资单位以后期间实现净利润的，本集团在收益分享额弥补未确认的亏损分担额后，恢复确认收益分享额。</w:t>
      </w:r>
      <w:r>
        <w:rPr/>
      </w:r>
    </w:p>
    <w:p>
      <w:pPr>
        <w:pStyle w:val="BodyText"/>
        <w:spacing w:line="300" w:lineRule="auto" w:before="17"/>
        <w:ind w:left="494" w:right="3130"/>
        <w:jc w:val="left"/>
      </w:pPr>
      <w:r>
        <w:rPr>
          <w:rFonts w:ascii="Times New Roman" w:hAnsi="Times New Roman" w:cs="Times New Roman" w:eastAsia="Times New Roman" w:hint="default"/>
          <w:w w:val="101"/>
        </w:rPr>
      </w:r>
      <w:r>
        <w:rPr>
          <w:rFonts w:ascii="Times New Roman" w:hAnsi="Times New Roman" w:cs="Times New Roman" w:eastAsia="Times New Roman" w:hint="default"/>
          <w:spacing w:val="-3"/>
          <w:u w:val="single" w:color="000000"/>
        </w:rPr>
        <w:t>11.4</w:t>
      </w:r>
      <w:r>
        <w:rPr>
          <w:spacing w:val="-3"/>
          <w:u w:val="single" w:color="000000"/>
        </w:rPr>
        <w:t>长期股权投资处置</w:t>
      </w:r>
      <w:r>
        <w:rPr>
          <w:spacing w:val="-59"/>
          <w:u w:val="single" w:color="000000"/>
        </w:rPr>
        <w:t> </w:t>
      </w:r>
      <w:r>
        <w:rPr>
          <w:spacing w:val="-59"/>
        </w:rPr>
      </w:r>
      <w:r>
        <w:rPr>
          <w:spacing w:val="-59"/>
        </w:rPr>
      </w:r>
      <w:r>
        <w:rPr>
          <w:spacing w:val="-3"/>
        </w:rPr>
        <w:t>处置长期股权投资时，其账面价值与实际取得价款的差额，计入当期损益。</w:t>
      </w:r>
    </w:p>
    <w:p>
      <w:pPr>
        <w:spacing w:line="240" w:lineRule="auto" w:before="7"/>
        <w:rPr>
          <w:rFonts w:ascii="宋体" w:hAnsi="宋体" w:cs="宋体" w:eastAsia="宋体" w:hint="default"/>
          <w:sz w:val="23"/>
          <w:szCs w:val="23"/>
        </w:rPr>
      </w:pPr>
    </w:p>
    <w:p>
      <w:pPr>
        <w:pStyle w:val="Heading4"/>
        <w:spacing w:line="240" w:lineRule="auto"/>
        <w:ind w:right="858"/>
        <w:jc w:val="left"/>
        <w:rPr>
          <w:b w:val="0"/>
          <w:bCs w:val="0"/>
        </w:rPr>
      </w:pPr>
      <w:bookmarkStart w:name="12、投资性房地产" w:id="182"/>
      <w:bookmarkEnd w:id="182"/>
      <w:r>
        <w:rPr>
          <w:b w:val="0"/>
          <w:bCs w:val="0"/>
        </w:rPr>
      </w:r>
      <w:r>
        <w:rPr>
          <w:rFonts w:ascii="Times New Roman" w:hAnsi="Times New Roman" w:cs="Times New Roman" w:eastAsia="Times New Roman" w:hint="default"/>
        </w:rPr>
        <w:t>12</w:t>
      </w:r>
      <w:r>
        <w:rPr/>
        <w:t>、投资性房地产</w:t>
      </w:r>
      <w:r>
        <w:rPr>
          <w:b w:val="0"/>
          <w:bCs w:val="0"/>
        </w:rPr>
      </w:r>
    </w:p>
    <w:p>
      <w:pPr>
        <w:spacing w:line="240" w:lineRule="auto" w:before="10"/>
        <w:rPr>
          <w:rFonts w:ascii="宋体" w:hAnsi="宋体" w:cs="宋体" w:eastAsia="宋体" w:hint="default"/>
          <w:b/>
          <w:bCs/>
          <w:sz w:val="26"/>
          <w:szCs w:val="26"/>
        </w:rPr>
      </w:pPr>
    </w:p>
    <w:p>
      <w:pPr>
        <w:pStyle w:val="BodyText"/>
        <w:spacing w:line="360" w:lineRule="auto"/>
        <w:ind w:right="8911"/>
        <w:jc w:val="left"/>
      </w:pPr>
      <w:r>
        <w:rPr>
          <w:spacing w:val="-2"/>
        </w:rPr>
        <w:t>投资性房地产计量模式</w:t>
      </w:r>
      <w:r>
        <w:rPr>
          <w:spacing w:val="-66"/>
        </w:rPr>
        <w:t> </w:t>
      </w:r>
      <w:r>
        <w:rPr>
          <w:spacing w:val="-66"/>
        </w:rPr>
      </w:r>
      <w:r>
        <w:rPr/>
        <w:t>成本法计量</w:t>
      </w:r>
      <w:r>
        <w:rPr>
          <w:w w:val="101"/>
        </w:rPr>
        <w:t> </w:t>
      </w:r>
      <w:r>
        <w:rPr>
          <w:spacing w:val="-3"/>
        </w:rPr>
        <w:t>折旧或摊销方法</w:t>
      </w:r>
    </w:p>
    <w:p>
      <w:pPr>
        <w:pStyle w:val="BodyText"/>
        <w:spacing w:line="319" w:lineRule="auto" w:before="20"/>
        <w:ind w:left="494" w:right="858"/>
        <w:jc w:val="left"/>
      </w:pPr>
      <w:r>
        <w:rPr>
          <w:spacing w:val="-3"/>
        </w:rPr>
        <w:t>投资性房地产是指为赚取租金或资本增值，或两者兼有而持有的房地产，包括已出租的建筑物及土地所有权。</w:t>
      </w:r>
      <w:r>
        <w:rPr>
          <w:spacing w:val="50"/>
        </w:rPr>
        <w:t> </w:t>
      </w:r>
      <w:r>
        <w:rPr>
          <w:spacing w:val="50"/>
        </w:rPr>
      </w:r>
      <w:r>
        <w:rPr>
          <w:spacing w:val="-1"/>
        </w:rPr>
        <w:t>投资性房地产按成本进行初始计量。与投资性房地产有关的后续支出，如果与该资产有关的经济利益很可能流入且其成本能</w:t>
      </w:r>
    </w:p>
    <w:p>
      <w:pPr>
        <w:pStyle w:val="BodyText"/>
        <w:spacing w:line="316" w:lineRule="auto" w:before="17"/>
        <w:ind w:left="494" w:right="858" w:hanging="360"/>
        <w:jc w:val="left"/>
      </w:pPr>
      <w:r>
        <w:rPr>
          <w:spacing w:val="-3"/>
        </w:rPr>
        <w:t>可靠地计量，则计入投资性房地产成本。其他后续支出，在发生时计入当期损益。</w:t>
      </w:r>
      <w:r>
        <w:rPr>
          <w:spacing w:val="14"/>
        </w:rPr>
        <w:t> </w:t>
      </w:r>
      <w:r>
        <w:rPr>
          <w:spacing w:val="14"/>
        </w:rPr>
      </w:r>
      <w:r>
        <w:rPr>
          <w:spacing w:val="-1"/>
        </w:rPr>
        <w:t>本集团采用成本模式对投资性房地产进行后续计量，并按照与房屋建筑物一致的政策进行折旧。投资性房地产的预计使用寿</w:t>
      </w:r>
    </w:p>
    <w:p>
      <w:pPr>
        <w:pStyle w:val="BodyText"/>
        <w:spacing w:line="240" w:lineRule="auto" w:before="19"/>
        <w:ind w:right="858"/>
        <w:jc w:val="left"/>
      </w:pPr>
      <w:r>
        <w:rPr>
          <w:spacing w:val="-3"/>
        </w:rPr>
        <w:t>命、净残值率及年折旧</w:t>
      </w:r>
      <w:r>
        <w:rPr>
          <w:rFonts w:ascii="Times New Roman" w:hAnsi="Times New Roman" w:cs="Times New Roman" w:eastAsia="Times New Roman" w:hint="default"/>
          <w:spacing w:val="-3"/>
        </w:rPr>
        <w:t>(</w:t>
      </w:r>
      <w:r>
        <w:rPr>
          <w:spacing w:val="-3"/>
        </w:rPr>
        <w:t>摊销</w:t>
      </w:r>
      <w:r>
        <w:rPr>
          <w:rFonts w:ascii="Times New Roman" w:hAnsi="Times New Roman" w:cs="Times New Roman" w:eastAsia="Times New Roman" w:hint="default"/>
          <w:spacing w:val="-3"/>
        </w:rPr>
        <w:t>)</w:t>
      </w:r>
      <w:r>
        <w:rPr>
          <w:spacing w:val="-3"/>
        </w:rPr>
        <w:t>率列示如下：</w:t>
      </w:r>
    </w:p>
    <w:p>
      <w:pPr>
        <w:spacing w:line="240" w:lineRule="auto" w:before="12"/>
        <w:rPr>
          <w:rFonts w:ascii="宋体" w:hAnsi="宋体" w:cs="宋体" w:eastAsia="宋体" w:hint="default"/>
          <w:sz w:val="4"/>
          <w:szCs w:val="4"/>
        </w:rPr>
      </w:pPr>
    </w:p>
    <w:tbl>
      <w:tblPr>
        <w:tblW w:w="0" w:type="auto"/>
        <w:jc w:val="left"/>
        <w:tblInd w:w="765" w:type="dxa"/>
        <w:tblLayout w:type="fixed"/>
        <w:tblCellMar>
          <w:top w:w="0" w:type="dxa"/>
          <w:left w:w="0" w:type="dxa"/>
          <w:bottom w:w="0" w:type="dxa"/>
          <w:right w:w="0" w:type="dxa"/>
        </w:tblCellMar>
        <w:tblLook w:val="01E0"/>
      </w:tblPr>
      <w:tblGrid>
        <w:gridCol w:w="2550"/>
        <w:gridCol w:w="2303"/>
        <w:gridCol w:w="2300"/>
        <w:gridCol w:w="2305"/>
      </w:tblGrid>
      <w:tr>
        <w:trPr>
          <w:trHeight w:val="334" w:hRule="exact"/>
        </w:trPr>
        <w:tc>
          <w:tcPr>
            <w:tcW w:w="2550"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40" w:lineRule="auto" w:before="8"/>
              <w:ind w:left="36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303"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40" w:lineRule="auto" w:before="8"/>
              <w:ind w:left="356" w:right="0"/>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预计使用寿命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w:t>
            </w:r>
          </w:p>
        </w:tc>
        <w:tc>
          <w:tcPr>
            <w:tcW w:w="2300"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40" w:lineRule="auto" w:before="8"/>
              <w:ind w:left="355" w:right="0"/>
              <w:jc w:val="center"/>
              <w:rPr>
                <w:rFonts w:ascii="宋体" w:hAnsi="宋体" w:cs="宋体" w:eastAsia="宋体" w:hint="default"/>
                <w:sz w:val="18"/>
                <w:szCs w:val="18"/>
              </w:rPr>
            </w:pPr>
            <w:r>
              <w:rPr>
                <w:rFonts w:ascii="宋体" w:hAnsi="宋体" w:cs="宋体" w:eastAsia="宋体" w:hint="default"/>
                <w:sz w:val="18"/>
                <w:szCs w:val="18"/>
              </w:rPr>
              <w:t>预计净残值率</w:t>
            </w:r>
          </w:p>
        </w:tc>
        <w:tc>
          <w:tcPr>
            <w:tcW w:w="2305"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40" w:lineRule="auto" w:before="8"/>
              <w:ind w:left="364"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351" w:hRule="exact"/>
        </w:trPr>
        <w:tc>
          <w:tcPr>
            <w:tcW w:w="2550"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40" w:lineRule="auto" w:before="20"/>
              <w:ind w:left="3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土地所有权</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230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left="357" w:right="0"/>
              <w:jc w:val="center"/>
              <w:rPr>
                <w:rFonts w:ascii="宋体" w:hAnsi="宋体" w:cs="宋体" w:eastAsia="宋体" w:hint="default"/>
                <w:sz w:val="18"/>
                <w:szCs w:val="18"/>
              </w:rPr>
            </w:pPr>
            <w:r>
              <w:rPr>
                <w:rFonts w:ascii="宋体" w:hAnsi="宋体" w:cs="宋体" w:eastAsia="宋体" w:hint="default"/>
                <w:sz w:val="18"/>
                <w:szCs w:val="18"/>
              </w:rPr>
              <w:t>永久</w:t>
            </w:r>
          </w:p>
        </w:tc>
        <w:tc>
          <w:tcPr>
            <w:tcW w:w="230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8"/>
              <w:ind w:left="358"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30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8"/>
              <w:ind w:left="362"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46" w:hRule="exact"/>
        </w:trPr>
        <w:tc>
          <w:tcPr>
            <w:tcW w:w="2550"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7" w:right="0"/>
              <w:jc w:val="center"/>
              <w:rPr>
                <w:rFonts w:ascii="Times New Roman" w:hAnsi="Times New Roman" w:cs="Times New Roman" w:eastAsia="Times New Roman" w:hint="default"/>
                <w:sz w:val="18"/>
                <w:szCs w:val="18"/>
              </w:rPr>
            </w:pPr>
            <w:r>
              <w:rPr>
                <w:rFonts w:ascii="Times New Roman"/>
                <w:sz w:val="18"/>
              </w:rPr>
              <w:t>39</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8"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7" w:right="0"/>
              <w:jc w:val="center"/>
              <w:rPr>
                <w:rFonts w:ascii="Times New Roman" w:hAnsi="Times New Roman" w:cs="Times New Roman" w:eastAsia="Times New Roman" w:hint="default"/>
                <w:sz w:val="18"/>
                <w:szCs w:val="18"/>
              </w:rPr>
            </w:pPr>
            <w:r>
              <w:rPr>
                <w:rFonts w:ascii="Times New Roman"/>
                <w:sz w:val="18"/>
              </w:rPr>
              <w:t>2.56%</w:t>
            </w:r>
          </w:p>
        </w:tc>
      </w:tr>
    </w:tbl>
    <w:p>
      <w:pPr>
        <w:pStyle w:val="BodyText"/>
        <w:spacing w:line="300" w:lineRule="auto" w:before="10"/>
        <w:ind w:right="858" w:firstLine="360"/>
        <w:jc w:val="left"/>
      </w:pPr>
      <w:r>
        <w:rPr/>
        <w:t>注：本集团投资性房地产中的土地所有权系收购的美国全资子公司</w:t>
      </w:r>
      <w:r>
        <w:rPr>
          <w:rFonts w:ascii="Times New Roman" w:hAnsi="Times New Roman" w:cs="Times New Roman" w:eastAsia="Times New Roman" w:hint="default"/>
        </w:rPr>
        <w:t>Freedom</w:t>
      </w:r>
      <w:r>
        <w:rPr/>
        <w:t>持有的依据美国相关法律规定拥有的土地永久产</w:t>
      </w:r>
      <w:r>
        <w:rPr>
          <w:w w:val="101"/>
        </w:rPr>
        <w:t> </w:t>
      </w:r>
      <w:r>
        <w:rPr>
          <w:spacing w:val="-3"/>
        </w:rPr>
        <w:t>权，无需进行摊销。</w:t>
      </w:r>
    </w:p>
    <w:p>
      <w:pPr>
        <w:spacing w:after="0" w:line="300" w:lineRule="auto"/>
        <w:jc w:val="left"/>
        <w:sectPr>
          <w:pgSz w:w="11910" w:h="16840"/>
          <w:pgMar w:header="906" w:footer="1022" w:top="1100" w:bottom="1220" w:left="740" w:right="0"/>
        </w:sectPr>
      </w:pPr>
    </w:p>
    <w:p>
      <w:pPr>
        <w:pStyle w:val="BodyText"/>
        <w:spacing w:line="316" w:lineRule="auto" w:before="80"/>
        <w:ind w:left="494" w:right="858"/>
        <w:jc w:val="left"/>
      </w:pPr>
      <w:r>
        <w:rPr>
          <w:spacing w:val="-3"/>
        </w:rPr>
        <w:t>当投资性房地产被处置，或者永久退出使用且预计不能从其处置中取得经济利益时，终止确认该项投资性房地产。</w:t>
      </w:r>
      <w:r>
        <w:rPr>
          <w:spacing w:val="54"/>
        </w:rPr>
        <w:t> </w:t>
      </w:r>
      <w:r>
        <w:rPr>
          <w:spacing w:val="54"/>
        </w:rPr>
      </w:r>
      <w:r>
        <w:rPr>
          <w:spacing w:val="-3"/>
        </w:rPr>
        <w:t>投资性房地产出售、转让、报废或毁损的处置收入扣除其账面价值和相关税费后的差额计入当期损益。</w:t>
      </w:r>
    </w:p>
    <w:p>
      <w:pPr>
        <w:spacing w:line="240" w:lineRule="auto" w:before="8"/>
        <w:rPr>
          <w:rFonts w:ascii="宋体" w:hAnsi="宋体" w:cs="宋体" w:eastAsia="宋体" w:hint="default"/>
          <w:sz w:val="22"/>
          <w:szCs w:val="22"/>
        </w:rPr>
      </w:pPr>
    </w:p>
    <w:p>
      <w:pPr>
        <w:pStyle w:val="Heading4"/>
        <w:spacing w:line="240" w:lineRule="auto"/>
        <w:ind w:right="858"/>
        <w:jc w:val="left"/>
        <w:rPr>
          <w:b w:val="0"/>
          <w:bCs w:val="0"/>
        </w:rPr>
      </w:pPr>
      <w:bookmarkStart w:name="13、固定资产" w:id="183"/>
      <w:bookmarkEnd w:id="183"/>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858"/>
        <w:jc w:val="left"/>
        <w:rPr>
          <w:b w:val="0"/>
          <w:bCs w:val="0"/>
        </w:rPr>
      </w:pPr>
      <w:bookmarkStart w:name="（1）确认条件" w:id="184"/>
      <w:bookmarkEnd w:id="18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9"/>
        <w:rPr>
          <w:rFonts w:ascii="宋体" w:hAnsi="宋体" w:cs="宋体" w:eastAsia="宋体" w:hint="default"/>
          <w:b/>
          <w:bCs/>
          <w:sz w:val="26"/>
          <w:szCs w:val="26"/>
        </w:rPr>
      </w:pPr>
    </w:p>
    <w:p>
      <w:pPr>
        <w:pStyle w:val="BodyText"/>
        <w:spacing w:line="321" w:lineRule="auto"/>
        <w:ind w:right="858" w:firstLine="542"/>
        <w:jc w:val="left"/>
      </w:pPr>
      <w:r>
        <w:rPr>
          <w:spacing w:val="-3"/>
        </w:rPr>
        <w:t>固定资产是指为生产商品、提供劳务、出租或经营管理而持有的，使用寿命超过一个会计年度的有形资产。固定资产仅在</w:t>
      </w:r>
      <w:r>
        <w:rPr>
          <w:w w:val="101"/>
        </w:rPr>
        <w:t> </w:t>
      </w:r>
      <w:r>
        <w:rPr>
          <w:spacing w:val="-3"/>
        </w:rPr>
        <w:t>与其有关的经济利益很可能流入本集团，且其成本能够可靠地计量时才予以确认。固定资产按成本进行初始计量。</w:t>
      </w:r>
    </w:p>
    <w:p>
      <w:pPr>
        <w:pStyle w:val="BodyText"/>
        <w:spacing w:line="321" w:lineRule="auto" w:before="49"/>
        <w:ind w:right="858" w:firstLine="542"/>
        <w:jc w:val="left"/>
      </w:pPr>
      <w:r>
        <w:rPr>
          <w:spacing w:val="-3"/>
        </w:rPr>
        <w:t>与固定资产有关的后续支出，如果与该固定资产有关的经济利益很可能流入且其成本能可靠地计量，则计入固定资产成本，</w:t>
      </w:r>
      <w:r>
        <w:rPr>
          <w:w w:val="101"/>
        </w:rPr>
        <w:t> </w:t>
      </w:r>
      <w:r>
        <w:rPr>
          <w:spacing w:val="-3"/>
        </w:rPr>
        <w:t>并终止确认被替换部分的账面价值。除此以外的其他后续支出，在发生时计入当期损益。</w:t>
      </w:r>
    </w:p>
    <w:p>
      <w:pPr>
        <w:spacing w:line="240" w:lineRule="auto" w:before="8"/>
        <w:rPr>
          <w:rFonts w:ascii="宋体" w:hAnsi="宋体" w:cs="宋体" w:eastAsia="宋体" w:hint="default"/>
          <w:sz w:val="21"/>
          <w:szCs w:val="21"/>
        </w:rPr>
      </w:pPr>
    </w:p>
    <w:p>
      <w:pPr>
        <w:pStyle w:val="Heading4"/>
        <w:spacing w:line="240" w:lineRule="auto"/>
        <w:ind w:right="858"/>
        <w:jc w:val="left"/>
        <w:rPr>
          <w:b w:val="0"/>
          <w:bCs w:val="0"/>
        </w:rPr>
      </w:pPr>
      <w:bookmarkStart w:name="（2）折旧方法" w:id="185"/>
      <w:bookmarkEnd w:id="18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180"/>
              <w:jc w:val="left"/>
              <w:rPr>
                <w:rFonts w:ascii="宋体" w:hAnsi="宋体" w:cs="宋体" w:eastAsia="宋体" w:hint="default"/>
                <w:sz w:val="18"/>
                <w:szCs w:val="18"/>
              </w:rPr>
            </w:pPr>
            <w:r>
              <w:rPr>
                <w:rFonts w:ascii="宋体" w:hAnsi="宋体" w:cs="宋体" w:eastAsia="宋体" w:hint="default"/>
                <w:spacing w:val="-3"/>
                <w:sz w:val="18"/>
                <w:szCs w:val="18"/>
              </w:rPr>
              <w:t>房屋及建筑物、构筑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1.90%-19.00%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3-11.5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0%-5%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8.70%-33.33%</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19.00%</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0%-5%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19.00%-33.33%</w:t>
            </w:r>
          </w:p>
        </w:tc>
      </w:tr>
    </w:tbl>
    <w:p>
      <w:pPr>
        <w:pStyle w:val="BodyText"/>
        <w:spacing w:line="316" w:lineRule="auto" w:before="10"/>
        <w:ind w:right="864" w:firstLine="480"/>
        <w:jc w:val="both"/>
      </w:pPr>
      <w:r>
        <w:rPr>
          <w:spacing w:val="-4"/>
        </w:rPr>
        <w:t>预计净残值是指假定固定资产预计使用寿命已满并处于使用寿命终了时的预期状态，本集团目前从该项资产处置中获得的扣</w:t>
      </w:r>
      <w:r>
        <w:rPr>
          <w:w w:val="101"/>
        </w:rPr>
        <w:t> </w:t>
      </w:r>
      <w:r>
        <w:rPr>
          <w:spacing w:val="-3"/>
        </w:rPr>
        <w:t>除预计处置费用后的金额。</w:t>
      </w:r>
    </w:p>
    <w:p>
      <w:pPr>
        <w:pStyle w:val="BodyText"/>
        <w:spacing w:line="316" w:lineRule="auto" w:before="19"/>
        <w:ind w:right="858" w:firstLine="273"/>
        <w:jc w:val="left"/>
      </w:pPr>
      <w:r>
        <w:rPr>
          <w:spacing w:val="-3"/>
        </w:rPr>
        <w:t>当固定资产处置时或预期通过使用或处置不能产生经济利益时，终止确认该固定资产。固定资产出售、转让、报废或毁损的处</w:t>
      </w:r>
      <w:r>
        <w:rPr>
          <w:w w:val="101"/>
        </w:rPr>
        <w:t> </w:t>
      </w:r>
      <w:r>
        <w:rPr>
          <w:spacing w:val="-3"/>
        </w:rPr>
        <w:t>置收入扣除其账面价值和相关税费后的差额计入当期损益。</w:t>
      </w:r>
    </w:p>
    <w:p>
      <w:pPr>
        <w:pStyle w:val="BodyText"/>
        <w:spacing w:line="240" w:lineRule="auto" w:before="19"/>
        <w:ind w:left="407" w:right="858"/>
        <w:jc w:val="left"/>
      </w:pPr>
      <w:r>
        <w:rPr>
          <w:spacing w:val="-3"/>
        </w:rPr>
        <w:t>本集团至少于年度终了对固定资产的使用寿命、预计净残值和折旧方法进行复核，如发生改变则作为会计估计变更处理。</w:t>
      </w:r>
    </w:p>
    <w:p>
      <w:pPr>
        <w:spacing w:line="240" w:lineRule="auto" w:before="0"/>
        <w:rPr>
          <w:rFonts w:ascii="宋体" w:hAnsi="宋体" w:cs="宋体" w:eastAsia="宋体" w:hint="default"/>
          <w:sz w:val="18"/>
          <w:szCs w:val="18"/>
        </w:rPr>
      </w:pPr>
    </w:p>
    <w:p>
      <w:pPr>
        <w:pStyle w:val="Heading4"/>
        <w:spacing w:line="240" w:lineRule="auto" w:before="118"/>
        <w:ind w:right="858"/>
        <w:jc w:val="left"/>
        <w:rPr>
          <w:b w:val="0"/>
          <w:bCs w:val="0"/>
        </w:rPr>
      </w:pPr>
      <w:bookmarkStart w:name="（3）融资租入固定资产的认定依据、计价和折旧方法" w:id="186"/>
      <w:bookmarkEnd w:id="18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8"/>
        <w:jc w:val="left"/>
      </w:pPr>
      <w:r>
        <w:rPr>
          <w:w w:val="101"/>
        </w:rPr>
        <w:t>无</w:t>
      </w:r>
      <w:r>
        <w:rPr/>
      </w:r>
    </w:p>
    <w:p>
      <w:pPr>
        <w:spacing w:line="240" w:lineRule="auto" w:before="9"/>
        <w:rPr>
          <w:rFonts w:ascii="宋体" w:hAnsi="宋体" w:cs="宋体" w:eastAsia="宋体" w:hint="default"/>
          <w:sz w:val="26"/>
          <w:szCs w:val="26"/>
        </w:rPr>
      </w:pPr>
    </w:p>
    <w:p>
      <w:pPr>
        <w:pStyle w:val="Heading4"/>
        <w:spacing w:line="240" w:lineRule="auto"/>
        <w:ind w:right="858"/>
        <w:jc w:val="left"/>
        <w:rPr>
          <w:b w:val="0"/>
          <w:bCs w:val="0"/>
        </w:rPr>
      </w:pPr>
      <w:bookmarkStart w:name="14、在建工程" w:id="187"/>
      <w:bookmarkEnd w:id="187"/>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864" w:firstLine="451"/>
        <w:jc w:val="both"/>
      </w:pPr>
      <w:r>
        <w:rPr>
          <w:spacing w:val="-3"/>
        </w:rPr>
        <w:t>在建工程按实际成本计量，实际成本包括在建期间发生的各项支出、以及其他相关费用等。在建工程不计提折旧。在建工程</w:t>
      </w:r>
      <w:r>
        <w:rPr>
          <w:w w:val="101"/>
        </w:rPr>
        <w:t> </w:t>
      </w:r>
      <w:r>
        <w:rPr>
          <w:spacing w:val="-3"/>
        </w:rPr>
        <w:t>达到预定可使用状态后结转为固定资产。</w:t>
      </w:r>
    </w:p>
    <w:p>
      <w:pPr>
        <w:spacing w:line="240" w:lineRule="auto" w:before="8"/>
        <w:rPr>
          <w:rFonts w:ascii="宋体" w:hAnsi="宋体" w:cs="宋体" w:eastAsia="宋体" w:hint="default"/>
          <w:sz w:val="22"/>
          <w:szCs w:val="22"/>
        </w:rPr>
      </w:pPr>
    </w:p>
    <w:p>
      <w:pPr>
        <w:pStyle w:val="Heading4"/>
        <w:spacing w:line="240" w:lineRule="auto"/>
        <w:ind w:right="858"/>
        <w:jc w:val="left"/>
        <w:rPr>
          <w:b w:val="0"/>
          <w:bCs w:val="0"/>
        </w:rPr>
      </w:pPr>
      <w:bookmarkStart w:name="15、借款费用" w:id="188"/>
      <w:bookmarkEnd w:id="188"/>
      <w:r>
        <w:rPr>
          <w:b w:val="0"/>
          <w:bCs w:val="0"/>
        </w:rPr>
      </w:r>
      <w:r>
        <w:rPr>
          <w:rFonts w:ascii="Times New Roman" w:hAnsi="Times New Roman" w:cs="Times New Roman" w:eastAsia="Times New Roman" w:hint="default"/>
        </w:rPr>
        <w:t>15</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860" w:firstLine="480"/>
        <w:jc w:val="both"/>
      </w:pPr>
      <w:r>
        <w:rPr>
          <w:spacing w:val="-4"/>
        </w:rPr>
        <w:t>可直接归属于符合资本化条件的资产的购建或者生产的借款费用，在资产支出已经发生、借款费用已经发生、为使资产达到</w:t>
      </w:r>
      <w:r>
        <w:rPr>
          <w:w w:val="101"/>
        </w:rPr>
        <w:t> </w:t>
      </w:r>
      <w:r>
        <w:rPr>
          <w:spacing w:val="-1"/>
        </w:rPr>
        <w:t>预定可使用或可销售状态所必要的购建或生产活动已经开始时，开始资本化；构建或者生产的符合资本化条件的资产达到预定可</w:t>
      </w:r>
      <w:r>
        <w:rPr>
          <w:spacing w:val="50"/>
        </w:rPr>
        <w:t> </w:t>
      </w:r>
      <w:r>
        <w:rPr>
          <w:spacing w:val="50"/>
        </w:rPr>
      </w:r>
      <w:r>
        <w:rPr>
          <w:spacing w:val="-3"/>
        </w:rPr>
        <w:t>使用状态或者可销售状态时，停止资本化。其余借款费用在发生当期确认为费用。</w:t>
      </w:r>
    </w:p>
    <w:p>
      <w:pPr>
        <w:spacing w:after="0" w:line="316" w:lineRule="auto"/>
        <w:jc w:val="both"/>
        <w:sectPr>
          <w:footerReference w:type="default" r:id="rId36"/>
          <w:pgSz w:w="11910" w:h="16840"/>
          <w:pgMar w:footer="1022" w:header="906" w:top="1100" w:bottom="1220" w:left="740" w:right="0"/>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right="858"/>
        <w:jc w:val="left"/>
        <w:rPr>
          <w:b w:val="0"/>
          <w:bCs w:val="0"/>
        </w:rPr>
      </w:pPr>
      <w:bookmarkStart w:name="16、无形资产" w:id="189"/>
      <w:bookmarkEnd w:id="189"/>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858"/>
        <w:jc w:val="left"/>
        <w:rPr>
          <w:b w:val="0"/>
          <w:bCs w:val="0"/>
        </w:rPr>
      </w:pPr>
      <w:bookmarkStart w:name="（1）计价方法、使用寿命、减值测试" w:id="190"/>
      <w:bookmarkEnd w:id="19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0"/>
        <w:rPr>
          <w:rFonts w:ascii="宋体" w:hAnsi="宋体" w:cs="宋体" w:eastAsia="宋体" w:hint="default"/>
          <w:b/>
          <w:bCs/>
          <w:sz w:val="26"/>
          <w:szCs w:val="26"/>
        </w:rPr>
      </w:pPr>
    </w:p>
    <w:p>
      <w:pPr>
        <w:pStyle w:val="BodyText"/>
        <w:spacing w:line="316" w:lineRule="auto"/>
        <w:ind w:left="494" w:right="858"/>
        <w:jc w:val="left"/>
      </w:pPr>
      <w:r>
        <w:rPr>
          <w:spacing w:val="-3"/>
        </w:rPr>
        <w:t>无形资产包括土地使用权、软件使用权、客户关系等。</w:t>
      </w:r>
      <w:r>
        <w:rPr>
          <w:spacing w:val="-16"/>
        </w:rPr>
        <w:t> </w:t>
      </w:r>
      <w:r>
        <w:rPr>
          <w:spacing w:val="-16"/>
        </w:rPr>
      </w:r>
      <w:r>
        <w:rPr>
          <w:spacing w:val="-1"/>
        </w:rPr>
        <w:t>无形资产按成本进行初始计量。使用寿命有限的无形资产自可供使用之日起，对其原值减去预计净残值和已计提的减值准备</w:t>
      </w:r>
    </w:p>
    <w:p>
      <w:pPr>
        <w:pStyle w:val="BodyText"/>
        <w:spacing w:line="240" w:lineRule="auto" w:before="19"/>
        <w:ind w:right="858"/>
        <w:jc w:val="left"/>
      </w:pPr>
      <w:r>
        <w:rPr>
          <w:spacing w:val="-3"/>
        </w:rPr>
        <w:t>累计金额在其预计使用寿命内采用直线法分期平均摊销。各类无形资产的使用寿命和预计净残值如下：</w:t>
      </w:r>
    </w:p>
    <w:p>
      <w:pPr>
        <w:spacing w:line="240" w:lineRule="auto" w:before="5"/>
        <w:rPr>
          <w:rFonts w:ascii="宋体" w:hAnsi="宋体" w:cs="宋体" w:eastAsia="宋体" w:hint="default"/>
          <w:sz w:val="5"/>
          <w:szCs w:val="5"/>
        </w:rPr>
      </w:pPr>
    </w:p>
    <w:tbl>
      <w:tblPr>
        <w:tblW w:w="0" w:type="auto"/>
        <w:jc w:val="left"/>
        <w:tblInd w:w="729" w:type="dxa"/>
        <w:tblLayout w:type="fixed"/>
        <w:tblCellMar>
          <w:top w:w="0" w:type="dxa"/>
          <w:left w:w="0" w:type="dxa"/>
          <w:bottom w:w="0" w:type="dxa"/>
          <w:right w:w="0" w:type="dxa"/>
        </w:tblCellMar>
        <w:tblLook w:val="01E0"/>
      </w:tblPr>
      <w:tblGrid>
        <w:gridCol w:w="5133"/>
        <w:gridCol w:w="2161"/>
        <w:gridCol w:w="2161"/>
      </w:tblGrid>
      <w:tr>
        <w:trPr>
          <w:trHeight w:val="343" w:hRule="exact"/>
        </w:trPr>
        <w:tc>
          <w:tcPr>
            <w:tcW w:w="5133"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40" w:lineRule="auto" w:before="15"/>
              <w:ind w:left="36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61"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40" w:lineRule="auto" w:before="15"/>
              <w:ind w:left="36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使用寿命</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161"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40" w:lineRule="auto" w:before="15"/>
              <w:ind w:left="36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p>
        </w:tc>
      </w:tr>
      <w:tr>
        <w:trPr>
          <w:trHeight w:val="348" w:hRule="exact"/>
        </w:trPr>
        <w:tc>
          <w:tcPr>
            <w:tcW w:w="5133"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40" w:lineRule="auto" w:before="22"/>
              <w:ind w:left="36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47</w:t>
            </w:r>
            <w:r>
              <w:rPr>
                <w:rFonts w:ascii="宋体" w:hAnsi="宋体" w:cs="宋体" w:eastAsia="宋体" w:hint="default"/>
                <w:sz w:val="18"/>
                <w:szCs w:val="18"/>
              </w:rPr>
              <w:t>年</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362"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46" w:hRule="exact"/>
        </w:trPr>
        <w:tc>
          <w:tcPr>
            <w:tcW w:w="5133"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软件及其他</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43" w:hRule="exact"/>
        </w:trPr>
        <w:tc>
          <w:tcPr>
            <w:tcW w:w="5133"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pStyle w:val="BodyText"/>
        <w:spacing w:line="316" w:lineRule="auto" w:before="17"/>
        <w:ind w:left="494" w:right="858"/>
        <w:jc w:val="left"/>
      </w:pPr>
      <w:r>
        <w:rPr>
          <w:spacing w:val="-3"/>
        </w:rPr>
        <w:t>期末，对使用寿命有限的无形资产的使用寿命和摊销方法进行复核，必要时进行调整。</w:t>
      </w:r>
      <w:r>
        <w:rPr>
          <w:spacing w:val="20"/>
        </w:rPr>
        <w:t> </w:t>
      </w:r>
      <w:r>
        <w:rPr>
          <w:spacing w:val="20"/>
        </w:rPr>
      </w:r>
      <w:r>
        <w:rPr>
          <w:spacing w:val="-3"/>
        </w:rPr>
        <w:t>有关无形资产的减值测试，具体参见附注五</w:t>
      </w:r>
      <w:r>
        <w:rPr>
          <w:rFonts w:ascii="Times New Roman" w:hAnsi="Times New Roman" w:cs="Times New Roman" w:eastAsia="Times New Roman" w:hint="default"/>
          <w:spacing w:val="-3"/>
        </w:rPr>
        <w:t>“17</w:t>
      </w:r>
      <w:r>
        <w:rPr>
          <w:spacing w:val="-3"/>
        </w:rPr>
        <w:t>、长期资产减值</w:t>
      </w:r>
      <w:r>
        <w:rPr>
          <w:rFonts w:ascii="Times New Roman" w:hAnsi="Times New Roman" w:cs="Times New Roman" w:eastAsia="Times New Roman" w:hint="default"/>
          <w:spacing w:val="-3"/>
        </w:rPr>
        <w:t>”</w:t>
      </w:r>
      <w:r>
        <w:rPr>
          <w:spacing w:val="-3"/>
        </w:rPr>
        <w:t>。</w:t>
      </w:r>
    </w:p>
    <w:p>
      <w:pPr>
        <w:spacing w:line="240" w:lineRule="auto" w:before="2"/>
        <w:rPr>
          <w:rFonts w:ascii="宋体" w:hAnsi="宋体" w:cs="宋体" w:eastAsia="宋体" w:hint="default"/>
          <w:sz w:val="21"/>
          <w:szCs w:val="21"/>
        </w:rPr>
      </w:pPr>
    </w:p>
    <w:p>
      <w:pPr>
        <w:pStyle w:val="Heading4"/>
        <w:spacing w:line="240" w:lineRule="auto"/>
        <w:ind w:right="858"/>
        <w:jc w:val="left"/>
        <w:rPr>
          <w:b w:val="0"/>
          <w:bCs w:val="0"/>
        </w:rPr>
      </w:pPr>
      <w:bookmarkStart w:name="（2）内部研究开发支出会计政策" w:id="191"/>
      <w:bookmarkEnd w:id="19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494" w:right="858"/>
        <w:jc w:val="left"/>
      </w:pPr>
      <w:r>
        <w:rPr>
          <w:spacing w:val="-3"/>
        </w:rPr>
        <w:t>研究阶段的支出，于发生时计入当期损益。</w:t>
      </w:r>
      <w:r>
        <w:rPr>
          <w:spacing w:val="-33"/>
        </w:rPr>
        <w:t> </w:t>
      </w:r>
      <w:r>
        <w:rPr>
          <w:spacing w:val="-33"/>
        </w:rPr>
      </w:r>
      <w:r>
        <w:rPr>
          <w:spacing w:val="-3"/>
        </w:rPr>
        <w:t>开发阶段的支出同时满足下列条件的，确认为无形资产，不能满足下述条件的开发阶段的支出计入当期损益：</w:t>
      </w:r>
      <w:r>
        <w:rPr>
          <w:spacing w:val="49"/>
        </w:rPr>
        <w:t> </w:t>
      </w:r>
      <w:r>
        <w:rPr>
          <w:spacing w:val="49"/>
        </w:rPr>
      </w:r>
      <w:r>
        <w:rPr>
          <w:spacing w:val="-3"/>
        </w:rPr>
        <w:t>完成该无形资产以使其能够使用或出售在技术上具有可行性；</w:t>
      </w:r>
    </w:p>
    <w:p>
      <w:pPr>
        <w:pStyle w:val="BodyText"/>
        <w:spacing w:line="319" w:lineRule="auto" w:before="19"/>
        <w:ind w:left="494" w:right="858"/>
        <w:jc w:val="left"/>
      </w:pPr>
      <w:r>
        <w:rPr>
          <w:spacing w:val="-3"/>
        </w:rPr>
        <w:t>具有完成该无形资产并使用或出售的意图；</w:t>
      </w:r>
      <w:r>
        <w:rPr>
          <w:spacing w:val="-33"/>
        </w:rPr>
        <w:t> </w:t>
      </w:r>
      <w:r>
        <w:rPr>
          <w:spacing w:val="-33"/>
        </w:rPr>
      </w:r>
      <w:r>
        <w:rPr>
          <w:spacing w:val="-1"/>
        </w:rPr>
        <w:t>无形资产产生经济利益的方式，包括能够证明运用该无形资产生产的产品存在市场或无形资产自身存在市场，无形资产将在</w:t>
      </w:r>
    </w:p>
    <w:p>
      <w:pPr>
        <w:pStyle w:val="BodyText"/>
        <w:spacing w:line="316" w:lineRule="auto" w:before="17"/>
        <w:ind w:left="494" w:right="858" w:hanging="360"/>
        <w:jc w:val="left"/>
      </w:pPr>
      <w:r>
        <w:rPr>
          <w:spacing w:val="-3"/>
        </w:rPr>
        <w:t>内部使用的，能够证明其有用性；</w:t>
      </w:r>
      <w:r>
        <w:rPr>
          <w:spacing w:val="-44"/>
        </w:rPr>
        <w:t> </w:t>
      </w:r>
      <w:r>
        <w:rPr>
          <w:spacing w:val="-44"/>
        </w:rPr>
      </w:r>
      <w:r>
        <w:rPr>
          <w:spacing w:val="-3"/>
        </w:rPr>
        <w:t>有足够的技术、财务资源和其他资源支持，以完成该无形资产的开发，并有能力使用或出售该无形资产；</w:t>
      </w:r>
      <w:r>
        <w:rPr>
          <w:w w:val="101"/>
        </w:rPr>
        <w:t> </w:t>
      </w:r>
      <w:r>
        <w:rPr>
          <w:spacing w:val="-3"/>
        </w:rPr>
        <w:t>归属于该无形资产开发阶段的支出能够可靠地计量。</w:t>
      </w:r>
      <w:r>
        <w:rPr>
          <w:w w:val="101"/>
        </w:rPr>
        <w:t> </w:t>
      </w:r>
      <w:r>
        <w:rPr>
          <w:spacing w:val="-1"/>
        </w:rPr>
        <w:t>无法区分研究阶段支出和开发阶段支出的，将发生的研发支出全部计入当期损益。内部开发活动形成的无形资产的成本仅包</w:t>
      </w:r>
    </w:p>
    <w:p>
      <w:pPr>
        <w:pStyle w:val="BodyText"/>
        <w:spacing w:line="316" w:lineRule="auto" w:before="19"/>
        <w:ind w:right="858"/>
        <w:jc w:val="both"/>
      </w:pPr>
      <w:r>
        <w:rPr>
          <w:spacing w:val="-1"/>
        </w:rPr>
        <w:t>括满足资本化条件的时点至无形资产达到预定用途前发生的支出总额，对于同一项无形资产在开发过程中达到资本化条件之前已</w:t>
      </w:r>
      <w:r>
        <w:rPr>
          <w:spacing w:val="52"/>
        </w:rPr>
        <w:t> </w:t>
      </w:r>
      <w:r>
        <w:rPr>
          <w:spacing w:val="52"/>
        </w:rPr>
      </w:r>
      <w:r>
        <w:rPr>
          <w:spacing w:val="-3"/>
        </w:rPr>
        <w:t>经费用化计入损益的支出不再进行调整。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858"/>
        <w:jc w:val="left"/>
        <w:rPr>
          <w:b w:val="0"/>
          <w:bCs w:val="0"/>
        </w:rPr>
      </w:pPr>
      <w:bookmarkStart w:name="17、长期资产减值" w:id="192"/>
      <w:bookmarkEnd w:id="192"/>
      <w:r>
        <w:rPr>
          <w:b w:val="0"/>
          <w:bCs w:val="0"/>
        </w:rPr>
      </w:r>
      <w:r>
        <w:rPr>
          <w:rFonts w:ascii="Times New Roman" w:hAnsi="Times New Roman" w:cs="Times New Roman" w:eastAsia="Times New Roman" w:hint="default"/>
        </w:rPr>
        <w:t>17</w:t>
      </w:r>
      <w:r>
        <w:rPr/>
        <w:t>、长期资产减值</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861" w:firstLine="360"/>
        <w:jc w:val="both"/>
      </w:pPr>
      <w:r>
        <w:rPr>
          <w:spacing w:val="-1"/>
        </w:rPr>
        <w:t>本集团在每一个资产负债表日检查长期股权投资、采用成本法计量的投资性房地产、固定资产、在建工程、使用寿命确定的</w:t>
      </w:r>
      <w:r>
        <w:rPr>
          <w:w w:val="101"/>
        </w:rPr>
        <w:t> </w:t>
      </w:r>
      <w:r>
        <w:rPr>
          <w:spacing w:val="-3"/>
        </w:rPr>
        <w:t>无形资产、开发支出是否存在可能发生减值的迹象。如果该等资产存在减值迹象，则估计其可收回金额。</w:t>
      </w:r>
    </w:p>
    <w:p>
      <w:pPr>
        <w:pStyle w:val="BodyText"/>
        <w:spacing w:line="316" w:lineRule="auto" w:before="19"/>
        <w:ind w:right="858" w:firstLine="360"/>
        <w:jc w:val="both"/>
      </w:pPr>
      <w:r>
        <w:rPr>
          <w:spacing w:val="-1"/>
        </w:rPr>
        <w:t>估计资产的可收回金额以单项资产为基础，如果难以对单项资产的可收回金额进行估计的，则以该资产所属的资产组为基础</w:t>
      </w:r>
      <w:r>
        <w:rPr>
          <w:w w:val="101"/>
        </w:rPr>
        <w:t> </w:t>
      </w:r>
      <w:r>
        <w:rPr>
          <w:spacing w:val="-1"/>
        </w:rPr>
        <w:t>确定资产组的可收回金额。可收回金额为资产或者资产组的公允价值减去处置费用后的净额与其预计未来现金流量的现值两者之</w:t>
      </w:r>
      <w:r>
        <w:rPr>
          <w:spacing w:val="53"/>
        </w:rPr>
        <w:t> </w:t>
      </w:r>
      <w:r>
        <w:rPr>
          <w:spacing w:val="53"/>
        </w:rPr>
      </w:r>
      <w:r>
        <w:rPr/>
        <w:t>中的较高者。</w:t>
      </w:r>
    </w:p>
    <w:p>
      <w:pPr>
        <w:pStyle w:val="BodyText"/>
        <w:spacing w:line="316" w:lineRule="auto" w:before="19"/>
        <w:ind w:left="494" w:right="858"/>
        <w:jc w:val="left"/>
      </w:pPr>
      <w:r>
        <w:rPr>
          <w:spacing w:val="-3"/>
        </w:rPr>
        <w:t>如果资产的可收回金额低于其账面价值，按其差额计提资产减值准备，并计入当期损益。</w:t>
      </w:r>
      <w:r>
        <w:rPr>
          <w:spacing w:val="25"/>
        </w:rPr>
        <w:t> </w:t>
      </w:r>
      <w:r>
        <w:rPr>
          <w:spacing w:val="25"/>
        </w:rPr>
      </w:r>
      <w:r>
        <w:rPr>
          <w:spacing w:val="-1"/>
        </w:rPr>
        <w:t>商誉至少在每年年度终了进行减值测试。对商誉进行减值测试时，结合与其相关的资产组或者资产组组合进行。即，自购买</w:t>
      </w:r>
    </w:p>
    <w:p>
      <w:pPr>
        <w:pStyle w:val="BodyText"/>
        <w:spacing w:line="316" w:lineRule="auto" w:before="19"/>
        <w:ind w:right="858"/>
        <w:jc w:val="both"/>
      </w:pPr>
      <w:r>
        <w:rPr>
          <w:spacing w:val="-1"/>
        </w:rPr>
        <w:t>日起将商誉的账面价值按照合理的方法分摊到能够从企业合并的协同效应中受益的资产组或资产组组合，如包含分摊的商誉的资</w:t>
      </w:r>
      <w:r>
        <w:rPr>
          <w:spacing w:val="50"/>
        </w:rPr>
        <w:t> </w:t>
      </w:r>
      <w:r>
        <w:rPr>
          <w:spacing w:val="50"/>
        </w:rPr>
      </w:r>
      <w:r>
        <w:rPr>
          <w:spacing w:val="-1"/>
        </w:rPr>
        <w:t>产组或资产组组合的可收回金额低于其账面价值的，确认相应的减值损失。减值损失金额首先抵减分摊到该资产组或资产组组合</w:t>
      </w:r>
      <w:r>
        <w:rPr>
          <w:spacing w:val="50"/>
        </w:rPr>
        <w:t> </w:t>
      </w:r>
      <w:r>
        <w:rPr>
          <w:spacing w:val="50"/>
        </w:rPr>
      </w:r>
      <w:r>
        <w:rPr>
          <w:spacing w:val="-1"/>
        </w:rPr>
        <w:t>的商誉的账面价值，再根据资产组或资产组组合中除商誉以外的其他各项资产的账面价值所占比重，按比例抵减其他各项资产的</w:t>
      </w:r>
      <w:r>
        <w:rPr>
          <w:spacing w:val="51"/>
        </w:rPr>
        <w:t> </w:t>
      </w:r>
      <w:r>
        <w:rPr>
          <w:spacing w:val="51"/>
        </w:rPr>
      </w:r>
      <w:r>
        <w:rPr/>
        <w:t>账面价值。</w:t>
      </w:r>
    </w:p>
    <w:p>
      <w:pPr>
        <w:pStyle w:val="BodyText"/>
        <w:spacing w:line="240" w:lineRule="auto" w:before="19"/>
        <w:ind w:left="494" w:right="858"/>
        <w:jc w:val="left"/>
      </w:pPr>
      <w:r>
        <w:rPr>
          <w:spacing w:val="-3"/>
        </w:rPr>
        <w:t>上述资产减值损失一经确认，在以后会计期间不予转回。</w:t>
      </w:r>
    </w:p>
    <w:p>
      <w:pPr>
        <w:spacing w:after="0" w:line="240" w:lineRule="auto"/>
        <w:jc w:val="left"/>
        <w:sectPr>
          <w:footerReference w:type="default" r:id="rId37"/>
          <w:pgSz w:w="11910" w:h="16840"/>
          <w:pgMar w:footer="1022" w:header="906" w:top="1100" w:bottom="1220" w:left="740" w:right="0"/>
          <w:pgNumType w:start="101"/>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right="858"/>
        <w:jc w:val="left"/>
        <w:rPr>
          <w:b w:val="0"/>
          <w:bCs w:val="0"/>
        </w:rPr>
      </w:pPr>
      <w:bookmarkStart w:name="18、长期待摊费用" w:id="193"/>
      <w:bookmarkEnd w:id="193"/>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494" w:right="858"/>
        <w:jc w:val="left"/>
      </w:pPr>
      <w:r>
        <w:rPr>
          <w:spacing w:val="-3"/>
        </w:rPr>
        <w:t>长期待摊费用为已经发生但应由本年和以后各年负担的分摊期限在一年以上的各项费用。</w:t>
      </w:r>
      <w:r>
        <w:rPr>
          <w:spacing w:val="25"/>
        </w:rPr>
        <w:t> </w:t>
      </w:r>
      <w:r>
        <w:rPr>
          <w:spacing w:val="25"/>
        </w:rPr>
      </w:r>
      <w:r>
        <w:rPr>
          <w:spacing w:val="-3"/>
        </w:rPr>
        <w:t>长期待摊费用在预计受益期间分期平均摊销，包括如下：</w:t>
      </w:r>
    </w:p>
    <w:tbl>
      <w:tblPr>
        <w:tblW w:w="0" w:type="auto"/>
        <w:jc w:val="left"/>
        <w:tblInd w:w="719" w:type="dxa"/>
        <w:tblLayout w:type="fixed"/>
        <w:tblCellMar>
          <w:top w:w="0" w:type="dxa"/>
          <w:left w:w="0" w:type="dxa"/>
          <w:bottom w:w="0" w:type="dxa"/>
          <w:right w:w="0" w:type="dxa"/>
        </w:tblCellMar>
        <w:tblLook w:val="01E0"/>
      </w:tblPr>
      <w:tblGrid>
        <w:gridCol w:w="5858"/>
        <w:gridCol w:w="3818"/>
      </w:tblGrid>
      <w:tr>
        <w:trPr>
          <w:trHeight w:val="344" w:hRule="exact"/>
        </w:trPr>
        <w:tc>
          <w:tcPr>
            <w:tcW w:w="5858"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40" w:lineRule="auto" w:before="18"/>
              <w:ind w:left="35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18"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40" w:lineRule="auto" w:before="18"/>
              <w:ind w:left="359" w:right="0"/>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46" w:hRule="exact"/>
        </w:trPr>
        <w:tc>
          <w:tcPr>
            <w:tcW w:w="5858"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3818" w:type="dxa"/>
            <w:tcBorders>
              <w:top w:val="single" w:sz="10" w:space="0" w:color="000000"/>
              <w:left w:val="single" w:sz="8" w:space="0" w:color="000000"/>
              <w:bottom w:val="single" w:sz="6" w:space="0" w:color="000000"/>
              <w:right w:val="single" w:sz="6" w:space="0" w:color="000000"/>
            </w:tcBorders>
          </w:tcPr>
          <w:p>
            <w:pPr>
              <w:pStyle w:val="TableParagraph"/>
              <w:spacing w:line="240" w:lineRule="auto" w:before="15"/>
              <w:ind w:left="35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3-11.5</w:t>
            </w:r>
            <w:r>
              <w:rPr>
                <w:rFonts w:ascii="宋体" w:hAnsi="宋体" w:cs="宋体" w:eastAsia="宋体" w:hint="default"/>
                <w:sz w:val="18"/>
                <w:szCs w:val="18"/>
              </w:rPr>
              <w:t>年</w:t>
            </w:r>
          </w:p>
        </w:tc>
      </w:tr>
      <w:tr>
        <w:trPr>
          <w:trHeight w:val="348" w:hRule="exact"/>
        </w:trPr>
        <w:tc>
          <w:tcPr>
            <w:tcW w:w="5858"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40" w:lineRule="auto" w:before="20"/>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宋体" w:hAnsi="宋体" w:cs="宋体" w:eastAsia="宋体" w:hint="default"/>
                <w:sz w:val="18"/>
                <w:szCs w:val="18"/>
              </w:rPr>
              <w:t>用户获取费用</w:t>
            </w:r>
          </w:p>
        </w:tc>
        <w:tc>
          <w:tcPr>
            <w:tcW w:w="3818"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20"/>
              <w:ind w:left="35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48" w:hRule="exact"/>
        </w:trPr>
        <w:tc>
          <w:tcPr>
            <w:tcW w:w="5858"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40" w:lineRule="auto" w:before="22"/>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IPTV</w:t>
            </w:r>
            <w:r>
              <w:rPr>
                <w:rFonts w:ascii="宋体" w:hAnsi="宋体" w:cs="宋体" w:eastAsia="宋体" w:hint="default"/>
                <w:sz w:val="18"/>
                <w:szCs w:val="18"/>
              </w:rPr>
              <w:t>用户获取费用</w:t>
            </w:r>
          </w:p>
        </w:tc>
        <w:tc>
          <w:tcPr>
            <w:tcW w:w="3818"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22"/>
              <w:ind w:left="35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46" w:hRule="exact"/>
        </w:trPr>
        <w:tc>
          <w:tcPr>
            <w:tcW w:w="5858"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40" w:lineRule="auto" w:before="20"/>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MVNO</w:t>
            </w:r>
            <w:r>
              <w:rPr>
                <w:rFonts w:ascii="宋体" w:hAnsi="宋体" w:cs="宋体" w:eastAsia="宋体" w:hint="default"/>
                <w:sz w:val="18"/>
                <w:szCs w:val="18"/>
              </w:rPr>
              <w:t>软件系统平台使用费</w:t>
            </w:r>
          </w:p>
        </w:tc>
        <w:tc>
          <w:tcPr>
            <w:tcW w:w="3818"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20"/>
              <w:ind w:left="35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46" w:hRule="exact"/>
        </w:trPr>
        <w:tc>
          <w:tcPr>
            <w:tcW w:w="5858"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pacing w:val="-3"/>
                <w:sz w:val="18"/>
                <w:szCs w:val="18"/>
              </w:rPr>
              <w:t>其他生产软件系统平台使用费和服务费</w:t>
            </w:r>
          </w:p>
        </w:tc>
        <w:tc>
          <w:tcPr>
            <w:tcW w:w="3818"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20"/>
              <w:ind w:left="35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48" w:hRule="exact"/>
        </w:trPr>
        <w:tc>
          <w:tcPr>
            <w:tcW w:w="5858"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办公楼租金</w:t>
            </w:r>
          </w:p>
        </w:tc>
        <w:tc>
          <w:tcPr>
            <w:tcW w:w="3818"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20"/>
              <w:ind w:left="35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r>
      <w:tr>
        <w:trPr>
          <w:trHeight w:val="343" w:hRule="exact"/>
        </w:trPr>
        <w:tc>
          <w:tcPr>
            <w:tcW w:w="5858" w:type="dxa"/>
            <w:tcBorders>
              <w:top w:val="single" w:sz="6" w:space="0" w:color="000000"/>
              <w:left w:val="single" w:sz="6" w:space="0" w:color="000000"/>
              <w:bottom w:val="single" w:sz="6" w:space="0" w:color="000000"/>
              <w:right w:val="single" w:sz="6" w:space="0" w:color="000000"/>
            </w:tcBorders>
            <w:shd w:val="clear" w:color="auto" w:fill="E7E6E6"/>
          </w:tcPr>
          <w:p>
            <w:pPr>
              <w:pStyle w:val="TableParagraph"/>
              <w:spacing w:line="240" w:lineRule="auto" w:before="22"/>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AHC</w:t>
            </w:r>
            <w:r>
              <w:rPr>
                <w:rFonts w:ascii="宋体" w:hAnsi="宋体" w:cs="宋体" w:eastAsia="宋体" w:hint="default"/>
                <w:sz w:val="18"/>
                <w:szCs w:val="18"/>
              </w:rPr>
              <w:t>用户获取费用</w:t>
            </w:r>
          </w:p>
        </w:tc>
        <w:tc>
          <w:tcPr>
            <w:tcW w:w="3818" w:type="dxa"/>
            <w:tcBorders>
              <w:top w:val="single" w:sz="6" w:space="0" w:color="000000"/>
              <w:left w:val="single" w:sz="8" w:space="0" w:color="000000"/>
              <w:bottom w:val="single" w:sz="6" w:space="0" w:color="000000"/>
              <w:right w:val="single" w:sz="6" w:space="0" w:color="000000"/>
            </w:tcBorders>
          </w:tcPr>
          <w:p>
            <w:pPr>
              <w:pStyle w:val="TableParagraph"/>
              <w:spacing w:line="240" w:lineRule="auto" w:before="22"/>
              <w:ind w:left="35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r>
    </w:tbl>
    <w:p>
      <w:pPr>
        <w:spacing w:line="240" w:lineRule="auto" w:before="10"/>
        <w:rPr>
          <w:rFonts w:ascii="宋体" w:hAnsi="宋体" w:cs="宋体" w:eastAsia="宋体" w:hint="default"/>
          <w:sz w:val="20"/>
          <w:szCs w:val="20"/>
        </w:rPr>
      </w:pPr>
    </w:p>
    <w:p>
      <w:pPr>
        <w:pStyle w:val="Heading4"/>
        <w:spacing w:line="240" w:lineRule="auto" w:before="36"/>
        <w:ind w:right="858"/>
        <w:jc w:val="left"/>
        <w:rPr>
          <w:b w:val="0"/>
          <w:bCs w:val="0"/>
        </w:rPr>
      </w:pPr>
      <w:bookmarkStart w:name="19、职工薪酬" w:id="194"/>
      <w:bookmarkEnd w:id="194"/>
      <w:r>
        <w:rPr>
          <w:b w:val="0"/>
          <w:bCs w:val="0"/>
        </w:rPr>
      </w:r>
      <w:r>
        <w:rPr>
          <w:rFonts w:ascii="Times New Roman" w:hAnsi="Times New Roman" w:cs="Times New Roman" w:eastAsia="Times New Roman" w:hint="default"/>
        </w:rPr>
        <w:t>19</w:t>
      </w:r>
      <w:r>
        <w:rPr/>
        <w:t>、职工薪酬</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858"/>
        <w:jc w:val="left"/>
        <w:rPr>
          <w:b w:val="0"/>
          <w:bCs w:val="0"/>
        </w:rPr>
      </w:pPr>
      <w:bookmarkStart w:name="（1）短期薪酬的会计处理方法" w:id="195"/>
      <w:bookmarkEnd w:id="19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769" w:firstLine="360"/>
        <w:jc w:val="both"/>
      </w:pPr>
      <w:r>
        <w:rPr/>
        <w:t>本集团在职工为其提供服务的会计期间，将实际发生的短期薪酬确认为负债，并计入当期损益或相关资产成本。本集团发生</w:t>
      </w:r>
      <w:r>
        <w:rPr>
          <w:w w:val="101"/>
        </w:rPr>
        <w:t> </w:t>
      </w:r>
      <w:r>
        <w:rPr>
          <w:spacing w:val="-3"/>
        </w:rPr>
        <w:t>的职工福利费，在实际发生时根据实际发生额计入当期损益或相关资产成本。职工福利费为非货币性福利的，按照公允价值计量。</w:t>
      </w:r>
    </w:p>
    <w:p>
      <w:pPr>
        <w:pStyle w:val="BodyText"/>
        <w:spacing w:line="316" w:lineRule="auto" w:before="19"/>
        <w:ind w:right="860" w:firstLine="360"/>
        <w:jc w:val="both"/>
      </w:pPr>
      <w:r>
        <w:rPr>
          <w:spacing w:val="-1"/>
        </w:rPr>
        <w:t>本集团为职工缴纳的医疗保险费、工伤保险费、生育保险费等社会保险费和住房公积金，以及本集团按规定提取的工会经费</w:t>
      </w:r>
      <w:r>
        <w:rPr>
          <w:w w:val="101"/>
        </w:rPr>
        <w:t> </w:t>
      </w:r>
      <w:r>
        <w:rPr>
          <w:spacing w:val="-1"/>
        </w:rPr>
        <w:t>和职工教育经费，在职工为本集团提供服务的会计期间，根据规定的计提基础和计提比例计算确定相应的职工薪酬金额，确认相</w:t>
      </w:r>
      <w:r>
        <w:rPr>
          <w:spacing w:val="50"/>
        </w:rPr>
        <w:t> </w:t>
      </w:r>
      <w:r>
        <w:rPr>
          <w:spacing w:val="50"/>
        </w:rPr>
      </w:r>
      <w:r>
        <w:rPr>
          <w:spacing w:val="-3"/>
        </w:rPr>
        <w:t>应负债，并计入当期损益或相关资产成本。</w:t>
      </w:r>
    </w:p>
    <w:p>
      <w:pPr>
        <w:spacing w:line="240" w:lineRule="auto" w:before="8"/>
        <w:rPr>
          <w:rFonts w:ascii="宋体" w:hAnsi="宋体" w:cs="宋体" w:eastAsia="宋体" w:hint="default"/>
          <w:sz w:val="22"/>
          <w:szCs w:val="22"/>
        </w:rPr>
      </w:pPr>
    </w:p>
    <w:p>
      <w:pPr>
        <w:pStyle w:val="Heading4"/>
        <w:spacing w:line="240" w:lineRule="auto"/>
        <w:ind w:right="858"/>
        <w:jc w:val="left"/>
        <w:rPr>
          <w:b w:val="0"/>
          <w:bCs w:val="0"/>
        </w:rPr>
      </w:pPr>
      <w:bookmarkStart w:name="（2）离职后福利的会计处理方法" w:id="196"/>
      <w:bookmarkEnd w:id="19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407" w:right="858"/>
        <w:jc w:val="left"/>
      </w:pPr>
      <w:r>
        <w:rPr>
          <w:spacing w:val="-3"/>
        </w:rPr>
        <w:t>本集团离职后福利全部为设定提存计划。</w:t>
      </w:r>
      <w:r>
        <w:rPr>
          <w:spacing w:val="-38"/>
        </w:rPr>
        <w:t> </w:t>
      </w:r>
      <w:r>
        <w:rPr>
          <w:spacing w:val="-38"/>
        </w:rPr>
      </w:r>
      <w:r>
        <w:rPr>
          <w:spacing w:val="-5"/>
        </w:rPr>
        <w:t>本集团在职工为其提供服务的会计期间，将根据设定提存计划计算的应缴存金额确认为负债，并计入当期损益或相关资产成本。</w:t>
      </w:r>
    </w:p>
    <w:p>
      <w:pPr>
        <w:spacing w:line="240" w:lineRule="auto" w:before="8"/>
        <w:rPr>
          <w:rFonts w:ascii="宋体" w:hAnsi="宋体" w:cs="宋体" w:eastAsia="宋体" w:hint="default"/>
          <w:sz w:val="22"/>
          <w:szCs w:val="22"/>
        </w:rPr>
      </w:pPr>
    </w:p>
    <w:p>
      <w:pPr>
        <w:pStyle w:val="Heading4"/>
        <w:spacing w:line="240" w:lineRule="auto"/>
        <w:ind w:right="858"/>
        <w:jc w:val="left"/>
        <w:rPr>
          <w:b w:val="0"/>
          <w:bCs w:val="0"/>
        </w:rPr>
      </w:pPr>
      <w:bookmarkStart w:name="（3）辞退福利的会计处理方法" w:id="197"/>
      <w:bookmarkEnd w:id="19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864" w:firstLine="273"/>
        <w:jc w:val="both"/>
      </w:pPr>
      <w:r>
        <w:rPr>
          <w:spacing w:val="-3"/>
        </w:rPr>
        <w:t>本集团向职工提供辞退福利的，在下列两者孰早日确认辞退福利产生的职工薪酬负债，并计入当期损益：本集团不能单方面撤</w:t>
      </w:r>
      <w:r>
        <w:rPr>
          <w:w w:val="101"/>
        </w:rPr>
        <w:t> </w:t>
      </w:r>
      <w:r>
        <w:rPr>
          <w:spacing w:val="-3"/>
        </w:rPr>
        <w:t>回因解除劳动关系计划或裁减建议所提供的辞退福利时；本集团确认与涉及支付辞退福利的重组相关的成本或费用时。</w:t>
      </w:r>
    </w:p>
    <w:p>
      <w:pPr>
        <w:spacing w:line="240" w:lineRule="auto" w:before="8"/>
        <w:rPr>
          <w:rFonts w:ascii="宋体" w:hAnsi="宋体" w:cs="宋体" w:eastAsia="宋体" w:hint="default"/>
          <w:sz w:val="22"/>
          <w:szCs w:val="22"/>
        </w:rPr>
      </w:pPr>
    </w:p>
    <w:p>
      <w:pPr>
        <w:pStyle w:val="Heading4"/>
        <w:spacing w:line="240" w:lineRule="auto"/>
        <w:ind w:right="858"/>
        <w:jc w:val="left"/>
        <w:rPr>
          <w:b w:val="0"/>
          <w:bCs w:val="0"/>
        </w:rPr>
      </w:pPr>
      <w:bookmarkStart w:name="（4）其他长期职工福利的会计处理方法" w:id="198"/>
      <w:bookmarkEnd w:id="19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8"/>
        <w:jc w:val="left"/>
      </w:pPr>
      <w:r>
        <w:rPr>
          <w:w w:val="101"/>
        </w:rPr>
        <w:t>无</w:t>
      </w:r>
      <w:r>
        <w:rPr/>
      </w:r>
    </w:p>
    <w:p>
      <w:pPr>
        <w:spacing w:line="240" w:lineRule="auto" w:before="0"/>
        <w:rPr>
          <w:rFonts w:ascii="宋体" w:hAnsi="宋体" w:cs="宋体" w:eastAsia="宋体" w:hint="default"/>
          <w:sz w:val="18"/>
          <w:szCs w:val="18"/>
        </w:rPr>
      </w:pPr>
    </w:p>
    <w:p>
      <w:pPr>
        <w:pStyle w:val="Heading4"/>
        <w:spacing w:line="240" w:lineRule="auto" w:before="118"/>
        <w:ind w:right="858"/>
        <w:jc w:val="left"/>
        <w:rPr>
          <w:b w:val="0"/>
          <w:bCs w:val="0"/>
        </w:rPr>
      </w:pPr>
      <w:bookmarkStart w:name="20、预计负债" w:id="199"/>
      <w:bookmarkEnd w:id="199"/>
      <w:r>
        <w:rPr>
          <w:b w:val="0"/>
          <w:bCs w:val="0"/>
        </w:rPr>
      </w:r>
      <w:r>
        <w:rPr>
          <w:rFonts w:ascii="Times New Roman" w:hAnsi="Times New Roman" w:cs="Times New Roman" w:eastAsia="Times New Roman" w:hint="default"/>
        </w:rPr>
        <w:t>20</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858" w:firstLine="480"/>
        <w:jc w:val="left"/>
      </w:pPr>
      <w:r>
        <w:rPr>
          <w:spacing w:val="-4"/>
        </w:rPr>
        <w:t>当与或有事项相关的义务是本集团承担的现时义务，且履行该义务很可能导致经济利益流出，以及该义务的金额能够可靠地</w:t>
      </w:r>
      <w:r>
        <w:rPr>
          <w:w w:val="101"/>
        </w:rPr>
        <w:t> </w:t>
      </w:r>
      <w:r>
        <w:rPr>
          <w:spacing w:val="-3"/>
        </w:rPr>
        <w:t>计量，则确认为预计负债。</w:t>
      </w:r>
    </w:p>
    <w:p>
      <w:pPr>
        <w:pStyle w:val="BodyText"/>
        <w:spacing w:line="316" w:lineRule="auto" w:before="19"/>
        <w:ind w:right="865" w:firstLine="364"/>
        <w:jc w:val="both"/>
      </w:pPr>
      <w:r>
        <w:rPr>
          <w:spacing w:val="-1"/>
        </w:rPr>
        <w:t>在资产负债表日，考虑与或有事项有关的风险、不确定性和货币时间价值等因素，按照履行相关现时义务所需支出的最佳估</w:t>
      </w:r>
      <w:r>
        <w:rPr>
          <w:w w:val="101"/>
        </w:rPr>
        <w:t> </w:t>
      </w:r>
      <w:r>
        <w:rPr>
          <w:spacing w:val="-3"/>
        </w:rPr>
        <w:t>计数对预计负债进行计量。如果货币时间价值影响重大，则以预计未来现金流出折现后的金额确定最佳估计数。</w:t>
      </w:r>
    </w:p>
    <w:p>
      <w:pPr>
        <w:pStyle w:val="BodyText"/>
        <w:spacing w:line="316" w:lineRule="auto" w:before="18"/>
        <w:ind w:right="865" w:firstLine="364"/>
        <w:jc w:val="both"/>
      </w:pPr>
      <w:r>
        <w:rPr>
          <w:spacing w:val="-1"/>
        </w:rPr>
        <w:t>如果清偿预计负债所需支出全部或部分预期由第三方补偿的，补偿金额在基本确定能够收到时，作为资产单独确认，且确认</w:t>
      </w:r>
      <w:r>
        <w:rPr>
          <w:w w:val="101"/>
        </w:rPr>
        <w:t> </w:t>
      </w:r>
      <w:r>
        <w:rPr>
          <w:spacing w:val="-3"/>
        </w:rPr>
        <w:t>的补偿金额不超过预计负债的账面价值。</w:t>
      </w:r>
    </w:p>
    <w:p>
      <w:pPr>
        <w:spacing w:after="0" w:line="316" w:lineRule="auto"/>
        <w:jc w:val="both"/>
        <w:sectPr>
          <w:pgSz w:w="11910" w:h="16840"/>
          <w:pgMar w:header="906" w:footer="1022" w:top="1100" w:bottom="1220" w:left="740" w:right="0"/>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4"/>
        <w:spacing w:line="240" w:lineRule="auto" w:before="36"/>
        <w:ind w:right="858"/>
        <w:jc w:val="left"/>
        <w:rPr>
          <w:b w:val="0"/>
          <w:bCs w:val="0"/>
        </w:rPr>
      </w:pPr>
      <w:bookmarkStart w:name="21、股份支付" w:id="200"/>
      <w:bookmarkEnd w:id="200"/>
      <w:r>
        <w:rPr>
          <w:b w:val="0"/>
          <w:bCs w:val="0"/>
        </w:rPr>
      </w:r>
      <w:r>
        <w:rPr>
          <w:rFonts w:ascii="Times New Roman" w:hAnsi="Times New Roman" w:cs="Times New Roman" w:eastAsia="Times New Roman" w:hint="default"/>
        </w:rPr>
        <w:t>21</w:t>
      </w:r>
      <w:r>
        <w:rPr/>
        <w:t>、股份支付</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861" w:firstLine="360"/>
        <w:jc w:val="both"/>
      </w:pPr>
      <w:r>
        <w:rPr>
          <w:spacing w:val="-1"/>
        </w:rPr>
        <w:t>本集团的股份支付是为了获取员工提供服务而授予权益工具或者承担以权益工具为基础确定的负债的交易。本集团的股份支</w:t>
      </w:r>
      <w:r>
        <w:rPr>
          <w:w w:val="101"/>
        </w:rPr>
        <w:t> </w:t>
      </w:r>
      <w:r>
        <w:rPr>
          <w:spacing w:val="-3"/>
        </w:rPr>
        <w:t>付全部为以权益结算的股份支付。</w:t>
      </w:r>
    </w:p>
    <w:p>
      <w:pPr>
        <w:pStyle w:val="BodyText"/>
        <w:spacing w:line="300" w:lineRule="auto" w:before="19"/>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21.1</w:t>
      </w:r>
      <w:r>
        <w:rPr>
          <w:u w:val="single" w:color="000000"/>
        </w:rPr>
        <w:t>股份支付的确认与计量</w:t>
      </w:r>
      <w:r>
        <w:rPr>
          <w:spacing w:val="-85"/>
          <w:u w:val="single" w:color="000000"/>
        </w:rPr>
        <w:t> </w:t>
      </w:r>
      <w:r>
        <w:rPr>
          <w:spacing w:val="-85"/>
        </w:rPr>
      </w:r>
      <w:r>
        <w:rPr>
          <w:spacing w:val="-85"/>
        </w:rPr>
      </w:r>
      <w:r>
        <w:rPr>
          <w:spacing w:val="-1"/>
        </w:rPr>
        <w:t>以权益结算的股份支付，按授予员工权益工具在授予日的公允价值计量。该公允价值的金额在等待期内以对可行权权益工具</w:t>
      </w:r>
    </w:p>
    <w:p>
      <w:pPr>
        <w:pStyle w:val="BodyText"/>
        <w:spacing w:line="316" w:lineRule="auto" w:before="31"/>
        <w:ind w:left="494" w:right="858" w:hanging="360"/>
        <w:jc w:val="left"/>
      </w:pPr>
      <w:r>
        <w:rPr>
          <w:spacing w:val="-3"/>
        </w:rPr>
        <w:t>数量的最佳估计为基础，按直线法计算计入相关成本或费用，相应增加资本公积。</w:t>
      </w:r>
      <w:r>
        <w:rPr>
          <w:spacing w:val="14"/>
        </w:rPr>
        <w:t> </w:t>
      </w:r>
      <w:r>
        <w:rPr>
          <w:spacing w:val="14"/>
        </w:rPr>
      </w:r>
      <w:r>
        <w:rPr>
          <w:spacing w:val="-1"/>
        </w:rPr>
        <w:t>在等待期内每个资产负债表日，本集团根据最新取得的可行权员工人数变动等后续信息做出最佳估计，修正预计可行权的权</w:t>
      </w:r>
    </w:p>
    <w:p>
      <w:pPr>
        <w:pStyle w:val="BodyText"/>
        <w:spacing w:line="240" w:lineRule="auto" w:before="19"/>
        <w:ind w:right="858"/>
        <w:jc w:val="left"/>
      </w:pPr>
      <w:r>
        <w:rPr>
          <w:spacing w:val="-3"/>
        </w:rPr>
        <w:t>益工具数量。上述估计的影响计入当期相关成本或费用，并相应调整资本公积。</w:t>
      </w:r>
    </w:p>
    <w:p>
      <w:pPr>
        <w:pStyle w:val="BodyText"/>
        <w:spacing w:line="300" w:lineRule="auto" w:before="76"/>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spacing w:val="-3"/>
          <w:u w:val="single" w:color="000000"/>
        </w:rPr>
        <w:t>21.2</w:t>
      </w:r>
      <w:r>
        <w:rPr>
          <w:spacing w:val="-3"/>
          <w:u w:val="single" w:color="000000"/>
        </w:rPr>
        <w:t>终止股份支付计划的相关会计处理</w:t>
      </w:r>
      <w:r>
        <w:rPr>
          <w:spacing w:val="-31"/>
          <w:u w:val="single" w:color="000000"/>
        </w:rPr>
        <w:t> </w:t>
      </w:r>
      <w:r>
        <w:rPr>
          <w:spacing w:val="-31"/>
        </w:rPr>
      </w:r>
      <w:r>
        <w:rPr>
          <w:spacing w:val="-31"/>
        </w:rPr>
      </w:r>
      <w:r>
        <w:rPr>
          <w:spacing w:val="-1"/>
        </w:rPr>
        <w:t>在等待期内，取消授予的权益工具，本集团对取消所授予的权益性工具作为加速行权处理，将剩余等待期内应确认的金额立</w:t>
      </w:r>
    </w:p>
    <w:p>
      <w:pPr>
        <w:pStyle w:val="BodyText"/>
        <w:spacing w:line="240" w:lineRule="auto" w:before="31"/>
        <w:ind w:right="858"/>
        <w:jc w:val="left"/>
      </w:pPr>
      <w:r>
        <w:rPr>
          <w:spacing w:val="-3"/>
        </w:rPr>
        <w:t>即计入当期损益，同时确认资本公积。</w:t>
      </w:r>
    </w:p>
    <w:p>
      <w:pPr>
        <w:pStyle w:val="BodyText"/>
        <w:spacing w:line="240" w:lineRule="auto" w:before="76"/>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spacing w:val="-3"/>
          <w:u w:val="single" w:color="000000"/>
        </w:rPr>
        <w:t>21.3</w:t>
      </w:r>
      <w:r>
        <w:rPr>
          <w:spacing w:val="-3"/>
          <w:u w:val="single" w:color="000000"/>
        </w:rPr>
        <w:t>以限制性股票形式授予的股份支付</w:t>
      </w:r>
      <w:r>
        <w:rPr>
          <w:spacing w:val="-3"/>
        </w:rPr>
      </w:r>
    </w:p>
    <w:p>
      <w:pPr>
        <w:pStyle w:val="BodyText"/>
        <w:spacing w:line="300" w:lineRule="auto" w:before="63"/>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21.3.1</w:t>
      </w:r>
      <w:r>
        <w:rPr>
          <w:u w:val="single" w:color="000000"/>
        </w:rPr>
        <w:t>确认与计量</w:t>
      </w:r>
      <w:r>
        <w:rPr>
          <w:w w:val="101"/>
        </w:rPr>
      </w:r>
      <w:r>
        <w:rPr>
          <w:w w:val="101"/>
        </w:rPr>
        <w:t> </w:t>
      </w:r>
      <w:r>
        <w:rPr>
          <w:spacing w:val="-1"/>
        </w:rPr>
        <w:t>本公司以非公开发行的方式向本集团员工授予一定数量的公司股票，即限制性股票，并规定锁定期和解锁期，在解锁之前，</w:t>
      </w:r>
    </w:p>
    <w:p>
      <w:pPr>
        <w:pStyle w:val="BodyText"/>
        <w:spacing w:line="316" w:lineRule="auto" w:before="31"/>
        <w:ind w:right="858"/>
        <w:jc w:val="left"/>
      </w:pPr>
      <w:r>
        <w:rPr>
          <w:spacing w:val="-1"/>
        </w:rPr>
        <w:t>不得上市流通及转让。达到解锁条件，可以解锁；如果全部或部分股票未被解锁而失效或作废，由本公司按照事先约定的价格立</w:t>
      </w:r>
      <w:r>
        <w:rPr>
          <w:spacing w:val="53"/>
        </w:rPr>
        <w:t> </w:t>
      </w:r>
      <w:r>
        <w:rPr>
          <w:spacing w:val="53"/>
        </w:rPr>
      </w:r>
      <w:r>
        <w:rPr>
          <w:spacing w:val="-3"/>
        </w:rPr>
        <w:t>即进行回购。本集团的股份支付解锁条件包含服务条件与业绩条件。</w:t>
      </w:r>
    </w:p>
    <w:p>
      <w:pPr>
        <w:pStyle w:val="BodyText"/>
        <w:spacing w:line="309" w:lineRule="auto" w:before="19"/>
        <w:ind w:right="860" w:firstLine="360"/>
        <w:jc w:val="both"/>
      </w:pPr>
      <w:r>
        <w:rPr>
          <w:spacing w:val="-4"/>
        </w:rPr>
        <w:t>授予给员工</w:t>
      </w:r>
      <w:r>
        <w:rPr>
          <w:rFonts w:ascii="Times New Roman" w:hAnsi="Times New Roman" w:cs="Times New Roman" w:eastAsia="Times New Roman" w:hint="default"/>
          <w:spacing w:val="-4"/>
        </w:rPr>
        <w:t>(</w:t>
      </w:r>
      <w:r>
        <w:rPr>
          <w:spacing w:val="-4"/>
        </w:rPr>
        <w:t>不含董事、高级管理人员</w:t>
      </w:r>
      <w:r>
        <w:rPr>
          <w:rFonts w:ascii="Times New Roman" w:hAnsi="Times New Roman" w:cs="Times New Roman" w:eastAsia="Times New Roman" w:hint="default"/>
          <w:spacing w:val="-4"/>
        </w:rPr>
        <w:t>)</w:t>
      </w:r>
      <w:r>
        <w:rPr>
          <w:spacing w:val="-4"/>
        </w:rPr>
        <w:t>的限制性股票在授予日的公允价值以本公司当日的普通股的市价为基础确定。考虑到董</w:t>
      </w:r>
      <w:r>
        <w:rPr>
          <w:w w:val="101"/>
        </w:rPr>
        <w:t> </w:t>
      </w:r>
      <w:r>
        <w:rPr>
          <w:spacing w:val="-1"/>
        </w:rPr>
        <w:t>事、高级管理人员所持股份在解锁后的限售条款，授予给董事及高级管理人员的限制性股票在授予日的公允价值以本公司当日的</w:t>
      </w:r>
      <w:r>
        <w:rPr>
          <w:spacing w:val="50"/>
        </w:rPr>
        <w:t> </w:t>
      </w:r>
      <w:r>
        <w:rPr>
          <w:spacing w:val="50"/>
        </w:rPr>
      </w:r>
      <w:r>
        <w:rPr>
          <w:spacing w:val="-3"/>
        </w:rPr>
        <w:t>普通股市价为基础，并考虑受限成本的影响。</w:t>
      </w:r>
    </w:p>
    <w:p>
      <w:pPr>
        <w:pStyle w:val="BodyText"/>
        <w:spacing w:line="300" w:lineRule="auto" w:before="24"/>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22.3.2</w:t>
      </w:r>
      <w:r>
        <w:rPr>
          <w:u w:val="single" w:color="000000"/>
        </w:rPr>
        <w:t>回购义务的确认与计量</w:t>
      </w:r>
      <w:r>
        <w:rPr>
          <w:spacing w:val="-87"/>
          <w:u w:val="single" w:color="000000"/>
        </w:rPr>
        <w:t> </w:t>
      </w:r>
      <w:r>
        <w:rPr>
          <w:spacing w:val="-87"/>
        </w:rPr>
      </w:r>
      <w:r>
        <w:rPr>
          <w:spacing w:val="-87"/>
        </w:rPr>
      </w:r>
      <w:r>
        <w:rPr>
          <w:spacing w:val="-1"/>
        </w:rPr>
        <w:t>在授予日，本集团根据收到员工缴纳的认股款确认股本和资本公积。同时，按照发行限制性股票的数量及相应的回购价格计</w:t>
      </w:r>
    </w:p>
    <w:p>
      <w:pPr>
        <w:pStyle w:val="BodyText"/>
        <w:spacing w:line="300" w:lineRule="auto" w:before="31"/>
        <w:ind w:right="858"/>
        <w:jc w:val="left"/>
      </w:pPr>
      <w:r>
        <w:rPr>
          <w:spacing w:val="-3"/>
        </w:rPr>
        <w:t>算确定的金额确认库存股，就回购义务确认负债，并对负债按照《企业会计准则第</w:t>
      </w:r>
      <w:r>
        <w:rPr>
          <w:rFonts w:ascii="Times New Roman" w:hAnsi="Times New Roman" w:cs="Times New Roman" w:eastAsia="Times New Roman" w:hint="default"/>
          <w:spacing w:val="-3"/>
        </w:rPr>
        <w:t>22 </w:t>
      </w:r>
      <w:r>
        <w:rPr>
          <w:spacing w:val="-3"/>
        </w:rPr>
        <w:t>号</w:t>
      </w:r>
      <w:r>
        <w:rPr>
          <w:rFonts w:ascii="Times New Roman" w:hAnsi="Times New Roman" w:cs="Times New Roman" w:eastAsia="Times New Roman" w:hint="default"/>
          <w:spacing w:val="-3"/>
        </w:rPr>
        <w:t>——</w:t>
      </w:r>
      <w:r>
        <w:rPr>
          <w:spacing w:val="-3"/>
        </w:rPr>
        <w:t>金融工具确认和计量》相关规定进行</w:t>
      </w:r>
      <w:r>
        <w:rPr>
          <w:spacing w:val="-47"/>
        </w:rPr>
        <w:t> </w:t>
      </w:r>
      <w:r>
        <w:rPr>
          <w:spacing w:val="-47"/>
        </w:rPr>
      </w:r>
      <w:r>
        <w:rPr/>
        <w:t>会计处理。</w:t>
      </w:r>
    </w:p>
    <w:p>
      <w:pPr>
        <w:pStyle w:val="BodyText"/>
        <w:spacing w:line="309" w:lineRule="auto" w:before="32"/>
        <w:ind w:right="861" w:firstLine="360"/>
        <w:jc w:val="both"/>
      </w:pPr>
      <w:r>
        <w:rPr>
          <w:spacing w:val="-1"/>
        </w:rPr>
        <w:t>对于未达到限制性股票解锁条件而需回购的股票，按照应支付的金额，冲减负债；对于达到限制性股票解锁条件而无需回购</w:t>
      </w:r>
      <w:r>
        <w:rPr>
          <w:w w:val="101"/>
        </w:rPr>
        <w:t> </w:t>
      </w:r>
      <w:r>
        <w:rPr>
          <w:spacing w:val="-3"/>
        </w:rPr>
        <w:t>的股票，冲减按照解锁股票对应的负债的账面价值，按照解锁股票相对应的库存股的账面价值，冲减库存股，如有差额，计入</w:t>
      </w:r>
      <w:r>
        <w:rPr>
          <w:rFonts w:ascii="Times New Roman" w:hAnsi="Times New Roman" w:cs="Times New Roman" w:eastAsia="Times New Roman" w:hint="default"/>
          <w:spacing w:val="-3"/>
        </w:rPr>
        <w:t>“</w:t>
      </w:r>
      <w:r>
        <w:rPr>
          <w:spacing w:val="-3"/>
        </w:rPr>
        <w:t>资</w:t>
      </w:r>
      <w:r>
        <w:rPr>
          <w:spacing w:val="78"/>
        </w:rPr>
        <w:t> </w:t>
      </w:r>
      <w:r>
        <w:rPr/>
        <w:t>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w:t>
      </w:r>
    </w:p>
    <w:p>
      <w:pPr>
        <w:pStyle w:val="BodyText"/>
        <w:spacing w:line="300" w:lineRule="auto" w:before="5"/>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spacing w:val="-3"/>
          <w:u w:val="single" w:color="000000"/>
        </w:rPr>
        <w:t>21.3.3</w:t>
      </w:r>
      <w:r>
        <w:rPr>
          <w:spacing w:val="-3"/>
          <w:u w:val="single" w:color="000000"/>
        </w:rPr>
        <w:t>等待期内发放现金股利的会计处理</w:t>
      </w:r>
      <w:r>
        <w:rPr>
          <w:spacing w:val="-27"/>
          <w:u w:val="single" w:color="000000"/>
        </w:rPr>
        <w:t> </w:t>
      </w:r>
      <w:r>
        <w:rPr>
          <w:spacing w:val="-27"/>
        </w:rPr>
      </w:r>
      <w:r>
        <w:rPr>
          <w:spacing w:val="-27"/>
        </w:rPr>
      </w:r>
      <w:r>
        <w:rPr>
          <w:spacing w:val="-4"/>
        </w:rPr>
        <w:t>本集团在等待期内发放的现金股利可撤销，即一旦未达到解锁条件，被回购限制性股票的持有者将无法获得</w:t>
      </w:r>
      <w:r>
        <w:rPr>
          <w:rFonts w:ascii="Times New Roman" w:hAnsi="Times New Roman" w:cs="Times New Roman" w:eastAsia="Times New Roman" w:hint="default"/>
          <w:spacing w:val="-4"/>
        </w:rPr>
        <w:t>(</w:t>
      </w:r>
      <w:r>
        <w:rPr>
          <w:spacing w:val="-4"/>
        </w:rPr>
        <w:t>或需要退回</w:t>
      </w:r>
      <w:r>
        <w:rPr>
          <w:rFonts w:ascii="Times New Roman" w:hAnsi="Times New Roman" w:cs="Times New Roman" w:eastAsia="Times New Roman" w:hint="default"/>
          <w:spacing w:val="-4"/>
        </w:rPr>
        <w:t>)</w:t>
      </w:r>
      <w:r>
        <w:rPr>
          <w:spacing w:val="-4"/>
        </w:rPr>
        <w:t>其在</w:t>
      </w:r>
      <w:r>
        <w:rPr/>
      </w:r>
    </w:p>
    <w:p>
      <w:pPr>
        <w:pStyle w:val="BodyText"/>
        <w:spacing w:line="300" w:lineRule="auto" w:before="13"/>
        <w:ind w:left="494" w:right="858" w:hanging="360"/>
        <w:jc w:val="left"/>
      </w:pPr>
      <w:r>
        <w:rPr>
          <w:spacing w:val="-3"/>
        </w:rPr>
        <w:t>等待期内应收</w:t>
      </w:r>
      <w:r>
        <w:rPr>
          <w:rFonts w:ascii="Times New Roman" w:hAnsi="Times New Roman" w:cs="Times New Roman" w:eastAsia="Times New Roman" w:hint="default"/>
          <w:spacing w:val="-3"/>
        </w:rPr>
        <w:t>(</w:t>
      </w:r>
      <w:r>
        <w:rPr>
          <w:spacing w:val="-3"/>
        </w:rPr>
        <w:t>或已收</w:t>
      </w:r>
      <w:r>
        <w:rPr>
          <w:rFonts w:ascii="Times New Roman" w:hAnsi="Times New Roman" w:cs="Times New Roman" w:eastAsia="Times New Roman" w:hint="default"/>
          <w:spacing w:val="-3"/>
        </w:rPr>
        <w:t>)</w:t>
      </w:r>
      <w:r>
        <w:rPr>
          <w:spacing w:val="-3"/>
        </w:rPr>
        <w:t>的现金股利。</w:t>
      </w:r>
      <w:r>
        <w:rPr>
          <w:spacing w:val="-40"/>
        </w:rPr>
        <w:t> </w:t>
      </w:r>
      <w:r>
        <w:rPr>
          <w:spacing w:val="-40"/>
        </w:rPr>
      </w:r>
      <w:r>
        <w:rPr>
          <w:spacing w:val="-1"/>
        </w:rPr>
        <w:t>对于预计未来可解锁限制性股票，应分配给限制性股票持有者的现金股利作为利润分配进行会计处理，同时，按分配的现金</w:t>
      </w:r>
    </w:p>
    <w:p>
      <w:pPr>
        <w:pStyle w:val="BodyText"/>
        <w:spacing w:line="316" w:lineRule="auto" w:before="31"/>
        <w:ind w:right="858"/>
        <w:jc w:val="left"/>
      </w:pPr>
      <w:r>
        <w:rPr>
          <w:spacing w:val="-1"/>
        </w:rPr>
        <w:t>股利金额，冲减就回购义务确认的负债及库存股；对于预计未来不可解锁限制性股票，应分配给限制性股票持有者的现金股利冲</w:t>
      </w:r>
      <w:r>
        <w:rPr>
          <w:spacing w:val="50"/>
        </w:rPr>
        <w:t> </w:t>
      </w:r>
      <w:r>
        <w:rPr>
          <w:spacing w:val="50"/>
        </w:rPr>
      </w:r>
      <w:r>
        <w:rPr>
          <w:spacing w:val="-3"/>
        </w:rPr>
        <w:t>减就回购义务确认的负债。</w:t>
      </w:r>
    </w:p>
    <w:p>
      <w:pPr>
        <w:pStyle w:val="BodyText"/>
        <w:spacing w:line="240" w:lineRule="auto" w:before="19"/>
        <w:ind w:left="494" w:right="858"/>
        <w:jc w:val="left"/>
      </w:pPr>
      <w:r>
        <w:rPr>
          <w:spacing w:val="-3"/>
        </w:rPr>
        <w:t>后续信息表明不可解锁限制性股票的数量与以前估计不同的，作为会计估计变更处理。</w:t>
      </w:r>
    </w:p>
    <w:p>
      <w:pPr>
        <w:pStyle w:val="BodyText"/>
        <w:spacing w:line="300" w:lineRule="auto" w:before="76"/>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21.3.4</w:t>
      </w:r>
      <w:r>
        <w:rPr>
          <w:u w:val="single" w:color="000000"/>
        </w:rPr>
        <w:t>等待期内每股收益的计算</w:t>
      </w:r>
      <w:r>
        <w:rPr>
          <w:w w:val="101"/>
        </w:rPr>
      </w:r>
      <w:r>
        <w:rPr>
          <w:w w:val="101"/>
        </w:rPr>
        <w:t> </w:t>
      </w:r>
      <w:r>
        <w:rPr>
          <w:spacing w:val="-1"/>
        </w:rPr>
        <w:t>等待期内计算基本每股收益时，分子扣除当期分配给预计未来可解锁限制性股票持有者的现金股利，分母不包含限制性股票</w:t>
      </w:r>
    </w:p>
    <w:p>
      <w:pPr>
        <w:pStyle w:val="BodyText"/>
        <w:spacing w:line="240" w:lineRule="auto" w:before="31"/>
        <w:ind w:right="858"/>
        <w:jc w:val="left"/>
      </w:pPr>
      <w:r>
        <w:rPr/>
        <w:t>的股数。</w:t>
      </w:r>
    </w:p>
    <w:p>
      <w:pPr>
        <w:pStyle w:val="BodyText"/>
        <w:spacing w:line="319" w:lineRule="auto" w:before="76"/>
        <w:ind w:right="860" w:firstLine="360"/>
        <w:jc w:val="both"/>
      </w:pPr>
      <w:r>
        <w:rPr>
          <w:spacing w:val="-1"/>
        </w:rPr>
        <w:t>等待期内计算稀释每股收益时，假设资产负债表日即为解锁日并据以判断资产负债表日的实际业绩情况是否满足解锁要求的</w:t>
      </w:r>
      <w:r>
        <w:rPr>
          <w:w w:val="101"/>
        </w:rPr>
        <w:t> </w:t>
      </w:r>
      <w:r>
        <w:rPr>
          <w:spacing w:val="-1"/>
        </w:rPr>
        <w:t>业绩条件。若满足业绩条件，锁定期内计算稀释每股收益时，分子加回计算基本每股收益分子时已扣除的当期分配给预计未来可</w:t>
      </w:r>
      <w:r>
        <w:rPr>
          <w:spacing w:val="50"/>
        </w:rPr>
        <w:t> </w:t>
      </w:r>
      <w:r>
        <w:rPr>
          <w:spacing w:val="50"/>
        </w:rPr>
      </w:r>
      <w:r>
        <w:rPr>
          <w:spacing w:val="-1"/>
        </w:rPr>
        <w:t>解锁限制性股票持有者的现金股利或归属于预计未来可解锁限制性股票的净利润；若不满足业绩条件，计算稀释性每股收益时不</w:t>
      </w:r>
      <w:r>
        <w:rPr>
          <w:spacing w:val="50"/>
        </w:rPr>
        <w:t> </w:t>
      </w:r>
      <w:r>
        <w:rPr>
          <w:spacing w:val="50"/>
        </w:rPr>
      </w:r>
      <w:r>
        <w:rPr>
          <w:spacing w:val="-3"/>
        </w:rPr>
        <w:t>考虑限制性股票的影响。</w:t>
      </w:r>
    </w:p>
    <w:p>
      <w:pPr>
        <w:spacing w:after="0" w:line="319" w:lineRule="auto"/>
        <w:jc w:val="both"/>
        <w:sectPr>
          <w:pgSz w:w="11910" w:h="16840"/>
          <w:pgMar w:header="906" w:footer="1022" w:top="1100" w:bottom="1220" w:left="740" w:right="0"/>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right="858"/>
        <w:jc w:val="left"/>
        <w:rPr>
          <w:b w:val="0"/>
          <w:bCs w:val="0"/>
        </w:rPr>
      </w:pPr>
      <w:bookmarkStart w:name="22、收入" w:id="201"/>
      <w:bookmarkEnd w:id="201"/>
      <w:r>
        <w:rPr>
          <w:b w:val="0"/>
          <w:bCs w:val="0"/>
        </w:rPr>
      </w:r>
      <w:r>
        <w:rPr>
          <w:rFonts w:ascii="Times New Roman" w:hAnsi="Times New Roman" w:cs="Times New Roman" w:eastAsia="Times New Roman" w:hint="default"/>
        </w:rPr>
        <w:t>22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8"/>
        <w:jc w:val="left"/>
      </w:pPr>
      <w:r>
        <w:rPr/>
        <w:t>是否已执行新收入准则</w:t>
      </w:r>
    </w:p>
    <w:p>
      <w:pPr>
        <w:pStyle w:val="BodyText"/>
        <w:spacing w:line="240" w:lineRule="auto" w:before="119"/>
        <w:ind w:right="85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00" w:lineRule="auto" w:before="97"/>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22.1</w:t>
      </w:r>
      <w:r>
        <w:rPr>
          <w:u w:val="single" w:color="000000"/>
        </w:rPr>
        <w:t>商品销售收入</w:t>
      </w:r>
      <w:r>
        <w:rPr>
          <w:spacing w:val="-85"/>
          <w:u w:val="single" w:color="000000"/>
        </w:rPr>
        <w:t> </w:t>
      </w:r>
      <w:r>
        <w:rPr>
          <w:spacing w:val="-85"/>
        </w:rPr>
      </w:r>
      <w:r>
        <w:rPr>
          <w:spacing w:val="-85"/>
        </w:rPr>
      </w:r>
      <w:r>
        <w:rPr>
          <w:spacing w:val="-1"/>
        </w:rPr>
        <w:t>在已将商品所有权上的主要风险和报酬转移给买方，既没有保留通常与所有权相联系的继续管理权，也没有对已售商品实施</w:t>
      </w:r>
    </w:p>
    <w:p>
      <w:pPr>
        <w:pStyle w:val="BodyText"/>
        <w:spacing w:line="316" w:lineRule="auto" w:before="31"/>
        <w:ind w:right="858"/>
        <w:jc w:val="left"/>
      </w:pPr>
      <w:r>
        <w:rPr>
          <w:spacing w:val="-1"/>
        </w:rPr>
        <w:t>有效控制，收入的金额能够可靠地计量，相关的经济利益很可能流入本集团，相关的已发生或将发生的成本能够可靠地计量时，</w:t>
      </w:r>
      <w:r>
        <w:rPr>
          <w:spacing w:val="50"/>
        </w:rPr>
        <w:t> </w:t>
      </w:r>
      <w:r>
        <w:rPr>
          <w:spacing w:val="50"/>
        </w:rPr>
      </w:r>
      <w:r>
        <w:rPr>
          <w:spacing w:val="-3"/>
        </w:rPr>
        <w:t>确认商品销售收入的实现。</w:t>
      </w:r>
    </w:p>
    <w:p>
      <w:pPr>
        <w:pStyle w:val="BodyText"/>
        <w:spacing w:line="319" w:lineRule="auto" w:before="19"/>
        <w:ind w:right="858" w:firstLine="360"/>
        <w:jc w:val="left"/>
      </w:pPr>
      <w:r>
        <w:rPr>
          <w:spacing w:val="-3"/>
        </w:rPr>
        <w:t>本集团与其他企业签订的合同或协议包括销售商品和提供劳务时，销售商品部分和提供劳务部分能够区分且能够单独计量的，</w:t>
      </w:r>
      <w:r>
        <w:rPr>
          <w:w w:val="101"/>
        </w:rPr>
        <w:t> </w:t>
      </w:r>
      <w:r>
        <w:rPr/>
        <w:t>将销售商品的部分作为销售商品处理，将提供劳务的部分作为提供劳务处理。销售商品部分和提供劳务部分不能够区分，或虽能</w:t>
      </w:r>
      <w:r>
        <w:rPr>
          <w:spacing w:val="-6"/>
        </w:rPr>
        <w:t> </w:t>
      </w:r>
      <w:r>
        <w:rPr>
          <w:spacing w:val="-6"/>
        </w:rPr>
      </w:r>
      <w:r>
        <w:rPr>
          <w:spacing w:val="-3"/>
        </w:rPr>
        <w:t>区分但不能够单独计量的，将销售商品部分和提供劳务部分全部作为销售商品处理。</w:t>
      </w:r>
    </w:p>
    <w:p>
      <w:pPr>
        <w:pStyle w:val="BodyText"/>
        <w:spacing w:line="316" w:lineRule="auto" w:before="17"/>
        <w:ind w:right="858" w:firstLine="360"/>
        <w:jc w:val="left"/>
      </w:pPr>
      <w:r>
        <w:rPr>
          <w:spacing w:val="-1"/>
        </w:rPr>
        <w:t>软件销售收入：按照与用户签订的协议，公司需同时提供安装劳务，销售商品部分和提供劳务部分不能够区分，或虽能区分</w:t>
      </w:r>
      <w:r>
        <w:rPr>
          <w:w w:val="101"/>
        </w:rPr>
        <w:t> </w:t>
      </w:r>
      <w:r>
        <w:rPr>
          <w:spacing w:val="-3"/>
        </w:rPr>
        <w:t>但不能够单独计量的，全部作为销售商品处理，且在客户签订项目验收报告的时点确认收入。</w:t>
      </w:r>
    </w:p>
    <w:p>
      <w:pPr>
        <w:pStyle w:val="BodyText"/>
        <w:spacing w:line="300" w:lineRule="auto" w:before="19"/>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22.2</w:t>
      </w:r>
      <w:r>
        <w:rPr>
          <w:u w:val="single" w:color="000000"/>
        </w:rPr>
        <w:t>提供劳务收入</w:t>
      </w:r>
      <w:r>
        <w:rPr>
          <w:spacing w:val="-85"/>
          <w:u w:val="single" w:color="000000"/>
        </w:rPr>
        <w:t> </w:t>
      </w:r>
      <w:r>
        <w:rPr>
          <w:spacing w:val="-85"/>
        </w:rPr>
      </w:r>
      <w:r>
        <w:rPr>
          <w:spacing w:val="-85"/>
        </w:rPr>
      </w:r>
      <w:r>
        <w:rPr>
          <w:spacing w:val="-1"/>
        </w:rPr>
        <w:t>在提供劳务收入的金额能够可靠地计量，相关的经济利益很可能流入本集团，交易的完工程度能够可靠地确定，交易中已发</w:t>
      </w:r>
    </w:p>
    <w:p>
      <w:pPr>
        <w:pStyle w:val="BodyText"/>
        <w:spacing w:line="316" w:lineRule="auto" w:before="32"/>
        <w:ind w:right="858"/>
        <w:jc w:val="left"/>
      </w:pPr>
      <w:r>
        <w:rPr>
          <w:spacing w:val="-3"/>
        </w:rPr>
        <w:t>生和将发生的成本能够可靠地计量时，确认提供劳务收入的实现。本集团于资产负债表日按照完工百分比法确认提供的劳务收入。</w:t>
      </w:r>
      <w:r>
        <w:rPr>
          <w:spacing w:val="67"/>
        </w:rPr>
        <w:t> </w:t>
      </w:r>
      <w:r>
        <w:rPr>
          <w:spacing w:val="67"/>
        </w:rPr>
      </w:r>
      <w:r>
        <w:rPr>
          <w:spacing w:val="-3"/>
        </w:rPr>
        <w:t>劳务交易的完工进度按已经提供的劳务占应提供劳务总量的比例或已经发生的劳务成本占估计总成本的比例确定。</w:t>
      </w:r>
    </w:p>
    <w:p>
      <w:pPr>
        <w:pStyle w:val="BodyText"/>
        <w:spacing w:line="316" w:lineRule="auto" w:before="19"/>
        <w:ind w:right="858" w:firstLine="360"/>
        <w:jc w:val="left"/>
      </w:pPr>
      <w:r>
        <w:rPr>
          <w:spacing w:val="-1"/>
        </w:rPr>
        <w:t>如果提供劳务交易的结果不能够可靠估计，则按已经发生并预计能够得到补偿的劳务成本金额确认提供的劳务收入，并将已</w:t>
      </w:r>
      <w:r>
        <w:rPr>
          <w:w w:val="101"/>
        </w:rPr>
        <w:t> </w:t>
      </w:r>
      <w:r>
        <w:rPr>
          <w:spacing w:val="-3"/>
        </w:rPr>
        <w:t>发生的劳务成本作为当期费用。已经发生的劳务成本如预计不能得到补偿的，则不确认收入。</w:t>
      </w:r>
    </w:p>
    <w:p>
      <w:pPr>
        <w:pStyle w:val="BodyText"/>
        <w:spacing w:line="240" w:lineRule="auto" w:before="19"/>
        <w:ind w:left="494" w:right="858"/>
        <w:jc w:val="left"/>
      </w:pPr>
      <w:r>
        <w:rPr>
          <w:spacing w:val="-3"/>
        </w:rPr>
        <w:t>本集团根据与用户签订的协议，按与客户的收费模式不同而采取如下不同的收入确认方法，具体如下：</w:t>
      </w:r>
    </w:p>
    <w:p>
      <w:pPr>
        <w:pStyle w:val="BodyText"/>
        <w:tabs>
          <w:tab w:pos="973" w:val="left" w:leader="none"/>
        </w:tabs>
        <w:spacing w:line="240" w:lineRule="auto" w:before="77"/>
        <w:ind w:left="494" w:right="858"/>
        <w:jc w:val="left"/>
      </w:pPr>
      <w:r>
        <w:rPr>
          <w:rFonts w:ascii="Times New Roman" w:hAnsi="Times New Roman" w:cs="Times New Roman" w:eastAsia="Times New Roman" w:hint="default"/>
        </w:rPr>
        <w:t>(1)</w:t>
        <w:tab/>
      </w:r>
      <w:r>
        <w:rPr>
          <w:spacing w:val="-3"/>
        </w:rPr>
        <w:t>按年</w:t>
      </w:r>
      <w:r>
        <w:rPr>
          <w:rFonts w:ascii="Times New Roman" w:hAnsi="Times New Roman" w:cs="Times New Roman" w:eastAsia="Times New Roman" w:hint="default"/>
          <w:spacing w:val="-3"/>
        </w:rPr>
        <w:t>/</w:t>
      </w:r>
      <w:r>
        <w:rPr>
          <w:spacing w:val="-3"/>
        </w:rPr>
        <w:t>季度收取服务费：在服务期限内，在每月提供服务后按月结转确认收入；</w:t>
      </w:r>
    </w:p>
    <w:p>
      <w:pPr>
        <w:pStyle w:val="BodyText"/>
        <w:tabs>
          <w:tab w:pos="973" w:val="left" w:leader="none"/>
        </w:tabs>
        <w:spacing w:line="240" w:lineRule="auto" w:before="63"/>
        <w:ind w:left="494" w:right="858"/>
        <w:jc w:val="left"/>
      </w:pPr>
      <w:r>
        <w:rPr>
          <w:rFonts w:ascii="Times New Roman" w:hAnsi="Times New Roman" w:cs="Times New Roman" w:eastAsia="Times New Roman" w:hint="default"/>
        </w:rPr>
        <w:t>(2)</w:t>
        <w:tab/>
      </w:r>
      <w:r>
        <w:rPr>
          <w:spacing w:val="-3"/>
        </w:rPr>
        <w:t>按月收取固定服务费：在每月提供服务后按月结转确认收入；</w:t>
      </w:r>
    </w:p>
    <w:p>
      <w:pPr>
        <w:pStyle w:val="BodyText"/>
        <w:tabs>
          <w:tab w:pos="973" w:val="left" w:leader="none"/>
        </w:tabs>
        <w:spacing w:line="240" w:lineRule="auto" w:before="63"/>
        <w:ind w:left="494" w:right="858"/>
        <w:jc w:val="left"/>
      </w:pPr>
      <w:r>
        <w:rPr>
          <w:rFonts w:ascii="Times New Roman" w:hAnsi="Times New Roman" w:cs="Times New Roman" w:eastAsia="Times New Roman" w:hint="default"/>
        </w:rPr>
        <w:t>(3)</w:t>
        <w:tab/>
      </w:r>
      <w:r>
        <w:rPr>
          <w:spacing w:val="-3"/>
        </w:rPr>
        <w:t>按话务量、流量、</w:t>
      </w:r>
      <w:r>
        <w:rPr>
          <w:rFonts w:ascii="Times New Roman" w:hAnsi="Times New Roman" w:cs="Times New Roman" w:eastAsia="Times New Roman" w:hint="default"/>
          <w:spacing w:val="-3"/>
        </w:rPr>
        <w:t>CPM</w:t>
      </w:r>
      <w:r>
        <w:rPr>
          <w:spacing w:val="-3"/>
        </w:rPr>
        <w:t>等实际使用量收取服务费的，在每月提供服务后，按实际使用量结转确认收入；</w:t>
      </w:r>
    </w:p>
    <w:p>
      <w:pPr>
        <w:pStyle w:val="BodyText"/>
        <w:tabs>
          <w:tab w:pos="973" w:val="left" w:leader="none"/>
        </w:tabs>
        <w:spacing w:line="240" w:lineRule="auto" w:before="63"/>
        <w:ind w:left="494" w:right="858"/>
        <w:jc w:val="left"/>
      </w:pPr>
      <w:r>
        <w:rPr>
          <w:rFonts w:ascii="Times New Roman" w:hAnsi="Times New Roman" w:cs="Times New Roman" w:eastAsia="Times New Roman" w:hint="default"/>
        </w:rPr>
        <w:t>(4)</w:t>
        <w:tab/>
      </w:r>
      <w:r>
        <w:rPr>
          <w:spacing w:val="-3"/>
        </w:rPr>
        <w:t>其他一次性业务的服务费在提供服务后，在收到相关款项或获得收款的权利时确认收入；</w:t>
      </w:r>
    </w:p>
    <w:p>
      <w:pPr>
        <w:pStyle w:val="BodyText"/>
        <w:spacing w:line="312" w:lineRule="auto" w:before="63"/>
        <w:ind w:right="860" w:firstLine="36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rFonts w:ascii="Times New Roman" w:hAnsi="Times New Roman" w:cs="Times New Roman" w:eastAsia="Times New Roman" w:hint="default"/>
        </w:rPr>
        <w:t>9446IP</w:t>
      </w:r>
      <w:r>
        <w:rPr/>
        <w:t>长途转售、</w:t>
      </w:r>
      <w:r>
        <w:rPr>
          <w:rFonts w:ascii="Times New Roman" w:hAnsi="Times New Roman" w:cs="Times New Roman" w:eastAsia="Times New Roman" w:hint="default"/>
        </w:rPr>
        <w:t>95050</w:t>
      </w:r>
      <w:r>
        <w:rPr/>
        <w:t>多方通话、立体宽带业务系委托合作基础运营商代收款。每月终了，公司根据自身计费系统反</w:t>
      </w:r>
      <w:r>
        <w:rPr>
          <w:w w:val="101"/>
        </w:rPr>
        <w:t> </w:t>
      </w:r>
      <w:r>
        <w:rPr>
          <w:spacing w:val="-1"/>
        </w:rPr>
        <w:t>映的当期已经发生的业务量，在与合作基础运营商营帐数据核对确认后，根据收款的经验数据估计回款率，将估计能够回款的金</w:t>
      </w:r>
      <w:r>
        <w:rPr>
          <w:spacing w:val="50"/>
        </w:rPr>
        <w:t> </w:t>
      </w:r>
      <w:r>
        <w:rPr>
          <w:spacing w:val="50"/>
        </w:rPr>
      </w:r>
      <w:r>
        <w:rPr>
          <w:spacing w:val="-1"/>
        </w:rPr>
        <w:t>额确认为当期收入，在当月实际收到合作基础运营商款项时再对已确认收入金额作相应调整，回款率每半年复核并根据实际情况</w:t>
      </w:r>
      <w:r>
        <w:rPr>
          <w:spacing w:val="50"/>
        </w:rPr>
        <w:t> </w:t>
      </w:r>
      <w:r>
        <w:rPr>
          <w:spacing w:val="50"/>
        </w:rPr>
      </w:r>
      <w:r>
        <w:rPr/>
        <w:t>调整。</w:t>
      </w:r>
    </w:p>
    <w:p>
      <w:pPr>
        <w:pStyle w:val="BodyText"/>
        <w:spacing w:line="300" w:lineRule="auto" w:before="22"/>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22.3</w:t>
      </w:r>
      <w:r>
        <w:rPr>
          <w:u w:val="single" w:color="000000"/>
        </w:rPr>
        <w:t>让渡资产使用权收入</w:t>
      </w:r>
      <w:r>
        <w:rPr>
          <w:spacing w:val="-88"/>
          <w:u w:val="single" w:color="000000"/>
        </w:rPr>
        <w:t> </w:t>
      </w:r>
      <w:r>
        <w:rPr>
          <w:spacing w:val="-88"/>
        </w:rPr>
      </w:r>
      <w:r>
        <w:rPr>
          <w:spacing w:val="-88"/>
        </w:rPr>
      </w:r>
      <w:r>
        <w:rPr>
          <w:spacing w:val="-1"/>
        </w:rPr>
        <w:t>与交易相关的经济利益很可能流入且收入的金额能够可靠地计量时，确认让渡资产使用权收入。分别下列情况确定让渡资产</w:t>
      </w:r>
    </w:p>
    <w:p>
      <w:pPr>
        <w:pStyle w:val="BodyText"/>
        <w:spacing w:line="240" w:lineRule="auto" w:before="31"/>
        <w:ind w:right="858"/>
        <w:jc w:val="left"/>
      </w:pPr>
      <w:r>
        <w:rPr/>
        <w:t>使用权收入金额：</w:t>
      </w:r>
    </w:p>
    <w:p>
      <w:pPr>
        <w:pStyle w:val="BodyText"/>
        <w:tabs>
          <w:tab w:pos="973" w:val="left" w:leader="none"/>
        </w:tabs>
        <w:spacing w:line="240" w:lineRule="auto" w:before="77"/>
        <w:ind w:left="494" w:right="858"/>
        <w:jc w:val="left"/>
      </w:pPr>
      <w:r>
        <w:rPr>
          <w:rFonts w:ascii="Times New Roman" w:hAnsi="Times New Roman" w:cs="Times New Roman" w:eastAsia="Times New Roman" w:hint="default"/>
        </w:rPr>
        <w:t>(1)</w:t>
        <w:tab/>
      </w:r>
      <w:r>
        <w:rPr>
          <w:spacing w:val="-3"/>
        </w:rPr>
        <w:t>利息收入金额，按照他人使用本集团货币资金的时间和实际利率计算确定。</w:t>
      </w:r>
    </w:p>
    <w:p>
      <w:pPr>
        <w:pStyle w:val="BodyText"/>
        <w:tabs>
          <w:tab w:pos="973" w:val="left" w:leader="none"/>
        </w:tabs>
        <w:spacing w:line="240" w:lineRule="auto" w:before="63"/>
        <w:ind w:left="494" w:right="858"/>
        <w:jc w:val="left"/>
      </w:pPr>
      <w:r>
        <w:rPr>
          <w:rFonts w:ascii="Times New Roman" w:hAnsi="Times New Roman" w:cs="Times New Roman" w:eastAsia="Times New Roman" w:hint="default"/>
        </w:rPr>
        <w:t>(2)</w:t>
        <w:tab/>
      </w:r>
      <w:r>
        <w:rPr>
          <w:spacing w:val="-3"/>
        </w:rPr>
        <w:t>使用费收入金额，按照有关合同或协议约定的收费时间和方法计算确定。</w:t>
      </w:r>
    </w:p>
    <w:p>
      <w:pPr>
        <w:spacing w:line="240" w:lineRule="auto" w:before="13"/>
        <w:rPr>
          <w:rFonts w:ascii="宋体" w:hAnsi="宋体" w:cs="宋体" w:eastAsia="宋体" w:hint="default"/>
          <w:sz w:val="25"/>
          <w:szCs w:val="25"/>
        </w:rPr>
      </w:pPr>
    </w:p>
    <w:p>
      <w:pPr>
        <w:pStyle w:val="Heading4"/>
        <w:spacing w:line="240" w:lineRule="auto"/>
        <w:ind w:right="858"/>
        <w:jc w:val="left"/>
        <w:rPr>
          <w:b w:val="0"/>
          <w:bCs w:val="0"/>
        </w:rPr>
      </w:pPr>
      <w:bookmarkStart w:name="23、政府补助" w:id="202"/>
      <w:bookmarkEnd w:id="202"/>
      <w:r>
        <w:rPr>
          <w:b w:val="0"/>
          <w:bCs w:val="0"/>
        </w:rPr>
      </w:r>
      <w:r>
        <w:rPr>
          <w:rFonts w:ascii="Times New Roman" w:hAnsi="Times New Roman" w:cs="Times New Roman" w:eastAsia="Times New Roman" w:hint="default"/>
        </w:rPr>
        <w:t>23</w:t>
      </w:r>
      <w:r>
        <w:rPr/>
        <w:t>、政府补助</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858" w:firstLine="360"/>
        <w:jc w:val="left"/>
      </w:pPr>
      <w:r>
        <w:rPr>
          <w:spacing w:val="-1"/>
        </w:rPr>
        <w:t>政府补助是指本集团从政府无偿取得货币性资产和非货币性资产。政府补助在能够满足政府补助所附条件且能够收到时予以</w:t>
      </w:r>
      <w:r>
        <w:rPr>
          <w:w w:val="101"/>
        </w:rPr>
        <w:t> </w:t>
      </w:r>
      <w:r>
        <w:rPr/>
        <w:t>确认。</w:t>
      </w:r>
    </w:p>
    <w:p>
      <w:pPr>
        <w:pStyle w:val="BodyText"/>
        <w:spacing w:line="316" w:lineRule="auto" w:before="19"/>
        <w:ind w:left="494" w:right="858"/>
        <w:jc w:val="left"/>
      </w:pPr>
      <w:r>
        <w:rPr>
          <w:spacing w:val="-3"/>
        </w:rPr>
        <w:t>政府补助为货币性资产的，按照收到或应收的金额计量。</w:t>
      </w:r>
      <w:r>
        <w:rPr>
          <w:spacing w:val="-15"/>
        </w:rPr>
        <w:t> </w:t>
      </w:r>
      <w:r>
        <w:rPr>
          <w:spacing w:val="-15"/>
        </w:rPr>
      </w:r>
      <w:r>
        <w:rPr>
          <w:spacing w:val="-1"/>
        </w:rPr>
        <w:t>与本集团日常活动相关的政府补助，按照经济业务实质，计入其他收益。与本集团日常活动无关的政府补助，计入营业外收</w:t>
      </w:r>
    </w:p>
    <w:p>
      <w:pPr>
        <w:pStyle w:val="BodyText"/>
        <w:spacing w:line="240" w:lineRule="auto" w:before="19"/>
        <w:ind w:right="858"/>
        <w:jc w:val="left"/>
      </w:pPr>
      <w:r>
        <w:rPr/>
        <w:t>入。</w:t>
      </w:r>
    </w:p>
    <w:p>
      <w:pPr>
        <w:pStyle w:val="BodyText"/>
        <w:spacing w:line="300" w:lineRule="auto" w:before="76"/>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spacing w:val="-3"/>
          <w:u w:val="single" w:color="000000"/>
        </w:rPr>
        <w:t>23.1</w:t>
      </w:r>
      <w:r>
        <w:rPr>
          <w:spacing w:val="-3"/>
          <w:u w:val="single" w:color="000000"/>
        </w:rPr>
        <w:t>与资产相关的政府补助判断依据及会计处理方法</w:t>
      </w:r>
      <w:r>
        <w:rPr>
          <w:spacing w:val="-14"/>
          <w:u w:val="single" w:color="000000"/>
        </w:rPr>
        <w:t> </w:t>
      </w:r>
      <w:r>
        <w:rPr>
          <w:spacing w:val="-14"/>
        </w:rPr>
      </w:r>
      <w:r>
        <w:rPr>
          <w:spacing w:val="-14"/>
        </w:rPr>
      </w:r>
      <w:r>
        <w:rPr>
          <w:spacing w:val="-2"/>
        </w:rPr>
        <w:t>本集团的政府补助中的</w:t>
      </w:r>
      <w:r>
        <w:rPr>
          <w:rFonts w:ascii="Times New Roman" w:hAnsi="Times New Roman" w:cs="Times New Roman" w:eastAsia="Times New Roman" w:hint="default"/>
          <w:spacing w:val="-2"/>
        </w:rPr>
        <w:t>“263</w:t>
      </w:r>
      <w:r>
        <w:rPr>
          <w:spacing w:val="-2"/>
        </w:rPr>
        <w:t>云通信</w:t>
      </w:r>
      <w:r>
        <w:rPr>
          <w:rFonts w:ascii="Times New Roman" w:hAnsi="Times New Roman" w:cs="Times New Roman" w:eastAsia="Times New Roman" w:hint="default"/>
          <w:spacing w:val="-2"/>
        </w:rPr>
        <w:t>”</w:t>
      </w:r>
      <w:r>
        <w:rPr>
          <w:spacing w:val="-2"/>
        </w:rPr>
        <w:t>项目、</w:t>
      </w:r>
      <w:r>
        <w:rPr>
          <w:rFonts w:ascii="Times New Roman" w:hAnsi="Times New Roman" w:cs="Times New Roman" w:eastAsia="Times New Roman" w:hint="default"/>
          <w:spacing w:val="-2"/>
        </w:rPr>
        <w:t>“</w:t>
      </w:r>
      <w:r>
        <w:rPr>
          <w:spacing w:val="-2"/>
        </w:rPr>
        <w:t>移动数据虚拟专用网服务平台</w:t>
      </w:r>
      <w:r>
        <w:rPr>
          <w:rFonts w:ascii="Times New Roman" w:hAnsi="Times New Roman" w:cs="Times New Roman" w:eastAsia="Times New Roman" w:hint="default"/>
          <w:spacing w:val="-2"/>
        </w:rPr>
        <w:t>”</w:t>
      </w:r>
      <w:r>
        <w:rPr>
          <w:spacing w:val="-2"/>
        </w:rPr>
        <w:t>项目、</w:t>
      </w:r>
      <w:r>
        <w:rPr>
          <w:rFonts w:ascii="Times New Roman" w:hAnsi="Times New Roman" w:cs="Times New Roman" w:eastAsia="Times New Roman" w:hint="default"/>
          <w:spacing w:val="-2"/>
        </w:rPr>
        <w:t>“263</w:t>
      </w:r>
      <w:r>
        <w:rPr>
          <w:spacing w:val="-2"/>
        </w:rPr>
        <w:t>企业号云呼智能通信平台</w:t>
      </w:r>
      <w:r>
        <w:rPr>
          <w:rFonts w:ascii="Times New Roman" w:hAnsi="Times New Roman" w:cs="Times New Roman" w:eastAsia="Times New Roman" w:hint="default"/>
          <w:spacing w:val="-2"/>
        </w:rPr>
        <w:t>”</w:t>
      </w:r>
      <w:r>
        <w:rPr>
          <w:spacing w:val="-2"/>
        </w:rPr>
        <w:t>项目以及</w:t>
      </w:r>
      <w:r>
        <w:rPr>
          <w:rFonts w:ascii="Times New Roman" w:hAnsi="Times New Roman" w:cs="Times New Roman" w:eastAsia="Times New Roman" w:hint="default"/>
          <w:spacing w:val="-2"/>
        </w:rPr>
        <w:t>“</w:t>
      </w:r>
      <w:r>
        <w:rPr>
          <w:spacing w:val="-2"/>
        </w:rPr>
        <w:t>二</w:t>
      </w:r>
    </w:p>
    <w:p>
      <w:pPr>
        <w:pStyle w:val="BodyText"/>
        <w:spacing w:line="309" w:lineRule="auto" w:before="13"/>
        <w:ind w:left="494" w:right="858" w:hanging="360"/>
        <w:jc w:val="left"/>
      </w:pPr>
      <w:r>
        <w:rPr/>
        <w:t>六三</w:t>
      </w:r>
      <w:r>
        <w:rPr>
          <w:rFonts w:ascii="Times New Roman" w:hAnsi="Times New Roman" w:cs="Times New Roman" w:eastAsia="Times New Roman" w:hint="default"/>
        </w:rPr>
        <w:t>ONET </w:t>
      </w:r>
      <w:r>
        <w:rPr>
          <w:rFonts w:ascii="Times New Roman" w:hAnsi="Times New Roman" w:cs="Times New Roman" w:eastAsia="Times New Roman" w:hint="default"/>
          <w:spacing w:val="-3"/>
        </w:rPr>
        <w:t>G-</w:t>
      </w:r>
      <w:r>
        <w:rPr>
          <w:spacing w:val="-3"/>
        </w:rPr>
        <w:t>网平台建设</w:t>
      </w:r>
      <w:r>
        <w:rPr>
          <w:rFonts w:ascii="Times New Roman" w:hAnsi="Times New Roman" w:cs="Times New Roman" w:eastAsia="Times New Roman" w:hint="default"/>
          <w:spacing w:val="-3"/>
        </w:rPr>
        <w:t>”</w:t>
      </w:r>
      <w:r>
        <w:rPr>
          <w:spacing w:val="-3"/>
        </w:rPr>
        <w:t>项目，由于补助目的为购建长期资产，该等政府补助为与资产相关的政府补助。</w:t>
      </w:r>
      <w:r>
        <w:rPr>
          <w:spacing w:val="34"/>
        </w:rPr>
        <w:t> </w:t>
      </w:r>
      <w:r>
        <w:rPr>
          <w:spacing w:val="34"/>
        </w:rPr>
      </w:r>
      <w:r>
        <w:rPr>
          <w:spacing w:val="-3"/>
        </w:rPr>
        <w:t>与资产相关的政府补助，确认为递延收益，在相关资产的使用寿命内按照直线法分期平均计入当期损益。</w:t>
      </w:r>
      <w:r>
        <w:rPr>
          <w:w w:val="101"/>
        </w:rPr>
        <w:t> </w:t>
      </w:r>
      <w:r>
        <w:rPr>
          <w:rFonts w:ascii="Times New Roman" w:hAnsi="Times New Roman" w:cs="Times New Roman" w:eastAsia="Times New Roman" w:hint="default"/>
          <w:w w:val="101"/>
        </w:rPr>
      </w:r>
      <w:r>
        <w:rPr>
          <w:rFonts w:ascii="Times New Roman" w:hAnsi="Times New Roman" w:cs="Times New Roman" w:eastAsia="Times New Roman" w:hint="default"/>
          <w:spacing w:val="-3"/>
          <w:u w:val="single" w:color="000000"/>
        </w:rPr>
        <w:t>23.2</w:t>
      </w:r>
      <w:r>
        <w:rPr>
          <w:spacing w:val="-3"/>
          <w:u w:val="single" w:color="000000"/>
        </w:rPr>
        <w:t>与收益相关的政府补助判断依据及会计处理方法</w:t>
      </w:r>
      <w:r>
        <w:rPr>
          <w:spacing w:val="-3"/>
        </w:rPr>
      </w:r>
    </w:p>
    <w:p>
      <w:pPr>
        <w:spacing w:after="0" w:line="309" w:lineRule="auto"/>
        <w:jc w:val="left"/>
        <w:sectPr>
          <w:pgSz w:w="11910" w:h="16840"/>
          <w:pgMar w:header="906" w:footer="1022" w:top="1100" w:bottom="1220" w:left="740" w:right="0"/>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BodyText"/>
        <w:spacing w:line="316" w:lineRule="auto" w:before="60"/>
        <w:ind w:right="858" w:firstLine="360"/>
        <w:jc w:val="both"/>
      </w:pPr>
      <w:r>
        <w:rPr>
          <w:spacing w:val="-1"/>
        </w:rPr>
        <w:t>本集团的政府补助中的增值税进项加计抵减、出口业务贴息资金、广州市企业研发经费投入后补助等补贴，由于补助目的是</w:t>
      </w:r>
      <w:r>
        <w:rPr>
          <w:w w:val="101"/>
        </w:rPr>
        <w:t> </w:t>
      </w:r>
      <w:r>
        <w:rPr>
          <w:spacing w:val="-3"/>
        </w:rPr>
        <w:t>为补偿相关成本费用，该等政府补助为与收益相关的政府补助。</w:t>
      </w:r>
    </w:p>
    <w:p>
      <w:pPr>
        <w:pStyle w:val="BodyText"/>
        <w:spacing w:line="316" w:lineRule="auto" w:before="19"/>
        <w:ind w:right="861" w:firstLine="360"/>
        <w:jc w:val="both"/>
      </w:pPr>
      <w:r>
        <w:rPr>
          <w:spacing w:val="-1"/>
        </w:rPr>
        <w:t>与收益相关的政府补助，用于补偿以后期间的相关成本费用和损失的，确认为递延收益，并在确认相关成本费用或损失的期</w:t>
      </w:r>
      <w:r>
        <w:rPr>
          <w:w w:val="101"/>
        </w:rPr>
        <w:t> </w:t>
      </w:r>
      <w:r>
        <w:rPr>
          <w:spacing w:val="-3"/>
        </w:rPr>
        <w:t>间，计入当期损益；用于补偿已经发生的相关成本费用和损失的，直接计入当期损益。</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bookmarkStart w:name="24、递延所得税资产/递延所得税负债" w:id="203"/>
      <w:bookmarkEnd w:id="203"/>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94" w:right="858"/>
        <w:jc w:val="left"/>
      </w:pPr>
      <w:r>
        <w:rPr>
          <w:spacing w:val="-3"/>
        </w:rPr>
        <w:t>所得税包括当期所得税和递延所得税。</w:t>
      </w:r>
    </w:p>
    <w:p>
      <w:pPr>
        <w:pStyle w:val="BodyText"/>
        <w:spacing w:line="300" w:lineRule="auto" w:before="76"/>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24.1</w:t>
      </w:r>
      <w:r>
        <w:rPr>
          <w:u w:val="single" w:color="000000"/>
        </w:rPr>
        <w:t>当期所得税</w:t>
      </w:r>
      <w:r>
        <w:rPr>
          <w:spacing w:val="-87"/>
          <w:u w:val="single" w:color="000000"/>
        </w:rPr>
        <w:t> </w:t>
      </w:r>
      <w:r>
        <w:rPr>
          <w:spacing w:val="-87"/>
        </w:rPr>
      </w:r>
      <w:r>
        <w:rPr>
          <w:spacing w:val="-87"/>
        </w:rPr>
      </w:r>
      <w:r>
        <w:rPr>
          <w:spacing w:val="-2"/>
        </w:rPr>
        <w:t>资产负债表日，对于当期和以前期间形成的当期所得税负债</w:t>
      </w:r>
      <w:r>
        <w:rPr>
          <w:rFonts w:ascii="Times New Roman" w:hAnsi="Times New Roman" w:cs="Times New Roman" w:eastAsia="Times New Roman" w:hint="default"/>
          <w:spacing w:val="-2"/>
        </w:rPr>
        <w:t>(</w:t>
      </w:r>
      <w:r>
        <w:rPr>
          <w:spacing w:val="-2"/>
        </w:rPr>
        <w:t>或资产</w:t>
      </w:r>
      <w:r>
        <w:rPr>
          <w:rFonts w:ascii="Times New Roman" w:hAnsi="Times New Roman" w:cs="Times New Roman" w:eastAsia="Times New Roman" w:hint="default"/>
          <w:spacing w:val="-2"/>
        </w:rPr>
        <w:t>)</w:t>
      </w:r>
      <w:r>
        <w:rPr>
          <w:spacing w:val="-2"/>
        </w:rPr>
        <w:t>，以按照税法规定计算的预期应交纳</w:t>
      </w:r>
      <w:r>
        <w:rPr>
          <w:rFonts w:ascii="Times New Roman" w:hAnsi="Times New Roman" w:cs="Times New Roman" w:eastAsia="Times New Roman" w:hint="default"/>
          <w:spacing w:val="-2"/>
        </w:rPr>
        <w:t>(</w:t>
      </w:r>
      <w:r>
        <w:rPr>
          <w:spacing w:val="-2"/>
        </w:rPr>
        <w:t>或返还</w:t>
      </w:r>
      <w:r>
        <w:rPr>
          <w:rFonts w:ascii="Times New Roman" w:hAnsi="Times New Roman" w:cs="Times New Roman" w:eastAsia="Times New Roman" w:hint="default"/>
          <w:spacing w:val="-2"/>
        </w:rPr>
        <w:t>)</w:t>
      </w:r>
      <w:r>
        <w:rPr>
          <w:spacing w:val="-2"/>
        </w:rPr>
        <w:t>的所得税金</w:t>
      </w:r>
    </w:p>
    <w:p>
      <w:pPr>
        <w:pStyle w:val="BodyText"/>
        <w:spacing w:line="240" w:lineRule="auto" w:before="13"/>
        <w:ind w:right="0"/>
        <w:jc w:val="both"/>
      </w:pPr>
      <w:r>
        <w:rPr/>
        <w:t>额计量。</w:t>
      </w:r>
    </w:p>
    <w:p>
      <w:pPr>
        <w:pStyle w:val="BodyText"/>
        <w:spacing w:line="300" w:lineRule="auto" w:before="76"/>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spacing w:val="-3"/>
          <w:u w:val="single" w:color="000000"/>
        </w:rPr>
        <w:t>24.2</w:t>
      </w:r>
      <w:r>
        <w:rPr>
          <w:spacing w:val="-3"/>
          <w:u w:val="single" w:color="000000"/>
        </w:rPr>
        <w:t>递延所得税资产及递延所得税负债</w:t>
      </w:r>
      <w:r>
        <w:rPr>
          <w:spacing w:val="-31"/>
          <w:u w:val="single" w:color="000000"/>
        </w:rPr>
        <w:t> </w:t>
      </w:r>
      <w:r>
        <w:rPr>
          <w:spacing w:val="-31"/>
        </w:rPr>
      </w:r>
      <w:r>
        <w:rPr>
          <w:spacing w:val="-31"/>
        </w:rPr>
      </w:r>
      <w:r>
        <w:rPr>
          <w:spacing w:val="-1"/>
        </w:rPr>
        <w:t>对于某些资产、负债项目的账面价值与其计税基础之间的差额，以及未作为资产和负债确认但按照税法规定可以确定其计税</w:t>
      </w:r>
    </w:p>
    <w:p>
      <w:pPr>
        <w:pStyle w:val="BodyText"/>
        <w:spacing w:line="316" w:lineRule="auto" w:before="31"/>
        <w:ind w:left="494" w:right="858" w:hanging="360"/>
        <w:jc w:val="left"/>
      </w:pPr>
      <w:r>
        <w:rPr>
          <w:spacing w:val="-3"/>
        </w:rPr>
        <w:t>基础的项目的账面价值与计税基础之间的差额产生的暂时性差异，采用资产负债表债务法确认递延所得税资产及递延所得税负债。</w:t>
      </w:r>
      <w:r>
        <w:rPr>
          <w:spacing w:val="67"/>
        </w:rPr>
        <w:t> </w:t>
      </w:r>
      <w:r>
        <w:rPr>
          <w:spacing w:val="67"/>
        </w:rPr>
      </w:r>
      <w:r>
        <w:rPr/>
        <w:t>一般情况下所有暂时性差异均确认相关的递延所得税。但对于可抵扣暂时性差异，本集团以很可能取得用来抵扣可抵扣暂时</w:t>
      </w:r>
    </w:p>
    <w:p>
      <w:pPr>
        <w:pStyle w:val="BodyText"/>
        <w:spacing w:line="309" w:lineRule="auto" w:before="19"/>
        <w:ind w:right="860"/>
        <w:jc w:val="both"/>
      </w:pPr>
      <w:r>
        <w:rPr>
          <w:spacing w:val="-1"/>
        </w:rPr>
        <w:t>性差异的应纳税所得额为限，确认相关的递延所得税资产。此外，与商誉的初始确认相关的，以及与既不是企业合并、发生时也</w:t>
      </w:r>
      <w:r>
        <w:rPr>
          <w:spacing w:val="50"/>
        </w:rPr>
        <w:t> </w:t>
      </w:r>
      <w:r>
        <w:rPr>
          <w:spacing w:val="50"/>
        </w:rPr>
      </w:r>
      <w:r>
        <w:rPr>
          <w:spacing w:val="-4"/>
        </w:rPr>
        <w:t>不影响会计利润和应纳税所得额</w:t>
      </w:r>
      <w:r>
        <w:rPr>
          <w:rFonts w:ascii="Times New Roman" w:hAnsi="Times New Roman" w:cs="Times New Roman" w:eastAsia="Times New Roman" w:hint="default"/>
          <w:spacing w:val="-4"/>
        </w:rPr>
        <w:t>(</w:t>
      </w:r>
      <w:r>
        <w:rPr>
          <w:spacing w:val="-4"/>
        </w:rPr>
        <w:t>或可抵扣亏损</w:t>
      </w:r>
      <w:r>
        <w:rPr>
          <w:rFonts w:ascii="Times New Roman" w:hAnsi="Times New Roman" w:cs="Times New Roman" w:eastAsia="Times New Roman" w:hint="default"/>
          <w:spacing w:val="-4"/>
        </w:rPr>
        <w:t>)</w:t>
      </w:r>
      <w:r>
        <w:rPr>
          <w:spacing w:val="-4"/>
        </w:rPr>
        <w:t>的交易中产生的资产或负债的初始确认有关的暂时性差异，不予确认有关的递延所</w:t>
      </w:r>
      <w:r>
        <w:rPr>
          <w:spacing w:val="10"/>
        </w:rPr>
        <w:t> </w:t>
      </w:r>
      <w:r>
        <w:rPr>
          <w:spacing w:val="10"/>
        </w:rPr>
      </w:r>
      <w:r>
        <w:rPr/>
        <w:t>得税资产或负债。</w:t>
      </w:r>
    </w:p>
    <w:p>
      <w:pPr>
        <w:pStyle w:val="BodyText"/>
        <w:spacing w:line="316" w:lineRule="auto" w:before="24"/>
        <w:ind w:right="861" w:firstLine="360"/>
        <w:jc w:val="both"/>
      </w:pPr>
      <w:r>
        <w:rPr>
          <w:spacing w:val="-1"/>
        </w:rPr>
        <w:t>对于能够结转以后年度的可抵扣亏损及税款抵减，以很可能获得用来抵扣可抵扣亏损和税款抵减的未来应纳税所得额为限，</w:t>
      </w:r>
      <w:r>
        <w:rPr>
          <w:w w:val="101"/>
        </w:rPr>
        <w:t> </w:t>
      </w:r>
      <w:r>
        <w:rPr>
          <w:spacing w:val="-3"/>
        </w:rPr>
        <w:t>确认相应的递延所得税资产。</w:t>
      </w:r>
    </w:p>
    <w:p>
      <w:pPr>
        <w:pStyle w:val="BodyText"/>
        <w:spacing w:line="316" w:lineRule="auto" w:before="19"/>
        <w:ind w:right="858" w:firstLine="360"/>
        <w:jc w:val="both"/>
      </w:pPr>
      <w:r>
        <w:rPr>
          <w:spacing w:val="-1"/>
        </w:rPr>
        <w:t>本集团确认与子公司及联营企业投资相关的应纳税暂时性差异产生的递延所得税负债，除非本集团能够控制暂时性差异转回</w:t>
      </w:r>
      <w:r>
        <w:rPr>
          <w:w w:val="101"/>
        </w:rPr>
        <w:t> </w:t>
      </w:r>
      <w:r>
        <w:rPr>
          <w:spacing w:val="-1"/>
        </w:rPr>
        <w:t>的时间，而且该暂时性差异在可预见的未来很可能不会转回。对于与子公司及联营企业投资相关的可抵扣暂时性差异，只有当暂</w:t>
      </w:r>
      <w:r>
        <w:rPr>
          <w:spacing w:val="50"/>
        </w:rPr>
        <w:t> </w:t>
      </w:r>
      <w:r>
        <w:rPr>
          <w:spacing w:val="50"/>
        </w:rPr>
      </w:r>
      <w:r>
        <w:rPr>
          <w:spacing w:val="-1"/>
        </w:rPr>
        <w:t>时性差异在可预见的未来很可能转回，且未来很可能获得用来抵扣可抵扣暂时性差异的应纳税所得额时，本集团才确认递延所得</w:t>
      </w:r>
      <w:r>
        <w:rPr>
          <w:spacing w:val="52"/>
        </w:rPr>
        <w:t> </w:t>
      </w:r>
      <w:r>
        <w:rPr>
          <w:spacing w:val="52"/>
        </w:rPr>
      </w:r>
      <w:r>
        <w:rPr/>
        <w:t>税资产。</w:t>
      </w:r>
    </w:p>
    <w:p>
      <w:pPr>
        <w:pStyle w:val="BodyText"/>
        <w:spacing w:line="316" w:lineRule="auto" w:before="19"/>
        <w:ind w:right="861" w:firstLine="360"/>
        <w:jc w:val="both"/>
      </w:pPr>
      <w:r>
        <w:rPr>
          <w:spacing w:val="-1"/>
        </w:rPr>
        <w:t>资产负债表日，对于递延所得税资产和递延所得税负债，根据税法规定，按照预期收回相关资产或清偿相关负债期间的适用</w:t>
      </w:r>
      <w:r>
        <w:rPr>
          <w:w w:val="101"/>
        </w:rPr>
        <w:t> </w:t>
      </w:r>
      <w:r>
        <w:rPr/>
        <w:t>税率计量。</w:t>
      </w:r>
    </w:p>
    <w:p>
      <w:pPr>
        <w:pStyle w:val="BodyText"/>
        <w:spacing w:line="316" w:lineRule="auto" w:before="19"/>
        <w:ind w:right="861" w:firstLine="360"/>
        <w:jc w:val="both"/>
      </w:pPr>
      <w:r>
        <w:rPr>
          <w:spacing w:val="-1"/>
        </w:rPr>
        <w:t>除与直接计入其他综合收益或股东权益的交易和事项相关的当期所得税和递延所得税计入其他综合收益或股东权益，以及企</w:t>
      </w:r>
      <w:r>
        <w:rPr>
          <w:w w:val="101"/>
        </w:rPr>
        <w:t> </w:t>
      </w:r>
      <w:r>
        <w:rPr>
          <w:spacing w:val="-3"/>
        </w:rPr>
        <w:t>业合并产生的递延所得税调整商誉的账面价值外，其余当期所得税和递延所得税费用或收益计入当期损益。</w:t>
      </w:r>
    </w:p>
    <w:p>
      <w:pPr>
        <w:pStyle w:val="BodyText"/>
        <w:spacing w:line="316" w:lineRule="auto" w:before="19"/>
        <w:ind w:right="861" w:firstLine="360"/>
        <w:jc w:val="both"/>
      </w:pPr>
      <w:r>
        <w:rPr>
          <w:spacing w:val="-1"/>
        </w:rPr>
        <w:t>资产负债表日，对递延所得税资产的账面价值进行复核，如果未来很可能无法获得足够的应纳税所得额用以抵扣递延所得税</w:t>
      </w:r>
      <w:r>
        <w:rPr>
          <w:w w:val="101"/>
        </w:rPr>
        <w:t> </w:t>
      </w:r>
      <w:r>
        <w:rPr>
          <w:spacing w:val="-3"/>
        </w:rPr>
        <w:t>资产的利益，则减记递延所得税资产的账面价值。在很可能获得足够的应纳税所得额时，减记的金额予以转回。</w:t>
      </w:r>
    </w:p>
    <w:p>
      <w:pPr>
        <w:pStyle w:val="BodyText"/>
        <w:spacing w:line="300" w:lineRule="auto" w:before="19"/>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24.3</w:t>
      </w:r>
      <w:r>
        <w:rPr>
          <w:u w:val="single" w:color="000000"/>
        </w:rPr>
        <w:t>所得税的抵销</w:t>
      </w:r>
      <w:r>
        <w:rPr>
          <w:spacing w:val="-85"/>
          <w:u w:val="single" w:color="000000"/>
        </w:rPr>
        <w:t> </w:t>
      </w:r>
      <w:r>
        <w:rPr>
          <w:spacing w:val="-85"/>
        </w:rPr>
      </w:r>
      <w:r>
        <w:rPr>
          <w:spacing w:val="-85"/>
        </w:rPr>
      </w:r>
      <w:r>
        <w:rPr>
          <w:spacing w:val="-1"/>
        </w:rPr>
        <w:t>当拥有以净额结算的法定权利，且意图以净额结算或取得资产、清偿负债同时进行时，本集团当期所得税资产及当期所得税</w:t>
      </w:r>
    </w:p>
    <w:p>
      <w:pPr>
        <w:pStyle w:val="BodyText"/>
        <w:spacing w:line="316" w:lineRule="auto" w:before="31"/>
        <w:ind w:left="494" w:right="858" w:hanging="360"/>
        <w:jc w:val="left"/>
      </w:pPr>
      <w:r>
        <w:rPr>
          <w:spacing w:val="-3"/>
        </w:rPr>
        <w:t>负债以抵销后的净额列报。</w:t>
      </w:r>
      <w:r>
        <w:rPr>
          <w:spacing w:val="-51"/>
        </w:rPr>
        <w:t> </w:t>
      </w:r>
      <w:r>
        <w:rPr>
          <w:spacing w:val="-51"/>
        </w:rPr>
      </w:r>
      <w:r>
        <w:rPr>
          <w:spacing w:val="-1"/>
        </w:rPr>
        <w:t>当拥有以净额结算当期所得税资产及当期所得税负债的法定权利，且递延所得税资产及递延所得税负债是与同一税收征管部</w:t>
      </w:r>
    </w:p>
    <w:p>
      <w:pPr>
        <w:pStyle w:val="BodyText"/>
        <w:spacing w:line="316" w:lineRule="auto" w:before="19"/>
        <w:ind w:right="859"/>
        <w:jc w:val="both"/>
      </w:pPr>
      <w:r>
        <w:rPr>
          <w:spacing w:val="-1"/>
        </w:rPr>
        <w:t>门对同一纳税主体征收的所得税相关或者是对不同的纳税主体相关，但在未来每一具有重要性的递延所得税资产及负债转回的期</w:t>
      </w:r>
      <w:r>
        <w:rPr>
          <w:spacing w:val="50"/>
        </w:rPr>
        <w:t> </w:t>
      </w:r>
      <w:r>
        <w:rPr>
          <w:spacing w:val="50"/>
        </w:rPr>
      </w:r>
      <w:r>
        <w:rPr>
          <w:spacing w:val="-1"/>
        </w:rPr>
        <w:t>间内，涉及的纳税主体意图以净额结算当期所得税资产和负债或是同时取得资产、清偿负债时，本集团递延所得税资产及递延所</w:t>
      </w:r>
      <w:r>
        <w:rPr>
          <w:spacing w:val="51"/>
        </w:rPr>
        <w:t> </w:t>
      </w:r>
      <w:r>
        <w:rPr>
          <w:spacing w:val="51"/>
        </w:rPr>
      </w:r>
      <w:r>
        <w:rPr>
          <w:spacing w:val="-3"/>
        </w:rPr>
        <w:t>得税负债以抵销后的净额列报。</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bookmarkStart w:name="25、租赁" w:id="204"/>
      <w:bookmarkEnd w:id="204"/>
      <w:r>
        <w:rPr>
          <w:b w:val="0"/>
          <w:bCs w:val="0"/>
        </w:rPr>
      </w:r>
      <w:r>
        <w:rPr>
          <w:rFonts w:ascii="Times New Roman" w:hAnsi="Times New Roman" w:cs="Times New Roman" w:eastAsia="Times New Roman" w:hint="default"/>
        </w:rPr>
        <w:t>25</w:t>
      </w:r>
      <w:r>
        <w:rPr/>
        <w:t>、租赁</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both"/>
        <w:rPr>
          <w:b w:val="0"/>
          <w:bCs w:val="0"/>
        </w:rPr>
      </w:pPr>
      <w:bookmarkStart w:name="（1）经营租赁的会计处理方法" w:id="205"/>
      <w:bookmarkEnd w:id="20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0"/>
        <w:rPr>
          <w:rFonts w:ascii="宋体" w:hAnsi="宋体" w:cs="宋体" w:eastAsia="宋体" w:hint="default"/>
          <w:b/>
          <w:bCs/>
          <w:sz w:val="26"/>
          <w:szCs w:val="26"/>
        </w:rPr>
      </w:pPr>
    </w:p>
    <w:p>
      <w:pPr>
        <w:pStyle w:val="BodyText"/>
        <w:spacing w:line="309" w:lineRule="auto"/>
        <w:ind w:left="494" w:right="858"/>
        <w:jc w:val="left"/>
      </w:pPr>
      <w:r>
        <w:rPr>
          <w:spacing w:val="-3"/>
        </w:rPr>
        <w:t>实质上转移了与资产所有权有关的全部风险和报酬的租赁为融资租赁。融资租赁以外的其他租赁为经营租赁。</w:t>
      </w:r>
      <w:r>
        <w:rPr>
          <w:spacing w:val="49"/>
        </w:rPr>
        <w:t> </w:t>
      </w:r>
      <w:r>
        <w:rPr>
          <w:spacing w:val="49"/>
        </w:rPr>
      </w:r>
      <w:r>
        <w:rPr>
          <w:rFonts w:ascii="Times New Roman" w:hAnsi="Times New Roman" w:cs="Times New Roman" w:eastAsia="Times New Roman" w:hint="default"/>
          <w:spacing w:val="49"/>
        </w:rPr>
      </w:r>
      <w:r>
        <w:rPr>
          <w:rFonts w:ascii="Times New Roman" w:hAnsi="Times New Roman" w:cs="Times New Roman" w:eastAsia="Times New Roman" w:hint="default"/>
          <w:u w:val="single" w:color="000000"/>
        </w:rPr>
        <w:t>25.1</w:t>
      </w:r>
      <w:r>
        <w:rPr>
          <w:u w:val="single" w:color="000000"/>
        </w:rPr>
        <w:t>本集团作为承租人记录经营租赁业务</w:t>
      </w:r>
      <w:r>
        <w:rPr>
          <w:spacing w:val="-86"/>
          <w:u w:val="single" w:color="000000"/>
        </w:rPr>
        <w:t> </w:t>
      </w:r>
      <w:r>
        <w:rPr>
          <w:spacing w:val="-86"/>
        </w:rPr>
      </w:r>
      <w:r>
        <w:rPr>
          <w:spacing w:val="-86"/>
        </w:rPr>
      </w:r>
      <w:r>
        <w:rPr>
          <w:spacing w:val="-1"/>
        </w:rPr>
        <w:t>经营租赁的租金支出在租赁期内的各个期间按直线法计入相关资产成本或当期损益。初始直接费用计入当期损益。或有租金</w:t>
      </w:r>
    </w:p>
    <w:p>
      <w:pPr>
        <w:pStyle w:val="BodyText"/>
        <w:spacing w:line="240" w:lineRule="auto" w:before="24"/>
        <w:ind w:right="0"/>
        <w:jc w:val="both"/>
      </w:pPr>
      <w:r>
        <w:rPr>
          <w:spacing w:val="-3"/>
        </w:rPr>
        <w:t>于实际发生时计入当期损益。</w:t>
      </w:r>
    </w:p>
    <w:p>
      <w:pPr>
        <w:spacing w:after="0" w:line="240" w:lineRule="auto"/>
        <w:jc w:val="both"/>
        <w:sectPr>
          <w:pgSz w:w="11910" w:h="16840"/>
          <w:pgMar w:header="906" w:footer="1022" w:top="1100" w:bottom="1220" w:left="740" w:right="0"/>
        </w:sectPr>
      </w:pPr>
    </w:p>
    <w:p>
      <w:pPr>
        <w:pStyle w:val="BodyText"/>
        <w:spacing w:line="300" w:lineRule="auto" w:before="80"/>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25.2</w:t>
      </w:r>
      <w:r>
        <w:rPr>
          <w:u w:val="single" w:color="000000"/>
        </w:rPr>
        <w:t>本集团作为出租人记录经营租赁业务</w:t>
      </w:r>
      <w:r>
        <w:rPr>
          <w:spacing w:val="-86"/>
          <w:u w:val="single" w:color="000000"/>
        </w:rPr>
        <w:t> </w:t>
      </w:r>
      <w:r>
        <w:rPr>
          <w:spacing w:val="-86"/>
        </w:rPr>
      </w:r>
      <w:r>
        <w:rPr>
          <w:spacing w:val="-86"/>
        </w:rPr>
      </w:r>
      <w:r>
        <w:rPr>
          <w:spacing w:val="-1"/>
        </w:rPr>
        <w:t>经营租赁的租金收入在租赁期内的各个期间按直线法确认为当期损益。对金额较大的初始直接费用于发生时予以资本化，在</w:t>
      </w:r>
    </w:p>
    <w:p>
      <w:pPr>
        <w:pStyle w:val="BodyText"/>
        <w:spacing w:line="240" w:lineRule="auto" w:before="31"/>
        <w:ind w:right="0"/>
        <w:jc w:val="both"/>
      </w:pPr>
      <w:r>
        <w:rPr>
          <w:spacing w:val="-3"/>
        </w:rPr>
        <w:t>整个租赁期间内按照与确认租金收入相同的基础分期计入当期损益；其他金额较小的初始直接费用于发生时计入当期损益。</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bookmarkStart w:name="（2）融资租赁的会计处理方法" w:id="206"/>
      <w:bookmarkEnd w:id="20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spacing w:val="-3"/>
        </w:rPr>
        <w:t>本公司无融资租赁业务。</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bookmarkStart w:name="26、其他重要的会计政策和会计估计" w:id="207"/>
      <w:bookmarkEnd w:id="207"/>
      <w:r>
        <w:rPr>
          <w:b w:val="0"/>
          <w:bCs w:val="0"/>
        </w:rPr>
      </w:r>
      <w:r>
        <w:rPr>
          <w:rFonts w:ascii="Times New Roman" w:hAnsi="Times New Roman" w:cs="Times New Roman" w:eastAsia="Times New Roman" w:hint="default"/>
        </w:rPr>
        <w:t>26</w:t>
      </w:r>
      <w:r>
        <w:rPr/>
        <w:t>、其他重要的会计政策和会计估计</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858" w:firstLine="360"/>
        <w:jc w:val="left"/>
      </w:pPr>
      <w:r>
        <w:rPr>
          <w:spacing w:val="-3"/>
        </w:rPr>
        <w:t>本集团在运用会计政策过程中，由于经营活动内在的不确定性，本集团需要对无法准确计量的报表项目的账面价值进行判断、</w:t>
      </w:r>
      <w:r>
        <w:rPr>
          <w:w w:val="101"/>
        </w:rPr>
        <w:t> </w:t>
      </w:r>
      <w:r>
        <w:rPr/>
        <w:t>估计和假设。这些判断、估计和假设是基于本集团管理层过去的历史经验，并在考虑其他相关因素的基础上作出的。实际的结果</w:t>
      </w:r>
      <w:r>
        <w:rPr>
          <w:spacing w:val="-6"/>
        </w:rPr>
        <w:t> </w:t>
      </w:r>
      <w:r>
        <w:rPr>
          <w:spacing w:val="-6"/>
        </w:rPr>
      </w:r>
      <w:r>
        <w:rPr>
          <w:spacing w:val="-3"/>
        </w:rPr>
        <w:t>可能与本集团的估计存在差异。</w:t>
      </w:r>
    </w:p>
    <w:p>
      <w:pPr>
        <w:pStyle w:val="BodyText"/>
        <w:spacing w:line="316" w:lineRule="auto" w:before="19"/>
        <w:ind w:right="858" w:firstLine="360"/>
        <w:jc w:val="left"/>
      </w:pPr>
      <w:r>
        <w:rPr>
          <w:spacing w:val="-1"/>
        </w:rPr>
        <w:t>本集团对前述判断、估计和假设在持续经营的基础上进行定期复核，会计估计的变更仅影响变更当期的，其影响数在变更当</w:t>
      </w:r>
      <w:r>
        <w:rPr>
          <w:w w:val="101"/>
        </w:rPr>
        <w:t> </w:t>
      </w:r>
      <w:r>
        <w:rPr>
          <w:spacing w:val="-3"/>
        </w:rPr>
        <w:t>期予以确认；既影响变更当期又影响未来期间的，其影响数在变更当期和未来期间予以确认。</w:t>
      </w:r>
    </w:p>
    <w:p>
      <w:pPr>
        <w:pStyle w:val="BodyText"/>
        <w:spacing w:line="316" w:lineRule="auto" w:before="19"/>
        <w:ind w:left="494" w:right="858"/>
        <w:jc w:val="left"/>
      </w:pPr>
      <w:r>
        <w:rPr>
          <w:spacing w:val="-3"/>
        </w:rPr>
        <w:t>资产负债表日，会计估计中很可能导致未来期间资产、负债账面价值作出重大调整的关键假设和不确定性主要有：</w:t>
      </w:r>
      <w:r>
        <w:rPr>
          <w:spacing w:val="54"/>
        </w:rPr>
        <w:t> </w:t>
      </w:r>
      <w:r>
        <w:rPr>
          <w:spacing w:val="54"/>
        </w:rPr>
      </w:r>
      <w:r>
        <w:rPr/>
        <w:t>商誉减值准备</w:t>
      </w:r>
      <w:r>
        <w:rPr>
          <w:spacing w:val="-86"/>
        </w:rPr>
        <w:t> </w:t>
      </w:r>
      <w:r>
        <w:rPr>
          <w:spacing w:val="-86"/>
        </w:rPr>
      </w:r>
      <w:r>
        <w:rPr>
          <w:spacing w:val="-1"/>
        </w:rPr>
        <w:t>本集团根据自购买日起将商誉的账面价值按照合理的方法分摊到能够从企业合并的协同效应中受益的资产组或资产组组合的</w:t>
      </w:r>
    </w:p>
    <w:p>
      <w:pPr>
        <w:pStyle w:val="BodyText"/>
        <w:spacing w:line="319" w:lineRule="auto" w:before="19"/>
        <w:ind w:right="860"/>
        <w:jc w:val="both"/>
      </w:pPr>
      <w:r>
        <w:rPr>
          <w:spacing w:val="-1"/>
        </w:rPr>
        <w:t>可收回金额为判断基础确认减值准备。当包含分摊的商誉的资产组或资产组组合的可收回金额低于其账面价值时需要确认减值准</w:t>
      </w:r>
      <w:r>
        <w:rPr>
          <w:spacing w:val="50"/>
        </w:rPr>
        <w:t> </w:t>
      </w:r>
      <w:r>
        <w:rPr>
          <w:spacing w:val="50"/>
        </w:rPr>
      </w:r>
      <w:r>
        <w:rPr>
          <w:spacing w:val="-1"/>
        </w:rPr>
        <w:t>备。减值准备的确认需要运用判断和估计，如重新估计结果与现有估计存在差异，该差异将会影响估计改变期间的商誉的账面价</w:t>
      </w:r>
      <w:r>
        <w:rPr>
          <w:spacing w:val="50"/>
        </w:rPr>
        <w:t> </w:t>
      </w:r>
      <w:r>
        <w:rPr>
          <w:spacing w:val="50"/>
        </w:rPr>
      </w:r>
      <w:r>
        <w:rPr/>
        <w:t>值。</w:t>
      </w:r>
    </w:p>
    <w:p>
      <w:pPr>
        <w:pStyle w:val="BodyText"/>
        <w:spacing w:line="316" w:lineRule="auto" w:before="17"/>
        <w:ind w:left="494" w:right="858"/>
        <w:jc w:val="left"/>
      </w:pPr>
      <w:r>
        <w:rPr/>
        <w:t>递延所得税资产的确认</w:t>
      </w:r>
      <w:r>
        <w:rPr>
          <w:spacing w:val="-86"/>
        </w:rPr>
        <w:t> </w:t>
      </w:r>
      <w:r>
        <w:rPr>
          <w:spacing w:val="-86"/>
        </w:rPr>
      </w: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日，本集团已确认递延所得税资产为人民币</w:t>
      </w:r>
      <w:r>
        <w:rPr>
          <w:rFonts w:ascii="Times New Roman" w:hAnsi="Times New Roman" w:cs="Times New Roman" w:eastAsia="Times New Roman" w:hint="default"/>
          <w:spacing w:val="-2"/>
        </w:rPr>
        <w:t>37,713,832.57</w:t>
      </w:r>
      <w:r>
        <w:rPr>
          <w:spacing w:val="-2"/>
        </w:rPr>
        <w:t>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日：人民币</w:t>
      </w:r>
      <w:r>
        <w:rPr>
          <w:rFonts w:ascii="Times New Roman" w:hAnsi="Times New Roman" w:cs="Times New Roman" w:eastAsia="Times New Roman" w:hint="default"/>
          <w:spacing w:val="-2"/>
        </w:rPr>
        <w:t>10,735,447.84</w:t>
      </w:r>
      <w:r>
        <w:rPr>
          <w:spacing w:val="-2"/>
        </w:rPr>
        <w:t>元</w:t>
      </w:r>
      <w:r>
        <w:rPr>
          <w:rFonts w:ascii="Times New Roman" w:hAnsi="Times New Roman" w:cs="Times New Roman" w:eastAsia="Times New Roman" w:hint="default"/>
          <w:spacing w:val="-2"/>
        </w:rPr>
        <w:t>)</w:t>
      </w:r>
      <w:r>
        <w:rPr>
          <w:spacing w:val="-2"/>
        </w:rPr>
        <w:t>，列于</w:t>
      </w:r>
    </w:p>
    <w:p>
      <w:pPr>
        <w:pStyle w:val="BodyText"/>
        <w:spacing w:line="319" w:lineRule="auto"/>
        <w:ind w:right="860"/>
        <w:jc w:val="both"/>
      </w:pPr>
      <w:r>
        <w:rPr>
          <w:spacing w:val="-1"/>
        </w:rPr>
        <w:t>合并资产负债表中。如对未来盈利情况不能合理预期或不能确认可以得到税务机关税前抵扣的认可，则不确认递延所得税资产。</w:t>
      </w:r>
      <w:r>
        <w:rPr>
          <w:spacing w:val="50"/>
        </w:rPr>
        <w:t> </w:t>
      </w:r>
      <w:r>
        <w:rPr>
          <w:spacing w:val="50"/>
        </w:rPr>
      </w:r>
      <w:r>
        <w:rPr>
          <w:spacing w:val="-1"/>
        </w:rPr>
        <w:t>递延所得税资产的实现主要取决于未来的实际盈利及暂时性差异在未来使用年度的实际税率。如未来实际产生的盈利少于预期，</w:t>
      </w:r>
      <w:r>
        <w:rPr>
          <w:spacing w:val="50"/>
        </w:rPr>
        <w:t> </w:t>
      </w:r>
      <w:r>
        <w:rPr>
          <w:spacing w:val="50"/>
        </w:rPr>
      </w:r>
      <w:r>
        <w:rPr>
          <w:spacing w:val="-1"/>
        </w:rPr>
        <w:t>或实际税率低于预期，确认的递延所得税资产将被转回，确认在转回发生期间的利润表中。如未来实际产生的应纳税所得额多于</w:t>
      </w:r>
      <w:r>
        <w:rPr>
          <w:spacing w:val="50"/>
        </w:rPr>
        <w:t> </w:t>
      </w:r>
      <w:r>
        <w:rPr>
          <w:spacing w:val="50"/>
        </w:rPr>
      </w:r>
      <w:r>
        <w:rPr>
          <w:spacing w:val="-3"/>
        </w:rPr>
        <w:t>预期，或实际税率高于预期，将调整相应的递延所得税资产，确认在该情况发生期间的利润表中。</w:t>
      </w:r>
    </w:p>
    <w:p>
      <w:pPr>
        <w:pStyle w:val="BodyText"/>
        <w:spacing w:line="316" w:lineRule="auto" w:before="17"/>
        <w:ind w:left="494" w:right="858"/>
        <w:jc w:val="left"/>
      </w:pPr>
      <w:r>
        <w:rPr/>
        <w:t>信用损失准备</w:t>
      </w:r>
      <w:r>
        <w:rPr>
          <w:spacing w:val="-86"/>
        </w:rPr>
        <w:t> </w:t>
      </w:r>
      <w:r>
        <w:rPr>
          <w:spacing w:val="-86"/>
        </w:rPr>
      </w:r>
      <w:r>
        <w:rPr>
          <w:spacing w:val="-1"/>
        </w:rPr>
        <w:t>本集团以应收款项的预期信用损失率的估计为基础确认信用损失准备。报告年末，本集团根据现有客户的历史数据及前瞻性</w:t>
      </w:r>
    </w:p>
    <w:p>
      <w:pPr>
        <w:pStyle w:val="BodyText"/>
        <w:spacing w:line="316" w:lineRule="auto" w:before="19"/>
        <w:ind w:right="860"/>
        <w:jc w:val="both"/>
      </w:pPr>
      <w:r>
        <w:rPr>
          <w:spacing w:val="-1"/>
        </w:rPr>
        <w:t>信息对预期信用损失率的估计以及信用损失准备作出调整。如重新估计结果与现有估计存在差异，该差异将会影响估计改变的期</w:t>
      </w:r>
      <w:r>
        <w:rPr>
          <w:spacing w:val="50"/>
        </w:rPr>
        <w:t> </w:t>
      </w:r>
      <w:r>
        <w:rPr>
          <w:spacing w:val="50"/>
        </w:rPr>
      </w:r>
      <w:r>
        <w:rPr>
          <w:spacing w:val="-3"/>
        </w:rPr>
        <w:t>间的应收款项账面价值及损益。</w:t>
      </w:r>
    </w:p>
    <w:p>
      <w:pPr>
        <w:pStyle w:val="BodyText"/>
        <w:spacing w:line="357" w:lineRule="auto" w:before="62"/>
        <w:ind w:left="494" w:right="858"/>
        <w:jc w:val="left"/>
      </w:pPr>
      <w:r>
        <w:rPr>
          <w:spacing w:val="-3"/>
        </w:rPr>
        <w:t>金融工具的公允价值</w:t>
      </w:r>
      <w:r>
        <w:rPr>
          <w:spacing w:val="-62"/>
        </w:rPr>
        <w:t> </w:t>
      </w:r>
      <w:r>
        <w:rPr>
          <w:spacing w:val="-62"/>
        </w:rPr>
      </w:r>
      <w:r>
        <w:rPr>
          <w:spacing w:val="-1"/>
        </w:rPr>
        <w:t>本集团以公允价值计量的金融资产中包括公允价值在第三层次计量的金融工具。在对公允价值在第三层次计量的金融工具采</w:t>
      </w:r>
    </w:p>
    <w:p>
      <w:pPr>
        <w:pStyle w:val="BodyText"/>
        <w:spacing w:line="224" w:lineRule="exact"/>
        <w:ind w:right="0"/>
        <w:jc w:val="both"/>
      </w:pPr>
      <w:r>
        <w:rPr/>
        <w:t>用公允价值进行后续计量时，由于其属于不存在活跃交易市场的金融工具，需要根据主观判断和市场假设建立估值模型确定其公</w:t>
      </w:r>
    </w:p>
    <w:p>
      <w:pPr>
        <w:pStyle w:val="BodyText"/>
        <w:spacing w:line="321" w:lineRule="auto" w:before="76"/>
        <w:ind w:right="860"/>
        <w:jc w:val="both"/>
      </w:pPr>
      <w:r>
        <w:rPr>
          <w:spacing w:val="-1"/>
        </w:rPr>
        <w:t>允价值。本集团采用的估值方法包括现金流量折现法、市场法和限售期股票的评估模型。本集团对一些特定领域的假设，如市场</w:t>
      </w:r>
      <w:r>
        <w:rPr>
          <w:spacing w:val="50"/>
        </w:rPr>
        <w:t> </w:t>
      </w:r>
      <w:r>
        <w:rPr>
          <w:spacing w:val="50"/>
        </w:rPr>
      </w:r>
      <w:r>
        <w:rPr>
          <w:spacing w:val="-3"/>
        </w:rPr>
        <w:t>波动率和相关性做出估计。相关假设的变化会对金融工具的公允价值估值产生影响。</w:t>
      </w:r>
    </w:p>
    <w:p>
      <w:pPr>
        <w:spacing w:after="0" w:line="321" w:lineRule="auto"/>
        <w:jc w:val="both"/>
        <w:sectPr>
          <w:pgSz w:w="11910" w:h="16840"/>
          <w:pgMar w:header="906" w:footer="1022" w:top="1100" w:bottom="1220" w:left="740" w:right="0"/>
        </w:sectPr>
      </w:pPr>
    </w:p>
    <w:p>
      <w:pPr>
        <w:spacing w:line="20" w:lineRule="exact"/>
        <w:ind w:left="2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234" w:right="7211"/>
        <w:jc w:val="left"/>
        <w:rPr>
          <w:b w:val="0"/>
          <w:bCs w:val="0"/>
        </w:rPr>
      </w:pPr>
      <w:bookmarkStart w:name="27、重要会计政策和会计估计变更" w:id="208"/>
      <w:bookmarkEnd w:id="208"/>
      <w:r>
        <w:rPr>
          <w:b w:val="0"/>
          <w:bCs w:val="0"/>
        </w:rPr>
      </w:r>
      <w:r>
        <w:rPr>
          <w:rFonts w:ascii="Times New Roman" w:hAnsi="Times New Roman" w:cs="Times New Roman" w:eastAsia="Times New Roman" w:hint="default"/>
        </w:rPr>
        <w:t>27</w:t>
      </w:r>
      <w:r>
        <w:rPr/>
        <w:t>、重要会计政策和会计估计变更</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234" w:right="7211"/>
        <w:jc w:val="left"/>
        <w:rPr>
          <w:b w:val="0"/>
          <w:bCs w:val="0"/>
        </w:rPr>
      </w:pPr>
      <w:bookmarkStart w:name="（1）重要会计政策变更" w:id="209"/>
      <w:bookmarkEnd w:id="20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234" w:right="721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12"/>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8461"/>
        <w:gridCol w:w="1484"/>
        <w:gridCol w:w="437"/>
      </w:tblGrid>
      <w:tr>
        <w:trPr>
          <w:trHeight w:val="710" w:hRule="exact"/>
        </w:trPr>
        <w:tc>
          <w:tcPr>
            <w:tcW w:w="8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4" w:right="119"/>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pacing w:val="-88"/>
                <w:sz w:val="18"/>
                <w:szCs w:val="18"/>
              </w:rPr>
              <w:t> </w:t>
            </w:r>
            <w:r>
              <w:rPr>
                <w:rFonts w:ascii="宋体" w:hAnsi="宋体" w:cs="宋体" w:eastAsia="宋体" w:hint="default"/>
                <w:sz w:val="18"/>
                <w:szCs w:val="18"/>
              </w:rPr>
              <w:t>注</w:t>
            </w:r>
          </w:p>
        </w:tc>
      </w:tr>
      <w:tr>
        <w:trPr>
          <w:trHeight w:val="6645" w:hRule="exact"/>
        </w:trPr>
        <w:tc>
          <w:tcPr>
            <w:tcW w:w="8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新金融工具准则</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本</w:t>
            </w:r>
            <w:r>
              <w:rPr>
                <w:rFonts w:ascii="宋体" w:hAnsi="宋体" w:cs="宋体" w:eastAsia="宋体" w:hint="default"/>
                <w:spacing w:val="-5"/>
                <w:w w:val="101"/>
                <w:sz w:val="18"/>
                <w:szCs w:val="18"/>
              </w:rPr>
              <w:t>集</w:t>
            </w:r>
            <w:r>
              <w:rPr>
                <w:rFonts w:ascii="宋体" w:hAnsi="宋体" w:cs="宋体" w:eastAsia="宋体" w:hint="default"/>
                <w:w w:val="101"/>
                <w:sz w:val="18"/>
                <w:szCs w:val="18"/>
              </w:rPr>
              <w:t>团自</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起</w:t>
            </w:r>
            <w:r>
              <w:rPr>
                <w:rFonts w:ascii="宋体" w:hAnsi="宋体" w:cs="宋体" w:eastAsia="宋体" w:hint="default"/>
                <w:w w:val="101"/>
                <w:sz w:val="18"/>
                <w:szCs w:val="18"/>
              </w:rPr>
              <w:t>执</w:t>
            </w:r>
            <w:r>
              <w:rPr>
                <w:rFonts w:ascii="宋体" w:hAnsi="宋体" w:cs="宋体" w:eastAsia="宋体" w:hint="default"/>
                <w:spacing w:val="-5"/>
                <w:w w:val="101"/>
                <w:sz w:val="18"/>
                <w:szCs w:val="18"/>
              </w:rPr>
              <w:t>行</w:t>
            </w:r>
            <w:r>
              <w:rPr>
                <w:rFonts w:ascii="宋体" w:hAnsi="宋体" w:cs="宋体" w:eastAsia="宋体" w:hint="default"/>
                <w:w w:val="101"/>
                <w:sz w:val="18"/>
                <w:szCs w:val="18"/>
              </w:rPr>
              <w:t>财</w:t>
            </w:r>
            <w:r>
              <w:rPr>
                <w:rFonts w:ascii="宋体" w:hAnsi="宋体" w:cs="宋体" w:eastAsia="宋体" w:hint="default"/>
                <w:spacing w:val="-5"/>
                <w:w w:val="101"/>
                <w:sz w:val="18"/>
                <w:szCs w:val="18"/>
              </w:rPr>
              <w:t>政部</w:t>
            </w:r>
            <w:r>
              <w:rPr>
                <w:rFonts w:ascii="宋体" w:hAnsi="宋体" w:cs="宋体" w:eastAsia="宋体" w:hint="default"/>
                <w:w w:val="101"/>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修</w:t>
            </w:r>
            <w:r>
              <w:rPr>
                <w:rFonts w:ascii="宋体" w:hAnsi="宋体" w:cs="宋体" w:eastAsia="宋体" w:hint="default"/>
                <w:w w:val="101"/>
                <w:sz w:val="18"/>
                <w:szCs w:val="18"/>
              </w:rPr>
              <w:t>订</w:t>
            </w:r>
            <w:r>
              <w:rPr>
                <w:rFonts w:ascii="宋体" w:hAnsi="宋体" w:cs="宋体" w:eastAsia="宋体" w:hint="default"/>
                <w:spacing w:val="-92"/>
                <w:w w:val="101"/>
                <w:sz w:val="18"/>
                <w:szCs w:val="18"/>
              </w:rPr>
              <w:t>的</w:t>
            </w:r>
            <w:r>
              <w:rPr>
                <w:rFonts w:ascii="宋体" w:hAnsi="宋体" w:cs="宋体" w:eastAsia="宋体" w:hint="default"/>
                <w:spacing w:val="-5"/>
                <w:w w:val="101"/>
                <w:sz w:val="18"/>
                <w:szCs w:val="18"/>
              </w:rPr>
              <w:t>《企</w:t>
            </w:r>
            <w:r>
              <w:rPr>
                <w:rFonts w:ascii="宋体" w:hAnsi="宋体" w:cs="宋体" w:eastAsia="宋体" w:hint="default"/>
                <w:w w:val="101"/>
                <w:sz w:val="18"/>
                <w:szCs w:val="18"/>
              </w:rPr>
              <w:t>业</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pacing w:val="-5"/>
                <w:w w:val="101"/>
                <w:sz w:val="18"/>
                <w:szCs w:val="18"/>
              </w:rPr>
              <w:t>准</w:t>
            </w:r>
            <w:r>
              <w:rPr>
                <w:rFonts w:ascii="宋体" w:hAnsi="宋体" w:cs="宋体" w:eastAsia="宋体" w:hint="default"/>
                <w:w w:val="101"/>
                <w:sz w:val="18"/>
                <w:szCs w:val="18"/>
              </w:rPr>
              <w:t>则第</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22</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号</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金</w:t>
            </w:r>
            <w:r>
              <w:rPr>
                <w:rFonts w:ascii="宋体" w:hAnsi="宋体" w:cs="宋体" w:eastAsia="宋体" w:hint="default"/>
                <w:spacing w:val="-5"/>
                <w:w w:val="101"/>
                <w:sz w:val="18"/>
                <w:szCs w:val="18"/>
              </w:rPr>
              <w:t>融</w:t>
            </w:r>
            <w:r>
              <w:rPr>
                <w:rFonts w:ascii="宋体" w:hAnsi="宋体" w:cs="宋体" w:eastAsia="宋体" w:hint="default"/>
                <w:w w:val="101"/>
                <w:sz w:val="18"/>
                <w:szCs w:val="18"/>
              </w:rPr>
              <w:t>工</w:t>
            </w:r>
            <w:r>
              <w:rPr>
                <w:rFonts w:ascii="宋体" w:hAnsi="宋体" w:cs="宋体" w:eastAsia="宋体" w:hint="default"/>
                <w:spacing w:val="-5"/>
                <w:w w:val="101"/>
                <w:sz w:val="18"/>
                <w:szCs w:val="18"/>
              </w:rPr>
              <w:t>具</w:t>
            </w:r>
            <w:r>
              <w:rPr>
                <w:rFonts w:ascii="宋体" w:hAnsi="宋体" w:cs="宋体" w:eastAsia="宋体" w:hint="default"/>
                <w:w w:val="101"/>
                <w:sz w:val="18"/>
                <w:szCs w:val="18"/>
              </w:rPr>
              <w:t>确</w:t>
            </w:r>
            <w:r>
              <w:rPr>
                <w:rFonts w:ascii="宋体" w:hAnsi="宋体" w:cs="宋体" w:eastAsia="宋体" w:hint="default"/>
                <w:spacing w:val="-5"/>
                <w:w w:val="101"/>
                <w:sz w:val="18"/>
                <w:szCs w:val="18"/>
              </w:rPr>
              <w:t>认</w:t>
            </w:r>
            <w:r>
              <w:rPr>
                <w:rFonts w:ascii="宋体" w:hAnsi="宋体" w:cs="宋体" w:eastAsia="宋体" w:hint="default"/>
                <w:w w:val="101"/>
                <w:sz w:val="18"/>
                <w:szCs w:val="18"/>
              </w:rPr>
              <w:t>和</w:t>
            </w:r>
            <w:r>
              <w:rPr>
                <w:rFonts w:ascii="宋体" w:hAnsi="宋体" w:cs="宋体" w:eastAsia="宋体" w:hint="default"/>
                <w:spacing w:val="-5"/>
                <w:w w:val="101"/>
                <w:sz w:val="18"/>
                <w:szCs w:val="18"/>
              </w:rPr>
              <w:t>计</w:t>
            </w:r>
            <w:r>
              <w:rPr>
                <w:rFonts w:ascii="宋体" w:hAnsi="宋体" w:cs="宋体" w:eastAsia="宋体" w:hint="default"/>
                <w:w w:val="101"/>
                <w:sz w:val="18"/>
                <w:szCs w:val="18"/>
              </w:rPr>
              <w:t>量</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314" w:lineRule="auto" w:before="63"/>
              <w:ind w:left="105" w:right="63"/>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5"/>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金融资产转移》、《企业会计准则第</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5"/>
                <w:sz w:val="18"/>
                <w:szCs w:val="18"/>
              </w:rPr>
              <w:t>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套期会计》和《企业会计准则第</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金融工具列报》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新金融工具准则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。本集团变更后的会计政策详见附注五、</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w:t>
            </w:r>
            <w:r>
              <w:rPr>
                <w:rFonts w:ascii="宋体" w:hAnsi="宋体" w:cs="宋体" w:eastAsia="宋体" w:hint="default"/>
                <w:spacing w:val="42"/>
                <w:sz w:val="18"/>
                <w:szCs w:val="18"/>
              </w:rPr>
              <w:t> </w:t>
            </w:r>
            <w:r>
              <w:rPr>
                <w:rFonts w:ascii="宋体" w:hAnsi="宋体" w:cs="宋体" w:eastAsia="宋体" w:hint="default"/>
                <w:spacing w:val="-4"/>
                <w:sz w:val="18"/>
                <w:szCs w:val="18"/>
              </w:rPr>
              <w:t>在金融资产分类与计量方面，新金融工具准则要求金融资产基于其合同现金流量特征及企业管理该等资产</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4"/>
                <w:sz w:val="18"/>
                <w:szCs w:val="18"/>
              </w:rPr>
              <w:t>的业务模式分类为以摊余成本计量的金融资产、以公允价值计量且其变动计入其他综合收益的金融资产和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以公允价值计量且其变动计入当期损益的金融资产三大类别，取消了原金融工具准则中贷款和应收款项、</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持有至到期投资和可供出售金融资产等分类。权益工具投资一般分类为以公允价值计量且其变动计入当期</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损益的金融资产， </w:t>
            </w:r>
            <w:r>
              <w:rPr>
                <w:rFonts w:ascii="宋体" w:hAnsi="宋体" w:cs="宋体" w:eastAsia="宋体" w:hint="default"/>
                <w:spacing w:val="-3"/>
                <w:sz w:val="18"/>
                <w:szCs w:val="18"/>
              </w:rPr>
              <w:t>也允许将非交易性权益工具投资指定为以公允价值计量且其变动计入其他综合收益的</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4"/>
                <w:sz w:val="18"/>
                <w:szCs w:val="18"/>
              </w:rPr>
              <w:t>金融资产，但该指定不可撤销，且在处置时不得将原计入其他综合收益的累计公允价值变动额结转计入当</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期损益。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在减值方面，新金融工具准则有关减值的要求适用于以摊余成本计量的金融资产、以公允价值计量且其变</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4"/>
                <w:sz w:val="18"/>
                <w:szCs w:val="18"/>
              </w:rPr>
              <w:t>动计入其他综合收益的金融资产、租赁应收款以及特定未提用的贷款承诺和财务担保合同。新金融工具准</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4"/>
                <w:sz w:val="18"/>
                <w:szCs w:val="18"/>
              </w:rPr>
              <w:t>则要求采用预期信用损失模型确认信用损失准备，以替代原先的已发生信用损失模型。新减值模型采用三</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阶段模型，依据相关项目自初始确认后信用风险是否发生显著增加，信用损失准备按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个月内预期信用</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4"/>
                <w:sz w:val="18"/>
                <w:szCs w:val="18"/>
              </w:rPr>
              <w:t>损失或者整个存续期的预期信用损失进行计提。本集团对由收入准则规范的交易形成的应收账款按照相当</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于整个存续期内预期信用损失的金额计量损失准备。</w:t>
            </w:r>
          </w:p>
          <w:p>
            <w:pPr>
              <w:pStyle w:val="TableParagraph"/>
              <w:spacing w:line="309" w:lineRule="auto" w:before="20"/>
              <w:ind w:left="105" w:right="100"/>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日之前的金融工具确认和计量与新金融工具准则要求不一致的，本集团按照新金融工具</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准则的要求进行追溯调整。涉及前期比较财务报表数据与新金融工具准则要求不一致的，本集团不进行调</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整。金融工具原账面价值和在新金融工具准则施行日的新账面价值之间的差额，计入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日的</w:t>
            </w:r>
          </w:p>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留存收益或其他综合收益。于</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日本集团采用新金融工具准则的影响详见附注五、</w:t>
            </w:r>
            <w:r>
              <w:rPr>
                <w:rFonts w:ascii="Times New Roman" w:hAnsi="Times New Roman" w:cs="Times New Roman" w:eastAsia="Times New Roman" w:hint="default"/>
                <w:spacing w:val="-3"/>
                <w:sz w:val="18"/>
                <w:szCs w:val="18"/>
              </w:rPr>
              <w:t>27.3</w:t>
            </w:r>
            <w:r>
              <w:rPr>
                <w:rFonts w:ascii="宋体" w:hAnsi="宋体" w:cs="宋体" w:eastAsia="宋体" w:hint="default"/>
                <w:spacing w:val="-3"/>
                <w:sz w:val="18"/>
                <w:szCs w:val="18"/>
              </w:rPr>
              <w:t>。</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9" w:lineRule="auto"/>
              <w:ind w:left="105" w:right="103"/>
              <w:jc w:val="both"/>
              <w:rPr>
                <w:rFonts w:ascii="宋体" w:hAnsi="宋体" w:cs="宋体" w:eastAsia="宋体" w:hint="default"/>
                <w:sz w:val="18"/>
                <w:szCs w:val="18"/>
              </w:rPr>
            </w:pPr>
            <w:r>
              <w:rPr>
                <w:rFonts w:ascii="宋体" w:hAnsi="宋体" w:cs="宋体" w:eastAsia="宋体" w:hint="default"/>
                <w:spacing w:val="-3"/>
                <w:sz w:val="18"/>
                <w:szCs w:val="18"/>
              </w:rPr>
              <w:t>公司第六届董事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会第七次会议审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议通过</w:t>
            </w:r>
          </w:p>
        </w:tc>
        <w:tc>
          <w:tcPr>
            <w:tcW w:w="437"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8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both"/>
              <w:rPr>
                <w:rFonts w:ascii="宋体" w:hAnsi="宋体" w:cs="宋体" w:eastAsia="宋体" w:hint="default"/>
                <w:sz w:val="18"/>
                <w:szCs w:val="18"/>
              </w:rPr>
            </w:pPr>
            <w:r>
              <w:rPr>
                <w:rFonts w:ascii="宋体" w:hAnsi="宋体" w:cs="宋体" w:eastAsia="宋体" w:hint="default"/>
                <w:spacing w:val="-3"/>
                <w:sz w:val="18"/>
                <w:szCs w:val="18"/>
              </w:rPr>
              <w:t>新非货币性资产交换准则</w:t>
            </w:r>
          </w:p>
          <w:p>
            <w:pPr>
              <w:pStyle w:val="TableParagraph"/>
              <w:spacing w:line="240" w:lineRule="auto" w:before="71"/>
              <w:ind w:left="105"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9 </w:t>
            </w:r>
            <w:r>
              <w:rPr>
                <w:rFonts w:ascii="宋体" w:hAnsi="宋体" w:cs="宋体" w:eastAsia="宋体" w:hint="default"/>
                <w:spacing w:val="-4"/>
                <w:sz w:val="18"/>
                <w:szCs w:val="18"/>
              </w:rPr>
              <w:t>日，财政部发布了经修订的《企业会计准则第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6"/>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非货币性资产交换》</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财会〔</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8</w:t>
            </w:r>
          </w:p>
          <w:p>
            <w:pPr>
              <w:pStyle w:val="TableParagraph"/>
              <w:tabs>
                <w:tab w:pos="8172" w:val="left" w:leader="none"/>
              </w:tabs>
              <w:spacing w:line="312" w:lineRule="auto" w:before="63"/>
              <w:ind w:left="105" w:right="95"/>
              <w:jc w:val="both"/>
              <w:rPr>
                <w:rFonts w:ascii="宋体" w:hAnsi="宋体" w:cs="宋体" w:eastAsia="宋体" w:hint="default"/>
                <w:sz w:val="18"/>
                <w:szCs w:val="18"/>
              </w:rPr>
            </w:pPr>
            <w:r>
              <w:rPr>
                <w:rFonts w:ascii="宋体" w:hAnsi="宋体" w:cs="宋体" w:eastAsia="宋体" w:hint="default"/>
                <w:spacing w:val="-5"/>
                <w:sz w:val="18"/>
                <w:szCs w:val="18"/>
              </w:rPr>
              <w:t>号，以下简称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新非货币性资产交换准则</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，自</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日起施行。新非货币性资产交换准则修订了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非货币性资产交换的定义；明确了准则的适用范围；规定了确认换入资产和终止确认换出资产的时点，以</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4"/>
                <w:sz w:val="18"/>
                <w:szCs w:val="18"/>
              </w:rPr>
              <w:t>及当换入资产的确认时点与换出资产的终止确认时点不一致时的会计处理原则；细化了非货币性资产交换</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7"/>
                <w:sz w:val="18"/>
                <w:szCs w:val="18"/>
              </w:rPr>
              <w:t>的会计处理；增加了有关披露要求。</w:t>
              <w:tab/>
            </w:r>
            <w:r>
              <w:rPr>
                <w:rFonts w:ascii="宋体" w:hAnsi="宋体" w:cs="宋体" w:eastAsia="宋体" w:hint="default"/>
                <w:sz w:val="18"/>
                <w:szCs w:val="18"/>
              </w:rPr>
              <w:t>本</w:t>
            </w:r>
          </w:p>
          <w:p>
            <w:pPr>
              <w:pStyle w:val="TableParagraph"/>
              <w:spacing w:line="240" w:lineRule="auto" w:before="27"/>
              <w:ind w:left="105" w:right="0"/>
              <w:jc w:val="both"/>
              <w:rPr>
                <w:rFonts w:ascii="宋体" w:hAnsi="宋体" w:cs="宋体" w:eastAsia="宋体" w:hint="default"/>
                <w:sz w:val="18"/>
                <w:szCs w:val="18"/>
              </w:rPr>
            </w:pPr>
            <w:r>
              <w:rPr>
                <w:rFonts w:ascii="宋体" w:hAnsi="宋体" w:cs="宋体" w:eastAsia="宋体" w:hint="default"/>
                <w:spacing w:val="-3"/>
                <w:sz w:val="18"/>
                <w:szCs w:val="18"/>
              </w:rPr>
              <w:t>集团本年度未发生非货币性资产交换。</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5" w:right="103"/>
              <w:jc w:val="both"/>
              <w:rPr>
                <w:rFonts w:ascii="宋体" w:hAnsi="宋体" w:cs="宋体" w:eastAsia="宋体" w:hint="default"/>
                <w:sz w:val="18"/>
                <w:szCs w:val="18"/>
              </w:rPr>
            </w:pPr>
            <w:r>
              <w:rPr>
                <w:rFonts w:ascii="宋体" w:hAnsi="宋体" w:cs="宋体" w:eastAsia="宋体" w:hint="default"/>
                <w:spacing w:val="-3"/>
                <w:sz w:val="18"/>
                <w:szCs w:val="18"/>
              </w:rPr>
              <w:t>公司第六届董事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会第十次会议审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议通过</w:t>
            </w:r>
          </w:p>
        </w:tc>
        <w:tc>
          <w:tcPr>
            <w:tcW w:w="43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新债务重组准则</w:t>
            </w:r>
          </w:p>
          <w:p>
            <w:pPr>
              <w:pStyle w:val="TableParagraph"/>
              <w:spacing w:line="240" w:lineRule="auto" w:before="7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日，财政部发布了经修订的《企业会计准则第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9 </w:t>
            </w:r>
            <w:r>
              <w:rPr>
                <w:rFonts w:ascii="宋体" w:hAnsi="宋体" w:cs="宋体" w:eastAsia="宋体" w:hint="default"/>
                <w:sz w:val="18"/>
                <w:szCs w:val="18"/>
              </w:rPr>
              <w:t>号，</w:t>
            </w:r>
          </w:p>
          <w:p>
            <w:pPr>
              <w:pStyle w:val="TableParagraph"/>
              <w:spacing w:line="312" w:lineRule="auto" w:before="63"/>
              <w:ind w:left="105" w:right="94"/>
              <w:jc w:val="left"/>
              <w:rPr>
                <w:rFonts w:ascii="宋体" w:hAnsi="宋体" w:cs="宋体" w:eastAsia="宋体" w:hint="default"/>
                <w:sz w:val="18"/>
                <w:szCs w:val="18"/>
              </w:rPr>
            </w:pPr>
            <w:r>
              <w:rPr>
                <w:rFonts w:ascii="宋体" w:hAnsi="宋体" w:cs="宋体" w:eastAsia="宋体" w:hint="default"/>
                <w:spacing w:val="-4"/>
                <w:sz w:val="18"/>
                <w:szCs w:val="18"/>
              </w:rPr>
              <w:t>以下简称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新债务重组准则</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，自</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日起施行。新债务重组准则修订了债务重组的定义；明确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了准则的适用范围；修订了债务重组的会计处理；简化了债务重组的披露要求。</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本集团本年度未发生债务重组。</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05" w:right="103"/>
              <w:jc w:val="both"/>
              <w:rPr>
                <w:rFonts w:ascii="宋体" w:hAnsi="宋体" w:cs="宋体" w:eastAsia="宋体" w:hint="default"/>
                <w:sz w:val="18"/>
                <w:szCs w:val="18"/>
              </w:rPr>
            </w:pPr>
            <w:r>
              <w:rPr>
                <w:rFonts w:ascii="宋体" w:hAnsi="宋体" w:cs="宋体" w:eastAsia="宋体" w:hint="default"/>
                <w:spacing w:val="-3"/>
                <w:sz w:val="18"/>
                <w:szCs w:val="18"/>
              </w:rPr>
              <w:t>公司第六届董事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会第十次会议审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议通过</w:t>
            </w:r>
          </w:p>
        </w:tc>
        <w:tc>
          <w:tcPr>
            <w:tcW w:w="4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640" w:right="0"/>
        </w:sectPr>
      </w:pPr>
    </w:p>
    <w:p>
      <w:pPr>
        <w:spacing w:line="20" w:lineRule="exact"/>
        <w:ind w:left="2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8461"/>
        <w:gridCol w:w="1484"/>
        <w:gridCol w:w="437"/>
      </w:tblGrid>
      <w:tr>
        <w:trPr>
          <w:trHeight w:val="710" w:hRule="exact"/>
        </w:trPr>
        <w:tc>
          <w:tcPr>
            <w:tcW w:w="8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4" w:right="119"/>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pacing w:val="-88"/>
                <w:sz w:val="18"/>
                <w:szCs w:val="18"/>
              </w:rPr>
              <w:t> </w:t>
            </w:r>
            <w:r>
              <w:rPr>
                <w:rFonts w:ascii="宋体" w:hAnsi="宋体" w:cs="宋体" w:eastAsia="宋体" w:hint="default"/>
                <w:sz w:val="18"/>
                <w:szCs w:val="18"/>
              </w:rPr>
              <w:t>注</w:t>
            </w:r>
          </w:p>
        </w:tc>
      </w:tr>
      <w:tr>
        <w:trPr>
          <w:trHeight w:val="2276" w:hRule="exact"/>
        </w:trPr>
        <w:tc>
          <w:tcPr>
            <w:tcW w:w="8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both"/>
              <w:rPr>
                <w:rFonts w:ascii="宋体" w:hAnsi="宋体" w:cs="宋体" w:eastAsia="宋体" w:hint="default"/>
                <w:sz w:val="18"/>
                <w:szCs w:val="18"/>
              </w:rPr>
            </w:pPr>
            <w:r>
              <w:rPr>
                <w:rFonts w:ascii="宋体" w:hAnsi="宋体" w:cs="宋体" w:eastAsia="宋体" w:hint="default"/>
                <w:sz w:val="18"/>
                <w:szCs w:val="18"/>
              </w:rPr>
              <w:t>财务报表列报格式</w:t>
            </w:r>
          </w:p>
          <w:p>
            <w:pPr>
              <w:pStyle w:val="TableParagraph"/>
              <w:spacing w:line="240" w:lineRule="auto" w:before="71"/>
              <w:ind w:left="105" w:right="0"/>
              <w:jc w:val="both"/>
              <w:rPr>
                <w:rFonts w:ascii="宋体" w:hAnsi="宋体" w:cs="宋体" w:eastAsia="宋体" w:hint="default"/>
                <w:sz w:val="18"/>
                <w:szCs w:val="18"/>
              </w:rPr>
            </w:pPr>
            <w:r>
              <w:rPr>
                <w:rFonts w:ascii="宋体" w:hAnsi="宋体" w:cs="宋体" w:eastAsia="宋体" w:hint="default"/>
                <w:sz w:val="18"/>
                <w:szCs w:val="18"/>
              </w:rPr>
              <w:t>本集团按财政部于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19 </w:t>
            </w:r>
            <w:r>
              <w:rPr>
                <w:rFonts w:ascii="Times New Roman" w:hAnsi="Times New Roman" w:cs="Times New Roman" w:eastAsia="Times New Roman" w:hint="default"/>
                <w:spacing w:val="13"/>
                <w:sz w:val="18"/>
                <w:szCs w:val="18"/>
              </w:rPr>
              <w:t> </w:t>
            </w:r>
            <w:r>
              <w:rPr>
                <w:rFonts w:ascii="宋体" w:hAnsi="宋体" w:cs="宋体" w:eastAsia="宋体" w:hint="default"/>
                <w:spacing w:val="-2"/>
                <w:sz w:val="18"/>
                <w:szCs w:val="18"/>
              </w:rPr>
              <w:t>日颁布的《关于修订印发合并财务报表格式</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版</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的通知》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财会</w:t>
            </w:r>
            <w:r>
              <w:rPr>
                <w:rFonts w:ascii="宋体" w:hAnsi="宋体" w:cs="宋体" w:eastAsia="宋体" w:hint="default"/>
                <w:sz w:val="18"/>
                <w:szCs w:val="18"/>
              </w:rPr>
            </w:r>
          </w:p>
          <w:p>
            <w:pPr>
              <w:pStyle w:val="TableParagraph"/>
              <w:spacing w:line="302" w:lineRule="auto" w:before="63"/>
              <w:ind w:left="105" w:right="137"/>
              <w:jc w:val="both"/>
              <w:rPr>
                <w:rFonts w:ascii="宋体" w:hAnsi="宋体" w:cs="宋体" w:eastAsia="宋体" w:hint="default"/>
                <w:sz w:val="18"/>
                <w:szCs w:val="18"/>
              </w:rPr>
            </w:pPr>
            <w:r>
              <w:rPr>
                <w:rFonts w:ascii="Times New Roman" w:hAnsi="Times New Roman" w:cs="Times New Roman" w:eastAsia="Times New Roman" w:hint="default"/>
                <w:sz w:val="18"/>
                <w:szCs w:val="18"/>
              </w:rPr>
              <w:t>[2019]16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编制 </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年度财务报表。上述文件对资产负债表和利润表的列报项目进行了修订，将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w:t>
            </w:r>
            <w:r>
              <w:rPr>
                <w:rFonts w:ascii="宋体" w:hAnsi="宋体" w:cs="宋体" w:eastAsia="宋体" w:hint="default"/>
                <w:spacing w:val="-76"/>
                <w:sz w:val="18"/>
                <w:szCs w:val="18"/>
              </w:rPr>
              <w:t> </w:t>
            </w:r>
            <w:r>
              <w:rPr>
                <w:rFonts w:ascii="宋体" w:hAnsi="宋体" w:cs="宋体" w:eastAsia="宋体" w:hint="default"/>
                <w:spacing w:val="-3"/>
                <w:sz w:val="18"/>
                <w:szCs w:val="18"/>
              </w:rPr>
              <w:t>票据及应收账款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项目分拆为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应收款项融资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三个项目，将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应付票据及应付账</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项目分拆为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两个项目，同时在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投资收益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行项目下增加了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其中：以摊余成本</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计量的金融资产终止确认收益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行项目。对于上述列报项目的变更，本集团对上年比较数据进行了追溯调</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整。</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03"/>
              <w:jc w:val="both"/>
              <w:rPr>
                <w:rFonts w:ascii="宋体" w:hAnsi="宋体" w:cs="宋体" w:eastAsia="宋体" w:hint="default"/>
                <w:sz w:val="18"/>
                <w:szCs w:val="18"/>
              </w:rPr>
            </w:pPr>
            <w:r>
              <w:rPr>
                <w:rFonts w:ascii="宋体" w:hAnsi="宋体" w:cs="宋体" w:eastAsia="宋体" w:hint="default"/>
                <w:spacing w:val="-3"/>
                <w:sz w:val="18"/>
                <w:szCs w:val="18"/>
              </w:rPr>
              <w:t>公司第六届董事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会第十二次会议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审议通过</w:t>
            </w:r>
          </w:p>
        </w:tc>
        <w:tc>
          <w:tcPr>
            <w:tcW w:w="4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234" w:right="7211"/>
        <w:jc w:val="left"/>
        <w:rPr>
          <w:b w:val="0"/>
          <w:bCs w:val="0"/>
        </w:rPr>
      </w:pPr>
      <w:bookmarkStart w:name="（2）重要会计估计变更" w:id="210"/>
      <w:bookmarkEnd w:id="21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234" w:right="721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4"/>
        <w:spacing w:line="240" w:lineRule="auto"/>
        <w:ind w:left="234" w:right="714"/>
        <w:jc w:val="left"/>
        <w:rPr>
          <w:b w:val="0"/>
          <w:bCs w:val="0"/>
        </w:rPr>
      </w:pPr>
      <w:bookmarkStart w:name="（3）2019年起执行新金融工具准则、新收入准则或新租赁准则调整执行当年年初财务" w:id="211"/>
      <w:bookmarkEnd w:id="211"/>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年起执行新金融工具准则、新收入准则或新租赁准则调整执行当年年初财务报表相关项目情况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640" w:right="0"/>
        </w:sectPr>
      </w:pPr>
    </w:p>
    <w:p>
      <w:pPr>
        <w:pStyle w:val="BodyText"/>
        <w:spacing w:line="338" w:lineRule="auto" w:before="46"/>
        <w:ind w:left="234"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w:t>
      </w:r>
      <w:r>
        <w:rPr>
          <w:w w:val="101"/>
        </w:rPr>
        <w:t> </w:t>
      </w:r>
      <w:r>
        <w:rPr>
          <w:spacing w:val="-3"/>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left="234" w:right="0"/>
        <w:jc w:val="left"/>
      </w:pPr>
      <w:r>
        <w:rPr/>
        <w:t>单位：元</w:t>
      </w:r>
    </w:p>
    <w:p>
      <w:pPr>
        <w:spacing w:after="0" w:line="240" w:lineRule="auto"/>
        <w:jc w:val="left"/>
        <w:sectPr>
          <w:type w:val="continuous"/>
          <w:pgSz w:w="11910" w:h="16840"/>
          <w:pgMar w:top="1100" w:bottom="1220" w:left="640" w:right="0"/>
          <w:cols w:num="2" w:equalWidth="0">
            <w:col w:w="1617" w:space="7828"/>
            <w:col w:w="1825"/>
          </w:cols>
        </w:sectPr>
      </w:pP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569"/>
        <w:gridCol w:w="2487"/>
        <w:gridCol w:w="2665"/>
        <w:gridCol w:w="2660"/>
      </w:tblGrid>
      <w:tr>
        <w:trPr>
          <w:trHeight w:val="404"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98"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615,713,457.25</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615,713,457.25</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122,709,424.85</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122,709,424.85</w:t>
            </w:r>
          </w:p>
        </w:tc>
      </w:tr>
      <w:tr>
        <w:trPr>
          <w:trHeight w:val="404"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130,235,999.76</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130,017,641.14</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-218,358.62</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35,282,633.24</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35,282,633.24</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19,358,721.44</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18,929,296.59</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-429,424.85</w:t>
            </w:r>
          </w:p>
        </w:tc>
      </w:tr>
      <w:tr>
        <w:trPr>
          <w:trHeight w:val="404"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2,289,679.28</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1,860,254.43</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-429,424.85</w:t>
            </w:r>
          </w:p>
        </w:tc>
      </w:tr>
      <w:tr>
        <w:trPr>
          <w:trHeight w:val="398"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8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3,974,402.28</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3,974,402.28</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135,031,590.09</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12,751,590.09</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-122,280,000.00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939,596,804.06</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939,378,445.44</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-218,358.62</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168,139,940.55</w:t>
            </w: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-168,139,940.55</w:t>
            </w:r>
          </w:p>
        </w:tc>
      </w:tr>
      <w:tr>
        <w:trPr>
          <w:trHeight w:val="399"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22,597,655.24</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22,597,655.24</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31,571,406.32</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31,571,406.32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640" w:right="0"/>
        </w:sectPr>
      </w:pPr>
    </w:p>
    <w:tbl>
      <w:tblPr>
        <w:tblW w:w="0" w:type="auto"/>
        <w:jc w:val="left"/>
        <w:tblInd w:w="118" w:type="dxa"/>
        <w:tblLayout w:type="fixed"/>
        <w:tblCellMar>
          <w:top w:w="0" w:type="dxa"/>
          <w:left w:w="0" w:type="dxa"/>
          <w:bottom w:w="0" w:type="dxa"/>
          <w:right w:w="0" w:type="dxa"/>
        </w:tblCellMar>
        <w:tblLook w:val="01E0"/>
      </w:tblPr>
      <w:tblGrid>
        <w:gridCol w:w="2569"/>
        <w:gridCol w:w="2487"/>
        <w:gridCol w:w="2665"/>
        <w:gridCol w:w="2660"/>
      </w:tblGrid>
      <w:tr>
        <w:trPr>
          <w:trHeight w:val="398"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190,349,359.20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190,349,359.20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39,387,802.33</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39,387,802.33</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4"/>
              <w:jc w:val="right"/>
              <w:rPr>
                <w:rFonts w:ascii="Times New Roman" w:hAnsi="Times New Roman" w:cs="Times New Roman" w:eastAsia="Times New Roman" w:hint="default"/>
                <w:sz w:val="18"/>
                <w:szCs w:val="18"/>
              </w:rPr>
            </w:pPr>
            <w:r>
              <w:rPr>
                <w:rFonts w:ascii="Times New Roman"/>
                <w:spacing w:val="-1"/>
                <w:sz w:val="18"/>
              </w:rPr>
              <w:t>152,689,452.45</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pacing w:val="-1"/>
                <w:sz w:val="18"/>
              </w:rPr>
              <w:t>152,689,452.45</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4"/>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617,683.78</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617,683.78</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20,141,732.05</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20,141,732.05</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1,825,446.41</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1,825,446.41</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2"/>
                <w:sz w:val="18"/>
              </w:rPr>
              <w:t>1,105,950,681.29</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2"/>
                <w:sz w:val="18"/>
              </w:rPr>
              <w:t>1,105,950,681.29</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77,855,853.89</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77,855,853.89</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10,735,447.84</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10,735,447.84</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2"/>
                <w:sz w:val="18"/>
              </w:rPr>
              <w:t>1,599,941,695.83</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2"/>
                <w:sz w:val="18"/>
              </w:rPr>
              <w:t>1,653,722,520.80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5"/>
              <w:jc w:val="right"/>
              <w:rPr>
                <w:rFonts w:ascii="Times New Roman" w:hAnsi="Times New Roman" w:cs="Times New Roman" w:eastAsia="Times New Roman" w:hint="default"/>
                <w:sz w:val="18"/>
                <w:szCs w:val="18"/>
              </w:rPr>
            </w:pPr>
            <w:r>
              <w:rPr>
                <w:rFonts w:ascii="Times New Roman"/>
                <w:spacing w:val="-1"/>
                <w:sz w:val="18"/>
              </w:rPr>
              <w:t>53,780,824.97</w:t>
            </w:r>
          </w:p>
        </w:tc>
      </w:tr>
      <w:tr>
        <w:trPr>
          <w:trHeight w:val="404"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2"/>
                <w:sz w:val="18"/>
              </w:rPr>
              <w:t>2,539,538,499.89</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2"/>
                <w:sz w:val="18"/>
              </w:rPr>
              <w:t>2,593,100,966.24</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5"/>
              <w:jc w:val="right"/>
              <w:rPr>
                <w:rFonts w:ascii="Times New Roman" w:hAnsi="Times New Roman" w:cs="Times New Roman" w:eastAsia="Times New Roman" w:hint="default"/>
                <w:sz w:val="18"/>
                <w:szCs w:val="18"/>
              </w:rPr>
            </w:pPr>
            <w:r>
              <w:rPr>
                <w:rFonts w:ascii="Times New Roman"/>
                <w:spacing w:val="-1"/>
                <w:sz w:val="18"/>
              </w:rPr>
              <w:t>53,562,466.35</w:t>
            </w:r>
          </w:p>
        </w:tc>
      </w:tr>
      <w:tr>
        <w:trPr>
          <w:trHeight w:val="398"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80,058,709.02</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80,058,709.02</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229,857,594.32</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229,857,594.32</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33,797,475.16</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33,797,475.16</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399"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4"/>
              <w:jc w:val="right"/>
              <w:rPr>
                <w:rFonts w:ascii="Times New Roman" w:hAnsi="Times New Roman" w:cs="Times New Roman" w:eastAsia="Times New Roman" w:hint="default"/>
                <w:sz w:val="18"/>
                <w:szCs w:val="18"/>
              </w:rPr>
            </w:pPr>
            <w:r>
              <w:rPr>
                <w:rFonts w:ascii="Times New Roman"/>
                <w:spacing w:val="-1"/>
                <w:sz w:val="18"/>
              </w:rPr>
              <w:t>13,826,121.08</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pacing w:val="-1"/>
                <w:sz w:val="18"/>
              </w:rPr>
              <w:t>13,826,121.08</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181,835,463.95</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181,835,463.95</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18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539,375,363.53</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539,375,363.53</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80" w:bottom="1220" w:left="640" w:right="0"/>
        </w:sectPr>
      </w:pPr>
    </w:p>
    <w:tbl>
      <w:tblPr>
        <w:tblW w:w="0" w:type="auto"/>
        <w:jc w:val="left"/>
        <w:tblInd w:w="118" w:type="dxa"/>
        <w:tblLayout w:type="fixed"/>
        <w:tblCellMar>
          <w:top w:w="0" w:type="dxa"/>
          <w:left w:w="0" w:type="dxa"/>
          <w:bottom w:w="0" w:type="dxa"/>
          <w:right w:w="0" w:type="dxa"/>
        </w:tblCellMar>
        <w:tblLook w:val="01E0"/>
      </w:tblPr>
      <w:tblGrid>
        <w:gridCol w:w="2569"/>
        <w:gridCol w:w="2487"/>
        <w:gridCol w:w="2665"/>
        <w:gridCol w:w="2660"/>
      </w:tblGrid>
      <w:tr>
        <w:trPr>
          <w:trHeight w:val="398"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z w:val="18"/>
              </w:rPr>
              <w:t>0.00</w:t>
            </w: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2,427,015.67</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2,427,015.67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2"/>
                <w:sz w:val="18"/>
              </w:rPr>
              <w:t>16,934,911.99</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23,280,981.99</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6,346,070.00</w:t>
            </w:r>
          </w:p>
        </w:tc>
      </w:tr>
      <w:tr>
        <w:trPr>
          <w:trHeight w:val="404"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19,361,927.66</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25,707,997.66</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6,346,070.00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558,737,291.19</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565,083,361.19</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6,346,070.00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794,980,220.00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794,980,220.00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1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850,541,642.53</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850,541,642.53</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35,340,000.00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35,340,000.00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50,348,236.58</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27,942,567.76</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-22,405,668.82</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90,731,741.37</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90,731,741.37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399"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87"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151,440,953.64</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221,063,018.81</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5"/>
              <w:jc w:val="right"/>
              <w:rPr>
                <w:rFonts w:ascii="Times New Roman" w:hAnsi="Times New Roman" w:cs="Times New Roman" w:eastAsia="Times New Roman" w:hint="default"/>
                <w:sz w:val="18"/>
                <w:szCs w:val="18"/>
              </w:rPr>
            </w:pPr>
            <w:r>
              <w:rPr>
                <w:rFonts w:ascii="Times New Roman"/>
                <w:spacing w:val="-1"/>
                <w:sz w:val="18"/>
              </w:rPr>
              <w:t>69,622,065.17</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2"/>
                <w:sz w:val="18"/>
              </w:rPr>
              <w:t>1,902,702,794.12</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2"/>
                <w:sz w:val="18"/>
              </w:rPr>
              <w:t>1,949,919,190.47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5"/>
              <w:jc w:val="right"/>
              <w:rPr>
                <w:rFonts w:ascii="Times New Roman" w:hAnsi="Times New Roman" w:cs="Times New Roman" w:eastAsia="Times New Roman" w:hint="default"/>
                <w:sz w:val="18"/>
                <w:szCs w:val="18"/>
              </w:rPr>
            </w:pPr>
            <w:r>
              <w:rPr>
                <w:rFonts w:ascii="Times New Roman"/>
                <w:spacing w:val="-1"/>
                <w:sz w:val="18"/>
              </w:rPr>
              <w:t>47,216,396.35</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78,098,414.58</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78,098,414.58</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399"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4"/>
              <w:jc w:val="right"/>
              <w:rPr>
                <w:rFonts w:ascii="Times New Roman" w:hAnsi="Times New Roman" w:cs="Times New Roman" w:eastAsia="Times New Roman" w:hint="default"/>
                <w:sz w:val="18"/>
                <w:szCs w:val="18"/>
              </w:rPr>
            </w:pPr>
            <w:r>
              <w:rPr>
                <w:rFonts w:ascii="Times New Roman"/>
                <w:spacing w:val="-2"/>
                <w:sz w:val="18"/>
              </w:rPr>
              <w:t>1,980,801,208.70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pacing w:val="-2"/>
                <w:sz w:val="18"/>
              </w:rPr>
              <w:t>2,028,017,605.05</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5"/>
              <w:jc w:val="right"/>
              <w:rPr>
                <w:rFonts w:ascii="Times New Roman" w:hAnsi="Times New Roman" w:cs="Times New Roman" w:eastAsia="Times New Roman" w:hint="default"/>
                <w:sz w:val="18"/>
                <w:szCs w:val="18"/>
              </w:rPr>
            </w:pPr>
            <w:r>
              <w:rPr>
                <w:rFonts w:ascii="Times New Roman"/>
                <w:spacing w:val="-1"/>
                <w:sz w:val="18"/>
              </w:rPr>
              <w:t>47,216,396.35</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2"/>
                <w:sz w:val="18"/>
              </w:rPr>
              <w:t>2,539,538,499.89</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2"/>
                <w:sz w:val="18"/>
              </w:rPr>
              <w:t>2,593,100,966.24</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5"/>
              <w:jc w:val="right"/>
              <w:rPr>
                <w:rFonts w:ascii="Times New Roman" w:hAnsi="Times New Roman" w:cs="Times New Roman" w:eastAsia="Times New Roman" w:hint="default"/>
                <w:sz w:val="18"/>
                <w:szCs w:val="18"/>
              </w:rPr>
            </w:pPr>
            <w:r>
              <w:rPr>
                <w:rFonts w:ascii="Times New Roman"/>
                <w:spacing w:val="-1"/>
                <w:sz w:val="18"/>
              </w:rPr>
              <w:t>53,562,466.35</w:t>
            </w:r>
          </w:p>
        </w:tc>
      </w:tr>
    </w:tbl>
    <w:p>
      <w:pPr>
        <w:pStyle w:val="BodyText"/>
        <w:spacing w:line="240" w:lineRule="auto" w:before="44"/>
        <w:ind w:left="234" w:right="0"/>
        <w:jc w:val="both"/>
      </w:pPr>
      <w:r>
        <w:rPr/>
        <w:t>调整情况说明</w:t>
      </w:r>
    </w:p>
    <w:p>
      <w:pPr>
        <w:pStyle w:val="BodyText"/>
        <w:spacing w:line="240" w:lineRule="auto" w:before="115"/>
        <w:ind w:left="594" w:right="7211"/>
        <w:jc w:val="left"/>
      </w:pPr>
      <w:r>
        <w:rPr>
          <w:rFonts w:ascii="Times New Roman" w:hAnsi="Times New Roman" w:cs="Times New Roman" w:eastAsia="Times New Roman" w:hint="default"/>
          <w:spacing w:val="-3"/>
        </w:rPr>
        <w:t>1</w:t>
      </w:r>
      <w:r>
        <w:rPr>
          <w:spacing w:val="-3"/>
        </w:rPr>
        <w:t>、自原分类为可供出售金融资产转入：</w:t>
      </w:r>
    </w:p>
    <w:p>
      <w:pPr>
        <w:pStyle w:val="BodyText"/>
        <w:spacing w:line="300" w:lineRule="auto" w:before="63"/>
        <w:ind w:left="594" w:right="714"/>
        <w:jc w:val="left"/>
      </w:pPr>
      <w:r>
        <w:rPr>
          <w:rFonts w:ascii="Times New Roman" w:hAnsi="Times New Roman" w:cs="Times New Roman" w:eastAsia="Times New Roman" w:hint="default"/>
          <w:spacing w:val="-3"/>
        </w:rPr>
        <w:t>1</w:t>
      </w:r>
      <w:r>
        <w:rPr>
          <w:spacing w:val="-3"/>
        </w:rPr>
        <w:t>）从可供出售金融资产项目转入其他权益工具投资项目：</w:t>
      </w:r>
      <w:r>
        <w:rPr>
          <w:spacing w:val="-11"/>
        </w:rPr>
        <w:t> </w:t>
      </w:r>
      <w:r>
        <w:rPr>
          <w:spacing w:val="-11"/>
        </w:rPr>
      </w:r>
      <w:r>
        <w:rPr>
          <w:spacing w:val="-3"/>
        </w:rPr>
        <w:t>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日，人民币</w:t>
      </w:r>
      <w:r>
        <w:rPr>
          <w:rFonts w:ascii="Times New Roman" w:hAnsi="Times New Roman" w:cs="Times New Roman" w:eastAsia="Times New Roman" w:hint="default"/>
          <w:spacing w:val="-3"/>
        </w:rPr>
        <w:t>28,825,419.41</w:t>
      </w:r>
      <w:r>
        <w:rPr>
          <w:spacing w:val="-3"/>
        </w:rPr>
        <w:t>元的可供出售金融资产被指定为以公允价值计量且其变动计入其他综合收益的金融资</w:t>
      </w:r>
    </w:p>
    <w:p>
      <w:pPr>
        <w:pStyle w:val="BodyText"/>
        <w:spacing w:line="312" w:lineRule="auto" w:before="13"/>
        <w:ind w:left="234" w:right="896"/>
        <w:jc w:val="both"/>
      </w:pPr>
      <w:r>
        <w:rPr>
          <w:spacing w:val="-3"/>
        </w:rPr>
        <w:t>产，并计入其他权益工具投资项目，该部分投资属于非交易性权益工具投资，并且本集团预计不会在可预见的未来出售。该部分</w:t>
      </w:r>
      <w:r>
        <w:rPr>
          <w:spacing w:val="72"/>
        </w:rPr>
        <w:t> </w:t>
      </w:r>
      <w:r>
        <w:rPr>
          <w:spacing w:val="72"/>
        </w:rPr>
      </w:r>
      <w:r>
        <w:rPr>
          <w:spacing w:val="-3"/>
        </w:rPr>
        <w:t>金融资产为在活跃市场中没有报价且其公允价值不能可靠计量的权益工具投资，于以前期间根据原金融工具准则按照成本计量。</w:t>
      </w:r>
      <w:r>
        <w:rPr>
          <w:spacing w:val="72"/>
        </w:rPr>
        <w:t> </w:t>
      </w:r>
      <w:r>
        <w:rPr>
          <w:spacing w:val="72"/>
        </w:rPr>
      </w:r>
      <w:r>
        <w:rPr>
          <w:spacing w:val="-3"/>
        </w:rPr>
        <w:t>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日，对该部分金融资产采用公允价值计量导致其他权益工具投资项目账面价值增加人民币</w:t>
      </w:r>
      <w:r>
        <w:rPr>
          <w:rFonts w:ascii="Times New Roman" w:hAnsi="Times New Roman" w:cs="Times New Roman" w:eastAsia="Times New Roman" w:hint="default"/>
          <w:spacing w:val="-3"/>
        </w:rPr>
        <w:t>2,745,986.91</w:t>
      </w:r>
      <w:r>
        <w:rPr>
          <w:spacing w:val="-3"/>
        </w:rPr>
        <w:t>元，并相应增</w:t>
      </w:r>
      <w:r>
        <w:rPr>
          <w:spacing w:val="16"/>
        </w:rPr>
        <w:t> </w:t>
      </w:r>
      <w:r>
        <w:rPr>
          <w:spacing w:val="16"/>
        </w:rPr>
      </w:r>
      <w:r>
        <w:rPr>
          <w:spacing w:val="-3"/>
        </w:rPr>
        <w:t>加其他综合收益；同时按公允价值变动额及相应税率确认递延所得税负债人民币</w:t>
      </w:r>
      <w:r>
        <w:rPr>
          <w:rFonts w:ascii="Times New Roman" w:hAnsi="Times New Roman" w:cs="Times New Roman" w:eastAsia="Times New Roman" w:hint="default"/>
          <w:spacing w:val="-3"/>
        </w:rPr>
        <w:t>257,370.00</w:t>
      </w:r>
      <w:r>
        <w:rPr>
          <w:spacing w:val="-3"/>
        </w:rPr>
        <w:t>元，并抵减其他综合收益。</w:t>
      </w:r>
    </w:p>
    <w:p>
      <w:pPr>
        <w:pStyle w:val="BodyText"/>
        <w:spacing w:line="300" w:lineRule="auto" w:before="3"/>
        <w:ind w:left="594" w:right="714"/>
        <w:jc w:val="left"/>
      </w:pPr>
      <w:r>
        <w:rPr>
          <w:rFonts w:ascii="Times New Roman" w:hAnsi="Times New Roman" w:cs="Times New Roman" w:eastAsia="Times New Roman" w:hint="default"/>
          <w:spacing w:val="-3"/>
        </w:rPr>
        <w:t>2)</w:t>
      </w:r>
      <w:r>
        <w:rPr>
          <w:spacing w:val="-3"/>
        </w:rPr>
        <w:t>从可供出售金融资产项目转入其他非流动金融资产项目：</w:t>
      </w:r>
      <w:r>
        <w:rPr>
          <w:spacing w:val="-7"/>
        </w:rPr>
        <w:t> </w:t>
      </w:r>
      <w:r>
        <w:rPr>
          <w:spacing w:val="-7"/>
        </w:rPr>
      </w:r>
      <w:r>
        <w:rPr>
          <w:spacing w:val="-4"/>
        </w:rPr>
        <w:t>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日，人民币</w:t>
      </w:r>
      <w:r>
        <w:rPr>
          <w:rFonts w:ascii="Times New Roman" w:hAnsi="Times New Roman" w:cs="Times New Roman" w:eastAsia="Times New Roman" w:hint="default"/>
          <w:spacing w:val="-4"/>
        </w:rPr>
        <w:t>139,314,521.14</w:t>
      </w:r>
      <w:r>
        <w:rPr>
          <w:spacing w:val="-4"/>
        </w:rPr>
        <w:t>元的可供出售金融资产被重分类为以公允价值计量且其变动计入当期损益的金融资产，</w:t>
      </w:r>
    </w:p>
    <w:p>
      <w:pPr>
        <w:pStyle w:val="BodyText"/>
        <w:spacing w:line="300" w:lineRule="auto" w:before="13"/>
        <w:ind w:left="234" w:right="858"/>
        <w:jc w:val="both"/>
      </w:pPr>
      <w:r>
        <w:rPr>
          <w:spacing w:val="-3"/>
        </w:rPr>
        <w:t>并计入其他非流动金融资产项目，以前期间以公允价值计量的累计公允价值变动人民币</w:t>
      </w:r>
      <w:r>
        <w:rPr>
          <w:rFonts w:ascii="Times New Roman" w:hAnsi="Times New Roman" w:cs="Times New Roman" w:eastAsia="Times New Roman" w:hint="default"/>
          <w:spacing w:val="-3"/>
        </w:rPr>
        <w:t>33,192,370.00</w:t>
      </w:r>
      <w:r>
        <w:rPr>
          <w:spacing w:val="-3"/>
        </w:rPr>
        <w:t>元从其他综合收益</w:t>
      </w:r>
      <w:r>
        <w:rPr>
          <w:rFonts w:ascii="Times New Roman" w:hAnsi="Times New Roman" w:cs="Times New Roman" w:eastAsia="Times New Roman" w:hint="default"/>
          <w:spacing w:val="-3"/>
        </w:rPr>
        <w:t>(</w:t>
      </w:r>
      <w:r>
        <w:rPr>
          <w:spacing w:val="-3"/>
        </w:rPr>
        <w:t>可供出售</w:t>
      </w:r>
      <w:r>
        <w:rPr>
          <w:spacing w:val="7"/>
        </w:rPr>
        <w:t> </w:t>
      </w:r>
      <w:r>
        <w:rPr>
          <w:spacing w:val="7"/>
        </w:rPr>
      </w:r>
      <w:r>
        <w:rPr>
          <w:spacing w:val="-3"/>
        </w:rPr>
        <w:t>金融资产公允价值变动损益</w:t>
      </w:r>
      <w:r>
        <w:rPr>
          <w:rFonts w:ascii="Times New Roman" w:hAnsi="Times New Roman" w:cs="Times New Roman" w:eastAsia="Times New Roman" w:hint="default"/>
          <w:spacing w:val="-3"/>
        </w:rPr>
        <w:t>)</w:t>
      </w:r>
      <w:r>
        <w:rPr>
          <w:spacing w:val="-3"/>
        </w:rPr>
        <w:t>相应转入未分配利润，将原确认为抵减其他综合收益的相应递延所得税</w:t>
      </w:r>
      <w:r>
        <w:rPr>
          <w:rFonts w:ascii="Times New Roman" w:hAnsi="Times New Roman" w:cs="Times New Roman" w:eastAsia="Times New Roman" w:hint="default"/>
          <w:spacing w:val="-3"/>
        </w:rPr>
        <w:t>8,298,084.27</w:t>
      </w:r>
      <w:r>
        <w:rPr>
          <w:spacing w:val="-3"/>
        </w:rPr>
        <w:t>元调整为抵减未分</w:t>
      </w:r>
    </w:p>
    <w:p>
      <w:pPr>
        <w:spacing w:after="0" w:line="300" w:lineRule="auto"/>
        <w:jc w:val="both"/>
        <w:sectPr>
          <w:pgSz w:w="11910" w:h="16840"/>
          <w:pgMar w:header="906" w:footer="1022" w:top="1180" w:bottom="1220" w:left="640" w:right="0"/>
        </w:sectPr>
      </w:pPr>
    </w:p>
    <w:p>
      <w:pPr>
        <w:pStyle w:val="BodyText"/>
        <w:spacing w:line="300" w:lineRule="auto" w:before="80"/>
        <w:ind w:left="234" w:right="714"/>
        <w:jc w:val="left"/>
      </w:pPr>
      <w:r>
        <w:rPr>
          <w:spacing w:val="-4"/>
        </w:rPr>
        <w:t>配利润。其中，人民币</w:t>
      </w:r>
      <w:r>
        <w:rPr>
          <w:rFonts w:ascii="Times New Roman" w:hAnsi="Times New Roman" w:cs="Times New Roman" w:eastAsia="Times New Roman" w:hint="default"/>
          <w:spacing w:val="-4"/>
        </w:rPr>
        <w:t>77,064,521.14</w:t>
      </w:r>
      <w:r>
        <w:rPr>
          <w:spacing w:val="-4"/>
        </w:rPr>
        <w:t>元可供出售金融资产为在活跃市场中没有报价且其公允价值不能可靠计量的权益工具投资，以</w:t>
      </w:r>
      <w:r>
        <w:rPr>
          <w:spacing w:val="19"/>
        </w:rPr>
        <w:t> </w:t>
      </w:r>
      <w:r>
        <w:rPr>
          <w:spacing w:val="19"/>
        </w:rPr>
      </w:r>
      <w:r>
        <w:rPr>
          <w:spacing w:val="-3"/>
        </w:rPr>
        <w:t>前期间根据原金融工具准则按照成本计量。于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日，对该部分金融资产采用公允价值计量导致其他非流动金融资产项目</w:t>
      </w:r>
      <w:r>
        <w:rPr>
          <w:spacing w:val="82"/>
        </w:rPr>
        <w:t> </w:t>
      </w:r>
      <w:r>
        <w:rPr>
          <w:spacing w:val="82"/>
        </w:rPr>
      </w:r>
      <w:r>
        <w:rPr>
          <w:spacing w:val="-3"/>
        </w:rPr>
        <w:t>账面价值增加人民币</w:t>
      </w:r>
      <w:r>
        <w:rPr>
          <w:rFonts w:ascii="Times New Roman" w:hAnsi="Times New Roman" w:cs="Times New Roman" w:eastAsia="Times New Roman" w:hint="default"/>
          <w:spacing w:val="-3"/>
        </w:rPr>
        <w:t>51,034,838.06</w:t>
      </w:r>
      <w:r>
        <w:rPr>
          <w:spacing w:val="-3"/>
        </w:rPr>
        <w:t>元，并相应增加未分配利润；同时按公允价值变动额及相应税率确认递延所得税负债人民币</w:t>
      </w:r>
      <w:r>
        <w:rPr>
          <w:spacing w:val="1"/>
        </w:rPr>
        <w:t> </w:t>
      </w:r>
      <w:r>
        <w:rPr>
          <w:spacing w:val="1"/>
        </w:rPr>
      </w:r>
      <w:r>
        <w:rPr>
          <w:rFonts w:ascii="Times New Roman" w:hAnsi="Times New Roman" w:cs="Times New Roman" w:eastAsia="Times New Roman" w:hint="default"/>
        </w:rPr>
        <w:t>6,088,700.00</w:t>
      </w:r>
      <w:r>
        <w:rPr/>
        <w:t>元，并抵减未分配利润。</w:t>
      </w:r>
    </w:p>
    <w:p>
      <w:pPr>
        <w:pStyle w:val="BodyText"/>
        <w:spacing w:line="300" w:lineRule="auto" w:before="13"/>
        <w:ind w:left="594" w:right="714"/>
        <w:jc w:val="left"/>
      </w:pPr>
      <w:r>
        <w:rPr>
          <w:rFonts w:ascii="Times New Roman" w:hAnsi="Times New Roman" w:cs="Times New Roman" w:eastAsia="Times New Roman" w:hint="default"/>
          <w:spacing w:val="-3"/>
        </w:rPr>
        <w:t>2</w:t>
      </w:r>
      <w:r>
        <w:rPr>
          <w:spacing w:val="-3"/>
        </w:rPr>
        <w:t>、自原分类为其他流动资产</w:t>
      </w:r>
      <w:r>
        <w:rPr>
          <w:rFonts w:ascii="Times New Roman" w:hAnsi="Times New Roman" w:cs="Times New Roman" w:eastAsia="Times New Roman" w:hint="default"/>
          <w:spacing w:val="-3"/>
        </w:rPr>
        <w:t>/</w:t>
      </w:r>
      <w:r>
        <w:rPr>
          <w:spacing w:val="-3"/>
        </w:rPr>
        <w:t>其他应收款转入：</w:t>
      </w:r>
      <w:r>
        <w:rPr>
          <w:spacing w:val="-23"/>
        </w:rPr>
        <w:t> </w:t>
      </w:r>
      <w:r>
        <w:rPr>
          <w:spacing w:val="-23"/>
        </w:rPr>
      </w:r>
      <w:r>
        <w:rPr>
          <w:spacing w:val="-3"/>
        </w:rPr>
        <w:t>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日，将购买的银行理财产品及其应收利息从其他流动资产及其他应收款重分类至交易性金融资产，金额分别为</w:t>
      </w:r>
    </w:p>
    <w:p>
      <w:pPr>
        <w:pStyle w:val="BodyText"/>
        <w:spacing w:line="240" w:lineRule="auto" w:before="13"/>
        <w:ind w:left="234" w:right="7211"/>
        <w:jc w:val="left"/>
      </w:pPr>
      <w:r>
        <w:rPr/>
        <w:t>人民币</w:t>
      </w:r>
      <w:r>
        <w:rPr>
          <w:rFonts w:ascii="Times New Roman" w:hAnsi="Times New Roman" w:cs="Times New Roman" w:eastAsia="Times New Roman" w:hint="default"/>
        </w:rPr>
        <w:t>122,280,000.00</w:t>
      </w:r>
      <w:r>
        <w:rPr/>
        <w:t>元、人民币</w:t>
      </w:r>
      <w:r>
        <w:rPr>
          <w:rFonts w:ascii="Times New Roman" w:hAnsi="Times New Roman" w:cs="Times New Roman" w:eastAsia="Times New Roman" w:hint="default"/>
        </w:rPr>
        <w:t>429,424.85</w:t>
      </w:r>
      <w:r>
        <w:rPr/>
        <w:t>元。</w:t>
      </w:r>
    </w:p>
    <w:p>
      <w:pPr>
        <w:pStyle w:val="BodyText"/>
        <w:spacing w:line="300" w:lineRule="auto" w:before="63"/>
        <w:ind w:left="594" w:right="714"/>
        <w:jc w:val="left"/>
      </w:pPr>
      <w:r>
        <w:rPr>
          <w:rFonts w:ascii="Times New Roman" w:hAnsi="Times New Roman" w:cs="Times New Roman" w:eastAsia="Times New Roman" w:hint="default"/>
        </w:rPr>
        <w:t>3</w:t>
      </w:r>
      <w:r>
        <w:rPr/>
        <w:t>、预期信用损失：</w:t>
      </w:r>
      <w:r>
        <w:rPr>
          <w:spacing w:val="-85"/>
        </w:rPr>
        <w:t> </w:t>
      </w:r>
      <w:r>
        <w:rPr>
          <w:spacing w:val="-85"/>
        </w:rPr>
      </w:r>
      <w:r>
        <w:rPr>
          <w:spacing w:val="-3"/>
        </w:rPr>
        <w:t>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日，本集团依照新金融工具准则的要求对应收账款、其他分类为按摊余成本计量的金融资产确认信用损失减值</w:t>
      </w:r>
    </w:p>
    <w:p>
      <w:pPr>
        <w:pStyle w:val="BodyText"/>
        <w:spacing w:line="319" w:lineRule="auto" w:before="13"/>
        <w:ind w:left="594" w:right="714" w:hanging="360"/>
        <w:jc w:val="left"/>
      </w:pPr>
      <w:r>
        <w:rPr/>
        <w:t>准备。具体影响包括：</w:t>
      </w:r>
      <w:r>
        <w:rPr>
          <w:spacing w:val="-86"/>
        </w:rPr>
        <w:t> </w:t>
      </w:r>
      <w:r>
        <w:rPr>
          <w:spacing w:val="-86"/>
        </w:rPr>
      </w:r>
      <w:r>
        <w:rPr>
          <w:spacing w:val="-3"/>
        </w:rPr>
        <w:t>针对应收账款，本集团按照新金融工具准则的要求采用简化方法来计量预期信用损失，即按照相当于整个存续期内预期信用</w:t>
      </w:r>
    </w:p>
    <w:p>
      <w:pPr>
        <w:pStyle w:val="BodyText"/>
        <w:spacing w:line="300" w:lineRule="auto" w:before="17"/>
        <w:ind w:left="234" w:right="714"/>
        <w:jc w:val="left"/>
      </w:pPr>
      <w:r>
        <w:rPr>
          <w:spacing w:val="-4"/>
        </w:rPr>
        <w:t>损失的金额计量损失准备，导致</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日应收账款的损失准备增加人民币</w:t>
      </w:r>
      <w:r>
        <w:rPr>
          <w:rFonts w:ascii="Times New Roman" w:hAnsi="Times New Roman" w:cs="Times New Roman" w:eastAsia="Times New Roman" w:hint="default"/>
          <w:spacing w:val="-4"/>
        </w:rPr>
        <w:t>218,358.62</w:t>
      </w:r>
      <w:r>
        <w:rPr>
          <w:spacing w:val="-4"/>
        </w:rPr>
        <w:t>元，同时减少未分配利润人民币</w:t>
      </w:r>
      <w:r>
        <w:rPr>
          <w:rFonts w:ascii="Times New Roman" w:hAnsi="Times New Roman" w:cs="Times New Roman" w:eastAsia="Times New Roman" w:hint="default"/>
          <w:spacing w:val="-4"/>
        </w:rPr>
        <w:t>218,358.62</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元。</w:t>
      </w:r>
    </w:p>
    <w:p>
      <w:pPr>
        <w:pStyle w:val="BodyText"/>
        <w:spacing w:line="300" w:lineRule="auto" w:before="31"/>
        <w:ind w:left="234" w:right="714" w:firstLine="360"/>
        <w:jc w:val="left"/>
        <w:rPr>
          <w:rFonts w:ascii="Times New Roman" w:hAnsi="Times New Roman" w:cs="Times New Roman" w:eastAsia="Times New Roman" w:hint="default"/>
        </w:rPr>
      </w:pPr>
      <w:r>
        <w:rPr>
          <w:spacing w:val="-3"/>
        </w:rPr>
        <w:t>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日，本集团对分类为以摊余成本计量的金融资产等项目根据原金融工具准则确认的损失准备与根据新金融工具</w:t>
      </w:r>
      <w:r>
        <w:rPr>
          <w:w w:val="101"/>
        </w:rPr>
        <w:t> </w:t>
      </w:r>
      <w:r>
        <w:rPr>
          <w:spacing w:val="-3"/>
        </w:rPr>
        <w:t>准则确认的信用损失准备的调节情况详见下表。</w:t>
      </w:r>
      <w:r>
        <w:rPr>
          <w:rFonts w:ascii="Times New Roman" w:hAnsi="Times New Roman" w:cs="Times New Roman" w:eastAsia="Times New Roman" w:hint="default"/>
          <w:spacing w:val="-3"/>
        </w:rPr>
        <w:t>´</w:t>
      </w:r>
    </w:p>
    <w:p>
      <w:pPr>
        <w:pStyle w:val="Heading3"/>
        <w:spacing w:line="240" w:lineRule="auto" w:before="19"/>
        <w:ind w:left="238" w:right="7211"/>
        <w:jc w:val="left"/>
        <w:rPr>
          <w:rFonts w:ascii="Times New Roman" w:hAnsi="Times New Roman" w:cs="Times New Roman" w:eastAsia="Times New Roman" w:hint="default"/>
        </w:rPr>
      </w:pPr>
      <w:r>
        <w:rPr>
          <w:rFonts w:ascii="Times New Roman" w:hAnsi="Times New Roman" w:cs="Times New Roman" w:eastAsia="Times New Roman" w:hint="default"/>
        </w:rPr>
        <w:t>•</w:t>
      </w:r>
    </w:p>
    <w:tbl>
      <w:tblPr>
        <w:tblW w:w="0" w:type="auto"/>
        <w:jc w:val="left"/>
        <w:tblInd w:w="214" w:type="dxa"/>
        <w:tblLayout w:type="fixed"/>
        <w:tblCellMar>
          <w:top w:w="0" w:type="dxa"/>
          <w:left w:w="0" w:type="dxa"/>
          <w:bottom w:w="0" w:type="dxa"/>
          <w:right w:w="0" w:type="dxa"/>
        </w:tblCellMar>
        <w:tblLook w:val="01E0"/>
      </w:tblPr>
      <w:tblGrid>
        <w:gridCol w:w="2045"/>
        <w:gridCol w:w="2492"/>
        <w:gridCol w:w="2262"/>
        <w:gridCol w:w="3386"/>
      </w:tblGrid>
      <w:tr>
        <w:trPr>
          <w:trHeight w:val="346" w:hRule="exact"/>
        </w:trPr>
        <w:tc>
          <w:tcPr>
            <w:tcW w:w="1018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日信用损失准备的调节表</w:t>
            </w:r>
          </w:p>
        </w:tc>
      </w:tr>
      <w:tr>
        <w:trPr>
          <w:trHeight w:val="346" w:hRule="exact"/>
        </w:trPr>
        <w:tc>
          <w:tcPr>
            <w:tcW w:w="1018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pacing w:val="-2"/>
                <w:sz w:val="18"/>
                <w:szCs w:val="18"/>
              </w:rPr>
              <w:t>人民币元</w:t>
            </w:r>
          </w:p>
        </w:tc>
      </w:tr>
      <w:tr>
        <w:trPr>
          <w:trHeight w:val="350"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9" w:right="0"/>
              <w:jc w:val="left"/>
              <w:rPr>
                <w:rFonts w:ascii="宋体" w:hAnsi="宋体" w:cs="宋体" w:eastAsia="宋体" w:hint="default"/>
                <w:sz w:val="18"/>
                <w:szCs w:val="18"/>
              </w:rPr>
            </w:pPr>
            <w:r>
              <w:rPr>
                <w:rFonts w:ascii="宋体" w:hAnsi="宋体" w:cs="宋体" w:eastAsia="宋体" w:hint="default"/>
                <w:spacing w:val="-3"/>
                <w:sz w:val="18"/>
                <w:szCs w:val="18"/>
              </w:rPr>
              <w:t>按原准则确认的减值准备</w:t>
            </w:r>
          </w:p>
        </w:tc>
        <w:tc>
          <w:tcPr>
            <w:tcW w:w="2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0" w:right="0"/>
              <w:jc w:val="left"/>
              <w:rPr>
                <w:rFonts w:ascii="宋体" w:hAnsi="宋体" w:cs="宋体" w:eastAsia="宋体" w:hint="default"/>
                <w:sz w:val="18"/>
                <w:szCs w:val="18"/>
              </w:rPr>
            </w:pPr>
            <w:r>
              <w:rPr>
                <w:rFonts w:ascii="宋体" w:hAnsi="宋体" w:cs="宋体" w:eastAsia="宋体" w:hint="default"/>
                <w:sz w:val="18"/>
                <w:szCs w:val="18"/>
              </w:rPr>
              <w:t>重新计量预期损失准备</w:t>
            </w:r>
          </w:p>
        </w:tc>
        <w:tc>
          <w:tcPr>
            <w:tcW w:w="3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36"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按新金融工具准则确认的损失准备</w:t>
            </w:r>
          </w:p>
        </w:tc>
      </w:tr>
      <w:tr>
        <w:trPr>
          <w:trHeight w:val="346"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金融资产减值准备：</w:t>
            </w:r>
          </w:p>
        </w:tc>
        <w:tc>
          <w:tcPr>
            <w:tcW w:w="2492" w:type="dxa"/>
            <w:tcBorders>
              <w:top w:val="single" w:sz="6" w:space="0" w:color="000000"/>
              <w:left w:val="single" w:sz="6" w:space="0" w:color="000000"/>
              <w:bottom w:val="single" w:sz="6" w:space="0" w:color="000000"/>
              <w:right w:val="single" w:sz="6" w:space="0" w:color="000000"/>
            </w:tcBorders>
          </w:tcPr>
          <w:p>
            <w:pPr/>
          </w:p>
        </w:tc>
        <w:tc>
          <w:tcPr>
            <w:tcW w:w="2262" w:type="dxa"/>
            <w:tcBorders>
              <w:top w:val="single" w:sz="6" w:space="0" w:color="000000"/>
              <w:left w:val="single" w:sz="6" w:space="0" w:color="000000"/>
              <w:bottom w:val="single" w:sz="6" w:space="0" w:color="000000"/>
              <w:right w:val="single" w:sz="6" w:space="0" w:color="000000"/>
            </w:tcBorders>
          </w:tcPr>
          <w:p>
            <w:pPr/>
          </w:p>
        </w:tc>
        <w:tc>
          <w:tcPr>
            <w:tcW w:w="3386"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应收账款损失准备</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14,664,515.99</w:t>
            </w:r>
          </w:p>
        </w:tc>
        <w:tc>
          <w:tcPr>
            <w:tcW w:w="2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218,358.62</w:t>
            </w:r>
          </w:p>
        </w:tc>
        <w:tc>
          <w:tcPr>
            <w:tcW w:w="3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14,882,874.61</w:t>
            </w:r>
          </w:p>
        </w:tc>
      </w:tr>
      <w:tr>
        <w:trPr>
          <w:trHeight w:val="346"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其他应收款损失准备</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535,815.03</w:t>
            </w:r>
          </w:p>
        </w:tc>
        <w:tc>
          <w:tcPr>
            <w:tcW w:w="2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3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535,815.03</w:t>
            </w:r>
          </w:p>
        </w:tc>
      </w:tr>
      <w:tr>
        <w:trPr>
          <w:trHeight w:val="350"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15,200,331.02</w:t>
            </w:r>
          </w:p>
        </w:tc>
        <w:tc>
          <w:tcPr>
            <w:tcW w:w="2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218,358.62</w:t>
            </w:r>
          </w:p>
        </w:tc>
        <w:tc>
          <w:tcPr>
            <w:tcW w:w="3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15,418,689.64</w:t>
            </w:r>
          </w:p>
        </w:tc>
      </w:tr>
    </w:tbl>
    <w:p>
      <w:pPr>
        <w:spacing w:line="240" w:lineRule="auto" w:before="6"/>
        <w:rPr>
          <w:rFonts w:ascii="Times New Roman" w:hAnsi="Times New Roman" w:cs="Times New Roman" w:eastAsia="Times New Roman" w:hint="default"/>
          <w:sz w:val="29"/>
          <w:szCs w:val="29"/>
        </w:rPr>
      </w:pPr>
    </w:p>
    <w:p>
      <w:pPr>
        <w:pStyle w:val="BodyText"/>
        <w:spacing w:line="240" w:lineRule="auto" w:before="46"/>
        <w:ind w:left="234" w:right="7211"/>
        <w:jc w:val="left"/>
      </w:pPr>
      <w:r>
        <w:rPr/>
        <w:t>母公司资产负债表</w:t>
      </w:r>
    </w:p>
    <w:p>
      <w:pPr>
        <w:pStyle w:val="BodyText"/>
        <w:spacing w:line="240" w:lineRule="auto" w:before="115"/>
        <w:ind w:left="0" w:right="1751"/>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718"/>
        <w:gridCol w:w="2550"/>
        <w:gridCol w:w="2454"/>
        <w:gridCol w:w="2660"/>
      </w:tblGrid>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98"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345,925,250.00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345,925,250.00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122,531,713.32</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122,531,713.32</w:t>
            </w: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52,425,040.61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52,425,040.61</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1,400,056.27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1,400,056.27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131,250,481.47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130,998,768.15</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-251,713.32</w:t>
            </w: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1,967,227.21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1,715,513.89</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-251,713.32</w:t>
            </w:r>
          </w:p>
        </w:tc>
      </w:tr>
      <w:tr>
        <w:trPr>
          <w:trHeight w:val="398"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8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123,000,377.37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720,377.37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-122,280,000.00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640" w:right="0"/>
        </w:sectPr>
      </w:pPr>
    </w:p>
    <w:tbl>
      <w:tblPr>
        <w:tblW w:w="0" w:type="auto"/>
        <w:jc w:val="left"/>
        <w:tblInd w:w="118" w:type="dxa"/>
        <w:tblLayout w:type="fixed"/>
        <w:tblCellMar>
          <w:top w:w="0" w:type="dxa"/>
          <w:left w:w="0" w:type="dxa"/>
          <w:bottom w:w="0" w:type="dxa"/>
          <w:right w:w="0" w:type="dxa"/>
        </w:tblCellMar>
        <w:tblLook w:val="01E0"/>
      </w:tblPr>
      <w:tblGrid>
        <w:gridCol w:w="2718"/>
        <w:gridCol w:w="2550"/>
        <w:gridCol w:w="2454"/>
        <w:gridCol w:w="2660"/>
      </w:tblGrid>
      <w:tr>
        <w:trPr>
          <w:trHeight w:val="398"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5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654,001,205.72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654,001,205.72</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pacing w:val="-1"/>
                <w:sz w:val="18"/>
              </w:rPr>
              <w:t>129,750,000.00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4"/>
              <w:jc w:val="right"/>
              <w:rPr>
                <w:rFonts w:ascii="Times New Roman" w:hAnsi="Times New Roman" w:cs="Times New Roman" w:eastAsia="Times New Roman" w:hint="default"/>
                <w:sz w:val="18"/>
                <w:szCs w:val="18"/>
              </w:rPr>
            </w:pPr>
            <w:r>
              <w:rPr>
                <w:rFonts w:ascii="Times New Roman"/>
                <w:spacing w:val="-1"/>
                <w:sz w:val="18"/>
              </w:rPr>
              <w:t>-129,750,000.00</w:t>
            </w:r>
          </w:p>
        </w:tc>
      </w:tr>
      <w:tr>
        <w:trPr>
          <w:trHeight w:val="398"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2"/>
                <w:sz w:val="18"/>
              </w:rPr>
              <w:t>1,343,994,925.16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2"/>
                <w:sz w:val="18"/>
              </w:rPr>
              <w:t>1,343,994,925.16</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154,104,800.00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154,104,800.00</w:t>
            </w:r>
          </w:p>
        </w:tc>
      </w:tr>
      <w:tr>
        <w:trPr>
          <w:trHeight w:val="398"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24,678,970.27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24,678,970.27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2,776,868.31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2,776,868.31</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470,506.72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470,506.72</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2"/>
                <w:sz w:val="18"/>
              </w:rPr>
              <w:t>1,501,671,270.46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2"/>
                <w:sz w:val="18"/>
              </w:rPr>
              <w:t>1,526,026,070.46</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5"/>
              <w:jc w:val="right"/>
              <w:rPr>
                <w:rFonts w:ascii="Times New Roman" w:hAnsi="Times New Roman" w:cs="Times New Roman" w:eastAsia="Times New Roman" w:hint="default"/>
                <w:sz w:val="18"/>
                <w:szCs w:val="18"/>
              </w:rPr>
            </w:pPr>
            <w:r>
              <w:rPr>
                <w:rFonts w:ascii="Times New Roman"/>
                <w:spacing w:val="-1"/>
                <w:sz w:val="18"/>
              </w:rPr>
              <w:t>24,354,800.00</w:t>
            </w: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2"/>
                <w:sz w:val="18"/>
              </w:rPr>
              <w:t>2,155,672,476.18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2"/>
                <w:sz w:val="18"/>
              </w:rPr>
              <w:t>2,180,027,276.18</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5"/>
              <w:jc w:val="right"/>
              <w:rPr>
                <w:rFonts w:ascii="Times New Roman" w:hAnsi="Times New Roman" w:cs="Times New Roman" w:eastAsia="Times New Roman" w:hint="default"/>
                <w:sz w:val="18"/>
                <w:szCs w:val="18"/>
              </w:rPr>
            </w:pPr>
            <w:r>
              <w:rPr>
                <w:rFonts w:ascii="Times New Roman"/>
                <w:spacing w:val="-1"/>
                <w:sz w:val="18"/>
              </w:rPr>
              <w:t>24,354,800.00</w:t>
            </w: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1,817,255.27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1,817,255.27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1,029,020.17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1,029,020.17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399"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4,671,878.38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4,671,878.38</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1,017,787.35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1,017,787.35</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300,064,443.49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300,064,443.49</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399"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18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80" w:bottom="1220" w:left="640" w:right="0"/>
        </w:sectPr>
      </w:pPr>
    </w:p>
    <w:tbl>
      <w:tblPr>
        <w:tblW w:w="0" w:type="auto"/>
        <w:jc w:val="left"/>
        <w:tblInd w:w="118" w:type="dxa"/>
        <w:tblLayout w:type="fixed"/>
        <w:tblCellMar>
          <w:top w:w="0" w:type="dxa"/>
          <w:left w:w="0" w:type="dxa"/>
          <w:bottom w:w="0" w:type="dxa"/>
          <w:right w:w="0" w:type="dxa"/>
        </w:tblCellMar>
        <w:tblLook w:val="01E0"/>
      </w:tblPr>
      <w:tblGrid>
        <w:gridCol w:w="2718"/>
        <w:gridCol w:w="2550"/>
        <w:gridCol w:w="2454"/>
        <w:gridCol w:w="2660"/>
      </w:tblGrid>
      <w:tr>
        <w:trPr>
          <w:trHeight w:val="398"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5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308,600,384.66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308,600,384.66</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06" w:right="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8,298,084.27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14,386,784.27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6,088,700.00</w:t>
            </w: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8,298,084.27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14,386,784.27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6,088,700.00</w:t>
            </w:r>
          </w:p>
        </w:tc>
      </w:tr>
      <w:tr>
        <w:trPr>
          <w:trHeight w:val="404"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316,898,468.93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322,987,168.93</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6,088,700.00</w:t>
            </w:r>
          </w:p>
        </w:tc>
      </w:tr>
      <w:tr>
        <w:trPr>
          <w:trHeight w:val="398"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794,980,220.00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794,980,220.00</w:t>
            </w: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06" w:right="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872,278,990.98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872,278,990.98</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35,340,000.00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35,340,000.00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24,894,285.73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z w:val="18"/>
              </w:rPr>
              <w:t>0.00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-24,894,285.73</w:t>
            </w:r>
          </w:p>
        </w:tc>
      </w:tr>
      <w:tr>
        <w:trPr>
          <w:trHeight w:val="399"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50"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90,731,741.37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90,731,741.37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91,228,769.17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134,389,154.90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5"/>
              <w:jc w:val="right"/>
              <w:rPr>
                <w:rFonts w:ascii="Times New Roman" w:hAnsi="Times New Roman" w:cs="Times New Roman" w:eastAsia="Times New Roman" w:hint="default"/>
                <w:sz w:val="18"/>
                <w:szCs w:val="18"/>
              </w:rPr>
            </w:pPr>
            <w:r>
              <w:rPr>
                <w:rFonts w:ascii="Times New Roman"/>
                <w:spacing w:val="-1"/>
                <w:sz w:val="18"/>
              </w:rPr>
              <w:t>43,160,385.73</w:t>
            </w:r>
          </w:p>
        </w:tc>
      </w:tr>
      <w:tr>
        <w:trPr>
          <w:trHeight w:val="403"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2"/>
                <w:sz w:val="18"/>
              </w:rPr>
              <w:t>1,838,774,007.25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2"/>
                <w:sz w:val="18"/>
              </w:rPr>
              <w:t>1,857,040,107.25</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5"/>
              <w:jc w:val="right"/>
              <w:rPr>
                <w:rFonts w:ascii="Times New Roman" w:hAnsi="Times New Roman" w:cs="Times New Roman" w:eastAsia="Times New Roman" w:hint="default"/>
                <w:sz w:val="18"/>
                <w:szCs w:val="18"/>
              </w:rPr>
            </w:pPr>
            <w:r>
              <w:rPr>
                <w:rFonts w:ascii="Times New Roman"/>
                <w:spacing w:val="-1"/>
                <w:sz w:val="18"/>
              </w:rPr>
              <w:t>18,266,100.00</w:t>
            </w:r>
          </w:p>
        </w:tc>
      </w:tr>
      <w:tr>
        <w:trPr>
          <w:trHeight w:val="399" w:hRule="exact"/>
        </w:trPr>
        <w:tc>
          <w:tcPr>
            <w:tcW w:w="2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2"/>
                <w:sz w:val="18"/>
              </w:rPr>
              <w:t>2,155,672,476.18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2"/>
                <w:sz w:val="18"/>
              </w:rPr>
              <w:t>2,180,027,276.18</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5"/>
              <w:jc w:val="right"/>
              <w:rPr>
                <w:rFonts w:ascii="Times New Roman" w:hAnsi="Times New Roman" w:cs="Times New Roman" w:eastAsia="Times New Roman" w:hint="default"/>
                <w:sz w:val="18"/>
                <w:szCs w:val="18"/>
              </w:rPr>
            </w:pPr>
            <w:r>
              <w:rPr>
                <w:rFonts w:ascii="Times New Roman"/>
                <w:spacing w:val="-1"/>
                <w:sz w:val="18"/>
              </w:rPr>
              <w:t>24,354,800.00</w:t>
            </w:r>
          </w:p>
        </w:tc>
      </w:tr>
    </w:tbl>
    <w:p>
      <w:pPr>
        <w:pStyle w:val="BodyText"/>
        <w:spacing w:line="240" w:lineRule="auto" w:before="44"/>
        <w:ind w:left="234" w:right="7211"/>
        <w:jc w:val="left"/>
      </w:pPr>
      <w:r>
        <w:rPr/>
        <w:t>调整情况说明</w:t>
      </w:r>
    </w:p>
    <w:p>
      <w:pPr>
        <w:pStyle w:val="BodyText"/>
        <w:spacing w:line="300" w:lineRule="auto" w:before="115"/>
        <w:ind w:left="594" w:right="3169"/>
        <w:jc w:val="left"/>
      </w:pPr>
      <w:r>
        <w:rPr>
          <w:rFonts w:ascii="Times New Roman" w:hAnsi="Times New Roman" w:cs="Times New Roman" w:eastAsia="Times New Roman" w:hint="default"/>
          <w:spacing w:val="-3"/>
        </w:rPr>
        <w:t>1</w:t>
      </w:r>
      <w:r>
        <w:rPr>
          <w:spacing w:val="-3"/>
        </w:rPr>
        <w:t>、自原分类为可供出售金融资产转入：</w:t>
      </w:r>
      <w:r>
        <w:rPr>
          <w:spacing w:val="-34"/>
        </w:rPr>
        <w:t> </w:t>
      </w:r>
      <w:r>
        <w:rPr>
          <w:spacing w:val="-34"/>
        </w:rPr>
      </w:r>
      <w:r>
        <w:rPr>
          <w:spacing w:val="-3"/>
        </w:rPr>
        <w:t>从可供出售金融资产项目转入其他非流动金融资产项目：</w:t>
      </w:r>
    </w:p>
    <w:p>
      <w:pPr>
        <w:pStyle w:val="BodyText"/>
        <w:spacing w:line="300" w:lineRule="auto" w:before="31"/>
        <w:ind w:left="234" w:right="714" w:firstLine="360"/>
        <w:jc w:val="left"/>
      </w:pPr>
      <w:r>
        <w:rPr>
          <w:spacing w:val="-4"/>
        </w:rPr>
        <w:t>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日，人民币</w:t>
      </w:r>
      <w:r>
        <w:rPr>
          <w:rFonts w:ascii="Times New Roman" w:hAnsi="Times New Roman" w:cs="Times New Roman" w:eastAsia="Times New Roman" w:hint="default"/>
          <w:spacing w:val="-4"/>
        </w:rPr>
        <w:t>129,750,000.00</w:t>
      </w:r>
      <w:r>
        <w:rPr>
          <w:spacing w:val="-4"/>
        </w:rPr>
        <w:t>元的可供出售金融资产被重分类为以公允价值计量且其变动计入当期损益的金融资产，</w:t>
      </w:r>
      <w:r>
        <w:rPr>
          <w:w w:val="101"/>
        </w:rPr>
        <w:t> </w:t>
      </w:r>
      <w:r>
        <w:rPr>
          <w:spacing w:val="-3"/>
        </w:rPr>
        <w:t>并计入其他非流动金融资产项目，以前期间以公允价值计量的累计公允价值变动人民币</w:t>
      </w:r>
      <w:r>
        <w:rPr>
          <w:rFonts w:ascii="Times New Roman" w:hAnsi="Times New Roman" w:cs="Times New Roman" w:eastAsia="Times New Roman" w:hint="default"/>
          <w:spacing w:val="-3"/>
        </w:rPr>
        <w:t>33,192,370.00</w:t>
      </w:r>
      <w:r>
        <w:rPr>
          <w:spacing w:val="-3"/>
        </w:rPr>
        <w:t>元从其他综合收益</w:t>
      </w:r>
      <w:r>
        <w:rPr>
          <w:rFonts w:ascii="Times New Roman" w:hAnsi="Times New Roman" w:cs="Times New Roman" w:eastAsia="Times New Roman" w:hint="default"/>
          <w:spacing w:val="-3"/>
        </w:rPr>
        <w:t>(</w:t>
      </w:r>
      <w:r>
        <w:rPr>
          <w:spacing w:val="-3"/>
        </w:rPr>
        <w:t>可供出售</w:t>
      </w:r>
      <w:r>
        <w:rPr>
          <w:spacing w:val="6"/>
        </w:rPr>
        <w:t> </w:t>
      </w:r>
      <w:r>
        <w:rPr>
          <w:spacing w:val="6"/>
        </w:rPr>
      </w:r>
      <w:r>
        <w:rPr>
          <w:spacing w:val="-3"/>
        </w:rPr>
        <w:t>金融资产公允价值变动损益</w:t>
      </w:r>
      <w:r>
        <w:rPr>
          <w:rFonts w:ascii="Times New Roman" w:hAnsi="Times New Roman" w:cs="Times New Roman" w:eastAsia="Times New Roman" w:hint="default"/>
          <w:spacing w:val="-3"/>
        </w:rPr>
        <w:t>)</w:t>
      </w:r>
      <w:r>
        <w:rPr>
          <w:spacing w:val="-3"/>
        </w:rPr>
        <w:t>相应转入未分配利润，将原确认为抵减其他综合收益的相应所得税</w:t>
      </w:r>
      <w:r>
        <w:rPr>
          <w:rFonts w:ascii="Times New Roman" w:hAnsi="Times New Roman" w:cs="Times New Roman" w:eastAsia="Times New Roman" w:hint="default"/>
          <w:spacing w:val="-3"/>
        </w:rPr>
        <w:t>8,298,084.27</w:t>
      </w:r>
      <w:r>
        <w:rPr>
          <w:spacing w:val="-3"/>
        </w:rPr>
        <w:t>元调整为抵减未分配利</w:t>
      </w:r>
      <w:r>
        <w:rPr>
          <w:spacing w:val="75"/>
        </w:rPr>
        <w:t> </w:t>
      </w:r>
      <w:r>
        <w:rPr>
          <w:spacing w:val="75"/>
        </w:rPr>
      </w:r>
      <w:r>
        <w:rPr>
          <w:spacing w:val="-4"/>
        </w:rPr>
        <w:t>润。其中，人民币</w:t>
      </w:r>
      <w:r>
        <w:rPr>
          <w:rFonts w:ascii="Times New Roman" w:hAnsi="Times New Roman" w:cs="Times New Roman" w:eastAsia="Times New Roman" w:hint="default"/>
          <w:spacing w:val="-4"/>
        </w:rPr>
        <w:t>67,500,000.00</w:t>
      </w:r>
      <w:r>
        <w:rPr>
          <w:spacing w:val="-4"/>
        </w:rPr>
        <w:t>元可供出售金融资产为在活跃市场中没有报价且其公允价值不能可靠计量的权益工具投资，以前期</w:t>
      </w:r>
      <w:r>
        <w:rPr>
          <w:spacing w:val="18"/>
        </w:rPr>
        <w:t> </w:t>
      </w:r>
      <w:r>
        <w:rPr>
          <w:spacing w:val="18"/>
        </w:rPr>
      </w:r>
      <w:r>
        <w:rPr>
          <w:spacing w:val="-3"/>
        </w:rPr>
        <w:t>间根据原金融工具准则按照成本计量。于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日对该部分股权投资采用公允价值计量导致其他非流动金融资产项目账面价</w:t>
      </w:r>
    </w:p>
    <w:p>
      <w:pPr>
        <w:spacing w:after="0" w:line="300" w:lineRule="auto"/>
        <w:jc w:val="left"/>
        <w:sectPr>
          <w:pgSz w:w="11910" w:h="16840"/>
          <w:pgMar w:header="906" w:footer="1022" w:top="1180" w:bottom="1220" w:left="640" w:right="0"/>
        </w:sectPr>
      </w:pPr>
    </w:p>
    <w:p>
      <w:pPr>
        <w:pStyle w:val="BodyText"/>
        <w:spacing w:line="300" w:lineRule="auto" w:before="80"/>
        <w:ind w:right="858"/>
        <w:jc w:val="left"/>
      </w:pPr>
      <w:r>
        <w:rPr>
          <w:spacing w:val="-3"/>
        </w:rPr>
        <w:t>值增加人民币</w:t>
      </w:r>
      <w:r>
        <w:rPr>
          <w:rFonts w:ascii="Times New Roman" w:hAnsi="Times New Roman" w:cs="Times New Roman" w:eastAsia="Times New Roman" w:hint="default"/>
          <w:spacing w:val="-3"/>
        </w:rPr>
        <w:t>24,354,800.00</w:t>
      </w:r>
      <w:r>
        <w:rPr>
          <w:spacing w:val="-3"/>
        </w:rPr>
        <w:t>元，并相应增加未分配利润；同时按公允价值变动额及相应税率确认相应所得税人民币</w:t>
      </w:r>
      <w:r>
        <w:rPr>
          <w:rFonts w:ascii="Times New Roman" w:hAnsi="Times New Roman" w:cs="Times New Roman" w:eastAsia="Times New Roman" w:hint="default"/>
          <w:spacing w:val="-3"/>
        </w:rPr>
        <w:t>6,088,700.00</w:t>
      </w:r>
      <w:r>
        <w:rPr>
          <w:spacing w:val="-3"/>
        </w:rPr>
        <w:t>元，</w:t>
      </w:r>
      <w:r>
        <w:rPr>
          <w:spacing w:val="25"/>
        </w:rPr>
        <w:t> </w:t>
      </w:r>
      <w:r>
        <w:rPr>
          <w:spacing w:val="-3"/>
        </w:rPr>
        <w:t>确认递延所得税负债并抵减未分配利润。</w:t>
      </w:r>
    </w:p>
    <w:p>
      <w:pPr>
        <w:pStyle w:val="BodyText"/>
        <w:spacing w:line="240" w:lineRule="auto" w:before="31"/>
        <w:ind w:left="494" w:right="858"/>
        <w:jc w:val="left"/>
      </w:pPr>
      <w:r>
        <w:rPr>
          <w:rFonts w:ascii="Times New Roman" w:hAnsi="Times New Roman" w:cs="Times New Roman" w:eastAsia="Times New Roman" w:hint="default"/>
          <w:spacing w:val="-3"/>
        </w:rPr>
        <w:t>2</w:t>
      </w:r>
      <w:r>
        <w:rPr>
          <w:spacing w:val="-3"/>
        </w:rPr>
        <w:t>、自原分类为其他流动资产</w:t>
      </w:r>
      <w:r>
        <w:rPr>
          <w:rFonts w:ascii="Times New Roman" w:hAnsi="Times New Roman" w:cs="Times New Roman" w:eastAsia="Times New Roman" w:hint="default"/>
          <w:spacing w:val="-3"/>
        </w:rPr>
        <w:t>/</w:t>
      </w:r>
      <w:r>
        <w:rPr>
          <w:spacing w:val="-3"/>
        </w:rPr>
        <w:t>其他应收款转入：</w:t>
      </w:r>
    </w:p>
    <w:p>
      <w:pPr>
        <w:pStyle w:val="BodyText"/>
        <w:spacing w:line="300" w:lineRule="auto" w:before="63"/>
        <w:ind w:right="858" w:firstLine="36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日，将购买的银行理财产品及其应收利息从其他流动资产及其他应收款调整至交易性金融资产，金额分别为人民</w:t>
      </w:r>
      <w:r>
        <w:rPr>
          <w:w w:val="101"/>
        </w:rPr>
        <w:t> </w:t>
      </w:r>
      <w:r>
        <w:rPr/>
        <w:t>币</w:t>
      </w:r>
      <w:r>
        <w:rPr>
          <w:rFonts w:ascii="Times New Roman" w:hAnsi="Times New Roman" w:cs="Times New Roman" w:eastAsia="Times New Roman" w:hint="default"/>
        </w:rPr>
        <w:t>122,280,000.00</w:t>
      </w:r>
      <w:r>
        <w:rPr/>
        <w:t>元、人民币</w:t>
      </w:r>
      <w:r>
        <w:rPr>
          <w:rFonts w:ascii="Times New Roman" w:hAnsi="Times New Roman" w:cs="Times New Roman" w:eastAsia="Times New Roman" w:hint="default"/>
        </w:rPr>
        <w:t>251,713.32</w:t>
      </w:r>
      <w:r>
        <w:rPr/>
        <w:t>元。</w:t>
      </w:r>
    </w:p>
    <w:p>
      <w:pPr>
        <w:pStyle w:val="BodyText"/>
        <w:spacing w:line="300" w:lineRule="auto" w:before="13"/>
        <w:ind w:right="858" w:firstLine="360"/>
        <w:jc w:val="left"/>
      </w:pPr>
      <w:r>
        <w:rPr>
          <w:spacing w:val="-3"/>
        </w:rPr>
        <w:t>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日，本公司对分类为以摊余成本计量的金融资产等项目根据原金融工具准则确认的损失准备与根据新金融工具</w:t>
      </w:r>
      <w:r>
        <w:rPr>
          <w:w w:val="101"/>
        </w:rPr>
        <w:t> </w:t>
      </w:r>
      <w:r>
        <w:rPr>
          <w:spacing w:val="-3"/>
        </w:rPr>
        <w:t>准则确认的信用损失准备的调节情况详见下表。</w:t>
      </w:r>
    </w:p>
    <w:tbl>
      <w:tblPr>
        <w:tblW w:w="0" w:type="auto"/>
        <w:jc w:val="left"/>
        <w:tblInd w:w="114" w:type="dxa"/>
        <w:tblLayout w:type="fixed"/>
        <w:tblCellMar>
          <w:top w:w="0" w:type="dxa"/>
          <w:left w:w="0" w:type="dxa"/>
          <w:bottom w:w="0" w:type="dxa"/>
          <w:right w:w="0" w:type="dxa"/>
        </w:tblCellMar>
        <w:tblLook w:val="01E0"/>
      </w:tblPr>
      <w:tblGrid>
        <w:gridCol w:w="2045"/>
        <w:gridCol w:w="2492"/>
        <w:gridCol w:w="2262"/>
        <w:gridCol w:w="3386"/>
      </w:tblGrid>
      <w:tr>
        <w:trPr>
          <w:trHeight w:val="346" w:hRule="exact"/>
        </w:trPr>
        <w:tc>
          <w:tcPr>
            <w:tcW w:w="1018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日信用损失准备的调节表</w:t>
            </w:r>
          </w:p>
        </w:tc>
      </w:tr>
      <w:tr>
        <w:trPr>
          <w:trHeight w:val="346" w:hRule="exact"/>
        </w:trPr>
        <w:tc>
          <w:tcPr>
            <w:tcW w:w="1018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pacing w:val="-2"/>
                <w:sz w:val="18"/>
                <w:szCs w:val="18"/>
              </w:rPr>
              <w:t>人民币元</w:t>
            </w:r>
          </w:p>
        </w:tc>
      </w:tr>
      <w:tr>
        <w:trPr>
          <w:trHeight w:val="351"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9" w:right="0"/>
              <w:jc w:val="left"/>
              <w:rPr>
                <w:rFonts w:ascii="宋体" w:hAnsi="宋体" w:cs="宋体" w:eastAsia="宋体" w:hint="default"/>
                <w:sz w:val="18"/>
                <w:szCs w:val="18"/>
              </w:rPr>
            </w:pPr>
            <w:r>
              <w:rPr>
                <w:rFonts w:ascii="宋体" w:hAnsi="宋体" w:cs="宋体" w:eastAsia="宋体" w:hint="default"/>
                <w:spacing w:val="-3"/>
                <w:sz w:val="18"/>
                <w:szCs w:val="18"/>
              </w:rPr>
              <w:t>按原准则确认的减值准备</w:t>
            </w:r>
          </w:p>
        </w:tc>
        <w:tc>
          <w:tcPr>
            <w:tcW w:w="2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0" w:right="0"/>
              <w:jc w:val="left"/>
              <w:rPr>
                <w:rFonts w:ascii="宋体" w:hAnsi="宋体" w:cs="宋体" w:eastAsia="宋体" w:hint="default"/>
                <w:sz w:val="18"/>
                <w:szCs w:val="18"/>
              </w:rPr>
            </w:pPr>
            <w:r>
              <w:rPr>
                <w:rFonts w:ascii="宋体" w:hAnsi="宋体" w:cs="宋体" w:eastAsia="宋体" w:hint="default"/>
                <w:sz w:val="18"/>
                <w:szCs w:val="18"/>
              </w:rPr>
              <w:t>重新计量预期损失准备</w:t>
            </w:r>
          </w:p>
        </w:tc>
        <w:tc>
          <w:tcPr>
            <w:tcW w:w="3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36"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按新金融工具准则确认的损失准备</w:t>
            </w:r>
          </w:p>
        </w:tc>
      </w:tr>
      <w:tr>
        <w:trPr>
          <w:trHeight w:val="346"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金融资产减值准备：</w:t>
            </w:r>
          </w:p>
        </w:tc>
        <w:tc>
          <w:tcPr>
            <w:tcW w:w="2492" w:type="dxa"/>
            <w:tcBorders>
              <w:top w:val="single" w:sz="6" w:space="0" w:color="000000"/>
              <w:left w:val="single" w:sz="6" w:space="0" w:color="000000"/>
              <w:bottom w:val="single" w:sz="6" w:space="0" w:color="000000"/>
              <w:right w:val="single" w:sz="6" w:space="0" w:color="000000"/>
            </w:tcBorders>
          </w:tcPr>
          <w:p>
            <w:pPr/>
          </w:p>
        </w:tc>
        <w:tc>
          <w:tcPr>
            <w:tcW w:w="2262" w:type="dxa"/>
            <w:tcBorders>
              <w:top w:val="single" w:sz="6" w:space="0" w:color="000000"/>
              <w:left w:val="single" w:sz="6" w:space="0" w:color="000000"/>
              <w:bottom w:val="single" w:sz="6" w:space="0" w:color="000000"/>
              <w:right w:val="single" w:sz="6" w:space="0" w:color="000000"/>
            </w:tcBorders>
          </w:tcPr>
          <w:p>
            <w:pPr/>
          </w:p>
        </w:tc>
        <w:tc>
          <w:tcPr>
            <w:tcW w:w="3386"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应收账款损失准备</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504,988.53</w:t>
            </w:r>
          </w:p>
        </w:tc>
        <w:tc>
          <w:tcPr>
            <w:tcW w:w="2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3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504,988.53</w:t>
            </w:r>
          </w:p>
        </w:tc>
      </w:tr>
      <w:tr>
        <w:trPr>
          <w:trHeight w:val="346"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其他应收款损失准备</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158,192.77</w:t>
            </w:r>
          </w:p>
        </w:tc>
        <w:tc>
          <w:tcPr>
            <w:tcW w:w="2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3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158,192.77</w:t>
            </w:r>
          </w:p>
        </w:tc>
      </w:tr>
      <w:tr>
        <w:trPr>
          <w:trHeight w:val="350"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663,181.30</w:t>
            </w:r>
          </w:p>
        </w:tc>
        <w:tc>
          <w:tcPr>
            <w:tcW w:w="2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3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663,181.30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4"/>
        <w:spacing w:line="240" w:lineRule="auto" w:before="36"/>
        <w:ind w:right="858"/>
        <w:jc w:val="left"/>
        <w:rPr>
          <w:b w:val="0"/>
          <w:bCs w:val="0"/>
        </w:rPr>
      </w:pPr>
      <w:bookmarkStart w:name="（4）2019年起执行新金融工具准则或新租赁准则追溯调整前期比较数据说明" w:id="212"/>
      <w:bookmarkEnd w:id="212"/>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年起执行新金融工具准则或新租赁准则追溯调整前期比较数据说明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right="858"/>
        <w:jc w:val="left"/>
        <w:rPr>
          <w:b w:val="0"/>
          <w:bCs w:val="0"/>
        </w:rPr>
      </w:pPr>
      <w:bookmarkStart w:name="28、其他: 无" w:id="213"/>
      <w:bookmarkEnd w:id="213"/>
      <w:r>
        <w:rPr>
          <w:b w:val="0"/>
          <w:bCs w:val="0"/>
        </w:rPr>
      </w:r>
      <w:r>
        <w:rPr>
          <w:rFonts w:ascii="Times New Roman" w:hAnsi="Times New Roman" w:cs="Times New Roman" w:eastAsia="Times New Roman" w:hint="default"/>
        </w:rPr>
        <w:t>28</w:t>
      </w:r>
      <w:r>
        <w:rPr/>
        <w:t>、其他</w:t>
      </w:r>
      <w:r>
        <w:rPr>
          <w:rFonts w:ascii="Times New Roman" w:hAnsi="Times New Roman" w:cs="Times New Roman" w:eastAsia="Times New Roman" w:hint="default"/>
        </w:rPr>
        <w:t>:  </w:t>
      </w:r>
      <w:r>
        <w:rPr/>
        <w:t>无</w:t>
      </w:r>
      <w:r>
        <w:rPr>
          <w:b w:val="0"/>
          <w:bCs w:val="0"/>
        </w:rPr>
      </w:r>
    </w:p>
    <w:p>
      <w:pPr>
        <w:spacing w:after="0" w:line="240" w:lineRule="auto"/>
        <w:jc w:val="left"/>
        <w:sectPr>
          <w:pgSz w:w="11910" w:h="16840"/>
          <w:pgMar w:header="906" w:footer="1022" w:top="1100" w:bottom="1220" w:left="740" w:right="0"/>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2"/>
        <w:spacing w:line="240" w:lineRule="auto" w:before="5"/>
        <w:ind w:left="134" w:right="858"/>
        <w:jc w:val="left"/>
        <w:rPr>
          <w:b w:val="0"/>
          <w:bCs w:val="0"/>
        </w:rPr>
      </w:pPr>
      <w:bookmarkStart w:name="六、税项" w:id="214"/>
      <w:bookmarkEnd w:id="214"/>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858"/>
        <w:jc w:val="left"/>
        <w:rPr>
          <w:b w:val="0"/>
          <w:bCs w:val="0"/>
        </w:rPr>
      </w:pPr>
      <w:bookmarkStart w:name="1、主要税种及税率" w:id="215"/>
      <w:bookmarkEnd w:id="21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1"/>
        <w:rPr>
          <w:rFonts w:ascii="宋体" w:hAnsi="宋体" w:cs="宋体" w:eastAsia="宋体" w:hint="default"/>
          <w:b/>
          <w:bCs/>
          <w:sz w:val="25"/>
          <w:szCs w:val="25"/>
        </w:rPr>
      </w:pPr>
    </w:p>
    <w:tbl>
      <w:tblPr>
        <w:tblW w:w="0" w:type="auto"/>
        <w:jc w:val="left"/>
        <w:tblInd w:w="129"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销售额、采购额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注</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7%</w:t>
            </w:r>
            <w:r>
              <w:rPr>
                <w:rFonts w:ascii="Times New Roman" w:hAnsi="Times New Roman" w:cs="Times New Roman" w:eastAsia="Times New Roman" w:hint="default"/>
                <w:sz w:val="18"/>
                <w:szCs w:val="18"/>
              </w:rPr>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3"/>
                <w:sz w:val="18"/>
                <w:szCs w:val="18"/>
              </w:rPr>
              <w:t>25%</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15%</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16.5%</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17%</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27.5%</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12.5%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美国销售税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8.25%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Times New Roman" w:hAnsi="Times New Roman" w:cs="Times New Roman" w:eastAsia="Times New Roman" w:hint="default"/>
                <w:sz w:val="18"/>
                <w:szCs w:val="18"/>
              </w:rPr>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加拿大销售税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新加坡销售税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澳大利亚销售税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10%</w:t>
            </w:r>
          </w:p>
        </w:tc>
      </w:tr>
    </w:tbl>
    <w:p>
      <w:pPr>
        <w:pStyle w:val="BodyText"/>
        <w:spacing w:line="240" w:lineRule="auto" w:before="53"/>
        <w:ind w:right="858"/>
        <w:jc w:val="left"/>
      </w:pPr>
      <w:r>
        <w:rPr>
          <w:spacing w:val="-3"/>
        </w:rPr>
        <w:t>存在不同企业所得税税率纳税主体的，披露情况说明</w:t>
      </w:r>
    </w:p>
    <w:p>
      <w:pPr>
        <w:spacing w:line="240" w:lineRule="auto" w:before="10"/>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r>
      <w:tr>
        <w:trPr>
          <w:trHeight w:val="39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香港增值</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16.50%  </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爱涛视讯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爱涛网络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16.50%  </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pacing w:val="-1"/>
                <w:sz w:val="18"/>
              </w:rPr>
              <w:t> </w:t>
            </w:r>
            <w:r>
              <w:rPr>
                <w:rFonts w:ascii="Times New Roman"/>
                <w:sz w:val="18"/>
              </w:rPr>
              <w:t>Global</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DTMI</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pacing w:val="-3"/>
                <w:sz w:val="18"/>
              </w:rPr>
              <w:t>iTalkBB</w:t>
            </w:r>
            <w:r>
              <w:rPr>
                <w:rFonts w:ascii="Times New Roman"/>
                <w:spacing w:val="5"/>
                <w:sz w:val="18"/>
              </w:rPr>
              <w:t> </w:t>
            </w:r>
            <w:r>
              <w:rPr>
                <w:rFonts w:ascii="Times New Roman"/>
                <w:sz w:val="18"/>
              </w:rPr>
              <w:t>Singapore</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p>
        </w:tc>
      </w:tr>
      <w:tr>
        <w:trPr>
          <w:trHeight w:val="39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pacing w:val="-3"/>
                <w:sz w:val="18"/>
              </w:rPr>
              <w:t>iTalkBB</w:t>
            </w:r>
            <w:r>
              <w:rPr>
                <w:rFonts w:ascii="Times New Roman"/>
                <w:spacing w:val="4"/>
                <w:sz w:val="18"/>
              </w:rPr>
              <w:t> </w:t>
            </w:r>
            <w:r>
              <w:rPr>
                <w:rFonts w:ascii="Times New Roman"/>
                <w:sz w:val="18"/>
              </w:rPr>
              <w:t>Canada</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pacing w:val="-3"/>
                <w:sz w:val="18"/>
              </w:rPr>
              <w:t>iTalkBB</w:t>
            </w:r>
            <w:r>
              <w:rPr>
                <w:rFonts w:ascii="Times New Roman"/>
                <w:spacing w:val="-7"/>
                <w:sz w:val="18"/>
              </w:rPr>
              <w:t> </w:t>
            </w:r>
            <w:r>
              <w:rPr>
                <w:rFonts w:ascii="Times New Roman"/>
                <w:sz w:val="18"/>
              </w:rPr>
              <w:t>Australia</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27.50%  </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二六三香港控股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16.50%  </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r>
      <w:tr>
        <w:trPr>
          <w:trHeight w:val="39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United</w:t>
            </w:r>
            <w:r>
              <w:rPr>
                <w:rFonts w:ascii="Times New Roman"/>
                <w:spacing w:val="8"/>
                <w:sz w:val="18"/>
              </w:rPr>
              <w:t> </w:t>
            </w:r>
            <w:r>
              <w:rPr>
                <w:rFonts w:ascii="Times New Roman"/>
                <w:spacing w:val="-5"/>
                <w:sz w:val="18"/>
              </w:rPr>
              <w:t>Wise</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  </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二六三移动香港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16.50%  </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Freedom</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与 </w:t>
            </w:r>
            <w:r>
              <w:rPr>
                <w:rFonts w:ascii="Times New Roman" w:hAnsi="Times New Roman" w:cs="Times New Roman" w:eastAsia="Times New Roman" w:hint="default"/>
                <w:spacing w:val="-4"/>
                <w:sz w:val="18"/>
                <w:szCs w:val="18"/>
              </w:rPr>
              <w:t>iTalk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合并缴税</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pacing w:val="-2"/>
                <w:sz w:val="18"/>
              </w:rPr>
              <w:t> </w:t>
            </w:r>
            <w:r>
              <w:rPr>
                <w:rFonts w:ascii="Times New Roman"/>
                <w:sz w:val="18"/>
              </w:rPr>
              <w:t>Mobile</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740" w:right="0"/>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3"/>
          <w:szCs w:val="3"/>
        </w:rPr>
      </w:pPr>
    </w:p>
    <w:tbl>
      <w:tblPr>
        <w:tblW w:w="0" w:type="auto"/>
        <w:jc w:val="left"/>
        <w:tblInd w:w="129" w:type="dxa"/>
        <w:tblLayout w:type="fixed"/>
        <w:tblCellMar>
          <w:top w:w="0" w:type="dxa"/>
          <w:left w:w="0" w:type="dxa"/>
          <w:bottom w:w="0" w:type="dxa"/>
          <w:right w:w="0" w:type="dxa"/>
        </w:tblCellMar>
        <w:tblLook w:val="01E0"/>
      </w:tblPr>
      <w:tblGrid>
        <w:gridCol w:w="4782"/>
        <w:gridCol w:w="4787"/>
      </w:tblGrid>
      <w:tr>
        <w:trPr>
          <w:trHeight w:val="398"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展动科技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北京展视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12.50%  </w:t>
            </w:r>
            <w:r>
              <w:rPr>
                <w:rFonts w:ascii="宋体" w:hAnsi="宋体" w:cs="宋体" w:eastAsia="宋体" w:hint="default"/>
                <w:sz w:val="18"/>
                <w:szCs w:val="18"/>
              </w:rPr>
              <w:t>注</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pacing w:val="1"/>
                <w:sz w:val="18"/>
              </w:rPr>
              <w:t> </w:t>
            </w:r>
            <w:r>
              <w:rPr>
                <w:rFonts w:ascii="Times New Roman"/>
                <w:sz w:val="18"/>
              </w:rPr>
              <w:t>Media</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与 </w:t>
            </w:r>
            <w:r>
              <w:rPr>
                <w:rFonts w:ascii="Times New Roman" w:hAnsi="Times New Roman" w:cs="Times New Roman" w:eastAsia="Times New Roman" w:hint="default"/>
                <w:spacing w:val="-4"/>
                <w:sz w:val="18"/>
                <w:szCs w:val="18"/>
              </w:rPr>
              <w:t>iTalk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合并缴税</w:t>
            </w:r>
          </w:p>
        </w:tc>
      </w:tr>
      <w:tr>
        <w:trPr>
          <w:trHeight w:val="39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Media</w:t>
            </w:r>
            <w:r>
              <w:rPr>
                <w:rFonts w:ascii="Times New Roman"/>
                <w:spacing w:val="3"/>
                <w:sz w:val="18"/>
              </w:rPr>
              <w:t> </w:t>
            </w:r>
            <w:r>
              <w:rPr>
                <w:rFonts w:ascii="Times New Roman"/>
                <w:sz w:val="18"/>
              </w:rPr>
              <w:t>CA</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上海奈盛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深圳日升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263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环球通信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16.50%  </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pacing w:val="-3"/>
                <w:sz w:val="18"/>
              </w:rPr>
              <w:t>iTalkBB</w:t>
            </w:r>
            <w:r>
              <w:rPr>
                <w:rFonts w:ascii="Times New Roman"/>
                <w:spacing w:val="9"/>
                <w:sz w:val="18"/>
              </w:rPr>
              <w:t> </w:t>
            </w:r>
            <w:r>
              <w:rPr>
                <w:rFonts w:ascii="Times New Roman"/>
                <w:spacing w:val="-4"/>
                <w:sz w:val="18"/>
              </w:rPr>
              <w:t>VIP</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与 </w:t>
            </w:r>
            <w:r>
              <w:rPr>
                <w:rFonts w:ascii="Times New Roman" w:hAnsi="Times New Roman" w:cs="Times New Roman" w:eastAsia="Times New Roman" w:hint="default"/>
                <w:spacing w:val="-4"/>
                <w:sz w:val="18"/>
                <w:szCs w:val="18"/>
              </w:rPr>
              <w:t>iTalk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合并缴税</w:t>
            </w:r>
          </w:p>
        </w:tc>
      </w:tr>
    </w:tbl>
    <w:p>
      <w:pPr>
        <w:spacing w:line="240" w:lineRule="auto" w:before="3"/>
        <w:rPr>
          <w:rFonts w:ascii="宋体" w:hAnsi="宋体" w:cs="宋体" w:eastAsia="宋体" w:hint="default"/>
          <w:sz w:val="19"/>
          <w:szCs w:val="19"/>
        </w:rPr>
      </w:pPr>
    </w:p>
    <w:p>
      <w:pPr>
        <w:pStyle w:val="Heading4"/>
        <w:spacing w:line="240" w:lineRule="auto" w:before="36"/>
        <w:ind w:right="858"/>
        <w:jc w:val="left"/>
        <w:rPr>
          <w:b w:val="0"/>
          <w:bCs w:val="0"/>
        </w:rPr>
      </w:pPr>
      <w:bookmarkStart w:name="2、税收优惠" w:id="216"/>
      <w:bookmarkEnd w:id="21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862" w:firstLine="360"/>
        <w:jc w:val="both"/>
      </w:pPr>
      <w:r>
        <w:rPr>
          <w:spacing w:val="-3"/>
        </w:rPr>
        <w:t>注</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25</w:t>
      </w:r>
      <w:r>
        <w:rPr>
          <w:spacing w:val="-3"/>
        </w:rPr>
        <w:t>日，企业通信取得北京市科学技术委员会、北京市财政局、北京市国家税务局、北京市地方税务局联合颁</w:t>
      </w:r>
      <w:r>
        <w:rPr>
          <w:w w:val="101"/>
        </w:rPr>
        <w:t> </w:t>
      </w:r>
      <w:r>
        <w:rPr>
          <w:spacing w:val="-3"/>
        </w:rPr>
        <w:t>发证书编号为</w:t>
      </w:r>
      <w:r>
        <w:rPr>
          <w:rFonts w:ascii="Times New Roman" w:hAnsi="Times New Roman" w:cs="Times New Roman" w:eastAsia="Times New Roman" w:hint="default"/>
          <w:spacing w:val="-3"/>
        </w:rPr>
        <w:t>GR201711001650</w:t>
      </w:r>
      <w:r>
        <w:rPr>
          <w:spacing w:val="-3"/>
        </w:rPr>
        <w:t>的《高新技术企业证书》，证书有效期三年。企业通信</w:t>
      </w:r>
      <w:r>
        <w:rPr>
          <w:rFonts w:ascii="Times New Roman" w:hAnsi="Times New Roman" w:cs="Times New Roman" w:eastAsia="Times New Roman" w:hint="default"/>
          <w:spacing w:val="-3"/>
        </w:rPr>
        <w:t>2017</w:t>
      </w:r>
      <w:r>
        <w:rPr>
          <w:spacing w:val="-3"/>
        </w:rPr>
        <w:t>年度</w:t>
      </w:r>
      <w:r>
        <w:rPr>
          <w:rFonts w:ascii="Times New Roman" w:hAnsi="Times New Roman" w:cs="Times New Roman" w:eastAsia="Times New Roman" w:hint="default"/>
          <w:spacing w:val="-3"/>
        </w:rPr>
        <w:t>-2019</w:t>
      </w:r>
      <w:r>
        <w:rPr>
          <w:spacing w:val="-3"/>
        </w:rPr>
        <w:t>年度减按</w:t>
      </w:r>
      <w:r>
        <w:rPr>
          <w:rFonts w:ascii="Times New Roman" w:hAnsi="Times New Roman" w:cs="Times New Roman" w:eastAsia="Times New Roman" w:hint="default"/>
          <w:spacing w:val="-3"/>
        </w:rPr>
        <w:t>15%</w:t>
      </w:r>
      <w:r>
        <w:rPr>
          <w:spacing w:val="-3"/>
        </w:rPr>
        <w:t>的税率征收企业</w:t>
      </w:r>
      <w:r>
        <w:rPr>
          <w:spacing w:val="3"/>
        </w:rPr>
        <w:t> </w:t>
      </w:r>
      <w:r>
        <w:rPr>
          <w:spacing w:val="3"/>
        </w:rPr>
      </w:r>
      <w:r>
        <w:rPr/>
        <w:t>所得税。</w:t>
      </w:r>
    </w:p>
    <w:p>
      <w:pPr>
        <w:pStyle w:val="BodyText"/>
        <w:spacing w:line="300" w:lineRule="auto" w:before="31"/>
        <w:ind w:right="864" w:firstLine="360"/>
        <w:jc w:val="both"/>
      </w:pPr>
      <w:r>
        <w:rPr>
          <w:spacing w:val="-3"/>
        </w:rPr>
        <w:t>注</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23</w:t>
      </w:r>
      <w:r>
        <w:rPr>
          <w:spacing w:val="-3"/>
        </w:rPr>
        <w:t>日，上海通信获得了上海市科学技术委员会、上海市财政局、上海市国家税务局、上海市地方税务局联合</w:t>
      </w:r>
      <w:r>
        <w:rPr>
          <w:w w:val="101"/>
        </w:rPr>
        <w:t> </w:t>
      </w:r>
      <w:r>
        <w:rPr>
          <w:spacing w:val="-3"/>
        </w:rPr>
        <w:t>颁发证书编号为</w:t>
      </w:r>
      <w:r>
        <w:rPr>
          <w:rFonts w:ascii="Times New Roman" w:hAnsi="Times New Roman" w:cs="Times New Roman" w:eastAsia="Times New Roman" w:hint="default"/>
          <w:spacing w:val="-3"/>
        </w:rPr>
        <w:t>GR201731002751</w:t>
      </w:r>
      <w:r>
        <w:rPr>
          <w:spacing w:val="-3"/>
        </w:rPr>
        <w:t>号的《高新技术企业证书》，证书有限期为三年。根据新企业所得税法的相关优惠政策规定，上</w:t>
      </w:r>
      <w:r>
        <w:rPr>
          <w:spacing w:val="18"/>
        </w:rPr>
        <w:t> </w:t>
      </w:r>
      <w:r>
        <w:rPr>
          <w:spacing w:val="18"/>
        </w:rPr>
      </w:r>
      <w:r>
        <w:rPr/>
        <w:t>海通信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年度减按</w:t>
      </w:r>
      <w:r>
        <w:rPr>
          <w:rFonts w:ascii="Times New Roman" w:hAnsi="Times New Roman" w:cs="Times New Roman" w:eastAsia="Times New Roman" w:hint="default"/>
        </w:rPr>
        <w:t>15%</w:t>
      </w:r>
      <w:r>
        <w:rPr/>
        <w:t>的税率征收企业所得税。</w:t>
      </w:r>
    </w:p>
    <w:p>
      <w:pPr>
        <w:pStyle w:val="BodyText"/>
        <w:spacing w:line="300" w:lineRule="auto" w:before="13"/>
        <w:ind w:right="864" w:firstLine="360"/>
        <w:jc w:val="both"/>
      </w:pPr>
      <w:r>
        <w:rPr>
          <w:spacing w:val="-4"/>
        </w:rPr>
        <w:t>注</w:t>
      </w:r>
      <w:r>
        <w:rPr>
          <w:rFonts w:ascii="Times New Roman" w:hAnsi="Times New Roman" w:cs="Times New Roman" w:eastAsia="Times New Roman" w:hint="default"/>
          <w:spacing w:val="-4"/>
        </w:rPr>
        <w:t>3</w:t>
      </w:r>
      <w:r>
        <w:rPr>
          <w:spacing w:val="-4"/>
        </w:rPr>
        <w:t>：依《香港法例》第</w:t>
      </w:r>
      <w:r>
        <w:rPr>
          <w:rFonts w:ascii="Times New Roman" w:hAnsi="Times New Roman" w:cs="Times New Roman" w:eastAsia="Times New Roman" w:hint="default"/>
          <w:spacing w:val="-4"/>
        </w:rPr>
        <w:t>112</w:t>
      </w:r>
      <w:r>
        <w:rPr>
          <w:spacing w:val="-4"/>
        </w:rPr>
        <w:t>章</w:t>
      </w:r>
      <w:r>
        <w:rPr>
          <w:rFonts w:ascii="Times New Roman" w:hAnsi="Times New Roman" w:cs="Times New Roman" w:eastAsia="Times New Roman" w:hint="default"/>
          <w:spacing w:val="-4"/>
        </w:rPr>
        <w:t>“</w:t>
      </w:r>
      <w:r>
        <w:rPr>
          <w:spacing w:val="-4"/>
        </w:rPr>
        <w:t>税务条例</w:t>
      </w:r>
      <w:r>
        <w:rPr>
          <w:rFonts w:ascii="Times New Roman" w:hAnsi="Times New Roman" w:cs="Times New Roman" w:eastAsia="Times New Roman" w:hint="default"/>
          <w:spacing w:val="-4"/>
        </w:rPr>
        <w:t>”</w:t>
      </w:r>
      <w:r>
        <w:rPr>
          <w:spacing w:val="-4"/>
        </w:rPr>
        <w:t>，香港增值、爱涛网络、二六三香港控股、二六三移动香港、</w:t>
      </w:r>
      <w:r>
        <w:rPr>
          <w:rFonts w:ascii="Times New Roman" w:hAnsi="Times New Roman" w:cs="Times New Roman" w:eastAsia="Times New Roman" w:hint="default"/>
          <w:spacing w:val="-4"/>
        </w:rPr>
        <w:t>263</w:t>
      </w:r>
      <w:r>
        <w:rPr>
          <w:spacing w:val="-4"/>
        </w:rPr>
        <w:t>环球通信适用</w:t>
      </w:r>
      <w:r>
        <w:rPr>
          <w:rFonts w:ascii="Times New Roman" w:hAnsi="Times New Roman" w:cs="Times New Roman" w:eastAsia="Times New Roman" w:hint="default"/>
          <w:spacing w:val="-4"/>
        </w:rPr>
        <w:t>16.5%</w:t>
      </w:r>
      <w:r>
        <w:rPr>
          <w:rFonts w:ascii="Times New Roman" w:hAnsi="Times New Roman" w:cs="Times New Roman" w:eastAsia="Times New Roman" w:hint="default"/>
          <w:w w:val="101"/>
        </w:rPr>
        <w:t> </w:t>
      </w:r>
      <w:r>
        <w:rPr>
          <w:spacing w:val="-3"/>
        </w:rPr>
        <w:t>企业所得税率。</w:t>
      </w:r>
    </w:p>
    <w:p>
      <w:pPr>
        <w:pStyle w:val="BodyText"/>
        <w:spacing w:line="300" w:lineRule="auto" w:before="31"/>
        <w:ind w:left="494" w:right="6814"/>
        <w:jc w:val="left"/>
      </w:pPr>
      <w:r>
        <w:rPr>
          <w:spacing w:val="-3"/>
        </w:rPr>
        <w:t>注</w:t>
      </w:r>
      <w:r>
        <w:rPr>
          <w:rFonts w:ascii="Times New Roman" w:hAnsi="Times New Roman" w:cs="Times New Roman" w:eastAsia="Times New Roman" w:hint="default"/>
          <w:spacing w:val="-3"/>
        </w:rPr>
        <w:t>4</w:t>
      </w:r>
      <w:r>
        <w:rPr>
          <w:spacing w:val="-3"/>
        </w:rPr>
        <w:t>：美国联邦所得税和州所得税</w:t>
      </w:r>
      <w:r>
        <w:rPr>
          <w:rFonts w:ascii="Times New Roman" w:hAnsi="Times New Roman" w:cs="Times New Roman" w:eastAsia="Times New Roman" w:hint="default"/>
          <w:spacing w:val="-3"/>
        </w:rPr>
        <w:t>/</w:t>
      </w:r>
      <w:r>
        <w:rPr>
          <w:spacing w:val="-3"/>
        </w:rPr>
        <w:t>特许权税：</w:t>
      </w:r>
      <w:r>
        <w:rPr>
          <w:spacing w:val="-23"/>
        </w:rPr>
        <w:t> </w:t>
      </w:r>
      <w:r>
        <w:rPr>
          <w:spacing w:val="-23"/>
        </w:rPr>
      </w:r>
      <w:r>
        <w:rPr>
          <w:u w:val="single" w:color="000000"/>
        </w:rPr>
        <w:t>联邦所得税率</w:t>
      </w:r>
      <w:r>
        <w:rPr/>
      </w:r>
    </w:p>
    <w:p>
      <w:pPr>
        <w:pStyle w:val="BodyText"/>
        <w:spacing w:line="309" w:lineRule="auto" w:before="31"/>
        <w:ind w:right="860" w:firstLine="360"/>
        <w:jc w:val="both"/>
      </w:pPr>
      <w:r>
        <w:rPr>
          <w:spacing w:val="-2"/>
        </w:rPr>
        <w:t>美国国会于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日通过《税收减免与就业法案》</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税改法案</w:t>
      </w:r>
      <w:r>
        <w:rPr>
          <w:rFonts w:ascii="Times New Roman" w:hAnsi="Times New Roman" w:cs="Times New Roman" w:eastAsia="Times New Roman" w:hint="default"/>
          <w:spacing w:val="-2"/>
        </w:rPr>
        <w:t>”)</w:t>
      </w:r>
      <w:r>
        <w:rPr>
          <w:spacing w:val="-2"/>
        </w:rPr>
        <w:t>。税改法案已于</w:t>
      </w:r>
      <w:r>
        <w:rPr>
          <w:rFonts w:ascii="Times New Roman" w:hAnsi="Times New Roman" w:cs="Times New Roman" w:eastAsia="Times New Roman" w:hint="default"/>
          <w:spacing w:val="-2"/>
        </w:rPr>
        <w:t>2018</w:t>
      </w:r>
      <w:r>
        <w:rPr>
          <w:spacing w:val="-2"/>
        </w:rPr>
        <w:t>年生效，由</w:t>
      </w:r>
      <w:r>
        <w:rPr>
          <w:rFonts w:ascii="Times New Roman" w:hAnsi="Times New Roman" w:cs="Times New Roman" w:eastAsia="Times New Roman" w:hint="default"/>
          <w:spacing w:val="-2"/>
        </w:rPr>
        <w:t>21%</w:t>
      </w:r>
      <w:r>
        <w:rPr>
          <w:spacing w:val="-2"/>
        </w:rPr>
        <w:t>的单一企</w:t>
      </w:r>
      <w:r>
        <w:rPr>
          <w:w w:val="101"/>
        </w:rPr>
        <w:t> </w:t>
      </w:r>
      <w:r>
        <w:rPr>
          <w:spacing w:val="-1"/>
        </w:rPr>
        <w:t>业所得税率替换现行税法中的多级累进企业所得税率，同时代替性最低税也会被完全废除。对于按现行税法折旧规定的符合条件</w:t>
      </w:r>
      <w:r>
        <w:rPr>
          <w:spacing w:val="50"/>
        </w:rPr>
        <w:t> </w:t>
      </w:r>
      <w:r>
        <w:rPr>
          <w:spacing w:val="50"/>
        </w:rPr>
      </w:r>
      <w:r>
        <w:rPr>
          <w:spacing w:val="-3"/>
        </w:rPr>
        <w:t>的资产，在投入使用的当年至</w:t>
      </w:r>
      <w:r>
        <w:rPr>
          <w:rFonts w:ascii="Times New Roman" w:hAnsi="Times New Roman" w:cs="Times New Roman" w:eastAsia="Times New Roman" w:hint="default"/>
          <w:spacing w:val="-3"/>
        </w:rPr>
        <w:t>2022</w:t>
      </w:r>
      <w:r>
        <w:rPr>
          <w:spacing w:val="-3"/>
        </w:rPr>
        <w:t>年期间可以当期</w:t>
      </w:r>
      <w:r>
        <w:rPr>
          <w:rFonts w:ascii="Times New Roman" w:hAnsi="Times New Roman" w:cs="Times New Roman" w:eastAsia="Times New Roman" w:hint="default"/>
          <w:spacing w:val="-3"/>
        </w:rPr>
        <w:t>100%</w:t>
      </w:r>
      <w:r>
        <w:rPr>
          <w:spacing w:val="-3"/>
        </w:rPr>
        <w:t>费用化，并于此后逐步取消。</w:t>
      </w:r>
    </w:p>
    <w:p>
      <w:pPr>
        <w:pStyle w:val="BodyText"/>
        <w:spacing w:line="300" w:lineRule="auto" w:before="5"/>
        <w:ind w:left="494" w:right="858"/>
        <w:jc w:val="left"/>
      </w:pPr>
      <w:r>
        <w:rPr>
          <w:w w:val="101"/>
        </w:rPr>
      </w:r>
      <w:r>
        <w:rPr>
          <w:u w:val="single" w:color="000000"/>
        </w:rPr>
        <w:t>州所得税</w:t>
      </w:r>
      <w:r>
        <w:rPr>
          <w:rFonts w:ascii="Times New Roman" w:hAnsi="Times New Roman" w:cs="Times New Roman" w:eastAsia="Times New Roman" w:hint="default"/>
          <w:u w:val="single" w:color="000000"/>
        </w:rPr>
        <w:t>/</w:t>
      </w:r>
      <w:r>
        <w:rPr>
          <w:u w:val="single" w:color="000000"/>
        </w:rPr>
        <w:t>特许权税</w:t>
      </w:r>
      <w:r>
        <w:rPr>
          <w:rFonts w:ascii="Times New Roman" w:hAnsi="Times New Roman" w:cs="Times New Roman" w:eastAsia="Times New Roman" w:hint="default"/>
          <w:u w:val="single" w:color="000000"/>
        </w:rPr>
        <w:t>(state corporate income tax </w:t>
      </w:r>
      <w:r>
        <w:rPr>
          <w:rFonts w:ascii="Times New Roman" w:hAnsi="Times New Roman" w:cs="Times New Roman" w:eastAsia="Times New Roman" w:hint="default"/>
          <w:spacing w:val="-3"/>
          <w:u w:val="single" w:color="000000"/>
        </w:rPr>
        <w:t>or </w:t>
      </w:r>
      <w:r>
        <w:rPr>
          <w:rFonts w:ascii="Times New Roman" w:hAnsi="Times New Roman" w:cs="Times New Roman" w:eastAsia="Times New Roman" w:hint="default"/>
          <w:u w:val="single" w:color="000000"/>
        </w:rPr>
        <w:t>franchise tax)</w:t>
      </w:r>
      <w:r>
        <w:rPr>
          <w:u w:val="single" w:color="000000"/>
        </w:rPr>
        <w:t>率</w:t>
      </w:r>
      <w:r>
        <w:rPr/>
        <w:t>：</w:t>
      </w:r>
      <w:r>
        <w:rPr>
          <w:w w:val="101"/>
        </w:rPr>
        <w:t> </w:t>
      </w:r>
      <w:r>
        <w:rPr>
          <w:spacing w:val="-4"/>
        </w:rPr>
        <w:t>美国除联邦企业所得税外，很多州针对与该州有税务关联的企业</w:t>
      </w:r>
      <w:r>
        <w:rPr>
          <w:rFonts w:ascii="Times New Roman" w:hAnsi="Times New Roman" w:cs="Times New Roman" w:eastAsia="Times New Roman" w:hint="default"/>
          <w:spacing w:val="-4"/>
        </w:rPr>
        <w:t>(</w:t>
      </w:r>
      <w:r>
        <w:rPr>
          <w:spacing w:val="-4"/>
        </w:rPr>
        <w:t>如在该州有财产、雇员、管理人员等</w:t>
      </w:r>
      <w:r>
        <w:rPr>
          <w:rFonts w:ascii="Times New Roman" w:hAnsi="Times New Roman" w:cs="Times New Roman" w:eastAsia="Times New Roman" w:hint="default"/>
          <w:spacing w:val="-4"/>
        </w:rPr>
        <w:t>)</w:t>
      </w:r>
      <w:r>
        <w:rPr>
          <w:spacing w:val="-4"/>
        </w:rPr>
        <w:t>征收州所得税或特许权</w:t>
      </w:r>
    </w:p>
    <w:p>
      <w:pPr>
        <w:pStyle w:val="BodyText"/>
        <w:spacing w:line="300" w:lineRule="auto" w:before="13"/>
        <w:ind w:right="858"/>
        <w:jc w:val="left"/>
      </w:pPr>
      <w:r>
        <w:rPr>
          <w:spacing w:val="-8"/>
        </w:rPr>
        <w:t>税。与所得税略有差异，特许权税的税基通常不基于净利而着重于净值。一般来说，所得税负高的州特许权税负则低。报告期内</w:t>
      </w:r>
      <w:r>
        <w:rPr>
          <w:rFonts w:ascii="Times New Roman" w:hAnsi="Times New Roman" w:cs="Times New Roman" w:eastAsia="Times New Roman" w:hint="default"/>
          <w:spacing w:val="-8"/>
        </w:rPr>
        <w:t>iTalk</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rFonts w:ascii="Times New Roman" w:hAnsi="Times New Roman" w:cs="Times New Roman" w:eastAsia="Times New Roman" w:hint="default"/>
        </w:rPr>
        <w:t>Global </w:t>
      </w:r>
      <w:r>
        <w:rPr>
          <w:rFonts w:ascii="Times New Roman" w:hAnsi="Times New Roman" w:cs="Times New Roman" w:eastAsia="Times New Roman" w:hint="default"/>
          <w:spacing w:val="43"/>
        </w:rPr>
        <w:t> </w:t>
      </w:r>
      <w:r>
        <w:rPr>
          <w:spacing w:val="-3"/>
        </w:rPr>
        <w:t>在如下四个州有所得税</w:t>
      </w:r>
      <w:r>
        <w:rPr>
          <w:rFonts w:ascii="Times New Roman" w:hAnsi="Times New Roman" w:cs="Times New Roman" w:eastAsia="Times New Roman" w:hint="default"/>
          <w:spacing w:val="-3"/>
        </w:rPr>
        <w:t>/</w:t>
      </w:r>
      <w:r>
        <w:rPr>
          <w:spacing w:val="-3"/>
        </w:rPr>
        <w:t>特许权税的纳税义务：</w:t>
      </w:r>
    </w:p>
    <w:p>
      <w:pPr>
        <w:pStyle w:val="BodyText"/>
        <w:spacing w:line="300" w:lineRule="auto" w:before="13"/>
        <w:ind w:right="863"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德克萨斯州：没有企业所得税，但针对收入超过</w:t>
      </w:r>
      <w:r>
        <w:rPr>
          <w:rFonts w:ascii="Times New Roman" w:hAnsi="Times New Roman" w:cs="Times New Roman" w:eastAsia="Times New Roman" w:hint="default"/>
        </w:rPr>
        <w:t>100</w:t>
      </w:r>
      <w:r>
        <w:rPr/>
        <w:t>万美元的企业其在州内所获应税收入征收特许权税。特许权税率为</w:t>
      </w:r>
      <w:r>
        <w:rPr>
          <w:w w:val="101"/>
        </w:rPr>
        <w:t> </w:t>
      </w:r>
      <w:r>
        <w:rPr>
          <w:spacing w:val="-3"/>
        </w:rPr>
        <w:t>累进制，但最大税率不超过</w:t>
      </w:r>
      <w:r>
        <w:rPr>
          <w:rFonts w:ascii="Times New Roman" w:hAnsi="Times New Roman" w:cs="Times New Roman" w:eastAsia="Times New Roman" w:hint="default"/>
          <w:spacing w:val="-3"/>
        </w:rPr>
        <w:t>1%  </w:t>
      </w:r>
      <w:r>
        <w:rPr>
          <w:spacing w:val="-4"/>
        </w:rPr>
        <w:t>。</w:t>
      </w:r>
      <w:r>
        <w:rPr>
          <w:rFonts w:ascii="Times New Roman" w:hAnsi="Times New Roman" w:cs="Times New Roman" w:eastAsia="Times New Roman" w:hint="default"/>
          <w:spacing w:val="-4"/>
        </w:rPr>
        <w:t>iTalk  </w:t>
      </w:r>
      <w:r>
        <w:rPr>
          <w:rFonts w:ascii="Times New Roman" w:hAnsi="Times New Roman" w:cs="Times New Roman" w:eastAsia="Times New Roman" w:hint="default"/>
        </w:rPr>
        <w:t>Global </w:t>
      </w:r>
      <w:r>
        <w:rPr>
          <w:rFonts w:ascii="Times New Roman" w:hAnsi="Times New Roman" w:cs="Times New Roman" w:eastAsia="Times New Roman" w:hint="default"/>
          <w:spacing w:val="26"/>
        </w:rPr>
        <w:t> </w:t>
      </w:r>
      <w:r>
        <w:rPr>
          <w:spacing w:val="-3"/>
        </w:rPr>
        <w:t>报告期内适用税率为</w:t>
      </w:r>
      <w:r>
        <w:rPr>
          <w:rFonts w:ascii="Times New Roman" w:hAnsi="Times New Roman" w:cs="Times New Roman" w:eastAsia="Times New Roman" w:hint="default"/>
          <w:spacing w:val="-3"/>
        </w:rPr>
        <w:t>0.75%</w:t>
      </w:r>
      <w:r>
        <w:rPr>
          <w:spacing w:val="-3"/>
        </w:rPr>
        <w:t>。</w:t>
      </w:r>
    </w:p>
    <w:p>
      <w:pPr>
        <w:pStyle w:val="BodyText"/>
        <w:spacing w:line="300" w:lineRule="auto" w:before="13"/>
        <w:ind w:right="858"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spacing w:val="-3"/>
        </w:rPr>
        <w:t>加利福尼亚州：在应纳所得税额不低于最小特许权税额的情况下，企业所得税税率为</w:t>
      </w:r>
      <w:r>
        <w:rPr>
          <w:rFonts w:ascii="Times New Roman" w:hAnsi="Times New Roman" w:cs="Times New Roman" w:eastAsia="Times New Roman" w:hint="default"/>
          <w:spacing w:val="-3"/>
        </w:rPr>
        <w:t>8.84%(</w:t>
      </w:r>
      <w:r>
        <w:rPr>
          <w:spacing w:val="-3"/>
        </w:rPr>
        <w:t>税基为州内所获应税净利或</w:t>
      </w:r>
      <w:r>
        <w:rPr>
          <w:w w:val="101"/>
        </w:rPr>
        <w:t> </w:t>
      </w:r>
      <w:r>
        <w:rPr>
          <w:spacing w:val="-3"/>
        </w:rPr>
        <w:t>按指定方法分配计算的州内所获应税净利</w:t>
      </w:r>
      <w:r>
        <w:rPr>
          <w:rFonts w:ascii="Times New Roman" w:hAnsi="Times New Roman" w:cs="Times New Roman" w:eastAsia="Times New Roman" w:hint="default"/>
          <w:spacing w:val="-3"/>
        </w:rPr>
        <w:t>)</w:t>
      </w:r>
      <w:r>
        <w:rPr>
          <w:spacing w:val="-3"/>
        </w:rPr>
        <w:t>。</w:t>
      </w:r>
    </w:p>
    <w:p>
      <w:pPr>
        <w:pStyle w:val="BodyText"/>
        <w:tabs>
          <w:tab w:pos="973" w:val="left" w:leader="none"/>
        </w:tabs>
        <w:spacing w:line="240" w:lineRule="auto" w:before="13"/>
        <w:ind w:left="494" w:right="858"/>
        <w:jc w:val="left"/>
      </w:pPr>
      <w:r>
        <w:rPr>
          <w:rFonts w:ascii="Times New Roman" w:hAnsi="Times New Roman" w:cs="Times New Roman" w:eastAsia="Times New Roman" w:hint="default"/>
        </w:rPr>
        <w:t>3)</w:t>
        <w:tab/>
      </w:r>
      <w:r>
        <w:rPr>
          <w:spacing w:val="-3"/>
        </w:rPr>
        <w:t>马里兰州：企业所得税率为</w:t>
      </w:r>
      <w:r>
        <w:rPr>
          <w:rFonts w:ascii="Times New Roman" w:hAnsi="Times New Roman" w:cs="Times New Roman" w:eastAsia="Times New Roman" w:hint="default"/>
          <w:spacing w:val="-3"/>
        </w:rPr>
        <w:t>8.25%(</w:t>
      </w:r>
      <w:r>
        <w:rPr>
          <w:spacing w:val="-3"/>
        </w:rPr>
        <w:t>税基为按指定方法分配计算的州内所获应税净利</w:t>
      </w:r>
      <w:r>
        <w:rPr>
          <w:rFonts w:ascii="Times New Roman" w:hAnsi="Times New Roman" w:cs="Times New Roman" w:eastAsia="Times New Roman" w:hint="default"/>
          <w:spacing w:val="-3"/>
        </w:rPr>
        <w:t>)</w:t>
      </w:r>
      <w:r>
        <w:rPr>
          <w:spacing w:val="-3"/>
        </w:rPr>
        <w:t>。</w:t>
      </w:r>
    </w:p>
    <w:p>
      <w:pPr>
        <w:pStyle w:val="BodyText"/>
        <w:tabs>
          <w:tab w:pos="973" w:val="left" w:leader="none"/>
        </w:tabs>
        <w:spacing w:line="300" w:lineRule="auto" w:before="63"/>
        <w:ind w:left="494" w:right="2991"/>
        <w:jc w:val="left"/>
      </w:pPr>
      <w:r>
        <w:rPr>
          <w:rFonts w:ascii="Times New Roman" w:hAnsi="Times New Roman" w:cs="Times New Roman" w:eastAsia="Times New Roman" w:hint="default"/>
        </w:rPr>
        <w:t>4)</w:t>
        <w:tab/>
      </w:r>
      <w:r>
        <w:rPr>
          <w:spacing w:val="-3"/>
        </w:rPr>
        <w:t>维吉尼亚州：企业所得税率为</w:t>
      </w:r>
      <w:r>
        <w:rPr>
          <w:rFonts w:ascii="Times New Roman" w:hAnsi="Times New Roman" w:cs="Times New Roman" w:eastAsia="Times New Roman" w:hint="default"/>
          <w:spacing w:val="-3"/>
        </w:rPr>
        <w:t>6%(</w:t>
      </w:r>
      <w:r>
        <w:rPr>
          <w:spacing w:val="-3"/>
        </w:rPr>
        <w:t>税基为按指定方法分配计算的州内所获应税净利</w:t>
      </w:r>
      <w:r>
        <w:rPr>
          <w:rFonts w:ascii="Times New Roman" w:hAnsi="Times New Roman" w:cs="Times New Roman" w:eastAsia="Times New Roman" w:hint="default"/>
          <w:spacing w:val="-3"/>
        </w:rPr>
        <w:t>)</w:t>
      </w:r>
      <w:r>
        <w:rPr>
          <w:spacing w:val="-3"/>
        </w:rPr>
        <w:t>。</w:t>
      </w:r>
      <w:r>
        <w:rPr>
          <w:spacing w:val="25"/>
        </w:rPr>
        <w:t> </w:t>
      </w:r>
      <w:r>
        <w:rPr>
          <w:spacing w:val="-3"/>
        </w:rPr>
        <w:t>注</w:t>
      </w:r>
      <w:r>
        <w:rPr>
          <w:rFonts w:ascii="Times New Roman" w:hAnsi="Times New Roman" w:cs="Times New Roman" w:eastAsia="Times New Roman" w:hint="default"/>
          <w:spacing w:val="-3"/>
        </w:rPr>
        <w:t>5</w:t>
      </w:r>
      <w:r>
        <w:rPr>
          <w:spacing w:val="-3"/>
        </w:rPr>
        <w:t>：新加坡企业所得税税率为</w:t>
      </w:r>
      <w:r>
        <w:rPr>
          <w:rFonts w:ascii="Times New Roman" w:hAnsi="Times New Roman" w:cs="Times New Roman" w:eastAsia="Times New Roman" w:hint="default"/>
          <w:spacing w:val="-3"/>
        </w:rPr>
        <w:t>17%</w:t>
      </w:r>
      <w:r>
        <w:rPr>
          <w:spacing w:val="-3"/>
        </w:rPr>
        <w:t>，</w:t>
      </w:r>
      <w:r>
        <w:rPr>
          <w:rFonts w:ascii="Times New Roman" w:hAnsi="Times New Roman" w:cs="Times New Roman" w:eastAsia="Times New Roman" w:hint="default"/>
          <w:spacing w:val="-3"/>
        </w:rPr>
        <w:t>iTalkBB Singapore</w:t>
      </w:r>
      <w:r>
        <w:rPr>
          <w:spacing w:val="-3"/>
        </w:rPr>
        <w:t>处于累计亏损状态，无所得税纳税义务。</w:t>
      </w:r>
      <w:r>
        <w:rPr>
          <w:spacing w:val="6"/>
        </w:rPr>
        <w:t> </w:t>
      </w:r>
      <w:r>
        <w:rPr>
          <w:spacing w:val="6"/>
        </w:rPr>
      </w:r>
      <w:r>
        <w:rPr>
          <w:spacing w:val="-3"/>
        </w:rPr>
        <w:t>注</w:t>
      </w:r>
      <w:r>
        <w:rPr>
          <w:rFonts w:ascii="Times New Roman" w:hAnsi="Times New Roman" w:cs="Times New Roman" w:eastAsia="Times New Roman" w:hint="default"/>
          <w:spacing w:val="-3"/>
        </w:rPr>
        <w:t>6</w:t>
      </w:r>
      <w:r>
        <w:rPr>
          <w:spacing w:val="-3"/>
        </w:rPr>
        <w:t>：</w:t>
      </w:r>
      <w:r>
        <w:rPr>
          <w:rFonts w:ascii="Times New Roman" w:hAnsi="Times New Roman" w:cs="Times New Roman" w:eastAsia="Times New Roman" w:hint="default"/>
          <w:spacing w:val="-3"/>
        </w:rPr>
        <w:t>iTalkBB  Canada</w:t>
      </w:r>
      <w:r>
        <w:rPr>
          <w:spacing w:val="-3"/>
        </w:rPr>
        <w:t>、</w:t>
      </w:r>
      <w:r>
        <w:rPr>
          <w:rFonts w:ascii="Times New Roman" w:hAnsi="Times New Roman" w:cs="Times New Roman" w:eastAsia="Times New Roman" w:hint="default"/>
          <w:spacing w:val="-3"/>
        </w:rPr>
        <w:t>iTalk  </w:t>
      </w:r>
      <w:r>
        <w:rPr>
          <w:rFonts w:ascii="Times New Roman" w:hAnsi="Times New Roman" w:cs="Times New Roman" w:eastAsia="Times New Roman" w:hint="default"/>
        </w:rPr>
        <w:t>Media</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3"/>
        </w:rPr>
        <w:t>CA</w:t>
      </w:r>
      <w:r>
        <w:rPr>
          <w:spacing w:val="-3"/>
        </w:rPr>
        <w:t>为在加拿大安大略省注册的公司，应缴纳所得税情况如下：</w:t>
      </w:r>
    </w:p>
    <w:tbl>
      <w:tblPr>
        <w:tblW w:w="0" w:type="auto"/>
        <w:jc w:val="left"/>
        <w:tblInd w:w="114" w:type="dxa"/>
        <w:tblLayout w:type="fixed"/>
        <w:tblCellMar>
          <w:top w:w="0" w:type="dxa"/>
          <w:left w:w="0" w:type="dxa"/>
          <w:bottom w:w="0" w:type="dxa"/>
          <w:right w:w="0" w:type="dxa"/>
        </w:tblCellMar>
        <w:tblLook w:val="01E0"/>
      </w:tblPr>
      <w:tblGrid>
        <w:gridCol w:w="7063"/>
        <w:gridCol w:w="3122"/>
      </w:tblGrid>
      <w:tr>
        <w:trPr>
          <w:trHeight w:val="346" w:hRule="exact"/>
        </w:trPr>
        <w:tc>
          <w:tcPr>
            <w:tcW w:w="7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90"/>
              <w:jc w:val="right"/>
              <w:rPr>
                <w:rFonts w:ascii="宋体" w:hAnsi="宋体" w:cs="宋体" w:eastAsia="宋体" w:hint="default"/>
                <w:sz w:val="18"/>
                <w:szCs w:val="18"/>
              </w:rPr>
            </w:pPr>
            <w:r>
              <w:rPr>
                <w:rFonts w:ascii="宋体" w:hAnsi="宋体" w:cs="宋体" w:eastAsia="宋体" w:hint="default"/>
                <w:sz w:val="18"/>
                <w:szCs w:val="18"/>
              </w:rPr>
              <w:t>税率</w:t>
            </w:r>
          </w:p>
        </w:tc>
      </w:tr>
      <w:tr>
        <w:trPr>
          <w:trHeight w:val="346" w:hRule="exact"/>
        </w:trPr>
        <w:tc>
          <w:tcPr>
            <w:tcW w:w="7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联邦所得税</w:t>
            </w:r>
          </w:p>
        </w:tc>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205"/>
              <w:jc w:val="right"/>
              <w:rPr>
                <w:rFonts w:ascii="Times New Roman" w:hAnsi="Times New Roman" w:cs="Times New Roman" w:eastAsia="Times New Roman" w:hint="default"/>
                <w:sz w:val="18"/>
                <w:szCs w:val="18"/>
              </w:rPr>
            </w:pPr>
            <w:r>
              <w:rPr>
                <w:rFonts w:ascii="Times New Roman"/>
                <w:sz w:val="18"/>
              </w:rPr>
              <w:t>15%</w:t>
            </w:r>
          </w:p>
        </w:tc>
      </w:tr>
      <w:tr>
        <w:trPr>
          <w:trHeight w:val="351" w:hRule="exact"/>
        </w:trPr>
        <w:tc>
          <w:tcPr>
            <w:tcW w:w="7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64" w:right="0"/>
              <w:jc w:val="left"/>
              <w:rPr>
                <w:rFonts w:ascii="宋体" w:hAnsi="宋体" w:cs="宋体" w:eastAsia="宋体" w:hint="default"/>
                <w:sz w:val="18"/>
                <w:szCs w:val="18"/>
              </w:rPr>
            </w:pPr>
            <w:r>
              <w:rPr>
                <w:rFonts w:ascii="宋体" w:hAnsi="宋体" w:cs="宋体" w:eastAsia="宋体" w:hint="default"/>
                <w:spacing w:val="-3"/>
                <w:sz w:val="18"/>
                <w:szCs w:val="18"/>
              </w:rPr>
              <w:t>安大略省所得税</w:t>
            </w:r>
          </w:p>
        </w:tc>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143"/>
              <w:jc w:val="right"/>
              <w:rPr>
                <w:rFonts w:ascii="Times New Roman" w:hAnsi="Times New Roman" w:cs="Times New Roman" w:eastAsia="Times New Roman" w:hint="default"/>
                <w:sz w:val="18"/>
                <w:szCs w:val="18"/>
              </w:rPr>
            </w:pPr>
            <w:r>
              <w:rPr>
                <w:rFonts w:ascii="Times New Roman"/>
                <w:spacing w:val="-3"/>
                <w:sz w:val="18"/>
              </w:rPr>
              <w:t>11.5%</w:t>
            </w:r>
          </w:p>
        </w:tc>
      </w:tr>
    </w:tbl>
    <w:p>
      <w:pPr>
        <w:spacing w:line="240" w:lineRule="auto" w:before="4"/>
        <w:rPr>
          <w:rFonts w:ascii="宋体" w:hAnsi="宋体" w:cs="宋体" w:eastAsia="宋体" w:hint="default"/>
          <w:sz w:val="21"/>
          <w:szCs w:val="21"/>
        </w:rPr>
      </w:pPr>
    </w:p>
    <w:p>
      <w:pPr>
        <w:pStyle w:val="BodyText"/>
        <w:spacing w:line="240" w:lineRule="auto" w:before="46"/>
        <w:ind w:left="494" w:right="858"/>
        <w:jc w:val="left"/>
      </w:pPr>
      <w:r>
        <w:rPr>
          <w:spacing w:val="-3"/>
        </w:rPr>
        <w:t>注</w:t>
      </w:r>
      <w:r>
        <w:rPr>
          <w:rFonts w:ascii="Times New Roman" w:hAnsi="Times New Roman" w:cs="Times New Roman" w:eastAsia="Times New Roman" w:hint="default"/>
          <w:spacing w:val="-3"/>
        </w:rPr>
        <w:t>7</w:t>
      </w:r>
      <w:r>
        <w:rPr>
          <w:spacing w:val="-3"/>
        </w:rPr>
        <w:t>：</w:t>
      </w:r>
      <w:r>
        <w:rPr>
          <w:rFonts w:ascii="Times New Roman" w:hAnsi="Times New Roman" w:cs="Times New Roman" w:eastAsia="Times New Roman" w:hint="default"/>
          <w:spacing w:val="-3"/>
        </w:rPr>
        <w:t>iTalkBB  </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3"/>
        </w:rPr>
        <w:t>Australia</w:t>
      </w:r>
      <w:r>
        <w:rPr>
          <w:spacing w:val="-3"/>
        </w:rPr>
        <w:t>依据澳大利亚企业所得税的规定，适用于小企业</w:t>
      </w:r>
      <w:r>
        <w:rPr>
          <w:rFonts w:ascii="Times New Roman" w:hAnsi="Times New Roman" w:cs="Times New Roman" w:eastAsia="Times New Roman" w:hint="default"/>
          <w:spacing w:val="-3"/>
        </w:rPr>
        <w:t>27.5%</w:t>
      </w:r>
      <w:r>
        <w:rPr>
          <w:spacing w:val="-3"/>
        </w:rPr>
        <w:t>税率。</w:t>
      </w:r>
    </w:p>
    <w:p>
      <w:pPr>
        <w:pStyle w:val="BodyText"/>
        <w:spacing w:line="240" w:lineRule="auto" w:before="63"/>
        <w:ind w:left="494" w:right="767"/>
        <w:jc w:val="left"/>
      </w:pPr>
      <w:r>
        <w:rPr/>
        <w:t>注</w:t>
      </w:r>
      <w:r>
        <w:rPr>
          <w:rFonts w:ascii="Times New Roman" w:hAnsi="Times New Roman" w:cs="Times New Roman" w:eastAsia="Times New Roman" w:hint="default"/>
        </w:rPr>
        <w:t>8</w:t>
      </w:r>
      <w:r>
        <w:rPr/>
        <w:t>： </w:t>
      </w:r>
      <w:r>
        <w:rPr>
          <w:spacing w:val="28"/>
        </w:rPr>
        <w:t> </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25</w:t>
      </w:r>
      <w:r>
        <w:rPr>
          <w:spacing w:val="-4"/>
        </w:rPr>
        <w:t>日，软件技术领取了北京市科学技术委员会、北京市财政局、北京市国家税务局、北京市地方税务局联合</w:t>
      </w:r>
    </w:p>
    <w:p>
      <w:pPr>
        <w:spacing w:after="0" w:line="240" w:lineRule="auto"/>
        <w:jc w:val="left"/>
        <w:sectPr>
          <w:pgSz w:w="11910" w:h="16840"/>
          <w:pgMar w:header="906" w:footer="1022" w:top="1100" w:bottom="1220" w:left="740" w:right="0"/>
        </w:sectPr>
      </w:pPr>
    </w:p>
    <w:p>
      <w:pPr>
        <w:pStyle w:val="BodyText"/>
        <w:spacing w:line="300" w:lineRule="auto" w:before="80"/>
        <w:ind w:right="858"/>
        <w:jc w:val="left"/>
      </w:pPr>
      <w:r>
        <w:rPr>
          <w:spacing w:val="-3"/>
        </w:rPr>
        <w:t>颁发证书编号为</w:t>
      </w:r>
      <w:r>
        <w:rPr>
          <w:rFonts w:ascii="Times New Roman" w:hAnsi="Times New Roman" w:cs="Times New Roman" w:eastAsia="Times New Roman" w:hint="default"/>
          <w:spacing w:val="-3"/>
        </w:rPr>
        <w:t>GR201711001548</w:t>
      </w:r>
      <w:r>
        <w:rPr>
          <w:spacing w:val="-3"/>
        </w:rPr>
        <w:t>的《高新技术企业证书》，证书有限期为三年。软件技术</w:t>
      </w:r>
      <w:r>
        <w:rPr>
          <w:rFonts w:ascii="Times New Roman" w:hAnsi="Times New Roman" w:cs="Times New Roman" w:eastAsia="Times New Roman" w:hint="default"/>
          <w:spacing w:val="-3"/>
        </w:rPr>
        <w:t>2017</w:t>
      </w:r>
      <w:r>
        <w:rPr>
          <w:spacing w:val="-3"/>
        </w:rPr>
        <w:t>年度</w:t>
      </w:r>
      <w:r>
        <w:rPr>
          <w:rFonts w:ascii="Times New Roman" w:hAnsi="Times New Roman" w:cs="Times New Roman" w:eastAsia="Times New Roman" w:hint="default"/>
          <w:spacing w:val="-3"/>
        </w:rPr>
        <w:t>-2019</w:t>
      </w:r>
      <w:r>
        <w:rPr>
          <w:spacing w:val="-3"/>
        </w:rPr>
        <w:t>年度减按</w:t>
      </w:r>
      <w:r>
        <w:rPr>
          <w:rFonts w:ascii="Times New Roman" w:hAnsi="Times New Roman" w:cs="Times New Roman" w:eastAsia="Times New Roman" w:hint="default"/>
          <w:spacing w:val="-3"/>
        </w:rPr>
        <w:t>15%</w:t>
      </w:r>
      <w:r>
        <w:rPr>
          <w:spacing w:val="-3"/>
        </w:rPr>
        <w:t>的税率征收</w:t>
      </w:r>
      <w:r>
        <w:rPr>
          <w:spacing w:val="3"/>
        </w:rPr>
        <w:t> </w:t>
      </w:r>
      <w:r>
        <w:rPr>
          <w:spacing w:val="3"/>
        </w:rPr>
      </w:r>
      <w:r>
        <w:rPr/>
        <w:t>企业所得税。</w:t>
      </w:r>
    </w:p>
    <w:p>
      <w:pPr>
        <w:pStyle w:val="BodyText"/>
        <w:spacing w:line="300" w:lineRule="auto" w:before="31"/>
        <w:ind w:left="494" w:right="858"/>
        <w:jc w:val="left"/>
      </w:pPr>
      <w:r>
        <w:rPr/>
        <w:t>注</w:t>
      </w:r>
      <w:r>
        <w:rPr>
          <w:rFonts w:ascii="Times New Roman" w:hAnsi="Times New Roman" w:cs="Times New Roman" w:eastAsia="Times New Roman" w:hint="default"/>
        </w:rPr>
        <w:t>9</w:t>
      </w:r>
      <w:r>
        <w:rPr/>
        <w:t>：</w:t>
      </w:r>
      <w:r>
        <w:rPr>
          <w:rFonts w:ascii="Times New Roman" w:hAnsi="Times New Roman" w:cs="Times New Roman" w:eastAsia="Times New Roman" w:hint="default"/>
        </w:rPr>
        <w:t>United </w:t>
      </w:r>
      <w:r>
        <w:rPr>
          <w:rFonts w:ascii="Times New Roman" w:hAnsi="Times New Roman" w:cs="Times New Roman" w:eastAsia="Times New Roman" w:hint="default"/>
          <w:spacing w:val="-3"/>
        </w:rPr>
        <w:t>Wise</w:t>
      </w:r>
      <w:r>
        <w:rPr>
          <w:spacing w:val="-3"/>
        </w:rPr>
        <w:t>系设立在英属维尔京群岛的公司的离岸公司，不需向政府缴纳任何税项。</w:t>
      </w:r>
      <w:r>
        <w:rPr>
          <w:spacing w:val="-1"/>
        </w:rPr>
        <w:t> </w:t>
      </w:r>
      <w:r>
        <w:rPr>
          <w:spacing w:val="-1"/>
        </w:rPr>
      </w:r>
      <w:r>
        <w:rPr>
          <w:spacing w:val="-3"/>
        </w:rPr>
        <w:t>注</w:t>
      </w:r>
      <w:r>
        <w:rPr>
          <w:rFonts w:ascii="Times New Roman" w:hAnsi="Times New Roman" w:cs="Times New Roman" w:eastAsia="Times New Roman" w:hint="default"/>
          <w:spacing w:val="-3"/>
        </w:rPr>
        <w:t>10</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9</w:t>
      </w:r>
      <w:r>
        <w:rPr>
          <w:spacing w:val="-3"/>
        </w:rPr>
        <w:t>日，广州二六三获得了广东省科学技术厅、广东省财政厅、广东省国家税务局、广东省地方税务局联合颁</w:t>
      </w:r>
    </w:p>
    <w:p>
      <w:pPr>
        <w:pStyle w:val="BodyText"/>
        <w:spacing w:line="300" w:lineRule="auto" w:before="13"/>
        <w:ind w:right="864"/>
        <w:jc w:val="left"/>
      </w:pPr>
      <w:r>
        <w:rPr>
          <w:spacing w:val="-4"/>
        </w:rPr>
        <w:t>发证书编号为</w:t>
      </w:r>
      <w:r>
        <w:rPr>
          <w:rFonts w:ascii="Times New Roman" w:hAnsi="Times New Roman" w:cs="Times New Roman" w:eastAsia="Times New Roman" w:hint="default"/>
          <w:spacing w:val="-4"/>
        </w:rPr>
        <w:t>G201744001596</w:t>
      </w:r>
      <w:r>
        <w:rPr>
          <w:spacing w:val="-4"/>
        </w:rPr>
        <w:t>号的《高新技术企业证书》，证书有限期为三年。根据新企业所得税法的相关优惠政策规定，广州二</w:t>
      </w:r>
      <w:r>
        <w:rPr>
          <w:spacing w:val="20"/>
        </w:rPr>
        <w:t> </w:t>
      </w:r>
      <w:r>
        <w:rPr>
          <w:spacing w:val="20"/>
        </w:rPr>
      </w:r>
      <w:r>
        <w:rPr/>
        <w:t>六三</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-2019</w:t>
      </w:r>
      <w:r>
        <w:rPr/>
        <w:t>年度减按</w:t>
      </w:r>
      <w:r>
        <w:rPr>
          <w:rFonts w:ascii="Times New Roman" w:hAnsi="Times New Roman" w:cs="Times New Roman" w:eastAsia="Times New Roman" w:hint="default"/>
        </w:rPr>
        <w:t>15%</w:t>
      </w:r>
      <w:r>
        <w:rPr/>
        <w:t>的税率征收企业所得税。</w:t>
      </w:r>
    </w:p>
    <w:p>
      <w:pPr>
        <w:pStyle w:val="BodyText"/>
        <w:spacing w:line="300" w:lineRule="auto" w:before="13"/>
        <w:ind w:right="767" w:firstLine="360"/>
        <w:jc w:val="left"/>
      </w:pPr>
      <w:r>
        <w:rPr>
          <w:spacing w:val="-2"/>
        </w:rPr>
        <w:t>注</w:t>
      </w:r>
      <w:r>
        <w:rPr>
          <w:rFonts w:ascii="Times New Roman" w:hAnsi="Times New Roman" w:cs="Times New Roman" w:eastAsia="Times New Roman" w:hint="default"/>
          <w:spacing w:val="-2"/>
        </w:rPr>
        <w:t>11</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日，北京展视取得北京市经济和信息化委员会核发的编号为京</w:t>
      </w:r>
      <w:r>
        <w:rPr>
          <w:rFonts w:ascii="Times New Roman" w:hAnsi="Times New Roman" w:cs="Times New Roman" w:eastAsia="Times New Roman" w:hint="default"/>
          <w:spacing w:val="-2"/>
        </w:rPr>
        <w:t>R-2013-1160</w:t>
      </w:r>
      <w:r>
        <w:rPr>
          <w:spacing w:val="-2"/>
        </w:rPr>
        <w:t>软件企业认定证书，根据国发</w:t>
      </w:r>
      <w:r>
        <w:rPr>
          <w:w w:val="101"/>
        </w:rPr>
        <w:t> </w:t>
      </w:r>
      <w:r>
        <w:rPr>
          <w:rFonts w:ascii="Times New Roman" w:hAnsi="Times New Roman" w:cs="Times New Roman" w:eastAsia="Times New Roman" w:hint="default"/>
          <w:spacing w:val="-3"/>
        </w:rPr>
        <w:t>[2011]4</w:t>
      </w:r>
      <w:r>
        <w:rPr>
          <w:spacing w:val="-3"/>
        </w:rPr>
        <w:t>号《进一步鼓励软件产业和集成电路产业发展若干政策的通知》第六条政策，</w:t>
      </w:r>
      <w:r>
        <w:rPr>
          <w:rFonts w:ascii="Times New Roman" w:hAnsi="Times New Roman" w:cs="Times New Roman" w:eastAsia="Times New Roman" w:hint="default"/>
          <w:spacing w:val="-3"/>
        </w:rPr>
        <w:t>“</w:t>
      </w:r>
      <w:r>
        <w:rPr>
          <w:spacing w:val="-3"/>
        </w:rPr>
        <w:t>对我国境内新办集成电路设计企业和符合条</w:t>
      </w:r>
      <w:r>
        <w:rPr>
          <w:spacing w:val="56"/>
        </w:rPr>
        <w:t> </w:t>
      </w:r>
      <w:r>
        <w:rPr>
          <w:spacing w:val="56"/>
        </w:rPr>
      </w:r>
      <w:r>
        <w:rPr>
          <w:spacing w:val="-4"/>
        </w:rPr>
        <w:t>件的软件企业，经认定后自获利年度起，享受企业所得税</w:t>
      </w:r>
      <w:r>
        <w:rPr>
          <w:rFonts w:ascii="Times New Roman" w:hAnsi="Times New Roman" w:cs="Times New Roman" w:eastAsia="Times New Roman" w:hint="default"/>
          <w:spacing w:val="-4"/>
        </w:rPr>
        <w:t>“</w:t>
      </w:r>
      <w:r>
        <w:rPr>
          <w:spacing w:val="-4"/>
        </w:rPr>
        <w:t>两免三减半</w:t>
      </w:r>
      <w:r>
        <w:rPr>
          <w:rFonts w:ascii="Times New Roman" w:hAnsi="Times New Roman" w:cs="Times New Roman" w:eastAsia="Times New Roman" w:hint="default"/>
          <w:spacing w:val="-4"/>
        </w:rPr>
        <w:t>”</w:t>
      </w:r>
      <w:r>
        <w:rPr>
          <w:spacing w:val="-4"/>
        </w:rPr>
        <w:t>优惠政策</w:t>
      </w:r>
      <w:r>
        <w:rPr>
          <w:rFonts w:ascii="Times New Roman" w:hAnsi="Times New Roman" w:cs="Times New Roman" w:eastAsia="Times New Roman" w:hint="default"/>
          <w:spacing w:val="-4"/>
        </w:rPr>
        <w:t>”</w:t>
      </w:r>
      <w:r>
        <w:rPr>
          <w:spacing w:val="-4"/>
        </w:rPr>
        <w:t>。北京展视</w:t>
      </w:r>
      <w:r>
        <w:rPr>
          <w:rFonts w:ascii="Times New Roman" w:hAnsi="Times New Roman" w:cs="Times New Roman" w:eastAsia="Times New Roman" w:hint="default"/>
          <w:spacing w:val="-4"/>
        </w:rPr>
        <w:t>2016</w:t>
      </w:r>
      <w:r>
        <w:rPr>
          <w:spacing w:val="-4"/>
        </w:rPr>
        <w:t>年度、</w:t>
      </w:r>
      <w:r>
        <w:rPr>
          <w:rFonts w:ascii="Times New Roman" w:hAnsi="Times New Roman" w:cs="Times New Roman" w:eastAsia="Times New Roman" w:hint="default"/>
          <w:spacing w:val="-4"/>
        </w:rPr>
        <w:t>2017</w:t>
      </w:r>
      <w:r>
        <w:rPr>
          <w:spacing w:val="-4"/>
        </w:rPr>
        <w:t>年度免征企业所得税，</w:t>
      </w:r>
      <w:r>
        <w:rPr>
          <w:spacing w:val="3"/>
        </w:rPr>
        <w:t> </w:t>
      </w:r>
      <w:r>
        <w:rPr>
          <w:spacing w:val="3"/>
        </w:rPr>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-2020</w:t>
      </w:r>
      <w:r>
        <w:rPr/>
        <w:t>年度减半征收企业所得税。</w:t>
      </w:r>
    </w:p>
    <w:p>
      <w:pPr>
        <w:pStyle w:val="BodyText"/>
        <w:spacing w:line="300" w:lineRule="auto" w:before="13"/>
        <w:ind w:right="768" w:firstLine="360"/>
        <w:jc w:val="left"/>
      </w:pPr>
      <w:r>
        <w:rPr/>
        <w:t>注</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日，深圳日升领取了深圳市科技创新委员会、深圳市财政委员会、深圳市国家税务局、深圳市地方税务</w:t>
      </w:r>
      <w:r>
        <w:rPr>
          <w:w w:val="101"/>
        </w:rPr>
        <w:t> </w:t>
      </w:r>
      <w:r>
        <w:rPr>
          <w:spacing w:val="-4"/>
        </w:rPr>
        <w:t>局联合颁发证书编号为</w:t>
      </w:r>
      <w:r>
        <w:rPr>
          <w:rFonts w:ascii="Times New Roman" w:hAnsi="Times New Roman" w:cs="Times New Roman" w:eastAsia="Times New Roman" w:hint="default"/>
          <w:spacing w:val="-4"/>
        </w:rPr>
        <w:t>GR201744204678</w:t>
      </w:r>
      <w:r>
        <w:rPr>
          <w:spacing w:val="-4"/>
        </w:rPr>
        <w:t>的《高新技术企业证书》，证书有限期为三年。根据新企业所得税法的相关优惠政策规定，</w:t>
      </w:r>
      <w:r>
        <w:rPr>
          <w:spacing w:val="-2"/>
        </w:rPr>
        <w:t> </w:t>
      </w:r>
      <w:r>
        <w:rPr>
          <w:spacing w:val="-2"/>
        </w:rPr>
      </w:r>
      <w:r>
        <w:rPr/>
        <w:t>深圳日升</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-2019</w:t>
      </w:r>
      <w:r>
        <w:rPr/>
        <w:t>年度减按</w:t>
      </w:r>
      <w:r>
        <w:rPr>
          <w:rFonts w:ascii="Times New Roman" w:hAnsi="Times New Roman" w:cs="Times New Roman" w:eastAsia="Times New Roman" w:hint="default"/>
        </w:rPr>
        <w:t>15%</w:t>
      </w:r>
      <w:r>
        <w:rPr/>
        <w:t>的税率征收企业所得税。</w:t>
      </w:r>
    </w:p>
    <w:p>
      <w:pPr>
        <w:spacing w:line="240" w:lineRule="auto" w:before="2"/>
        <w:rPr>
          <w:rFonts w:ascii="宋体" w:hAnsi="宋体" w:cs="宋体" w:eastAsia="宋体" w:hint="default"/>
          <w:sz w:val="22"/>
          <w:szCs w:val="22"/>
        </w:rPr>
      </w:pPr>
    </w:p>
    <w:p>
      <w:pPr>
        <w:pStyle w:val="Heading4"/>
        <w:spacing w:line="240" w:lineRule="auto"/>
        <w:ind w:right="858"/>
        <w:jc w:val="left"/>
        <w:rPr>
          <w:b w:val="0"/>
          <w:bCs w:val="0"/>
        </w:rPr>
      </w:pPr>
      <w:bookmarkStart w:name="3、其他" w:id="217"/>
      <w:bookmarkEnd w:id="217"/>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5"/>
          <w:szCs w:val="25"/>
        </w:rPr>
      </w:pPr>
    </w:p>
    <w:tbl>
      <w:tblPr>
        <w:tblW w:w="0" w:type="auto"/>
        <w:jc w:val="left"/>
        <w:tblInd w:w="114" w:type="dxa"/>
        <w:tblLayout w:type="fixed"/>
        <w:tblCellMar>
          <w:top w:w="0" w:type="dxa"/>
          <w:left w:w="0" w:type="dxa"/>
          <w:bottom w:w="0" w:type="dxa"/>
          <w:right w:w="0" w:type="dxa"/>
        </w:tblCellMar>
        <w:tblLook w:val="01E0"/>
      </w:tblPr>
      <w:tblGrid>
        <w:gridCol w:w="3015"/>
        <w:gridCol w:w="2905"/>
        <w:gridCol w:w="2468"/>
        <w:gridCol w:w="1796"/>
      </w:tblGrid>
      <w:tr>
        <w:trPr>
          <w:trHeight w:val="346" w:hRule="exact"/>
        </w:trPr>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color w:val="0D0D0D"/>
                <w:sz w:val="18"/>
                <w:szCs w:val="18"/>
              </w:rPr>
              <w:t>税目</w:t>
            </w:r>
            <w:r>
              <w:rPr>
                <w:rFonts w:ascii="宋体" w:hAnsi="宋体" w:cs="宋体" w:eastAsia="宋体" w:hint="default"/>
                <w:sz w:val="18"/>
                <w:szCs w:val="18"/>
              </w:rPr>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41" w:right="0"/>
              <w:jc w:val="left"/>
              <w:rPr>
                <w:rFonts w:ascii="宋体" w:hAnsi="宋体" w:cs="宋体" w:eastAsia="宋体" w:hint="default"/>
                <w:sz w:val="18"/>
                <w:szCs w:val="18"/>
              </w:rPr>
            </w:pPr>
            <w:r>
              <w:rPr>
                <w:rFonts w:ascii="宋体" w:hAnsi="宋体" w:cs="宋体" w:eastAsia="宋体" w:hint="default"/>
                <w:color w:val="0D0D0D"/>
                <w:spacing w:val="-3"/>
                <w:sz w:val="18"/>
                <w:szCs w:val="18"/>
              </w:rPr>
              <w:t>纳税</w:t>
            </w:r>
            <w:r>
              <w:rPr>
                <w:rFonts w:ascii="Times New Roman" w:hAnsi="Times New Roman" w:cs="Times New Roman" w:eastAsia="Times New Roman" w:hint="default"/>
                <w:color w:val="0D0D0D"/>
                <w:spacing w:val="-3"/>
                <w:sz w:val="18"/>
                <w:szCs w:val="18"/>
              </w:rPr>
              <w:t>(</w:t>
            </w:r>
            <w:r>
              <w:rPr>
                <w:rFonts w:ascii="宋体" w:hAnsi="宋体" w:cs="宋体" w:eastAsia="宋体" w:hint="default"/>
                <w:color w:val="0D0D0D"/>
                <w:spacing w:val="-3"/>
                <w:sz w:val="18"/>
                <w:szCs w:val="18"/>
              </w:rPr>
              <w:t>费</w:t>
            </w:r>
            <w:r>
              <w:rPr>
                <w:rFonts w:ascii="Times New Roman" w:hAnsi="Times New Roman" w:cs="Times New Roman" w:eastAsia="Times New Roman" w:hint="default"/>
                <w:color w:val="0D0D0D"/>
                <w:spacing w:val="-3"/>
                <w:sz w:val="18"/>
                <w:szCs w:val="18"/>
              </w:rPr>
              <w:t>)</w:t>
            </w:r>
            <w:r>
              <w:rPr>
                <w:rFonts w:ascii="宋体" w:hAnsi="宋体" w:cs="宋体" w:eastAsia="宋体" w:hint="default"/>
                <w:color w:val="0D0D0D"/>
                <w:spacing w:val="-3"/>
                <w:sz w:val="18"/>
                <w:szCs w:val="18"/>
              </w:rPr>
              <w:t>基础</w:t>
            </w:r>
            <w:r>
              <w:rPr>
                <w:rFonts w:ascii="宋体" w:hAnsi="宋体" w:cs="宋体" w:eastAsia="宋体" w:hint="default"/>
                <w:sz w:val="18"/>
                <w:szCs w:val="18"/>
              </w:rPr>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color w:val="0D0D0D"/>
                <w:sz w:val="18"/>
                <w:szCs w:val="18"/>
              </w:rPr>
              <w:t>税</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费</w:t>
            </w:r>
            <w:r>
              <w:rPr>
                <w:rFonts w:ascii="Times New Roman" w:hAnsi="Times New Roman" w:cs="Times New Roman" w:eastAsia="Times New Roman" w:hint="default"/>
                <w:color w:val="0D0D0D"/>
                <w:sz w:val="18"/>
                <w:szCs w:val="18"/>
              </w:rPr>
              <w:t>)</w:t>
            </w:r>
            <w:r>
              <w:rPr>
                <w:rFonts w:ascii="宋体" w:hAnsi="宋体" w:cs="宋体" w:eastAsia="宋体" w:hint="default"/>
                <w:color w:val="0D0D0D"/>
                <w:sz w:val="18"/>
                <w:szCs w:val="18"/>
              </w:rPr>
              <w:t>率</w:t>
            </w:r>
            <w:r>
              <w:rPr>
                <w:rFonts w:ascii="宋体" w:hAnsi="宋体" w:cs="宋体" w:eastAsia="宋体" w:hint="default"/>
                <w:sz w:val="18"/>
                <w:szCs w:val="18"/>
              </w:rPr>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color w:val="0D0D0D"/>
                <w:sz w:val="18"/>
                <w:szCs w:val="18"/>
              </w:rPr>
              <w:t>备注</w:t>
            </w:r>
            <w:r>
              <w:rPr>
                <w:rFonts w:ascii="宋体" w:hAnsi="宋体" w:cs="宋体" w:eastAsia="宋体" w:hint="default"/>
                <w:sz w:val="18"/>
                <w:szCs w:val="18"/>
              </w:rPr>
            </w:r>
          </w:p>
        </w:tc>
      </w:tr>
      <w:tr>
        <w:trPr>
          <w:trHeight w:val="662" w:hRule="exact"/>
        </w:trPr>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0D0D0D"/>
                <w:sz w:val="18"/>
                <w:szCs w:val="18"/>
              </w:rPr>
              <w:t>增值税</w:t>
            </w:r>
            <w:r>
              <w:rPr>
                <w:rFonts w:ascii="宋体" w:hAnsi="宋体" w:cs="宋体" w:eastAsia="宋体" w:hint="default"/>
                <w:sz w:val="18"/>
                <w:szCs w:val="18"/>
              </w:rPr>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0D0D0D"/>
                <w:spacing w:val="-3"/>
                <w:sz w:val="18"/>
                <w:szCs w:val="18"/>
              </w:rPr>
              <w:t>销售额、采购额</w:t>
            </w:r>
            <w:r>
              <w:rPr>
                <w:rFonts w:ascii="宋体" w:hAnsi="宋体" w:cs="宋体" w:eastAsia="宋体" w:hint="default"/>
                <w:spacing w:val="-3"/>
                <w:sz w:val="18"/>
                <w:szCs w:val="18"/>
              </w:rPr>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color w:val="0D0D0D"/>
                <w:sz w:val="18"/>
                <w:szCs w:val="18"/>
              </w:rPr>
              <w:t>6%</w:t>
            </w:r>
            <w:r>
              <w:rPr>
                <w:rFonts w:ascii="宋体" w:hAnsi="宋体" w:cs="宋体" w:eastAsia="宋体" w:hint="default"/>
                <w:color w:val="0D0D0D"/>
                <w:sz w:val="18"/>
                <w:szCs w:val="18"/>
              </w:rPr>
              <w:t>、</w:t>
            </w:r>
            <w:r>
              <w:rPr>
                <w:rFonts w:ascii="Times New Roman" w:hAnsi="Times New Roman" w:cs="Times New Roman" w:eastAsia="Times New Roman" w:hint="default"/>
                <w:color w:val="0D0D0D"/>
                <w:sz w:val="18"/>
                <w:szCs w:val="18"/>
              </w:rPr>
              <w:t>9%</w:t>
            </w:r>
            <w:r>
              <w:rPr>
                <w:rFonts w:ascii="宋体" w:hAnsi="宋体" w:cs="宋体" w:eastAsia="宋体" w:hint="default"/>
                <w:color w:val="0D0D0D"/>
                <w:sz w:val="18"/>
                <w:szCs w:val="18"/>
              </w:rPr>
              <w:t>、</w:t>
            </w:r>
            <w:r>
              <w:rPr>
                <w:rFonts w:ascii="Times New Roman" w:hAnsi="Times New Roman" w:cs="Times New Roman" w:eastAsia="Times New Roman" w:hint="default"/>
                <w:color w:val="0D0D0D"/>
                <w:sz w:val="18"/>
                <w:szCs w:val="18"/>
              </w:rPr>
              <w:t>10%</w:t>
            </w:r>
            <w:r>
              <w:rPr>
                <w:rFonts w:ascii="宋体" w:hAnsi="宋体" w:cs="宋体" w:eastAsia="宋体" w:hint="default"/>
                <w:color w:val="0D0D0D"/>
                <w:sz w:val="18"/>
                <w:szCs w:val="18"/>
              </w:rPr>
              <w:t>、</w:t>
            </w:r>
            <w:r>
              <w:rPr>
                <w:rFonts w:ascii="Times New Roman" w:hAnsi="Times New Roman" w:cs="Times New Roman" w:eastAsia="Times New Roman" w:hint="default"/>
                <w:color w:val="0D0D0D"/>
                <w:sz w:val="18"/>
                <w:szCs w:val="18"/>
              </w:rPr>
              <w:t>13%</w:t>
            </w:r>
            <w:r>
              <w:rPr>
                <w:rFonts w:ascii="宋体" w:hAnsi="宋体" w:cs="宋体" w:eastAsia="宋体" w:hint="default"/>
                <w:color w:val="0D0D0D"/>
                <w:sz w:val="18"/>
                <w:szCs w:val="18"/>
              </w:rPr>
              <w:t>、</w:t>
            </w:r>
            <w:r>
              <w:rPr>
                <w:rFonts w:ascii="Times New Roman" w:hAnsi="Times New Roman" w:cs="Times New Roman" w:eastAsia="Times New Roman" w:hint="default"/>
                <w:color w:val="0D0D0D"/>
                <w:sz w:val="18"/>
                <w:szCs w:val="18"/>
              </w:rPr>
              <w:t>16%</w:t>
            </w:r>
            <w:r>
              <w:rPr>
                <w:rFonts w:ascii="宋体" w:hAnsi="宋体" w:cs="宋体" w:eastAsia="宋体" w:hint="default"/>
                <w:color w:val="0D0D0D"/>
                <w:sz w:val="18"/>
                <w:szCs w:val="18"/>
              </w:rPr>
              <w:t>、</w:t>
            </w:r>
            <w:r>
              <w:rPr>
                <w:rFonts w:ascii="宋体" w:hAnsi="宋体" w:cs="宋体" w:eastAsia="宋体" w:hint="default"/>
                <w:sz w:val="18"/>
                <w:szCs w:val="18"/>
              </w:rPr>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color w:val="0D0D0D"/>
                <w:sz w:val="18"/>
              </w:rPr>
              <w:t>17%</w:t>
            </w:r>
            <w:r>
              <w:rPr>
                <w:rFonts w:ascii="Times New Roman"/>
                <w:sz w:val="18"/>
              </w:rPr>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Times New Roman" w:hAnsi="Times New Roman" w:cs="Times New Roman" w:eastAsia="Times New Roman" w:hint="default"/>
                <w:sz w:val="18"/>
                <w:szCs w:val="18"/>
              </w:rPr>
            </w:pPr>
            <w:r>
              <w:rPr>
                <w:rFonts w:ascii="宋体" w:hAnsi="宋体" w:cs="宋体" w:eastAsia="宋体" w:hint="default"/>
                <w:color w:val="0D0D0D"/>
                <w:sz w:val="18"/>
                <w:szCs w:val="18"/>
              </w:rPr>
              <w:t>注</w:t>
            </w:r>
            <w:r>
              <w:rPr>
                <w:rFonts w:ascii="Times New Roman" w:hAnsi="Times New Roman" w:cs="Times New Roman" w:eastAsia="Times New Roman" w:hint="default"/>
                <w:color w:val="0D0D0D"/>
                <w:sz w:val="18"/>
                <w:szCs w:val="18"/>
              </w:rPr>
              <w:t>1</w:t>
            </w:r>
            <w:r>
              <w:rPr>
                <w:rFonts w:ascii="Times New Roman" w:hAnsi="Times New Roman" w:cs="Times New Roman" w:eastAsia="Times New Roman" w:hint="default"/>
                <w:sz w:val="18"/>
                <w:szCs w:val="18"/>
              </w:rPr>
            </w:r>
          </w:p>
        </w:tc>
      </w:tr>
      <w:tr>
        <w:trPr>
          <w:trHeight w:val="346" w:hRule="exact"/>
        </w:trPr>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0D0D0D"/>
                <w:sz w:val="18"/>
                <w:szCs w:val="18"/>
              </w:rPr>
              <w:t>城建税</w:t>
            </w:r>
            <w:r>
              <w:rPr>
                <w:rFonts w:ascii="宋体" w:hAnsi="宋体" w:cs="宋体" w:eastAsia="宋体" w:hint="default"/>
                <w:sz w:val="18"/>
                <w:szCs w:val="18"/>
              </w:rPr>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0D0D0D"/>
                <w:sz w:val="18"/>
                <w:szCs w:val="18"/>
              </w:rPr>
              <w:t>应交流转税额</w:t>
            </w:r>
            <w:r>
              <w:rPr>
                <w:rFonts w:ascii="宋体" w:hAnsi="宋体" w:cs="宋体" w:eastAsia="宋体" w:hint="default"/>
                <w:sz w:val="18"/>
                <w:szCs w:val="18"/>
              </w:rPr>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color w:val="0D0D0D"/>
                <w:spacing w:val="-3"/>
                <w:sz w:val="18"/>
                <w:szCs w:val="18"/>
              </w:rPr>
              <w:t>5%</w:t>
            </w:r>
            <w:r>
              <w:rPr>
                <w:rFonts w:ascii="宋体" w:hAnsi="宋体" w:cs="宋体" w:eastAsia="宋体" w:hint="default"/>
                <w:color w:val="0D0D0D"/>
                <w:spacing w:val="-3"/>
                <w:sz w:val="18"/>
                <w:szCs w:val="18"/>
              </w:rPr>
              <w:t>、</w:t>
            </w:r>
            <w:r>
              <w:rPr>
                <w:rFonts w:ascii="Times New Roman" w:hAnsi="Times New Roman" w:cs="Times New Roman" w:eastAsia="Times New Roman" w:hint="default"/>
                <w:color w:val="0D0D0D"/>
                <w:spacing w:val="-3"/>
                <w:sz w:val="18"/>
                <w:szCs w:val="18"/>
              </w:rPr>
              <w:t>7%</w:t>
            </w:r>
            <w:r>
              <w:rPr>
                <w:rFonts w:ascii="Times New Roman" w:hAnsi="Times New Roman" w:cs="Times New Roman" w:eastAsia="Times New Roman" w:hint="default"/>
                <w:sz w:val="18"/>
                <w:szCs w:val="18"/>
              </w:rPr>
            </w:r>
          </w:p>
        </w:tc>
        <w:tc>
          <w:tcPr>
            <w:tcW w:w="1796"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0D0D0D"/>
                <w:sz w:val="18"/>
                <w:szCs w:val="18"/>
              </w:rPr>
              <w:t>教育费附加</w:t>
            </w:r>
            <w:r>
              <w:rPr>
                <w:rFonts w:ascii="宋体" w:hAnsi="宋体" w:cs="宋体" w:eastAsia="宋体" w:hint="default"/>
                <w:sz w:val="18"/>
                <w:szCs w:val="18"/>
              </w:rPr>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0D0D0D"/>
                <w:sz w:val="18"/>
                <w:szCs w:val="18"/>
              </w:rPr>
              <w:t>应交流转税额</w:t>
            </w:r>
            <w:r>
              <w:rPr>
                <w:rFonts w:ascii="宋体" w:hAnsi="宋体" w:cs="宋体" w:eastAsia="宋体" w:hint="default"/>
                <w:sz w:val="18"/>
                <w:szCs w:val="18"/>
              </w:rPr>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color w:val="0D0D0D"/>
                <w:sz w:val="18"/>
              </w:rPr>
              <w:t>3%</w:t>
            </w:r>
            <w:r>
              <w:rPr>
                <w:rFonts w:ascii="Times New Roman"/>
                <w:sz w:val="18"/>
              </w:rPr>
            </w:r>
          </w:p>
        </w:tc>
        <w:tc>
          <w:tcPr>
            <w:tcW w:w="1796"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0D0D0D"/>
                <w:spacing w:val="-3"/>
                <w:sz w:val="18"/>
                <w:szCs w:val="18"/>
              </w:rPr>
              <w:t>地方教育费附加</w:t>
            </w:r>
            <w:r>
              <w:rPr>
                <w:rFonts w:ascii="宋体" w:hAnsi="宋体" w:cs="宋体" w:eastAsia="宋体" w:hint="default"/>
                <w:spacing w:val="-3"/>
                <w:sz w:val="18"/>
                <w:szCs w:val="18"/>
              </w:rPr>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0D0D0D"/>
                <w:sz w:val="18"/>
                <w:szCs w:val="18"/>
              </w:rPr>
              <w:t>应交流转税额</w:t>
            </w:r>
            <w:r>
              <w:rPr>
                <w:rFonts w:ascii="宋体" w:hAnsi="宋体" w:cs="宋体" w:eastAsia="宋体" w:hint="default"/>
                <w:sz w:val="18"/>
                <w:szCs w:val="18"/>
              </w:rPr>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color w:val="0D0D0D"/>
                <w:sz w:val="18"/>
              </w:rPr>
              <w:t>2%</w:t>
            </w:r>
            <w:r>
              <w:rPr>
                <w:rFonts w:ascii="Times New Roman"/>
                <w:sz w:val="18"/>
              </w:rPr>
            </w:r>
          </w:p>
        </w:tc>
        <w:tc>
          <w:tcPr>
            <w:tcW w:w="1796"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color w:val="0D0D0D"/>
                <w:sz w:val="18"/>
                <w:szCs w:val="18"/>
              </w:rPr>
              <w:t>美国销售税</w:t>
            </w:r>
            <w:r>
              <w:rPr>
                <w:rFonts w:ascii="宋体" w:hAnsi="宋体" w:cs="宋体" w:eastAsia="宋体" w:hint="default"/>
                <w:sz w:val="18"/>
                <w:szCs w:val="18"/>
              </w:rPr>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color w:val="0D0D0D"/>
                <w:sz w:val="18"/>
                <w:szCs w:val="18"/>
              </w:rPr>
              <w:t>销售额</w:t>
            </w:r>
            <w:r>
              <w:rPr>
                <w:rFonts w:ascii="宋体" w:hAnsi="宋体" w:cs="宋体" w:eastAsia="宋体" w:hint="default"/>
                <w:sz w:val="18"/>
                <w:szCs w:val="18"/>
              </w:rPr>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color w:val="0D0D0D"/>
                <w:spacing w:val="-3"/>
                <w:sz w:val="18"/>
                <w:szCs w:val="18"/>
              </w:rPr>
              <w:t>8.25%</w:t>
            </w:r>
            <w:r>
              <w:rPr>
                <w:rFonts w:ascii="宋体" w:hAnsi="宋体" w:cs="宋体" w:eastAsia="宋体" w:hint="default"/>
                <w:color w:val="0D0D0D"/>
                <w:spacing w:val="-3"/>
                <w:sz w:val="18"/>
                <w:szCs w:val="18"/>
              </w:rPr>
              <w:t>、</w:t>
            </w:r>
            <w:r>
              <w:rPr>
                <w:rFonts w:ascii="Times New Roman" w:hAnsi="Times New Roman" w:cs="Times New Roman" w:eastAsia="Times New Roman" w:hint="default"/>
                <w:color w:val="0D0D0D"/>
                <w:spacing w:val="-3"/>
                <w:sz w:val="18"/>
                <w:szCs w:val="18"/>
              </w:rPr>
              <w:t>5%</w:t>
            </w:r>
            <w:r>
              <w:rPr>
                <w:rFonts w:ascii="Times New Roman" w:hAnsi="Times New Roman" w:cs="Times New Roman" w:eastAsia="Times New Roman" w:hint="default"/>
                <w:sz w:val="18"/>
                <w:szCs w:val="18"/>
              </w:rPr>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Times New Roman" w:hAnsi="Times New Roman" w:cs="Times New Roman" w:eastAsia="Times New Roman" w:hint="default"/>
                <w:sz w:val="18"/>
                <w:szCs w:val="18"/>
              </w:rPr>
            </w:pPr>
            <w:r>
              <w:rPr>
                <w:rFonts w:ascii="宋体" w:hAnsi="宋体" w:cs="宋体" w:eastAsia="宋体" w:hint="default"/>
                <w:color w:val="0D0D0D"/>
                <w:sz w:val="18"/>
                <w:szCs w:val="18"/>
              </w:rPr>
              <w:t>注</w:t>
            </w:r>
            <w:r>
              <w:rPr>
                <w:rFonts w:ascii="Times New Roman" w:hAnsi="Times New Roman" w:cs="Times New Roman" w:eastAsia="Times New Roman" w:hint="default"/>
                <w:color w:val="0D0D0D"/>
                <w:sz w:val="18"/>
                <w:szCs w:val="18"/>
              </w:rPr>
              <w:t>2</w:t>
            </w:r>
            <w:r>
              <w:rPr>
                <w:rFonts w:ascii="Times New Roman" w:hAnsi="Times New Roman" w:cs="Times New Roman" w:eastAsia="Times New Roman" w:hint="default"/>
                <w:sz w:val="18"/>
                <w:szCs w:val="18"/>
              </w:rPr>
            </w:r>
          </w:p>
        </w:tc>
      </w:tr>
      <w:tr>
        <w:trPr>
          <w:trHeight w:val="346" w:hRule="exact"/>
        </w:trPr>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0D0D0D"/>
                <w:sz w:val="18"/>
                <w:szCs w:val="18"/>
              </w:rPr>
              <w:t>加拿大销售税</w:t>
            </w:r>
            <w:r>
              <w:rPr>
                <w:rFonts w:ascii="宋体" w:hAnsi="宋体" w:cs="宋体" w:eastAsia="宋体" w:hint="default"/>
                <w:sz w:val="18"/>
                <w:szCs w:val="18"/>
              </w:rPr>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0D0D0D"/>
                <w:sz w:val="18"/>
                <w:szCs w:val="18"/>
              </w:rPr>
              <w:t>销售额</w:t>
            </w:r>
            <w:r>
              <w:rPr>
                <w:rFonts w:ascii="宋体" w:hAnsi="宋体" w:cs="宋体" w:eastAsia="宋体" w:hint="default"/>
                <w:sz w:val="18"/>
                <w:szCs w:val="18"/>
              </w:rPr>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color w:val="0D0D0D"/>
                <w:sz w:val="18"/>
              </w:rPr>
              <w:t>13%</w:t>
            </w:r>
            <w:r>
              <w:rPr>
                <w:rFonts w:ascii="Times New Roman"/>
                <w:sz w:val="18"/>
              </w:rPr>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Times New Roman" w:hAnsi="Times New Roman" w:cs="Times New Roman" w:eastAsia="Times New Roman" w:hint="default"/>
                <w:sz w:val="18"/>
                <w:szCs w:val="18"/>
              </w:rPr>
            </w:pPr>
            <w:r>
              <w:rPr>
                <w:rFonts w:ascii="宋体" w:hAnsi="宋体" w:cs="宋体" w:eastAsia="宋体" w:hint="default"/>
                <w:color w:val="0D0D0D"/>
                <w:sz w:val="18"/>
                <w:szCs w:val="18"/>
              </w:rPr>
              <w:t>注</w:t>
            </w:r>
            <w:r>
              <w:rPr>
                <w:rFonts w:ascii="Times New Roman" w:hAnsi="Times New Roman" w:cs="Times New Roman" w:eastAsia="Times New Roman" w:hint="default"/>
                <w:color w:val="0D0D0D"/>
                <w:sz w:val="18"/>
                <w:szCs w:val="18"/>
              </w:rPr>
              <w:t>3</w:t>
            </w:r>
            <w:r>
              <w:rPr>
                <w:rFonts w:ascii="Times New Roman" w:hAnsi="Times New Roman" w:cs="Times New Roman" w:eastAsia="Times New Roman" w:hint="default"/>
                <w:sz w:val="18"/>
                <w:szCs w:val="18"/>
              </w:rPr>
            </w:r>
          </w:p>
        </w:tc>
      </w:tr>
      <w:tr>
        <w:trPr>
          <w:trHeight w:val="346" w:hRule="exact"/>
        </w:trPr>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0D0D0D"/>
                <w:sz w:val="18"/>
                <w:szCs w:val="18"/>
              </w:rPr>
              <w:t>新加坡销售税</w:t>
            </w:r>
            <w:r>
              <w:rPr>
                <w:rFonts w:ascii="宋体" w:hAnsi="宋体" w:cs="宋体" w:eastAsia="宋体" w:hint="default"/>
                <w:sz w:val="18"/>
                <w:szCs w:val="18"/>
              </w:rPr>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0D0D0D"/>
                <w:sz w:val="18"/>
                <w:szCs w:val="18"/>
              </w:rPr>
              <w:t>销售额</w:t>
            </w:r>
            <w:r>
              <w:rPr>
                <w:rFonts w:ascii="宋体" w:hAnsi="宋体" w:cs="宋体" w:eastAsia="宋体" w:hint="default"/>
                <w:sz w:val="18"/>
                <w:szCs w:val="18"/>
              </w:rPr>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color w:val="0D0D0D"/>
                <w:sz w:val="18"/>
              </w:rPr>
              <w:t>7%</w:t>
            </w:r>
            <w:r>
              <w:rPr>
                <w:rFonts w:ascii="Times New Roman"/>
                <w:sz w:val="18"/>
              </w:rPr>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Times New Roman" w:hAnsi="Times New Roman" w:cs="Times New Roman" w:eastAsia="Times New Roman" w:hint="default"/>
                <w:sz w:val="18"/>
                <w:szCs w:val="18"/>
              </w:rPr>
            </w:pPr>
            <w:r>
              <w:rPr>
                <w:rFonts w:ascii="宋体" w:hAnsi="宋体" w:cs="宋体" w:eastAsia="宋体" w:hint="default"/>
                <w:color w:val="0D0D0D"/>
                <w:sz w:val="18"/>
                <w:szCs w:val="18"/>
              </w:rPr>
              <w:t>注</w:t>
            </w:r>
            <w:r>
              <w:rPr>
                <w:rFonts w:ascii="Times New Roman" w:hAnsi="Times New Roman" w:cs="Times New Roman" w:eastAsia="Times New Roman" w:hint="default"/>
                <w:color w:val="0D0D0D"/>
                <w:sz w:val="18"/>
                <w:szCs w:val="18"/>
              </w:rPr>
              <w:t>4</w:t>
            </w:r>
            <w:r>
              <w:rPr>
                <w:rFonts w:ascii="Times New Roman" w:hAnsi="Times New Roman" w:cs="Times New Roman" w:eastAsia="Times New Roman" w:hint="default"/>
                <w:sz w:val="18"/>
                <w:szCs w:val="18"/>
              </w:rPr>
            </w:r>
          </w:p>
        </w:tc>
      </w:tr>
      <w:tr>
        <w:trPr>
          <w:trHeight w:val="351" w:hRule="exact"/>
        </w:trPr>
        <w:tc>
          <w:tcPr>
            <w:tcW w:w="3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0D0D0D"/>
                <w:spacing w:val="-3"/>
                <w:sz w:val="18"/>
                <w:szCs w:val="18"/>
              </w:rPr>
              <w:t>澳大利亚销售税</w:t>
            </w:r>
            <w:r>
              <w:rPr>
                <w:rFonts w:ascii="宋体" w:hAnsi="宋体" w:cs="宋体" w:eastAsia="宋体" w:hint="default"/>
                <w:spacing w:val="-3"/>
                <w:sz w:val="18"/>
                <w:szCs w:val="18"/>
              </w:rPr>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0D0D0D"/>
                <w:sz w:val="18"/>
                <w:szCs w:val="18"/>
              </w:rPr>
              <w:t>销售额</w:t>
            </w:r>
            <w:r>
              <w:rPr>
                <w:rFonts w:ascii="宋体" w:hAnsi="宋体" w:cs="宋体" w:eastAsia="宋体" w:hint="default"/>
                <w:sz w:val="18"/>
                <w:szCs w:val="18"/>
              </w:rPr>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color w:val="0D0D0D"/>
                <w:sz w:val="18"/>
              </w:rPr>
              <w:t>10%</w:t>
            </w:r>
            <w:r>
              <w:rPr>
                <w:rFonts w:ascii="Times New Roman"/>
                <w:sz w:val="18"/>
              </w:rPr>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Times New Roman" w:hAnsi="Times New Roman" w:cs="Times New Roman" w:eastAsia="Times New Roman" w:hint="default"/>
                <w:sz w:val="18"/>
                <w:szCs w:val="18"/>
              </w:rPr>
            </w:pPr>
            <w:r>
              <w:rPr>
                <w:rFonts w:ascii="宋体" w:hAnsi="宋体" w:cs="宋体" w:eastAsia="宋体" w:hint="default"/>
                <w:color w:val="0D0D0D"/>
                <w:sz w:val="18"/>
                <w:szCs w:val="18"/>
              </w:rPr>
              <w:t>注</w:t>
            </w:r>
            <w:r>
              <w:rPr>
                <w:rFonts w:ascii="Times New Roman" w:hAnsi="Times New Roman" w:cs="Times New Roman" w:eastAsia="Times New Roman" w:hint="default"/>
                <w:color w:val="0D0D0D"/>
                <w:sz w:val="18"/>
                <w:szCs w:val="18"/>
              </w:rPr>
              <w:t>5</w:t>
            </w:r>
            <w:r>
              <w:rPr>
                <w:rFonts w:ascii="Times New Roman" w:hAnsi="Times New Roman" w:cs="Times New Roman" w:eastAsia="Times New Roman" w:hint="default"/>
                <w:sz w:val="18"/>
                <w:szCs w:val="18"/>
              </w:rPr>
            </w:r>
          </w:p>
        </w:tc>
      </w:tr>
    </w:tbl>
    <w:p>
      <w:pPr>
        <w:pStyle w:val="BodyText"/>
        <w:spacing w:line="300" w:lineRule="auto" w:before="10"/>
        <w:ind w:right="858" w:firstLine="360"/>
        <w:jc w:val="left"/>
      </w:pPr>
      <w:r>
        <w:rPr>
          <w:spacing w:val="-3"/>
        </w:rPr>
        <w:t>注</w:t>
      </w:r>
      <w:r>
        <w:rPr>
          <w:rFonts w:ascii="Times New Roman" w:hAnsi="Times New Roman" w:cs="Times New Roman" w:eastAsia="Times New Roman" w:hint="default"/>
          <w:spacing w:val="-3"/>
        </w:rPr>
        <w:t>1</w:t>
      </w:r>
      <w:r>
        <w:rPr>
          <w:spacing w:val="-3"/>
        </w:rPr>
        <w:t>：根据财政部税务总局财税〔</w:t>
      </w:r>
      <w:r>
        <w:rPr>
          <w:rFonts w:ascii="Times New Roman" w:hAnsi="Times New Roman" w:cs="Times New Roman" w:eastAsia="Times New Roman" w:hint="default"/>
          <w:spacing w:val="-3"/>
        </w:rPr>
        <w:t>2018</w:t>
      </w:r>
      <w:r>
        <w:rPr>
          <w:spacing w:val="-3"/>
        </w:rPr>
        <w:t>〕</w:t>
      </w:r>
      <w:r>
        <w:rPr>
          <w:rFonts w:ascii="Times New Roman" w:hAnsi="Times New Roman" w:cs="Times New Roman" w:eastAsia="Times New Roman" w:hint="default"/>
          <w:spacing w:val="-3"/>
        </w:rPr>
        <w:t>32</w:t>
      </w:r>
      <w:r>
        <w:rPr>
          <w:spacing w:val="-3"/>
        </w:rPr>
        <w:t>号《关于调整增值税税率的通知》的有关政策，自</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w:t>
      </w:r>
      <w:r>
        <w:rPr>
          <w:spacing w:val="-3"/>
        </w:rPr>
        <w:t>日起，本公司发生增</w:t>
      </w:r>
      <w:r>
        <w:rPr>
          <w:w w:val="101"/>
        </w:rPr>
        <w:t> </w:t>
      </w:r>
      <w:r>
        <w:rPr>
          <w:spacing w:val="-3"/>
        </w:rPr>
        <w:t>值税应税销售行为或者进口货物，原适用</w:t>
      </w:r>
      <w:r>
        <w:rPr>
          <w:rFonts w:ascii="Times New Roman" w:hAnsi="Times New Roman" w:cs="Times New Roman" w:eastAsia="Times New Roman" w:hint="default"/>
          <w:spacing w:val="-3"/>
        </w:rPr>
        <w:t>17%</w:t>
      </w:r>
      <w:r>
        <w:rPr>
          <w:spacing w:val="-3"/>
        </w:rPr>
        <w:t>和</w:t>
      </w:r>
      <w:r>
        <w:rPr>
          <w:rFonts w:ascii="Times New Roman" w:hAnsi="Times New Roman" w:cs="Times New Roman" w:eastAsia="Times New Roman" w:hint="default"/>
          <w:spacing w:val="-3"/>
        </w:rPr>
        <w:t>11%</w:t>
      </w:r>
      <w:r>
        <w:rPr>
          <w:spacing w:val="-3"/>
        </w:rPr>
        <w:t>税率的，分别调整为</w:t>
      </w:r>
      <w:r>
        <w:rPr>
          <w:rFonts w:ascii="Times New Roman" w:hAnsi="Times New Roman" w:cs="Times New Roman" w:eastAsia="Times New Roman" w:hint="default"/>
          <w:spacing w:val="-3"/>
        </w:rPr>
        <w:t>16%</w:t>
      </w:r>
      <w:r>
        <w:rPr>
          <w:spacing w:val="-3"/>
        </w:rPr>
        <w:t>和</w:t>
      </w:r>
      <w:r>
        <w:rPr>
          <w:rFonts w:ascii="Times New Roman" w:hAnsi="Times New Roman" w:cs="Times New Roman" w:eastAsia="Times New Roman" w:hint="default"/>
          <w:spacing w:val="-3"/>
        </w:rPr>
        <w:t>10%</w:t>
      </w:r>
      <w:r>
        <w:rPr>
          <w:spacing w:val="-3"/>
        </w:rPr>
        <w:t>。根据财政部税务总局海关总署财税〔</w:t>
      </w:r>
      <w:r>
        <w:rPr>
          <w:rFonts w:ascii="Times New Roman" w:hAnsi="Times New Roman" w:cs="Times New Roman" w:eastAsia="Times New Roman" w:hint="default"/>
          <w:spacing w:val="-3"/>
        </w:rPr>
        <w:t>2019</w:t>
      </w:r>
      <w:r>
        <w:rPr>
          <w:spacing w:val="-3"/>
        </w:rPr>
        <w:t>〕</w:t>
      </w:r>
      <w:r>
        <w:rPr>
          <w:spacing w:val="2"/>
        </w:rPr>
        <w:t> </w:t>
      </w:r>
      <w:r>
        <w:rPr>
          <w:rFonts w:ascii="Times New Roman" w:hAnsi="Times New Roman" w:cs="Times New Roman" w:eastAsia="Times New Roman" w:hint="default"/>
          <w:spacing w:val="-3"/>
        </w:rPr>
        <w:t>39</w:t>
      </w:r>
      <w:r>
        <w:rPr>
          <w:spacing w:val="-3"/>
        </w:rPr>
        <w:t>号《关于深化增值税改革有关政策的通知》的有关政策，自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w:t>
      </w:r>
      <w:r>
        <w:rPr>
          <w:spacing w:val="-3"/>
        </w:rPr>
        <w:t>日起，本公司发生增值税应税销售行为或者进口货物，</w:t>
      </w:r>
      <w:r>
        <w:rPr>
          <w:spacing w:val="-2"/>
        </w:rPr>
        <w:t> </w:t>
      </w:r>
      <w:r>
        <w:rPr>
          <w:spacing w:val="-2"/>
        </w:rPr>
        <w:t>原适用</w:t>
      </w:r>
      <w:r>
        <w:rPr>
          <w:rFonts w:ascii="Times New Roman" w:hAnsi="Times New Roman" w:cs="Times New Roman" w:eastAsia="Times New Roman" w:hint="default"/>
          <w:spacing w:val="-2"/>
        </w:rPr>
        <w:t>16%</w:t>
      </w:r>
      <w:r>
        <w:rPr>
          <w:spacing w:val="-2"/>
        </w:rPr>
        <w:t>和</w:t>
      </w:r>
      <w:r>
        <w:rPr>
          <w:rFonts w:ascii="Times New Roman" w:hAnsi="Times New Roman" w:cs="Times New Roman" w:eastAsia="Times New Roman" w:hint="default"/>
          <w:spacing w:val="-2"/>
        </w:rPr>
        <w:t>10%</w:t>
      </w:r>
      <w:r>
        <w:rPr>
          <w:spacing w:val="-2"/>
        </w:rPr>
        <w:t>税率的，分别调整为</w:t>
      </w:r>
      <w:r>
        <w:rPr>
          <w:rFonts w:ascii="Times New Roman" w:hAnsi="Times New Roman" w:cs="Times New Roman" w:eastAsia="Times New Roman" w:hint="default"/>
          <w:spacing w:val="-2"/>
        </w:rPr>
        <w:t>13%</w:t>
      </w:r>
      <w:r>
        <w:rPr>
          <w:spacing w:val="-2"/>
        </w:rPr>
        <w:t>和</w:t>
      </w:r>
      <w:r>
        <w:rPr>
          <w:rFonts w:ascii="Times New Roman" w:hAnsi="Times New Roman" w:cs="Times New Roman" w:eastAsia="Times New Roman" w:hint="default"/>
          <w:spacing w:val="-2"/>
        </w:rPr>
        <w:t>9%</w:t>
      </w:r>
      <w:r>
        <w:rPr>
          <w:spacing w:val="-2"/>
        </w:rPr>
        <w:t>。</w:t>
      </w:r>
    </w:p>
    <w:p>
      <w:pPr>
        <w:pStyle w:val="BodyText"/>
        <w:spacing w:line="300" w:lineRule="auto" w:before="13"/>
        <w:ind w:right="858" w:firstLine="360"/>
        <w:jc w:val="left"/>
      </w:pPr>
      <w:r>
        <w:rPr>
          <w:spacing w:val="-4"/>
        </w:rPr>
        <w:t>注</w:t>
      </w:r>
      <w:r>
        <w:rPr>
          <w:rFonts w:ascii="Times New Roman" w:hAnsi="Times New Roman" w:cs="Times New Roman" w:eastAsia="Times New Roman" w:hint="default"/>
          <w:spacing w:val="-4"/>
        </w:rPr>
        <w:t>2</w:t>
      </w:r>
      <w:r>
        <w:rPr>
          <w:spacing w:val="-4"/>
        </w:rPr>
        <w:t>：美国销售税：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月及之前，美国税法规定，如果公司在某州以实体方式</w:t>
      </w:r>
      <w:r>
        <w:rPr>
          <w:rFonts w:ascii="Times New Roman" w:hAnsi="Times New Roman" w:cs="Times New Roman" w:eastAsia="Times New Roman" w:hint="default"/>
          <w:spacing w:val="-4"/>
        </w:rPr>
        <w:t>(physical</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4"/>
        </w:rPr>
        <w:t>presence</w:t>
      </w:r>
      <w:r>
        <w:rPr>
          <w:spacing w:val="-4"/>
        </w:rPr>
        <w:t>，如在该州有财产、雇员、</w:t>
      </w:r>
      <w:r>
        <w:rPr>
          <w:w w:val="101"/>
        </w:rPr>
        <w:t> </w:t>
      </w:r>
      <w:r>
        <w:rPr>
          <w:spacing w:val="-7"/>
          <w:w w:val="101"/>
        </w:rPr>
        <w:t>管理人员等</w:t>
      </w:r>
      <w:r>
        <w:rPr>
          <w:rFonts w:ascii="Times New Roman" w:hAnsi="Times New Roman" w:cs="Times New Roman" w:eastAsia="Times New Roman" w:hint="default"/>
          <w:spacing w:val="-7"/>
          <w:w w:val="101"/>
        </w:rPr>
        <w:t>)</w:t>
      </w:r>
      <w:r>
        <w:rPr>
          <w:spacing w:val="-7"/>
          <w:w w:val="101"/>
        </w:rPr>
        <w:t>经营，则必须在该州向消费者收取并缴纳销售税。于</w:t>
      </w:r>
      <w:r>
        <w:rPr>
          <w:rFonts w:ascii="Times New Roman" w:hAnsi="Times New Roman" w:cs="Times New Roman" w:eastAsia="Times New Roman" w:hint="default"/>
          <w:spacing w:val="-7"/>
          <w:w w:val="101"/>
        </w:rPr>
        <w:t>2018</w:t>
      </w:r>
      <w:r>
        <w:rPr>
          <w:spacing w:val="-7"/>
          <w:w w:val="101"/>
        </w:rPr>
        <w:t>年</w:t>
      </w:r>
      <w:r>
        <w:rPr>
          <w:rFonts w:ascii="Times New Roman" w:hAnsi="Times New Roman" w:cs="Times New Roman" w:eastAsia="Times New Roman" w:hint="default"/>
          <w:spacing w:val="-7"/>
          <w:w w:val="101"/>
        </w:rPr>
        <w:t>7</w:t>
      </w:r>
      <w:r>
        <w:rPr>
          <w:spacing w:val="-7"/>
          <w:w w:val="101"/>
        </w:rPr>
        <w:t>月，美国税法规定，如果公司与某州存在经济联系</w:t>
      </w:r>
      <w:r>
        <w:rPr>
          <w:rFonts w:ascii="Times New Roman" w:hAnsi="Times New Roman" w:cs="Times New Roman" w:eastAsia="Times New Roman" w:hint="default"/>
          <w:spacing w:val="-7"/>
          <w:w w:val="101"/>
        </w:rPr>
        <w:t>(economic</w:t>
      </w:r>
      <w:r>
        <w:rPr>
          <w:rFonts w:ascii="Times New Roman" w:hAnsi="Times New Roman" w:cs="Times New Roman" w:eastAsia="Times New Roman" w:hint="default"/>
          <w:spacing w:val="-24"/>
          <w:w w:val="101"/>
        </w:rPr>
        <w:t> </w:t>
      </w:r>
      <w:r>
        <w:rPr>
          <w:rFonts w:ascii="Times New Roman" w:hAnsi="Times New Roman" w:cs="Times New Roman" w:eastAsia="Times New Roman" w:hint="default"/>
          <w:spacing w:val="-24"/>
          <w:w w:val="101"/>
        </w:rPr>
      </w:r>
      <w:r>
        <w:rPr>
          <w:rFonts w:ascii="Times New Roman" w:hAnsi="Times New Roman" w:cs="Times New Roman" w:eastAsia="Times New Roman" w:hint="default"/>
        </w:rPr>
        <w:t>nexus)</w:t>
      </w:r>
      <w:r>
        <w:rPr/>
        <w:t>，则必须在该州向消费者收取并缴纳销售税。截至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月，共有</w:t>
      </w:r>
      <w:r>
        <w:rPr>
          <w:rFonts w:ascii="Times New Roman" w:hAnsi="Times New Roman" w:cs="Times New Roman" w:eastAsia="Times New Roman" w:hint="default"/>
        </w:rPr>
        <w:t>37</w:t>
      </w:r>
      <w:r>
        <w:rPr/>
        <w:t>个州开始对在线销售业务征收销售税</w:t>
      </w:r>
      <w:r>
        <w:rPr>
          <w:rFonts w:ascii="Times New Roman" w:hAnsi="Times New Roman" w:cs="Times New Roman" w:eastAsia="Times New Roman" w:hint="default"/>
        </w:rPr>
        <w:t>(Online  Sales  </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rFonts w:ascii="Times New Roman" w:hAnsi="Times New Roman" w:cs="Times New Roman" w:eastAsia="Times New Roman" w:hint="default"/>
          <w:spacing w:val="-4"/>
        </w:rPr>
        <w:t>Tax)</w:t>
      </w:r>
      <w:r>
        <w:rPr>
          <w:rFonts w:ascii="Times New Roman" w:hAnsi="Times New Roman" w:cs="Times New Roman" w:eastAsia="Times New Roman" w:hint="default"/>
          <w:spacing w:val="34"/>
        </w:rPr>
        <w:t> </w:t>
      </w:r>
      <w:r>
        <w:rPr/>
        <w:t>。</w:t>
      </w:r>
    </w:p>
    <w:p>
      <w:pPr>
        <w:pStyle w:val="BodyText"/>
        <w:spacing w:line="300" w:lineRule="auto" w:before="13"/>
        <w:ind w:right="858" w:firstLine="360"/>
        <w:jc w:val="left"/>
      </w:pPr>
      <w:r>
        <w:rPr>
          <w:spacing w:val="-3"/>
        </w:rPr>
        <w:t>注</w:t>
      </w:r>
      <w:r>
        <w:rPr>
          <w:rFonts w:ascii="Times New Roman" w:hAnsi="Times New Roman" w:cs="Times New Roman" w:eastAsia="Times New Roman" w:hint="default"/>
          <w:spacing w:val="-3"/>
        </w:rPr>
        <w:t>3</w:t>
      </w:r>
      <w:r>
        <w:rPr>
          <w:spacing w:val="-3"/>
        </w:rPr>
        <w:t>：本公司子公司</w:t>
      </w:r>
      <w:r>
        <w:rPr>
          <w:rFonts w:ascii="Times New Roman" w:hAnsi="Times New Roman" w:cs="Times New Roman" w:eastAsia="Times New Roman" w:hint="default"/>
          <w:spacing w:val="-3"/>
        </w:rPr>
        <w:t>iTalkBB Canada</w:t>
      </w:r>
      <w:r>
        <w:rPr>
          <w:spacing w:val="-3"/>
        </w:rPr>
        <w:t>、</w:t>
      </w:r>
      <w:r>
        <w:rPr>
          <w:rFonts w:ascii="Times New Roman" w:hAnsi="Times New Roman" w:cs="Times New Roman" w:eastAsia="Times New Roman" w:hint="default"/>
          <w:spacing w:val="-3"/>
        </w:rPr>
        <w:t>iTalk </w:t>
      </w:r>
      <w:r>
        <w:rPr>
          <w:rFonts w:ascii="Times New Roman" w:hAnsi="Times New Roman" w:cs="Times New Roman" w:eastAsia="Times New Roman" w:hint="default"/>
        </w:rPr>
        <w:t>Media</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3"/>
        </w:rPr>
        <w:t>CA</w:t>
      </w:r>
      <w:r>
        <w:rPr>
          <w:spacing w:val="-3"/>
        </w:rPr>
        <w:t>为在加拿大安大略省注册的公司，就符合应税条件的商品销售及服务征收</w:t>
      </w:r>
      <w:r>
        <w:rPr>
          <w:w w:val="101"/>
        </w:rPr>
        <w:t> </w:t>
      </w:r>
      <w:r>
        <w:rPr>
          <w:rFonts w:ascii="Times New Roman" w:hAnsi="Times New Roman" w:cs="Times New Roman" w:eastAsia="Times New Roman" w:hint="default"/>
          <w:spacing w:val="-3"/>
        </w:rPr>
        <w:t>13%</w:t>
      </w:r>
      <w:r>
        <w:rPr>
          <w:spacing w:val="-3"/>
        </w:rPr>
        <w:t>的销售税</w:t>
      </w:r>
      <w:r>
        <w:rPr>
          <w:rFonts w:ascii="Times New Roman" w:hAnsi="Times New Roman" w:cs="Times New Roman" w:eastAsia="Times New Roman" w:hint="default"/>
          <w:spacing w:val="-3"/>
        </w:rPr>
        <w:t>(GST)</w:t>
      </w:r>
      <w:r>
        <w:rPr>
          <w:spacing w:val="-3"/>
        </w:rPr>
        <w:t>，同时可抵减购买商品、接受劳务的销售税</w:t>
      </w:r>
      <w:r>
        <w:rPr>
          <w:rFonts w:ascii="Times New Roman" w:hAnsi="Times New Roman" w:cs="Times New Roman" w:eastAsia="Times New Roman" w:hint="default"/>
          <w:spacing w:val="-3"/>
        </w:rPr>
        <w:t>(GST)</w:t>
      </w:r>
      <w:r>
        <w:rPr>
          <w:spacing w:val="-3"/>
        </w:rPr>
        <w:t>，按抵减后余额上缴。</w:t>
      </w:r>
    </w:p>
    <w:p>
      <w:pPr>
        <w:pStyle w:val="BodyText"/>
        <w:spacing w:line="300" w:lineRule="auto" w:before="13"/>
        <w:ind w:right="858" w:firstLine="360"/>
        <w:jc w:val="left"/>
      </w:pPr>
      <w:r>
        <w:rPr>
          <w:spacing w:val="-2"/>
        </w:rPr>
        <w:t>注</w:t>
      </w:r>
      <w:r>
        <w:rPr>
          <w:rFonts w:ascii="Times New Roman" w:hAnsi="Times New Roman" w:cs="Times New Roman" w:eastAsia="Times New Roman" w:hint="default"/>
          <w:spacing w:val="-2"/>
        </w:rPr>
        <w:t>4</w:t>
      </w:r>
      <w:r>
        <w:rPr>
          <w:spacing w:val="-2"/>
        </w:rPr>
        <w:t>：本公司子公司</w:t>
      </w:r>
      <w:r>
        <w:rPr>
          <w:rFonts w:ascii="Times New Roman" w:hAnsi="Times New Roman" w:cs="Times New Roman" w:eastAsia="Times New Roman" w:hint="default"/>
          <w:spacing w:val="-2"/>
        </w:rPr>
        <w:t>iTalkBB</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2"/>
        </w:rPr>
        <w:t>Singapore</w:t>
      </w:r>
      <w:r>
        <w:rPr>
          <w:spacing w:val="-2"/>
        </w:rPr>
        <w:t>就其在新加坡境内符合应税条件的商品销售及服务征收</w:t>
      </w:r>
      <w:r>
        <w:rPr>
          <w:rFonts w:ascii="Times New Roman" w:hAnsi="Times New Roman" w:cs="Times New Roman" w:eastAsia="Times New Roman" w:hint="default"/>
          <w:spacing w:val="-2"/>
        </w:rPr>
        <w:t>7%</w:t>
      </w:r>
      <w:r>
        <w:rPr>
          <w:spacing w:val="-2"/>
        </w:rPr>
        <w:t>的销售税</w:t>
      </w:r>
      <w:r>
        <w:rPr>
          <w:rFonts w:ascii="Times New Roman" w:hAnsi="Times New Roman" w:cs="Times New Roman" w:eastAsia="Times New Roman" w:hint="default"/>
          <w:spacing w:val="-2"/>
        </w:rPr>
        <w:t>(GST)</w:t>
      </w:r>
      <w:r>
        <w:rPr>
          <w:spacing w:val="-2"/>
        </w:rPr>
        <w:t>，同时可抵减</w:t>
      </w:r>
      <w:r>
        <w:rPr>
          <w:w w:val="101"/>
        </w:rPr>
        <w:t> </w:t>
      </w:r>
      <w:r>
        <w:rPr>
          <w:spacing w:val="-3"/>
        </w:rPr>
        <w:t>在新加坡境内购买商品、接受劳务的销售税</w:t>
      </w:r>
      <w:r>
        <w:rPr>
          <w:rFonts w:ascii="Times New Roman" w:hAnsi="Times New Roman" w:cs="Times New Roman" w:eastAsia="Times New Roman" w:hint="default"/>
          <w:spacing w:val="-3"/>
        </w:rPr>
        <w:t>(GST)</w:t>
      </w:r>
      <w:r>
        <w:rPr>
          <w:spacing w:val="-3"/>
        </w:rPr>
        <w:t>，按抵减后余额上缴，如抵减有余可从政府取得税费返还。</w:t>
      </w:r>
    </w:p>
    <w:p>
      <w:pPr>
        <w:pStyle w:val="BodyText"/>
        <w:spacing w:line="300" w:lineRule="auto" w:before="13"/>
        <w:ind w:right="859" w:firstLine="360"/>
        <w:jc w:val="both"/>
      </w:pPr>
      <w:r>
        <w:rPr>
          <w:spacing w:val="-3"/>
        </w:rPr>
        <w:t>注</w:t>
      </w:r>
      <w:r>
        <w:rPr>
          <w:rFonts w:ascii="Times New Roman" w:hAnsi="Times New Roman" w:cs="Times New Roman" w:eastAsia="Times New Roman" w:hint="default"/>
          <w:spacing w:val="-3"/>
        </w:rPr>
        <w:t>5</w:t>
      </w:r>
      <w:r>
        <w:rPr>
          <w:spacing w:val="-3"/>
        </w:rPr>
        <w:t>：本公司子公司</w:t>
      </w:r>
      <w:r>
        <w:rPr>
          <w:rFonts w:ascii="Times New Roman" w:hAnsi="Times New Roman" w:cs="Times New Roman" w:eastAsia="Times New Roman" w:hint="default"/>
          <w:spacing w:val="-3"/>
        </w:rPr>
        <w:t>iTalk </w:t>
      </w:r>
      <w:r>
        <w:rPr>
          <w:rFonts w:ascii="Times New Roman" w:hAnsi="Times New Roman" w:cs="Times New Roman" w:eastAsia="Times New Roman" w:hint="default"/>
        </w:rPr>
        <w:t>Global</w:t>
      </w:r>
      <w:r>
        <w:rPr/>
        <w:t>、 </w:t>
      </w:r>
      <w:r>
        <w:rPr>
          <w:rFonts w:ascii="Times New Roman" w:hAnsi="Times New Roman" w:cs="Times New Roman" w:eastAsia="Times New Roman" w:hint="default"/>
          <w:spacing w:val="-3"/>
        </w:rPr>
        <w:t>iTalkBB</w:t>
      </w:r>
      <w:r>
        <w:rPr>
          <w:rFonts w:ascii="Times New Roman" w:hAnsi="Times New Roman" w:cs="Times New Roman" w:eastAsia="Times New Roman" w:hint="default"/>
          <w:spacing w:val="32"/>
        </w:rPr>
        <w:t> </w:t>
      </w:r>
      <w:r>
        <w:rPr>
          <w:rFonts w:ascii="Times New Roman" w:hAnsi="Times New Roman" w:cs="Times New Roman" w:eastAsia="Times New Roman" w:hint="default"/>
        </w:rPr>
        <w:t>Australia</w:t>
      </w:r>
      <w:r>
        <w:rPr/>
        <w:t>、爱涛网络就其在澳大利亚符合应税条件的商品销售及服务征收</w:t>
      </w:r>
      <w:r>
        <w:rPr>
          <w:rFonts w:ascii="Times New Roman" w:hAnsi="Times New Roman" w:cs="Times New Roman" w:eastAsia="Times New Roman" w:hint="default"/>
        </w:rPr>
        <w:t>10%</w:t>
      </w:r>
      <w:r>
        <w:rPr/>
        <w:t>的销</w:t>
      </w:r>
      <w:r>
        <w:rPr>
          <w:w w:val="101"/>
        </w:rPr>
        <w:t> </w:t>
      </w:r>
      <w:r>
        <w:rPr>
          <w:spacing w:val="-2"/>
        </w:rPr>
        <w:t>售税</w:t>
      </w:r>
      <w:r>
        <w:rPr>
          <w:rFonts w:ascii="Times New Roman" w:hAnsi="Times New Roman" w:cs="Times New Roman" w:eastAsia="Times New Roman" w:hint="default"/>
          <w:spacing w:val="-2"/>
        </w:rPr>
        <w:t>(GST)</w:t>
      </w:r>
      <w:r>
        <w:rPr>
          <w:spacing w:val="-2"/>
        </w:rPr>
        <w:t>，同时可抵减在澳大利亚境内购买商品、接受劳务的销售税</w:t>
      </w:r>
      <w:r>
        <w:rPr>
          <w:rFonts w:ascii="Times New Roman" w:hAnsi="Times New Roman" w:cs="Times New Roman" w:eastAsia="Times New Roman" w:hint="default"/>
          <w:spacing w:val="-2"/>
        </w:rPr>
        <w:t>(GST)</w:t>
      </w:r>
      <w:r>
        <w:rPr>
          <w:spacing w:val="-2"/>
        </w:rPr>
        <w:t>，按抵减后余额上缴，如抵减有余可从政府取得税费</w:t>
      </w:r>
      <w:r>
        <w:rPr>
          <w:spacing w:val="1"/>
        </w:rPr>
        <w:t> </w:t>
      </w:r>
      <w:r>
        <w:rPr>
          <w:spacing w:val="1"/>
        </w:rPr>
      </w:r>
      <w:r>
        <w:rPr/>
        <w:t>返还。</w:t>
      </w:r>
    </w:p>
    <w:p>
      <w:pPr>
        <w:spacing w:after="0" w:line="300" w:lineRule="auto"/>
        <w:jc w:val="both"/>
        <w:sectPr>
          <w:pgSz w:w="11910" w:h="16840"/>
          <w:pgMar w:header="906" w:footer="1022" w:top="1100" w:bottom="1220" w:left="740" w:right="0"/>
        </w:sectPr>
      </w:pPr>
    </w:p>
    <w:p>
      <w:pPr>
        <w:spacing w:line="20" w:lineRule="exact"/>
        <w:ind w:left="2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2"/>
        <w:spacing w:line="240" w:lineRule="auto" w:before="5"/>
        <w:ind w:left="234" w:right="7211"/>
        <w:jc w:val="left"/>
        <w:rPr>
          <w:b w:val="0"/>
          <w:bCs w:val="0"/>
        </w:rPr>
      </w:pPr>
      <w:bookmarkStart w:name="七、合并财务报表项目注释" w:id="218"/>
      <w:bookmarkEnd w:id="218"/>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234" w:right="7211"/>
        <w:jc w:val="left"/>
        <w:rPr>
          <w:b w:val="0"/>
          <w:bCs w:val="0"/>
        </w:rPr>
      </w:pPr>
      <w:bookmarkStart w:name="1、货币资金" w:id="219"/>
      <w:bookmarkEnd w:id="21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50,406.88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30,351.44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288,517,249.74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615,393,147.21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300,075.77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289,958.60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288,867,732.39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615,713,457.25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pacing w:val="-3"/>
                <w:sz w:val="18"/>
                <w:szCs w:val="18"/>
              </w:rPr>
              <w:t>其中：存放在境外的款项总额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106,428,832.81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107,590,677.28</w:t>
            </w:r>
          </w:p>
        </w:tc>
      </w:tr>
    </w:tbl>
    <w:p>
      <w:pPr>
        <w:pStyle w:val="BodyText"/>
        <w:spacing w:line="357" w:lineRule="auto" w:before="53"/>
        <w:ind w:left="234" w:right="7675"/>
        <w:jc w:val="left"/>
      </w:pPr>
      <w:r>
        <w:rPr/>
        <w:pict>
          <v:shape style="position:absolute;margin-left:42.743999pt;margin-top:35.2477pt;width:510.35pt;height:52.8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65"/>
                    <w:gridCol w:w="2607"/>
                    <w:gridCol w:w="2612"/>
                  </w:tblGrid>
                  <w:tr>
                    <w:trPr>
                      <w:trHeight w:val="346" w:hRule="exact"/>
                    </w:trPr>
                    <w:tc>
                      <w:tcPr>
                        <w:tcW w:w="496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0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61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6" w:hRule="exact"/>
                    </w:trPr>
                    <w:tc>
                      <w:tcPr>
                        <w:tcW w:w="4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用于担保的存款</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300,075.77</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288,585.96</w:t>
                        </w:r>
                      </w:p>
                    </w:tc>
                  </w:tr>
                  <w:tr>
                    <w:trPr>
                      <w:trHeight w:val="350" w:hRule="exact"/>
                    </w:trPr>
                    <w:tc>
                      <w:tcPr>
                        <w:tcW w:w="4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300,075.77</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288,585.96</w:t>
                        </w:r>
                      </w:p>
                    </w:tc>
                  </w:tr>
                </w:tbl>
                <w:p>
                  <w:pPr/>
                </w:p>
              </w:txbxContent>
            </v:textbox>
            <w10:wrap type="none"/>
          </v:shape>
        </w:pict>
      </w:r>
      <w:r>
        <w:rPr/>
        <w:t>其他说明</w:t>
      </w:r>
      <w:r>
        <w:rPr>
          <w:spacing w:val="-86"/>
        </w:rPr>
        <w:t> </w:t>
      </w:r>
      <w:r>
        <w:rPr>
          <w:spacing w:val="-86"/>
        </w:rPr>
      </w:r>
      <w:r>
        <w:rPr>
          <w:spacing w:val="-3"/>
        </w:rPr>
        <w:t>其中受限制的货币资金明细如下：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46"/>
        <w:ind w:left="234" w:right="714"/>
        <w:jc w:val="left"/>
      </w:pPr>
      <w:r>
        <w:rPr>
          <w:spacing w:val="-3"/>
        </w:rPr>
        <w:t>注：受限制的货币资金为存放于银行的供应商保证金和申请信用卡时用银行存款提供的保证金。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4"/>
        <w:spacing w:line="240" w:lineRule="auto"/>
        <w:ind w:left="234" w:right="7211"/>
        <w:jc w:val="left"/>
        <w:rPr>
          <w:b w:val="0"/>
          <w:bCs w:val="0"/>
        </w:rPr>
      </w:pPr>
      <w:bookmarkStart w:name="2、交易性金融资产" w:id="220"/>
      <w:bookmarkEnd w:id="220"/>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3462"/>
        <w:gridCol w:w="3462"/>
        <w:gridCol w:w="3458"/>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05" w:right="99"/>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金融资产</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402,244,369.44</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122,709,424.85</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5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402,244,369.44</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122,709,424.85</w:t>
            </w:r>
          </w:p>
        </w:tc>
      </w:tr>
      <w:tr>
        <w:trPr>
          <w:trHeight w:val="716"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05" w:right="99"/>
              <w:jc w:val="left"/>
              <w:rPr>
                <w:rFonts w:ascii="宋体" w:hAnsi="宋体" w:cs="宋体" w:eastAsia="宋体" w:hint="default"/>
                <w:sz w:val="18"/>
                <w:szCs w:val="18"/>
              </w:rPr>
            </w:pPr>
            <w:r>
              <w:rPr>
                <w:rFonts w:ascii="宋体" w:hAnsi="宋体" w:cs="宋体" w:eastAsia="宋体" w:hint="default"/>
                <w:spacing w:val="-3"/>
                <w:sz w:val="18"/>
                <w:szCs w:val="18"/>
              </w:rPr>
              <w:t>指定以公允价值计量且其变动计入当期损</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益的金融资产</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402,244,369.44</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122,709,424.85</w:t>
            </w:r>
          </w:p>
        </w:tc>
      </w:tr>
    </w:tbl>
    <w:p>
      <w:pPr>
        <w:pStyle w:val="BodyText"/>
        <w:spacing w:line="240" w:lineRule="auto" w:before="53"/>
        <w:ind w:left="234" w:right="7211"/>
        <w:jc w:val="left"/>
      </w:pPr>
      <w:r>
        <w:rPr/>
        <w:t>其他说明：无</w:t>
      </w:r>
    </w:p>
    <w:p>
      <w:pPr>
        <w:spacing w:after="0" w:line="240" w:lineRule="auto"/>
        <w:jc w:val="left"/>
        <w:sectPr>
          <w:pgSz w:w="11910" w:h="16840"/>
          <w:pgMar w:header="906" w:footer="1022" w:top="1100" w:bottom="1220" w:left="640" w:right="0"/>
        </w:sectPr>
      </w:pPr>
    </w:p>
    <w:p>
      <w:pPr>
        <w:spacing w:line="240" w:lineRule="auto" w:before="3"/>
        <w:rPr>
          <w:rFonts w:ascii="宋体" w:hAnsi="宋体" w:cs="宋体" w:eastAsia="宋体" w:hint="default"/>
          <w:sz w:val="24"/>
          <w:szCs w:val="24"/>
        </w:rPr>
      </w:pPr>
    </w:p>
    <w:p>
      <w:pPr>
        <w:pStyle w:val="Heading4"/>
        <w:spacing w:line="240" w:lineRule="auto"/>
        <w:ind w:left="220" w:right="-5"/>
        <w:jc w:val="left"/>
        <w:rPr>
          <w:b w:val="0"/>
          <w:bCs w:val="0"/>
        </w:rPr>
      </w:pPr>
      <w:r>
        <w:rPr/>
        <w:pict>
          <v:group style="position:absolute;margin-left:52.584pt;margin-top:-1.416343pt;width:737pt;height:.1pt;mso-position-horizontal-relative:page;mso-position-vertical-relative:paragraph;z-index:1792" coordorigin="1052,-28" coordsize="14740,2">
            <v:shape style="position:absolute;left:1052;top:-28;width:14740;height:2" coordorigin="1052,-28" coordsize="14740,0" path="m1052,-28l15791,-28e" filled="false" stroked="true" strokeweight=".48pt" strokecolor="#000000">
              <v:path arrowok="t"/>
            </v:shape>
            <w10:wrap type="none"/>
          </v:group>
        </w:pict>
      </w:r>
      <w:bookmarkStart w:name="3、应收账款" w:id="221"/>
      <w:bookmarkEnd w:id="221"/>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220" w:right="-5"/>
        <w:jc w:val="left"/>
        <w:rPr>
          <w:b w:val="0"/>
          <w:bCs w:val="0"/>
        </w:rPr>
      </w:pPr>
      <w:bookmarkStart w:name="（1）应收账款分类披露" w:id="222"/>
      <w:bookmarkEnd w:id="222"/>
      <w:r>
        <w:rPr>
          <w:b w:val="0"/>
          <w:bCs w:val="0"/>
        </w:rPr>
      </w:r>
      <w:r>
        <w:rPr>
          <w:spacing w:val="-1"/>
        </w:rPr>
        <w:t>（</w:t>
      </w:r>
      <w:r>
        <w:rPr>
          <w:rFonts w:ascii="Times New Roman" w:hAnsi="Times New Roman" w:cs="Times New Roman" w:eastAsia="Times New Roman" w:hint="default"/>
          <w:spacing w:val="-1"/>
        </w:rPr>
        <w:t>1</w:t>
      </w:r>
      <w:r>
        <w:rPr>
          <w:spacing w:val="-1"/>
        </w:rPr>
        <w:t>）应收账款分类披露</w:t>
      </w:r>
      <w:r>
        <w:rPr>
          <w:b w:val="0"/>
          <w:bCs w:val="0"/>
          <w:spacing w:val="-1"/>
        </w:rPr>
      </w:r>
    </w:p>
    <w:p>
      <w:pPr>
        <w:pStyle w:val="BodyText"/>
        <w:spacing w:line="240" w:lineRule="auto" w:before="16"/>
        <w:ind w:left="220" w:right="0"/>
        <w:jc w:val="left"/>
      </w:pPr>
      <w:r>
        <w:rPr/>
        <w:br w:type="column"/>
      </w:r>
      <w:r>
        <w:rPr/>
        <w:t>二六三网络通信股份有限公司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p>
      <w:pPr>
        <w:spacing w:after="0" w:line="240" w:lineRule="auto"/>
        <w:jc w:val="left"/>
        <w:sectPr>
          <w:headerReference w:type="default" r:id="rId38"/>
          <w:footerReference w:type="default" r:id="rId39"/>
          <w:pgSz w:w="16840" w:h="11910" w:orient="landscape"/>
          <w:pgMar w:header="0" w:footer="0" w:top="840" w:bottom="0" w:left="860" w:right="860"/>
          <w:cols w:num="2" w:equalWidth="0">
            <w:col w:w="2439" w:space="8192"/>
            <w:col w:w="4489"/>
          </w:cols>
        </w:sectPr>
      </w:pPr>
    </w:p>
    <w:p>
      <w:pPr>
        <w:spacing w:line="240" w:lineRule="auto" w:before="6"/>
        <w:rPr>
          <w:rFonts w:ascii="宋体" w:hAnsi="宋体" w:cs="宋体" w:eastAsia="宋体" w:hint="default"/>
          <w:sz w:val="23"/>
          <w:szCs w:val="23"/>
        </w:rPr>
      </w:pPr>
    </w:p>
    <w:p>
      <w:pPr>
        <w:pStyle w:val="BodyText"/>
        <w:spacing w:line="240" w:lineRule="auto" w:before="46"/>
        <w:ind w:left="0" w:right="208"/>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2876"/>
        <w:gridCol w:w="1407"/>
        <w:gridCol w:w="903"/>
        <w:gridCol w:w="1310"/>
        <w:gridCol w:w="984"/>
        <w:gridCol w:w="1407"/>
        <w:gridCol w:w="1407"/>
        <w:gridCol w:w="902"/>
        <w:gridCol w:w="1316"/>
        <w:gridCol w:w="980"/>
        <w:gridCol w:w="1406"/>
      </w:tblGrid>
      <w:tr>
        <w:trPr>
          <w:trHeight w:val="394" w:hRule="exact"/>
        </w:trPr>
        <w:tc>
          <w:tcPr>
            <w:tcW w:w="2876" w:type="dxa"/>
            <w:tcBorders>
              <w:top w:val="single" w:sz="4" w:space="0" w:color="000000"/>
              <w:left w:val="single" w:sz="4" w:space="0" w:color="000000"/>
              <w:bottom w:val="nil" w:sz="6" w:space="0" w:color="auto"/>
              <w:right w:val="single" w:sz="4" w:space="0" w:color="000000"/>
            </w:tcBorders>
            <w:shd w:val="clear" w:color="auto" w:fill="D2D2D2"/>
          </w:tcPr>
          <w:p>
            <w:pPr/>
          </w:p>
        </w:tc>
        <w:tc>
          <w:tcPr>
            <w:tcW w:w="60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28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3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3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876" w:type="dxa"/>
            <w:vMerge/>
            <w:tcBorders>
              <w:left w:val="single" w:sz="4" w:space="0" w:color="000000"/>
              <w:bottom w:val="single" w:sz="4" w:space="0" w:color="000000"/>
              <w:right w:val="single" w:sz="4" w:space="0" w:color="000000"/>
            </w:tcBorders>
            <w:shd w:val="clear" w:color="auto" w:fill="D2D2D2"/>
          </w:tcPr>
          <w:p>
            <w:pP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7"/>
              <w:jc w:val="right"/>
              <w:rPr>
                <w:rFonts w:ascii="宋体" w:hAnsi="宋体" w:cs="宋体" w:eastAsia="宋体" w:hint="default"/>
                <w:sz w:val="18"/>
                <w:szCs w:val="18"/>
              </w:rPr>
            </w:pPr>
            <w:r>
              <w:rPr>
                <w:rFonts w:ascii="宋体" w:hAnsi="宋体" w:cs="宋体" w:eastAsia="宋体" w:hint="default"/>
                <w:spacing w:val="-2"/>
                <w:sz w:val="18"/>
                <w:szCs w:val="18"/>
              </w:rPr>
              <w:t>计提比例</w:t>
            </w:r>
          </w:p>
        </w:tc>
        <w:tc>
          <w:tcPr>
            <w:tcW w:w="1407" w:type="dxa"/>
            <w:vMerge/>
            <w:tcBorders>
              <w:left w:val="single" w:sz="4" w:space="0" w:color="000000"/>
              <w:bottom w:val="single" w:sz="4" w:space="0" w:color="000000"/>
              <w:right w:val="single" w:sz="4" w:space="0" w:color="000000"/>
            </w:tcBorders>
            <w:shd w:val="clear" w:color="auto" w:fill="D2D2D2"/>
          </w:tcPr>
          <w:p>
            <w:pP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8"/>
              <w:jc w:val="right"/>
              <w:rPr>
                <w:rFonts w:ascii="宋体" w:hAnsi="宋体" w:cs="宋体" w:eastAsia="宋体" w:hint="default"/>
                <w:sz w:val="18"/>
                <w:szCs w:val="18"/>
              </w:rPr>
            </w:pPr>
            <w:r>
              <w:rPr>
                <w:rFonts w:ascii="宋体" w:hAnsi="宋体" w:cs="宋体" w:eastAsia="宋体" w:hint="default"/>
                <w:spacing w:val="-2"/>
                <w:sz w:val="18"/>
                <w:szCs w:val="18"/>
              </w:rPr>
              <w:t>计提比例</w:t>
            </w:r>
          </w:p>
        </w:tc>
        <w:tc>
          <w:tcPr>
            <w:tcW w:w="140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按单项计提坏账准备的应收账款</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37,932,758.17</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24.48%</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2,624,112.99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6.92%</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35,308,645.18</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42,050,637.59</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29.02%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6,338,523.46</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15.07%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35,712,114.13</w:t>
            </w:r>
          </w:p>
        </w:tc>
      </w:tr>
      <w:tr>
        <w:trPr>
          <w:trHeight w:val="399"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按组合计提坏账准备的应收账款</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117,035,851.30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75.52%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12,311,287.89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10.52%</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104,724,563.41</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102,849,878.16</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70.98%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8,544,351.15</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8.31%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94,305,527.01</w:t>
            </w:r>
          </w:p>
        </w:tc>
      </w:tr>
      <w:tr>
        <w:trPr>
          <w:trHeight w:val="403"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企业客户</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112,599,273.09</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72.66%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11,853,801.72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10.53%</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100,745,471.37</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97,824,435.36</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67.51%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8,293,930.41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8.48%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89,530,504.95</w:t>
            </w:r>
          </w:p>
        </w:tc>
      </w:tr>
      <w:tr>
        <w:trPr>
          <w:trHeight w:val="398"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个人客户</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4,436,578.21</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2.86%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457,486.17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10.31%</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3,979,092.04</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5,025,442.80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3.47%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250,420.74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4.98%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4,775,022.06</w:t>
            </w:r>
          </w:p>
        </w:tc>
      </w:tr>
      <w:tr>
        <w:trPr>
          <w:trHeight w:val="403"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154,968,609.47</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14,935,400.88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9.64%</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140,033,208.59</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144,900,515.75</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14,882,874.61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10.27%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130,017,641.14</w:t>
            </w:r>
          </w:p>
        </w:tc>
      </w:tr>
    </w:tbl>
    <w:p>
      <w:pPr>
        <w:pStyle w:val="BodyText"/>
        <w:spacing w:line="240" w:lineRule="auto" w:before="54"/>
        <w:ind w:left="220" w:right="0"/>
        <w:jc w:val="left"/>
      </w:pPr>
      <w:r>
        <w:rPr/>
        <w:t>按单项计提坏账准备：</w:t>
      </w:r>
    </w:p>
    <w:p>
      <w:pPr>
        <w:pStyle w:val="BodyText"/>
        <w:spacing w:line="240" w:lineRule="auto" w:before="119"/>
        <w:ind w:left="0" w:right="208"/>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4820"/>
        <w:gridCol w:w="2204"/>
        <w:gridCol w:w="2045"/>
        <w:gridCol w:w="1647"/>
        <w:gridCol w:w="4182"/>
      </w:tblGrid>
      <w:tr>
        <w:trPr>
          <w:trHeight w:val="403" w:hRule="exact"/>
        </w:trPr>
        <w:tc>
          <w:tcPr>
            <w:tcW w:w="48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00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4820" w:type="dxa"/>
            <w:vMerge/>
            <w:tcBorders>
              <w:left w:val="single" w:sz="4" w:space="0" w:color="000000"/>
              <w:bottom w:val="single" w:sz="4" w:space="0" w:color="000000"/>
              <w:right w:val="single" w:sz="4" w:space="0" w:color="000000"/>
            </w:tcBorders>
            <w:shd w:val="clear" w:color="auto" w:fill="D2D2D2"/>
          </w:tcPr>
          <w:p>
            <w:pPr/>
          </w:p>
        </w:tc>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5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5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4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98"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中国联合网络通信股份有限公司</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26,846,649.98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1,342,332.50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5.00%</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信用风险较低</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阿卡丁业务</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10,320,344.95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516,017.25</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5.00%</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信用风险较低</w:t>
            </w:r>
          </w:p>
        </w:tc>
      </w:tr>
      <w:tr>
        <w:trPr>
          <w:trHeight w:val="404"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不活跃的个人用户</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765,763.24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765,763.24</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根据经验，收回可能性较小</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37,932,758.17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2,624,112.99</w:t>
            </w:r>
          </w:p>
        </w:tc>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78"/>
        <w:ind w:left="7403" w:right="7399"/>
        <w:jc w:val="center"/>
        <w:rPr>
          <w:rFonts w:ascii="Times New Roman" w:hAnsi="Times New Roman" w:cs="Times New Roman" w:eastAsia="Times New Roman" w:hint="default"/>
        </w:rPr>
      </w:pPr>
      <w:r>
        <w:rPr>
          <w:rFonts w:ascii="Times New Roman"/>
        </w:rPr>
        <w:t>119</w: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spacing w:line="371" w:lineRule="exact"/>
        <w:ind w:left="1092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23"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100" w:bottom="1220" w:left="860" w:right="860"/>
        </w:sect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Times New Roman" w:hAnsi="Times New Roman" w:cs="Times New Roman" w:eastAsia="Times New Roman" w:hint="default"/>
          <w:sz w:val="2"/>
          <w:szCs w:val="2"/>
        </w:rPr>
      </w:r>
    </w:p>
    <w:p>
      <w:pPr>
        <w:pStyle w:val="BodyText"/>
        <w:tabs>
          <w:tab w:pos="9492" w:val="left" w:leader="none"/>
        </w:tabs>
        <w:spacing w:line="240" w:lineRule="auto" w:before="65"/>
        <w:ind w:right="767"/>
        <w:jc w:val="left"/>
      </w:pPr>
      <w:r>
        <w:rPr>
          <w:spacing w:val="-3"/>
        </w:rPr>
        <w:t>按组合计提坏账准备：组合一</w:t>
        <w:tab/>
      </w:r>
      <w:r>
        <w:rPr>
          <w:spacing w:val="-4"/>
        </w:rPr>
        <w:t>单位：</w:t>
      </w:r>
      <w:r>
        <w:rPr>
          <w:spacing w:val="8"/>
        </w:rPr>
        <w:t> </w:t>
      </w:r>
      <w:r>
        <w:rPr/>
        <w:t>元</w:t>
      </w:r>
    </w:p>
    <w:p>
      <w:pPr>
        <w:spacing w:line="240" w:lineRule="auto" w:before="8"/>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74,582,703.62</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18,333,354.44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1,833,335.50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10,039,158.34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3,011,747.48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5,270,675.94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2,635,337.99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4,373,380.75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4,373,380.75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112,599,273.09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11,853,801.72</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357" w:lineRule="auto" w:before="53"/>
        <w:ind w:right="8387"/>
        <w:jc w:val="left"/>
      </w:pPr>
      <w:r>
        <w:rPr>
          <w:spacing w:val="-3"/>
        </w:rPr>
        <w:t>确定该组合依据的说明：</w:t>
      </w:r>
      <w:r>
        <w:rPr>
          <w:spacing w:val="-56"/>
        </w:rPr>
        <w:t> </w:t>
      </w:r>
      <w:r>
        <w:rPr>
          <w:spacing w:val="-56"/>
        </w:rPr>
      </w:r>
      <w:r>
        <w:rPr/>
        <w:t>组合一为企业客户</w:t>
      </w:r>
    </w:p>
    <w:p>
      <w:pPr>
        <w:pStyle w:val="BodyText"/>
        <w:tabs>
          <w:tab w:pos="9406" w:val="left" w:leader="none"/>
        </w:tabs>
        <w:spacing w:line="240" w:lineRule="auto" w:before="31"/>
        <w:ind w:right="858"/>
        <w:jc w:val="left"/>
      </w:pPr>
      <w:r>
        <w:rPr>
          <w:spacing w:val="-3"/>
        </w:rPr>
        <w:t>按组合计提坏账准备：组合二</w:t>
        <w:tab/>
      </w: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3,748,589.62</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273,213.75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81,964.16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78,505.66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39,252.83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336,269.18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336,269.18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4,436,578.21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457,486.17</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352" w:lineRule="auto" w:before="53"/>
        <w:ind w:right="8387"/>
        <w:jc w:val="left"/>
      </w:pPr>
      <w:r>
        <w:rPr>
          <w:spacing w:val="-3"/>
        </w:rPr>
        <w:t>确定该组合依据的说明：</w:t>
      </w:r>
      <w:r>
        <w:rPr>
          <w:spacing w:val="-56"/>
        </w:rPr>
        <w:t> </w:t>
      </w:r>
      <w:r>
        <w:rPr>
          <w:spacing w:val="-56"/>
        </w:rPr>
      </w:r>
      <w:r>
        <w:rPr/>
        <w:t>组合二为个人客户</w:t>
      </w:r>
    </w:p>
    <w:p>
      <w:pPr>
        <w:pStyle w:val="BodyText"/>
        <w:spacing w:line="240" w:lineRule="auto" w:before="35"/>
        <w:ind w:right="858"/>
        <w:jc w:val="left"/>
      </w:pPr>
      <w:r>
        <w:rPr>
          <w:spacing w:val="-3"/>
        </w:rPr>
        <w:t>如是按照预期信用损失一般模型计提应收账款坏账准备，请参照其他应收款的披露方式披露坏账准备的相关信息：</w:t>
      </w:r>
    </w:p>
    <w:p>
      <w:pPr>
        <w:pStyle w:val="BodyText"/>
        <w:spacing w:line="240" w:lineRule="auto" w:before="119"/>
        <w:ind w:right="85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tabs>
          <w:tab w:pos="9497" w:val="left" w:leader="none"/>
        </w:tabs>
        <w:spacing w:line="240" w:lineRule="auto" w:before="101"/>
        <w:ind w:right="767"/>
        <w:jc w:val="left"/>
      </w:pPr>
      <w:r>
        <w:rPr>
          <w:spacing w:val="-2"/>
        </w:rPr>
        <w:t>按账龄披露</w:t>
        <w:tab/>
      </w:r>
      <w:r>
        <w:rPr>
          <w:spacing w:val="-4"/>
        </w:rPr>
        <w:t>单位：</w:t>
      </w:r>
      <w:r>
        <w:rPr>
          <w:spacing w:val="3"/>
        </w:rPr>
        <w:t> </w:t>
      </w:r>
      <w:r>
        <w:rPr/>
        <w:t>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4787"/>
        <w:gridCol w:w="4783"/>
      </w:tblGrid>
      <w:tr>
        <w:trPr>
          <w:trHeight w:val="401"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4"/>
              <w:jc w:val="right"/>
              <w:rPr>
                <w:rFonts w:ascii="Times New Roman" w:hAnsi="Times New Roman" w:cs="Times New Roman" w:eastAsia="Times New Roman" w:hint="default"/>
                <w:sz w:val="18"/>
                <w:szCs w:val="18"/>
              </w:rPr>
            </w:pPr>
            <w:r>
              <w:rPr>
                <w:rFonts w:ascii="Times New Roman"/>
                <w:spacing w:val="-1"/>
                <w:sz w:val="18"/>
              </w:rPr>
              <w:t>143,767,491.43</w:t>
            </w:r>
          </w:p>
        </w:tc>
      </w:tr>
      <w:tr>
        <w:trPr>
          <w:trHeight w:val="40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个月以内</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115,043,259.24</w:t>
            </w:r>
          </w:p>
        </w:tc>
      </w:tr>
      <w:tr>
        <w:trPr>
          <w:trHeight w:val="40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18,606,568.19</w:t>
            </w:r>
          </w:p>
        </w:tc>
      </w:tr>
      <w:tr>
        <w:trPr>
          <w:trHeight w:val="39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10,117,664.00</w:t>
            </w:r>
          </w:p>
        </w:tc>
      </w:tr>
      <w:tr>
        <w:trPr>
          <w:trHeight w:val="404"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6,822,121.02</w:t>
            </w:r>
          </w:p>
        </w:tc>
      </w:tr>
      <w:tr>
        <w:trPr>
          <w:trHeight w:val="403"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4,377,860.44</w:t>
            </w:r>
          </w:p>
        </w:tc>
      </w:tr>
      <w:tr>
        <w:trPr>
          <w:trHeight w:val="403"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1,136.58</w:t>
            </w:r>
          </w:p>
        </w:tc>
      </w:tr>
      <w:tr>
        <w:trPr>
          <w:trHeight w:val="401"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702.09</w:t>
            </w:r>
          </w:p>
        </w:tc>
      </w:tr>
      <w:tr>
        <w:trPr>
          <w:trHeight w:val="401"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4"/>
              <w:jc w:val="right"/>
              <w:rPr>
                <w:rFonts w:ascii="Times New Roman" w:hAnsi="Times New Roman" w:cs="Times New Roman" w:eastAsia="Times New Roman" w:hint="default"/>
                <w:sz w:val="18"/>
                <w:szCs w:val="18"/>
              </w:rPr>
            </w:pPr>
            <w:r>
              <w:rPr>
                <w:rFonts w:ascii="Times New Roman"/>
                <w:spacing w:val="-1"/>
                <w:sz w:val="18"/>
              </w:rPr>
              <w:t>79.18</w:t>
            </w:r>
          </w:p>
        </w:tc>
      </w:tr>
      <w:tr>
        <w:trPr>
          <w:trHeight w:val="403"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355.31</w:t>
            </w:r>
          </w:p>
        </w:tc>
      </w:tr>
      <w:tr>
        <w:trPr>
          <w:trHeight w:val="403"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154,968,609.47</w:t>
            </w:r>
          </w:p>
        </w:tc>
      </w:tr>
    </w:tbl>
    <w:p>
      <w:pPr>
        <w:spacing w:after="0" w:line="240" w:lineRule="auto"/>
        <w:jc w:val="right"/>
        <w:rPr>
          <w:rFonts w:ascii="Times New Roman" w:hAnsi="Times New Roman" w:cs="Times New Roman" w:eastAsia="Times New Roman" w:hint="default"/>
          <w:sz w:val="18"/>
          <w:szCs w:val="18"/>
        </w:rPr>
        <w:sectPr>
          <w:footerReference w:type="default" r:id="rId40"/>
          <w:pgSz w:w="11910" w:h="16840"/>
          <w:pgMar w:footer="1022" w:header="0" w:top="1100" w:bottom="1220" w:left="740" w:right="0"/>
          <w:pgNumType w:start="120"/>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right="858"/>
        <w:jc w:val="left"/>
        <w:rPr>
          <w:b w:val="0"/>
          <w:bCs w:val="0"/>
        </w:rPr>
      </w:pPr>
      <w:bookmarkStart w:name="（2）本期计提、收回或转回的坏账准备情况" w:id="223"/>
      <w:bookmarkEnd w:id="22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858"/>
        <w:jc w:val="left"/>
      </w:pPr>
      <w:r>
        <w:rPr>
          <w:spacing w:val="-3"/>
        </w:rPr>
        <w:t>本期计提坏账准备情况：</w:t>
      </w:r>
    </w:p>
    <w:p>
      <w:pPr>
        <w:pStyle w:val="BodyText"/>
        <w:spacing w:line="240" w:lineRule="auto" w:before="119"/>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1369"/>
        <w:gridCol w:w="1368"/>
        <w:gridCol w:w="1369"/>
        <w:gridCol w:w="1368"/>
        <w:gridCol w:w="1364"/>
        <w:gridCol w:w="1369"/>
        <w:gridCol w:w="1368"/>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171"/>
              <w:jc w:val="left"/>
              <w:rPr>
                <w:rFonts w:ascii="宋体" w:hAnsi="宋体" w:cs="宋体" w:eastAsia="宋体" w:hint="default"/>
                <w:sz w:val="18"/>
                <w:szCs w:val="18"/>
              </w:rPr>
            </w:pPr>
            <w:r>
              <w:rPr>
                <w:rFonts w:ascii="宋体" w:hAnsi="宋体" w:cs="宋体" w:eastAsia="宋体" w:hint="default"/>
                <w:spacing w:val="-2"/>
                <w:sz w:val="18"/>
                <w:szCs w:val="18"/>
              </w:rPr>
              <w:t>按组合计提信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用损失准备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8,544,351.15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11,482,644.75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3,529,950.50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4,245,855.71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60,098.20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12,311,287.89</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0" w:right="171"/>
              <w:jc w:val="left"/>
              <w:rPr>
                <w:rFonts w:ascii="宋体" w:hAnsi="宋体" w:cs="宋体" w:eastAsia="宋体" w:hint="default"/>
                <w:sz w:val="18"/>
                <w:szCs w:val="18"/>
              </w:rPr>
            </w:pPr>
            <w:r>
              <w:rPr>
                <w:rFonts w:ascii="宋体" w:hAnsi="宋体" w:cs="宋体" w:eastAsia="宋体" w:hint="default"/>
                <w:spacing w:val="-2"/>
                <w:sz w:val="18"/>
                <w:szCs w:val="18"/>
              </w:rPr>
              <w:t>按单项计提信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用损失准备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6,338,523.46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1,342,332.50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2,054,025.60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3,017,356.18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14,638.81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5" w:right="0"/>
              <w:jc w:val="center"/>
              <w:rPr>
                <w:rFonts w:ascii="Times New Roman" w:hAnsi="Times New Roman" w:cs="Times New Roman" w:eastAsia="Times New Roman" w:hint="default"/>
                <w:sz w:val="18"/>
                <w:szCs w:val="18"/>
              </w:rPr>
            </w:pPr>
            <w:r>
              <w:rPr>
                <w:rFonts w:ascii="Times New Roman"/>
                <w:sz w:val="18"/>
              </w:rPr>
              <w:t>2,624,112.99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14,882,874.61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12,824,977.25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5,583,976.10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7,263,211.89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8" w:right="0"/>
              <w:jc w:val="left"/>
              <w:rPr>
                <w:rFonts w:ascii="Times New Roman" w:hAnsi="Times New Roman" w:cs="Times New Roman" w:eastAsia="Times New Roman" w:hint="default"/>
                <w:sz w:val="18"/>
                <w:szCs w:val="18"/>
              </w:rPr>
            </w:pPr>
            <w:r>
              <w:rPr>
                <w:rFonts w:ascii="Times New Roman"/>
                <w:sz w:val="18"/>
              </w:rPr>
              <w:t>74,737.01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3" w:right="0"/>
              <w:jc w:val="center"/>
              <w:rPr>
                <w:rFonts w:ascii="Times New Roman" w:hAnsi="Times New Roman" w:cs="Times New Roman" w:eastAsia="Times New Roman" w:hint="default"/>
                <w:sz w:val="18"/>
                <w:szCs w:val="18"/>
              </w:rPr>
            </w:pPr>
            <w:r>
              <w:rPr>
                <w:rFonts w:ascii="Times New Roman"/>
                <w:sz w:val="18"/>
              </w:rPr>
              <w:t>14,935,400.88</w:t>
            </w:r>
          </w:p>
        </w:tc>
      </w:tr>
    </w:tbl>
    <w:p>
      <w:pPr>
        <w:pStyle w:val="BodyText"/>
        <w:spacing w:line="240" w:lineRule="auto" w:before="53"/>
        <w:ind w:right="858"/>
        <w:jc w:val="left"/>
      </w:pPr>
      <w:r>
        <w:rPr>
          <w:spacing w:val="-3"/>
        </w:rPr>
        <w:t>其中本期坏账准备收回或转回金额重要的：</w:t>
      </w:r>
    </w:p>
    <w:p>
      <w:pPr>
        <w:pStyle w:val="BodyText"/>
        <w:spacing w:line="240" w:lineRule="auto" w:before="119"/>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65"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中国联合网络通信股份有限公司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1,339,807.23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现金偿还</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乐视云计算有限公司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714,218.37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现金偿还</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2,054,025.60</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858"/>
        <w:jc w:val="left"/>
        <w:rPr>
          <w:b w:val="0"/>
          <w:bCs w:val="0"/>
        </w:rPr>
      </w:pPr>
      <w:bookmarkStart w:name="（3）本期实际核销的应收账款情况" w:id="224"/>
      <w:bookmarkEnd w:id="22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4787"/>
        <w:gridCol w:w="4783"/>
      </w:tblGrid>
      <w:tr>
        <w:trPr>
          <w:trHeight w:val="398"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实际核销的应收账款</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7,263,211.89</w:t>
            </w:r>
          </w:p>
        </w:tc>
      </w:tr>
    </w:tbl>
    <w:p>
      <w:pPr>
        <w:pStyle w:val="BodyText"/>
        <w:spacing w:line="240" w:lineRule="auto" w:before="53"/>
        <w:ind w:right="858"/>
        <w:jc w:val="left"/>
      </w:pPr>
      <w:r>
        <w:rPr>
          <w:spacing w:val="-3"/>
        </w:rPr>
        <w:t>其中重要的应收账款核销情况：</w:t>
      </w:r>
    </w:p>
    <w:p>
      <w:pPr>
        <w:pStyle w:val="BodyText"/>
        <w:spacing w:line="240" w:lineRule="auto" w:before="119"/>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1599"/>
        <w:gridCol w:w="1594"/>
        <w:gridCol w:w="1594"/>
        <w:gridCol w:w="1594"/>
        <w:gridCol w:w="1594"/>
        <w:gridCol w:w="1594"/>
      </w:tblGrid>
      <w:tr>
        <w:trPr>
          <w:trHeight w:val="71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27" w:right="161" w:hanging="269"/>
              <w:jc w:val="left"/>
              <w:rPr>
                <w:rFonts w:ascii="宋体" w:hAnsi="宋体" w:cs="宋体" w:eastAsia="宋体" w:hint="default"/>
                <w:sz w:val="18"/>
                <w:szCs w:val="18"/>
              </w:rPr>
            </w:pPr>
            <w:r>
              <w:rPr>
                <w:rFonts w:ascii="宋体" w:hAnsi="宋体" w:cs="宋体" w:eastAsia="宋体" w:hint="default"/>
                <w:spacing w:val="-3"/>
                <w:sz w:val="18"/>
                <w:szCs w:val="18"/>
              </w:rPr>
              <w:t>款项是否由关联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交易产生</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个人用户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4,030,411.04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pacing w:val="-3"/>
                <w:sz w:val="18"/>
                <w:szCs w:val="18"/>
              </w:rPr>
              <w:t>超账期无法收回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223"/>
              <w:jc w:val="left"/>
              <w:rPr>
                <w:rFonts w:ascii="宋体" w:hAnsi="宋体" w:cs="宋体" w:eastAsia="宋体" w:hint="default"/>
                <w:sz w:val="18"/>
                <w:szCs w:val="18"/>
              </w:rPr>
            </w:pPr>
            <w:r>
              <w:rPr>
                <w:rFonts w:ascii="宋体" w:hAnsi="宋体" w:cs="宋体" w:eastAsia="宋体" w:hint="default"/>
                <w:spacing w:val="-3"/>
                <w:sz w:val="18"/>
                <w:szCs w:val="18"/>
              </w:rPr>
              <w:t>乐视云计算有限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业务款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2,856,873.42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pacing w:val="-3"/>
                <w:sz w:val="18"/>
                <w:szCs w:val="18"/>
              </w:rPr>
              <w:t>超账期无法收回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0" w:right="46"/>
              <w:jc w:val="left"/>
              <w:rPr>
                <w:rFonts w:ascii="宋体" w:hAnsi="宋体" w:cs="宋体" w:eastAsia="宋体" w:hint="default"/>
                <w:sz w:val="18"/>
                <w:szCs w:val="18"/>
              </w:rPr>
            </w:pPr>
            <w:r>
              <w:rPr>
                <w:rFonts w:ascii="宋体" w:hAnsi="宋体" w:cs="宋体" w:eastAsia="宋体" w:hint="default"/>
                <w:spacing w:val="-3"/>
                <w:sz w:val="18"/>
                <w:szCs w:val="18"/>
              </w:rPr>
              <w:t>乐视控股（北京）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业务款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341,046.43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pacing w:val="-3"/>
                <w:sz w:val="18"/>
                <w:szCs w:val="18"/>
              </w:rPr>
              <w:t>超账期无法收回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7,228,330.89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357" w:lineRule="auto" w:before="53"/>
        <w:ind w:right="9277"/>
        <w:jc w:val="left"/>
      </w:pPr>
      <w:r>
        <w:rPr>
          <w:spacing w:val="-3"/>
        </w:rPr>
        <w:t>应收账款核销说明：</w:t>
      </w:r>
      <w:r>
        <w:rPr>
          <w:spacing w:val="-62"/>
        </w:rPr>
        <w:t> </w:t>
      </w:r>
      <w:r>
        <w:rPr>
          <w:spacing w:val="-62"/>
        </w:rPr>
      </w:r>
      <w:r>
        <w:rPr/>
        <w:t>无</w:t>
      </w:r>
    </w:p>
    <w:p>
      <w:pPr>
        <w:spacing w:after="0" w:line="357" w:lineRule="auto"/>
        <w:jc w:val="left"/>
        <w:sectPr>
          <w:pgSz w:w="11910" w:h="16840"/>
          <w:pgMar w:header="0" w:footer="1022" w:top="1100" w:bottom="1220" w:left="740" w:right="0"/>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right="858"/>
        <w:jc w:val="left"/>
        <w:rPr>
          <w:b w:val="0"/>
          <w:bCs w:val="0"/>
        </w:rPr>
      </w:pPr>
      <w:bookmarkStart w:name="（4）按欠款方归集的期末余额前五名的应收账款情况" w:id="225"/>
      <w:bookmarkEnd w:id="22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1983"/>
        <w:gridCol w:w="2531"/>
        <w:gridCol w:w="2526"/>
        <w:gridCol w:w="2531"/>
      </w:tblGrid>
      <w:tr>
        <w:trPr>
          <w:trHeight w:val="716"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89" w:right="171"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4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26,846,649.98</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17.32%</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1,342,332.50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19,385,298.47</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12.51%</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100,331.60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8,974,942.54</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5.79%</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1,122,938.77</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5,373,605.53</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3.47%</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3,271,119.22</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3"/>
                <w:sz w:val="18"/>
              </w:rPr>
              <w:t>2.11%</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731,015.68</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63,851,615.74</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41.20%</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858"/>
        <w:jc w:val="left"/>
        <w:rPr>
          <w:b w:val="0"/>
          <w:bCs w:val="0"/>
        </w:rPr>
      </w:pPr>
      <w:bookmarkStart w:name="（5）因金融资产转移而终止确认的应收账款" w:id="226"/>
      <w:bookmarkEnd w:id="226"/>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858"/>
        <w:jc w:val="left"/>
      </w:pPr>
      <w:r>
        <w:rPr>
          <w:w w:val="101"/>
        </w:rPr>
        <w:t>无</w:t>
      </w:r>
      <w:r>
        <w:rPr/>
      </w:r>
    </w:p>
    <w:p>
      <w:pPr>
        <w:spacing w:line="240" w:lineRule="auto" w:before="0"/>
        <w:rPr>
          <w:rFonts w:ascii="宋体" w:hAnsi="宋体" w:cs="宋体" w:eastAsia="宋体" w:hint="default"/>
          <w:sz w:val="18"/>
          <w:szCs w:val="18"/>
        </w:rPr>
      </w:pPr>
    </w:p>
    <w:p>
      <w:pPr>
        <w:pStyle w:val="Heading4"/>
        <w:spacing w:line="240" w:lineRule="auto" w:before="118"/>
        <w:ind w:right="858"/>
        <w:jc w:val="left"/>
        <w:rPr>
          <w:b w:val="0"/>
          <w:bCs w:val="0"/>
        </w:rPr>
      </w:pPr>
      <w:bookmarkStart w:name="（6）转移应收账款且继续涉入形成的资产、负债金额" w:id="227"/>
      <w:bookmarkEnd w:id="227"/>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10120"/>
        <w:jc w:val="left"/>
      </w:pPr>
      <w:r>
        <w:rPr/>
        <w:t>无</w:t>
      </w:r>
      <w:r>
        <w:rPr>
          <w:spacing w:val="-88"/>
        </w:rPr>
        <w:t> </w:t>
      </w:r>
      <w:r>
        <w:rPr>
          <w:spacing w:val="-2"/>
        </w:rPr>
        <w:t>其他说明：</w:t>
      </w:r>
      <w:r>
        <w:rPr>
          <w:spacing w:val="-78"/>
        </w:rPr>
        <w:t> </w:t>
      </w:r>
      <w:r>
        <w:rPr>
          <w:spacing w:val="-78"/>
        </w:rPr>
      </w:r>
      <w:r>
        <w:rPr/>
        <w:t>无</w:t>
      </w:r>
    </w:p>
    <w:p>
      <w:pPr>
        <w:spacing w:line="240" w:lineRule="auto" w:before="3"/>
        <w:rPr>
          <w:rFonts w:ascii="宋体" w:hAnsi="宋体" w:cs="宋体" w:eastAsia="宋体" w:hint="default"/>
          <w:sz w:val="20"/>
          <w:szCs w:val="20"/>
        </w:rPr>
      </w:pPr>
    </w:p>
    <w:p>
      <w:pPr>
        <w:pStyle w:val="Heading4"/>
        <w:spacing w:line="240" w:lineRule="auto"/>
        <w:ind w:right="858"/>
        <w:jc w:val="left"/>
        <w:rPr>
          <w:b w:val="0"/>
          <w:bCs w:val="0"/>
        </w:rPr>
      </w:pPr>
      <w:bookmarkStart w:name="4、预付款项" w:id="228"/>
      <w:bookmarkEnd w:id="228"/>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858"/>
        <w:jc w:val="left"/>
        <w:rPr>
          <w:b w:val="0"/>
          <w:bCs w:val="0"/>
        </w:rPr>
      </w:pPr>
      <w:bookmarkStart w:name="（1）预付款项按账龄列示" w:id="229"/>
      <w:bookmarkEnd w:id="22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401"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25,700,425.12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77.68%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32,466,208.76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92.02%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6,095,992.25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18.43%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919,783.67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2.61%</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268,605.80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1,775,254.34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5.03%</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1,019,320.11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3.08%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121,386.47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0.34%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33,084,343.28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35,282,633.24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338" w:lineRule="auto" w:before="53"/>
        <w:ind w:right="6031"/>
        <w:jc w:val="left"/>
      </w:pPr>
      <w:r>
        <w:rPr/>
        <w:t>账龄超过 </w:t>
      </w:r>
      <w:r>
        <w:rPr>
          <w:rFonts w:ascii="Times New Roman" w:hAnsi="Times New Roman" w:cs="Times New Roman" w:eastAsia="Times New Roman" w:hint="default"/>
        </w:rPr>
        <w:t>1 </w:t>
      </w:r>
      <w:r>
        <w:rPr>
          <w:spacing w:val="-3"/>
        </w:rPr>
        <w:t>年且金额重要的预付款项未及时结算原因的说明：</w:t>
      </w:r>
      <w:r>
        <w:rPr>
          <w:spacing w:val="-70"/>
        </w:rPr>
        <w:t> </w:t>
      </w:r>
      <w:r>
        <w:rPr>
          <w:spacing w:val="-70"/>
        </w:rPr>
      </w:r>
      <w:r>
        <w:rPr/>
        <w:t>无</w:t>
      </w:r>
    </w:p>
    <w:p>
      <w:pPr>
        <w:spacing w:after="0" w:line="338" w:lineRule="auto"/>
        <w:jc w:val="left"/>
        <w:sectPr>
          <w:pgSz w:w="11910" w:h="16840"/>
          <w:pgMar w:header="0" w:footer="1022" w:top="1100" w:bottom="1220" w:left="740" w:right="0"/>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right="858"/>
        <w:jc w:val="left"/>
        <w:rPr>
          <w:b w:val="0"/>
          <w:bCs w:val="0"/>
        </w:rPr>
      </w:pPr>
      <w:bookmarkStart w:name="（2）按预付对象归集的期末余额前五名的预付款情况" w:id="230"/>
      <w:bookmarkEnd w:id="23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4533"/>
        <w:gridCol w:w="2824"/>
        <w:gridCol w:w="2828"/>
      </w:tblGrid>
      <w:tr>
        <w:trPr>
          <w:trHeight w:val="655" w:hRule="exact"/>
        </w:trPr>
        <w:tc>
          <w:tcPr>
            <w:tcW w:w="453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7"/>
              <w:ind w:left="9" w:right="0"/>
              <w:jc w:val="center"/>
              <w:rPr>
                <w:rFonts w:ascii="宋体" w:hAnsi="宋体" w:cs="宋体" w:eastAsia="宋体" w:hint="default"/>
                <w:sz w:val="18"/>
                <w:szCs w:val="18"/>
              </w:rPr>
            </w:pPr>
            <w:r>
              <w:rPr>
                <w:rFonts w:ascii="宋体" w:hAnsi="宋体" w:cs="宋体" w:eastAsia="宋体" w:hint="default"/>
                <w:color w:val="0D0D0D"/>
                <w:sz w:val="18"/>
                <w:szCs w:val="18"/>
              </w:rPr>
              <w:t>单位名称</w:t>
            </w:r>
            <w:r>
              <w:rPr>
                <w:rFonts w:ascii="宋体" w:hAnsi="宋体" w:cs="宋体" w:eastAsia="宋体" w:hint="default"/>
                <w:sz w:val="18"/>
                <w:szCs w:val="18"/>
              </w:rPr>
            </w:r>
          </w:p>
        </w:tc>
        <w:tc>
          <w:tcPr>
            <w:tcW w:w="282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7"/>
              <w:ind w:left="9" w:right="0"/>
              <w:jc w:val="center"/>
              <w:rPr>
                <w:rFonts w:ascii="宋体" w:hAnsi="宋体" w:cs="宋体" w:eastAsia="宋体" w:hint="default"/>
                <w:sz w:val="18"/>
                <w:szCs w:val="18"/>
              </w:rPr>
            </w:pPr>
            <w:r>
              <w:rPr>
                <w:rFonts w:ascii="宋体" w:hAnsi="宋体" w:cs="宋体" w:eastAsia="宋体" w:hint="default"/>
                <w:color w:val="0D0D0D"/>
                <w:sz w:val="18"/>
                <w:szCs w:val="18"/>
              </w:rPr>
              <w:t>年末金额</w:t>
            </w:r>
            <w:r>
              <w:rPr>
                <w:rFonts w:ascii="宋体" w:hAnsi="宋体" w:cs="宋体" w:eastAsia="宋体" w:hint="default"/>
                <w:sz w:val="18"/>
                <w:szCs w:val="18"/>
              </w:rPr>
            </w:r>
          </w:p>
        </w:tc>
        <w:tc>
          <w:tcPr>
            <w:tcW w:w="282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316" w:lineRule="auto" w:before="17"/>
              <w:ind w:left="820" w:right="816" w:firstLine="134"/>
              <w:jc w:val="left"/>
              <w:rPr>
                <w:rFonts w:ascii="Times New Roman" w:hAnsi="Times New Roman" w:cs="Times New Roman" w:eastAsia="Times New Roman" w:hint="default"/>
                <w:sz w:val="18"/>
                <w:szCs w:val="18"/>
              </w:rPr>
            </w:pPr>
            <w:r>
              <w:rPr>
                <w:rFonts w:ascii="宋体" w:hAnsi="宋体" w:cs="宋体" w:eastAsia="宋体" w:hint="default"/>
                <w:color w:val="0D0D0D"/>
                <w:sz w:val="18"/>
                <w:szCs w:val="18"/>
              </w:rPr>
              <w:t>占预付款项</w:t>
            </w:r>
            <w:r>
              <w:rPr>
                <w:rFonts w:ascii="宋体" w:hAnsi="宋体" w:cs="宋体" w:eastAsia="宋体" w:hint="default"/>
                <w:color w:val="0D0D0D"/>
                <w:w w:val="101"/>
                <w:sz w:val="18"/>
                <w:szCs w:val="18"/>
              </w:rPr>
              <w:t> </w:t>
            </w:r>
            <w:r>
              <w:rPr>
                <w:rFonts w:ascii="宋体" w:hAnsi="宋体" w:cs="宋体" w:eastAsia="宋体" w:hint="default"/>
                <w:color w:val="0D0D0D"/>
                <w:sz w:val="18"/>
                <w:szCs w:val="18"/>
              </w:rPr>
              <w:t>总额的比例</w:t>
            </w:r>
            <w:r>
              <w:rPr>
                <w:rFonts w:ascii="Times New Roman" w:hAnsi="Times New Roman" w:cs="Times New Roman" w:eastAsia="Times New Roman" w:hint="default"/>
                <w:color w:val="0D0D0D"/>
                <w:sz w:val="18"/>
                <w:szCs w:val="18"/>
              </w:rPr>
              <w:t>(%)</w:t>
            </w:r>
            <w:r>
              <w:rPr>
                <w:rFonts w:ascii="Times New Roman" w:hAnsi="Times New Roman" w:cs="Times New Roman" w:eastAsia="Times New Roman" w:hint="default"/>
                <w:sz w:val="18"/>
                <w:szCs w:val="18"/>
              </w:rPr>
            </w:r>
          </w:p>
        </w:tc>
      </w:tr>
      <w:tr>
        <w:trPr>
          <w:trHeight w:val="346" w:hRule="exact"/>
        </w:trPr>
        <w:tc>
          <w:tcPr>
            <w:tcW w:w="4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1</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color w:val="0D0D0D"/>
                <w:spacing w:val="-1"/>
                <w:sz w:val="18"/>
              </w:rPr>
              <w:t>4,185,720.00</w:t>
            </w:r>
            <w:r>
              <w:rPr>
                <w:rFonts w:ascii="Times New Roman"/>
                <w:spacing w:val="-1"/>
                <w:sz w:val="18"/>
              </w:rPr>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color w:val="0D0D0D"/>
                <w:spacing w:val="-1"/>
                <w:sz w:val="18"/>
              </w:rPr>
              <w:t>12.65%</w:t>
            </w:r>
            <w:r>
              <w:rPr>
                <w:rFonts w:ascii="Times New Roman"/>
                <w:spacing w:val="-1"/>
                <w:sz w:val="18"/>
              </w:rPr>
            </w:r>
          </w:p>
        </w:tc>
      </w:tr>
      <w:tr>
        <w:trPr>
          <w:trHeight w:val="346" w:hRule="exact"/>
        </w:trPr>
        <w:tc>
          <w:tcPr>
            <w:tcW w:w="4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2</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3,446,844.71</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color w:val="0D0D0D"/>
                <w:sz w:val="18"/>
              </w:rPr>
              <w:t>10.42</w:t>
            </w:r>
            <w:r>
              <w:rPr>
                <w:rFonts w:ascii="Times New Roman"/>
                <w:color w:val="0D0D0D"/>
                <w:spacing w:val="2"/>
                <w:sz w:val="18"/>
              </w:rPr>
              <w:t> </w:t>
            </w:r>
            <w:r>
              <w:rPr>
                <w:rFonts w:ascii="Times New Roman"/>
                <w:color w:val="0D0D0D"/>
                <w:sz w:val="18"/>
              </w:rPr>
              <w:t>%</w:t>
            </w:r>
            <w:r>
              <w:rPr>
                <w:rFonts w:ascii="Times New Roman"/>
                <w:sz w:val="18"/>
              </w:rPr>
            </w:r>
          </w:p>
        </w:tc>
      </w:tr>
      <w:tr>
        <w:trPr>
          <w:trHeight w:val="350" w:hRule="exact"/>
        </w:trPr>
        <w:tc>
          <w:tcPr>
            <w:tcW w:w="4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3</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color w:val="0D0D0D"/>
                <w:spacing w:val="-2"/>
                <w:sz w:val="18"/>
              </w:rPr>
              <w:t>2,389,321.11</w:t>
            </w:r>
            <w:r>
              <w:rPr>
                <w:rFonts w:ascii="Times New Roman"/>
                <w:spacing w:val="-2"/>
                <w:sz w:val="18"/>
              </w:rPr>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color w:val="0D0D0D"/>
                <w:sz w:val="18"/>
              </w:rPr>
              <w:t>7.22</w:t>
            </w:r>
            <w:r>
              <w:rPr>
                <w:rFonts w:ascii="Times New Roman"/>
                <w:color w:val="0D0D0D"/>
                <w:spacing w:val="1"/>
                <w:sz w:val="18"/>
              </w:rPr>
              <w:t> </w:t>
            </w:r>
            <w:r>
              <w:rPr>
                <w:rFonts w:ascii="Times New Roman"/>
                <w:color w:val="0D0D0D"/>
                <w:sz w:val="18"/>
              </w:rPr>
              <w:t>%</w:t>
            </w:r>
            <w:r>
              <w:rPr>
                <w:rFonts w:ascii="Times New Roman"/>
                <w:sz w:val="18"/>
              </w:rPr>
            </w:r>
          </w:p>
        </w:tc>
      </w:tr>
      <w:tr>
        <w:trPr>
          <w:trHeight w:val="346" w:hRule="exact"/>
        </w:trPr>
        <w:tc>
          <w:tcPr>
            <w:tcW w:w="4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4</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color w:val="0D0D0D"/>
                <w:spacing w:val="-1"/>
                <w:sz w:val="18"/>
              </w:rPr>
              <w:t>1,431,516.24</w:t>
            </w:r>
            <w:r>
              <w:rPr>
                <w:rFonts w:ascii="Times New Roman"/>
                <w:spacing w:val="-1"/>
                <w:sz w:val="18"/>
              </w:rPr>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color w:val="0D0D0D"/>
                <w:sz w:val="18"/>
              </w:rPr>
              <w:t>4.33</w:t>
            </w:r>
            <w:r>
              <w:rPr>
                <w:rFonts w:ascii="Times New Roman"/>
                <w:color w:val="0D0D0D"/>
                <w:spacing w:val="1"/>
                <w:sz w:val="18"/>
              </w:rPr>
              <w:t> </w:t>
            </w:r>
            <w:r>
              <w:rPr>
                <w:rFonts w:ascii="Times New Roman"/>
                <w:color w:val="0D0D0D"/>
                <w:sz w:val="18"/>
              </w:rPr>
              <w:t>%</w:t>
            </w:r>
            <w:r>
              <w:rPr>
                <w:rFonts w:ascii="Times New Roman"/>
                <w:sz w:val="18"/>
              </w:rPr>
            </w:r>
          </w:p>
        </w:tc>
      </w:tr>
      <w:tr>
        <w:trPr>
          <w:trHeight w:val="346" w:hRule="exact"/>
        </w:trPr>
        <w:tc>
          <w:tcPr>
            <w:tcW w:w="4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5</w:t>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color w:val="0D0D0D"/>
                <w:spacing w:val="-2"/>
                <w:sz w:val="18"/>
              </w:rPr>
              <w:t>954,373.65</w:t>
            </w:r>
            <w:r>
              <w:rPr>
                <w:rFonts w:ascii="Times New Roman"/>
                <w:spacing w:val="-2"/>
                <w:sz w:val="18"/>
              </w:rPr>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color w:val="0D0D0D"/>
                <w:sz w:val="18"/>
              </w:rPr>
              <w:t>2.88</w:t>
            </w:r>
            <w:r>
              <w:rPr>
                <w:rFonts w:ascii="Times New Roman"/>
                <w:color w:val="0D0D0D"/>
                <w:spacing w:val="1"/>
                <w:sz w:val="18"/>
              </w:rPr>
              <w:t> </w:t>
            </w:r>
            <w:r>
              <w:rPr>
                <w:rFonts w:ascii="Times New Roman"/>
                <w:color w:val="0D0D0D"/>
                <w:sz w:val="18"/>
              </w:rPr>
              <w:t>%</w:t>
            </w:r>
            <w:r>
              <w:rPr>
                <w:rFonts w:ascii="Times New Roman"/>
                <w:sz w:val="18"/>
              </w:rPr>
            </w:r>
          </w:p>
        </w:tc>
      </w:tr>
      <w:tr>
        <w:trPr>
          <w:trHeight w:val="351" w:hRule="exact"/>
        </w:trPr>
        <w:tc>
          <w:tcPr>
            <w:tcW w:w="4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color w:val="0D0D0D"/>
                <w:sz w:val="18"/>
                <w:szCs w:val="18"/>
              </w:rPr>
              <w:t>合计</w:t>
            </w:r>
            <w:r>
              <w:rPr>
                <w:rFonts w:ascii="宋体" w:hAnsi="宋体" w:cs="宋体" w:eastAsia="宋体" w:hint="default"/>
                <w:sz w:val="18"/>
                <w:szCs w:val="18"/>
              </w:rPr>
            </w:r>
          </w:p>
        </w:tc>
        <w:tc>
          <w:tcPr>
            <w:tcW w:w="2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color w:val="0D0D0D"/>
                <w:spacing w:val="-1"/>
                <w:sz w:val="18"/>
              </w:rPr>
              <w:t>12,407,775.71</w:t>
            </w:r>
            <w:r>
              <w:rPr>
                <w:rFonts w:ascii="Times New Roman"/>
                <w:spacing w:val="-1"/>
                <w:sz w:val="18"/>
              </w:rPr>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color w:val="0D0D0D"/>
                <w:sz w:val="18"/>
              </w:rPr>
              <w:t>37.50</w:t>
            </w:r>
            <w:r>
              <w:rPr>
                <w:rFonts w:ascii="Times New Roman"/>
                <w:color w:val="0D0D0D"/>
                <w:spacing w:val="2"/>
                <w:sz w:val="18"/>
              </w:rPr>
              <w:t> </w:t>
            </w:r>
            <w:r>
              <w:rPr>
                <w:rFonts w:ascii="Times New Roman"/>
                <w:color w:val="0D0D0D"/>
                <w:sz w:val="18"/>
              </w:rPr>
              <w:t>%</w:t>
            </w:r>
            <w:r>
              <w:rPr>
                <w:rFonts w:ascii="Times New Roman"/>
                <w:sz w:val="18"/>
              </w:rPr>
            </w:r>
          </w:p>
        </w:tc>
      </w:tr>
    </w:tbl>
    <w:p>
      <w:pPr>
        <w:spacing w:line="240" w:lineRule="auto" w:before="5"/>
        <w:rPr>
          <w:rFonts w:ascii="宋体" w:hAnsi="宋体" w:cs="宋体" w:eastAsia="宋体" w:hint="default"/>
          <w:b/>
          <w:bCs/>
          <w:sz w:val="24"/>
          <w:szCs w:val="24"/>
        </w:rPr>
      </w:pPr>
    </w:p>
    <w:p>
      <w:pPr>
        <w:pStyle w:val="BodyText"/>
        <w:spacing w:line="352" w:lineRule="auto" w:before="46"/>
        <w:ind w:right="10120"/>
        <w:jc w:val="left"/>
      </w:pPr>
      <w:r>
        <w:rPr>
          <w:spacing w:val="-2"/>
        </w:rPr>
        <w:t>其他说明：</w:t>
      </w:r>
      <w:r>
        <w:rPr>
          <w:spacing w:val="-78"/>
        </w:rPr>
        <w:t> </w:t>
      </w:r>
      <w:r>
        <w:rPr>
          <w:spacing w:val="-78"/>
        </w:rPr>
      </w:r>
      <w:r>
        <w:rPr/>
        <w:t>无</w:t>
      </w:r>
    </w:p>
    <w:p>
      <w:pPr>
        <w:spacing w:line="240" w:lineRule="auto" w:before="8"/>
        <w:rPr>
          <w:rFonts w:ascii="宋体" w:hAnsi="宋体" w:cs="宋体" w:eastAsia="宋体" w:hint="default"/>
          <w:sz w:val="20"/>
          <w:szCs w:val="20"/>
        </w:rPr>
      </w:pPr>
    </w:p>
    <w:p>
      <w:pPr>
        <w:pStyle w:val="Heading4"/>
        <w:spacing w:line="240" w:lineRule="auto"/>
        <w:ind w:right="858"/>
        <w:jc w:val="left"/>
        <w:rPr>
          <w:b w:val="0"/>
          <w:bCs w:val="0"/>
        </w:rPr>
      </w:pPr>
      <w:bookmarkStart w:name="5、其他应收款" w:id="231"/>
      <w:bookmarkEnd w:id="231"/>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88"/>
        <w:gridCol w:w="3333"/>
        <w:gridCol w:w="3602"/>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117,123.82</w:t>
            </w: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1,860,254.43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33" w:type="dxa"/>
            <w:tcBorders>
              <w:top w:val="single" w:sz="4" w:space="0" w:color="000000"/>
              <w:left w:val="single" w:sz="4" w:space="0" w:color="000000"/>
              <w:bottom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15,489,757.24</w:t>
            </w: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17,069,042.16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15,606,881.06</w:t>
            </w: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18,929,296.59</w:t>
            </w:r>
          </w:p>
        </w:tc>
      </w:tr>
    </w:tbl>
    <w:p>
      <w:pPr>
        <w:spacing w:line="240" w:lineRule="auto" w:before="3"/>
        <w:rPr>
          <w:rFonts w:ascii="宋体" w:hAnsi="宋体" w:cs="宋体" w:eastAsia="宋体" w:hint="default"/>
          <w:sz w:val="19"/>
          <w:szCs w:val="19"/>
        </w:rPr>
      </w:pPr>
    </w:p>
    <w:p>
      <w:pPr>
        <w:pStyle w:val="Heading4"/>
        <w:spacing w:line="240" w:lineRule="auto" w:before="36"/>
        <w:ind w:right="858"/>
        <w:jc w:val="left"/>
        <w:rPr>
          <w:b w:val="0"/>
          <w:bCs w:val="0"/>
        </w:rPr>
      </w:pPr>
      <w:bookmarkStart w:name="（1）应收利息" w:id="232"/>
      <w:bookmarkEnd w:id="232"/>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858"/>
        <w:jc w:val="left"/>
        <w:rPr>
          <w:b w:val="0"/>
          <w:bCs w:val="0"/>
        </w:rPr>
      </w:pPr>
      <w:bookmarkStart w:name="1）应收利息分类" w:id="233"/>
      <w:bookmarkEnd w:id="233"/>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93"/>
        <w:gridCol w:w="3313"/>
        <w:gridCol w:w="3616"/>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117,123.82</w:t>
            </w:r>
          </w:p>
        </w:tc>
        <w:tc>
          <w:tcPr>
            <w:tcW w:w="3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1,860,254.43</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117,123.82</w:t>
            </w:r>
          </w:p>
        </w:tc>
        <w:tc>
          <w:tcPr>
            <w:tcW w:w="3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1,860,254.43</w:t>
            </w:r>
          </w:p>
        </w:tc>
      </w:tr>
    </w:tbl>
    <w:p>
      <w:pPr>
        <w:spacing w:line="240" w:lineRule="auto" w:before="3"/>
        <w:rPr>
          <w:rFonts w:ascii="宋体" w:hAnsi="宋体" w:cs="宋体" w:eastAsia="宋体" w:hint="default"/>
          <w:sz w:val="19"/>
          <w:szCs w:val="19"/>
        </w:rPr>
      </w:pPr>
    </w:p>
    <w:p>
      <w:pPr>
        <w:pStyle w:val="Heading4"/>
        <w:spacing w:line="240" w:lineRule="auto" w:before="36"/>
        <w:ind w:right="858"/>
        <w:jc w:val="left"/>
        <w:rPr>
          <w:b w:val="0"/>
          <w:bCs w:val="0"/>
        </w:rPr>
      </w:pPr>
      <w:bookmarkStart w:name="2）重要逾期利息" w:id="234"/>
      <w:bookmarkEnd w:id="234"/>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8"/>
        <w:jc w:val="left"/>
      </w:pPr>
      <w:r>
        <w:rPr>
          <w:w w:val="101"/>
        </w:rPr>
        <w:t>无</w:t>
      </w:r>
      <w:r>
        <w:rPr/>
      </w:r>
    </w:p>
    <w:p>
      <w:pPr>
        <w:spacing w:line="240" w:lineRule="auto" w:before="0"/>
        <w:rPr>
          <w:rFonts w:ascii="宋体" w:hAnsi="宋体" w:cs="宋体" w:eastAsia="宋体" w:hint="default"/>
          <w:sz w:val="18"/>
          <w:szCs w:val="18"/>
        </w:rPr>
      </w:pPr>
    </w:p>
    <w:p>
      <w:pPr>
        <w:pStyle w:val="Heading4"/>
        <w:spacing w:line="240" w:lineRule="auto" w:before="118"/>
        <w:ind w:right="858"/>
        <w:jc w:val="left"/>
        <w:rPr>
          <w:b w:val="0"/>
          <w:bCs w:val="0"/>
        </w:rPr>
      </w:pPr>
      <w:bookmarkStart w:name="3）坏账准备计提情况" w:id="235"/>
      <w:bookmarkEnd w:id="235"/>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0" w:footer="1022" w:top="1100" w:bottom="1220" w:left="740" w:right="0"/>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right="858"/>
        <w:jc w:val="left"/>
        <w:rPr>
          <w:b w:val="0"/>
          <w:bCs w:val="0"/>
        </w:rPr>
      </w:pPr>
      <w:bookmarkStart w:name="（2）应收股利" w:id="236"/>
      <w:bookmarkEnd w:id="236"/>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858"/>
        <w:jc w:val="left"/>
        <w:rPr>
          <w:b w:val="0"/>
          <w:bCs w:val="0"/>
        </w:rPr>
      </w:pPr>
      <w:bookmarkStart w:name="1）应收股利分类:无" w:id="237"/>
      <w:bookmarkEnd w:id="237"/>
      <w:r>
        <w:rPr>
          <w:b w:val="0"/>
          <w:bCs w:val="0"/>
        </w:rPr>
      </w:r>
      <w:r>
        <w:rPr>
          <w:rFonts w:ascii="Times New Roman" w:hAnsi="Times New Roman" w:cs="Times New Roman" w:eastAsia="Times New Roman" w:hint="default"/>
        </w:rPr>
        <w:t>1</w:t>
      </w:r>
      <w:r>
        <w:rPr/>
        <w:t>）应收股利分类</w:t>
      </w:r>
      <w:r>
        <w:rPr>
          <w:rFonts w:ascii="Times New Roman" w:hAnsi="Times New Roman" w:cs="Times New Roman" w:eastAsia="Times New Roman" w:hint="default"/>
        </w:rPr>
        <w:t>:</w:t>
      </w:r>
      <w:r>
        <w:rPr/>
        <w:t>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858"/>
        <w:jc w:val="left"/>
        <w:rPr>
          <w:b w:val="0"/>
          <w:bCs w:val="0"/>
        </w:rPr>
      </w:pPr>
      <w:bookmarkStart w:name="2）重要的账龄超过1年的应收股利:无" w:id="238"/>
      <w:bookmarkEnd w:id="238"/>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年的应收股利</w:t>
      </w:r>
      <w:r>
        <w:rPr>
          <w:rFonts w:ascii="Times New Roman" w:hAnsi="Times New Roman" w:cs="Times New Roman" w:eastAsia="Times New Roman" w:hint="default"/>
        </w:rPr>
        <w:t>:</w:t>
      </w:r>
      <w:r>
        <w:rPr/>
        <w:t>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858"/>
        <w:jc w:val="left"/>
        <w:rPr>
          <w:b w:val="0"/>
          <w:bCs w:val="0"/>
        </w:rPr>
      </w:pPr>
      <w:bookmarkStart w:name="3）坏账准备计提情况" w:id="239"/>
      <w:bookmarkEnd w:id="239"/>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891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其他说明：</w:t>
      </w:r>
    </w:p>
    <w:p>
      <w:pPr>
        <w:pStyle w:val="BodyText"/>
        <w:spacing w:line="240" w:lineRule="auto" w:before="36"/>
        <w:ind w:right="858"/>
        <w:jc w:val="left"/>
      </w:pPr>
      <w:r>
        <w:rPr>
          <w:w w:val="101"/>
        </w:rPr>
        <w:t>无</w:t>
      </w:r>
      <w:r>
        <w:rPr/>
      </w:r>
    </w:p>
    <w:p>
      <w:pPr>
        <w:spacing w:line="240" w:lineRule="auto" w:before="0"/>
        <w:rPr>
          <w:rFonts w:ascii="宋体" w:hAnsi="宋体" w:cs="宋体" w:eastAsia="宋体" w:hint="default"/>
          <w:sz w:val="18"/>
          <w:szCs w:val="18"/>
        </w:rPr>
      </w:pPr>
    </w:p>
    <w:p>
      <w:pPr>
        <w:pStyle w:val="Heading4"/>
        <w:spacing w:line="240" w:lineRule="auto" w:before="118"/>
        <w:ind w:right="858"/>
        <w:jc w:val="left"/>
        <w:rPr>
          <w:b w:val="0"/>
          <w:bCs w:val="0"/>
        </w:rPr>
      </w:pPr>
      <w:bookmarkStart w:name="（3）其他应收款" w:id="240"/>
      <w:bookmarkEnd w:id="240"/>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858"/>
        <w:jc w:val="left"/>
        <w:rPr>
          <w:b w:val="0"/>
          <w:bCs w:val="0"/>
        </w:rPr>
      </w:pPr>
      <w:bookmarkStart w:name="1）其他应收款按款项性质分类情况" w:id="241"/>
      <w:bookmarkEnd w:id="241"/>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88"/>
        <w:gridCol w:w="3347"/>
        <w:gridCol w:w="3558"/>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期末账面余额</w:t>
            </w:r>
          </w:p>
        </w:tc>
        <w:tc>
          <w:tcPr>
            <w:tcW w:w="3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15,608,072.93</w:t>
            </w:r>
          </w:p>
        </w:tc>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16,792,427.64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126,898.88</w:t>
            </w:r>
          </w:p>
        </w:tc>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346,978.90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外部公司往来</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32,231.17</w:t>
            </w:r>
          </w:p>
        </w:tc>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232,845.26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228,903.47</w:t>
            </w:r>
          </w:p>
        </w:tc>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232,605.39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15,996,106.45</w:t>
            </w:r>
          </w:p>
        </w:tc>
        <w:tc>
          <w:tcPr>
            <w:tcW w:w="3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17,604,857.19</w:t>
            </w:r>
          </w:p>
        </w:tc>
      </w:tr>
    </w:tbl>
    <w:p>
      <w:pPr>
        <w:spacing w:line="240" w:lineRule="auto" w:before="3"/>
        <w:rPr>
          <w:rFonts w:ascii="宋体" w:hAnsi="宋体" w:cs="宋体" w:eastAsia="宋体" w:hint="default"/>
          <w:sz w:val="19"/>
          <w:szCs w:val="19"/>
        </w:rPr>
      </w:pPr>
    </w:p>
    <w:p>
      <w:pPr>
        <w:pStyle w:val="Heading4"/>
        <w:spacing w:line="240" w:lineRule="auto" w:before="36"/>
        <w:ind w:right="858"/>
        <w:jc w:val="left"/>
        <w:rPr>
          <w:b w:val="0"/>
          <w:bCs w:val="0"/>
        </w:rPr>
      </w:pPr>
      <w:bookmarkStart w:name="2）坏账准备计提情况" w:id="242"/>
      <w:bookmarkEnd w:id="242"/>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1916"/>
        <w:gridCol w:w="1830"/>
        <w:gridCol w:w="1997"/>
        <w:gridCol w:w="2204"/>
        <w:gridCol w:w="2147"/>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2"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3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21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1"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643" w:right="137"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4" w:right="119" w:firstLine="6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整个存续期预期信用</w:t>
            </w:r>
            <w:r>
              <w:rPr>
                <w:rFonts w:ascii="宋体" w:hAnsi="宋体" w:cs="宋体" w:eastAsia="宋体" w:hint="default"/>
                <w:w w:val="101"/>
                <w:sz w:val="18"/>
                <w:szCs w:val="18"/>
              </w:rPr>
              <w:t> </w:t>
            </w:r>
            <w:r>
              <w:rPr>
                <w:rFonts w:ascii="宋体" w:hAnsi="宋体" w:cs="宋体" w:eastAsia="宋体" w:hint="default"/>
                <w:spacing w:val="-3"/>
                <w:sz w:val="18"/>
                <w:szCs w:val="18"/>
              </w:rPr>
              <w:t>损失</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7"/>
              <w:ind w:right="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214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510,843.01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z w:val="18"/>
              </w:rPr>
              <w:t>0.00</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24,972.02</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535,815.03</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0"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r>
              <w:rPr>
                <w:rFonts w:ascii="宋体" w:hAnsi="宋体" w:cs="宋体" w:eastAsia="宋体" w:hint="default"/>
                <w:w w:val="101"/>
                <w:sz w:val="18"/>
                <w:szCs w:val="18"/>
              </w:rPr>
              <w:t> </w:t>
            </w:r>
            <w:r>
              <w:rPr>
                <w:rFonts w:ascii="宋体" w:hAnsi="宋体" w:cs="宋体" w:eastAsia="宋体" w:hint="default"/>
                <w:sz w:val="18"/>
                <w:szCs w:val="18"/>
              </w:rPr>
              <w:t>在本期</w:t>
            </w:r>
          </w:p>
        </w:tc>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-9,800.00</w:t>
            </w:r>
          </w:p>
        </w:tc>
        <w:tc>
          <w:tcPr>
            <w:tcW w:w="1997"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9,800.00</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33,607.00</w:t>
            </w:r>
          </w:p>
        </w:tc>
        <w:tc>
          <w:tcPr>
            <w:tcW w:w="1997"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33,607.00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53,981.57</w:t>
            </w:r>
          </w:p>
        </w:tc>
        <w:tc>
          <w:tcPr>
            <w:tcW w:w="1997"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1,979.77</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55,961.34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830"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9,800.00</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9,800.00</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2,688.52</w:t>
            </w:r>
          </w:p>
        </w:tc>
        <w:tc>
          <w:tcPr>
            <w:tcW w:w="1997"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2,688.52</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0"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483,356.96</w:t>
            </w:r>
          </w:p>
        </w:tc>
        <w:tc>
          <w:tcPr>
            <w:tcW w:w="1997"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22,992.25</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506,349.21</w:t>
            </w:r>
          </w:p>
        </w:tc>
      </w:tr>
    </w:tbl>
    <w:p>
      <w:pPr>
        <w:pStyle w:val="BodyText"/>
        <w:spacing w:line="240" w:lineRule="auto" w:before="53"/>
        <w:ind w:right="858"/>
        <w:jc w:val="left"/>
      </w:pPr>
      <w:r>
        <w:rPr>
          <w:spacing w:val="-3"/>
        </w:rPr>
        <w:t>损失准备本期变动金额重大的账面余额变动情况</w:t>
      </w:r>
    </w:p>
    <w:p>
      <w:pPr>
        <w:spacing w:after="0" w:line="240" w:lineRule="auto"/>
        <w:jc w:val="left"/>
        <w:sectPr>
          <w:pgSz w:w="11910" w:h="16840"/>
          <w:pgMar w:header="0" w:footer="1022" w:top="1100" w:bottom="1220" w:left="740" w:right="0"/>
        </w:sectPr>
      </w:pPr>
    </w:p>
    <w:p>
      <w:pPr>
        <w:pStyle w:val="BodyText"/>
        <w:spacing w:line="338" w:lineRule="auto" w:before="85"/>
        <w:ind w:right="0"/>
        <w:jc w:val="left"/>
      </w:pPr>
      <w:r>
        <w:rPr/>
        <w:pict>
          <v:group style="position:absolute;margin-left:42.264pt;margin-top:1.321726pt;width:511.15pt;height:.1pt;mso-position-horizontal-relative:page;mso-position-vertical-relative:paragraph;z-index:1936" coordorigin="845,26" coordsize="10223,2">
            <v:shape style="position:absolute;left:845;top:26;width:10223;height:2" coordorigin="845,26" coordsize="10223,0" path="m845,26l11068,26e" filled="false" stroked="true" strokeweight=".48pt" strokecolor="#000000">
              <v:path arrowok="t"/>
            </v:shape>
            <w10:wrap type="none"/>
          </v:group>
        </w:pict>
      </w: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4"/>
          <w:szCs w:val="24"/>
        </w:rPr>
      </w:pPr>
    </w:p>
    <w:p>
      <w:pPr>
        <w:pStyle w:val="BodyText"/>
        <w:spacing w:line="240" w:lineRule="auto"/>
        <w:ind w:right="0"/>
        <w:jc w:val="left"/>
      </w:pPr>
      <w:r>
        <w:rPr/>
        <w:t>单位：</w:t>
      </w:r>
      <w:r>
        <w:rPr>
          <w:spacing w:val="5"/>
        </w:rPr>
        <w:t> </w:t>
      </w:r>
      <w:r>
        <w:rPr/>
        <w:t>元</w:t>
      </w:r>
    </w:p>
    <w:p>
      <w:pPr>
        <w:spacing w:after="0" w:line="240" w:lineRule="auto"/>
        <w:jc w:val="left"/>
        <w:sectPr>
          <w:pgSz w:w="11910" w:h="16840"/>
          <w:pgMar w:header="0" w:footer="1022" w:top="1100" w:bottom="1220" w:left="740" w:right="0"/>
          <w:cols w:num="2" w:equalWidth="0">
            <w:col w:w="1517" w:space="7837"/>
            <w:col w:w="1816"/>
          </w:cols>
        </w:sectPr>
      </w:pP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4855"/>
        <w:gridCol w:w="5210"/>
      </w:tblGrid>
      <w:tr>
        <w:trPr>
          <w:trHeight w:val="401"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5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2"/>
                <w:sz w:val="18"/>
              </w:rPr>
              <w:t>1,996,118.09</w:t>
            </w:r>
          </w:p>
        </w:tc>
      </w:tr>
      <w:tr>
        <w:trPr>
          <w:trHeight w:val="403" w:hRule="exact"/>
        </w:trPr>
        <w:tc>
          <w:tcPr>
            <w:tcW w:w="4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1,996,118.09</w:t>
            </w:r>
          </w:p>
        </w:tc>
      </w:tr>
      <w:tr>
        <w:trPr>
          <w:trHeight w:val="403"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745,387.49</w:t>
            </w:r>
          </w:p>
        </w:tc>
      </w:tr>
      <w:tr>
        <w:trPr>
          <w:trHeight w:val="401"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1,057,602.73</w:t>
            </w:r>
          </w:p>
        </w:tc>
      </w:tr>
      <w:tr>
        <w:trPr>
          <w:trHeight w:val="401"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12,196,998.14</w:t>
            </w:r>
          </w:p>
        </w:tc>
      </w:tr>
      <w:tr>
        <w:trPr>
          <w:trHeight w:val="403"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2,768,118.22</w:t>
            </w:r>
          </w:p>
        </w:tc>
      </w:tr>
      <w:tr>
        <w:trPr>
          <w:trHeight w:val="403"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1,032,665.17</w:t>
            </w:r>
          </w:p>
        </w:tc>
      </w:tr>
      <w:tr>
        <w:trPr>
          <w:trHeight w:val="401"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8,396,214.75</w:t>
            </w:r>
          </w:p>
        </w:tc>
      </w:tr>
      <w:tr>
        <w:trPr>
          <w:trHeight w:val="401" w:hRule="exact"/>
        </w:trPr>
        <w:tc>
          <w:tcPr>
            <w:tcW w:w="4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8"/>
                <w:szCs w:val="18"/>
              </w:rPr>
            </w:pPr>
            <w:r>
              <w:rPr>
                <w:rFonts w:ascii="Times New Roman"/>
                <w:spacing w:val="-1"/>
                <w:sz w:val="18"/>
              </w:rPr>
              <w:t>15,996,106.45</w:t>
            </w:r>
          </w:p>
        </w:tc>
      </w:tr>
    </w:tbl>
    <w:p>
      <w:pPr>
        <w:spacing w:line="240" w:lineRule="auto" w:before="3"/>
        <w:rPr>
          <w:rFonts w:ascii="宋体" w:hAnsi="宋体" w:cs="宋体" w:eastAsia="宋体" w:hint="default"/>
          <w:sz w:val="19"/>
          <w:szCs w:val="19"/>
        </w:rPr>
      </w:pPr>
    </w:p>
    <w:p>
      <w:pPr>
        <w:pStyle w:val="Heading4"/>
        <w:spacing w:line="240" w:lineRule="auto" w:before="36"/>
        <w:ind w:right="858"/>
        <w:jc w:val="left"/>
        <w:rPr>
          <w:b w:val="0"/>
          <w:bCs w:val="0"/>
        </w:rPr>
      </w:pPr>
      <w:bookmarkStart w:name="3）本期计提、收回或转回的坏账准备情况" w:id="243"/>
      <w:bookmarkEnd w:id="243"/>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858"/>
        <w:jc w:val="left"/>
      </w:pPr>
      <w:r>
        <w:rPr>
          <w:spacing w:val="-3"/>
        </w:rPr>
        <w:t>本期计提坏账准备情况：</w:t>
      </w:r>
    </w:p>
    <w:p>
      <w:pPr>
        <w:pStyle w:val="BodyText"/>
        <w:spacing w:line="240" w:lineRule="auto" w:before="115"/>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1719"/>
        <w:gridCol w:w="1234"/>
        <w:gridCol w:w="1421"/>
        <w:gridCol w:w="1383"/>
        <w:gridCol w:w="1200"/>
        <w:gridCol w:w="1546"/>
        <w:gridCol w:w="1547"/>
      </w:tblGrid>
      <w:tr>
        <w:trPr>
          <w:trHeight w:val="403" w:hRule="exact"/>
        </w:trPr>
        <w:tc>
          <w:tcPr>
            <w:tcW w:w="17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2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5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719" w:type="dxa"/>
            <w:vMerge/>
            <w:tcBorders>
              <w:left w:val="single" w:sz="4" w:space="0" w:color="000000"/>
              <w:bottom w:val="single" w:sz="4" w:space="0" w:color="000000"/>
              <w:right w:val="single" w:sz="4" w:space="0" w:color="000000"/>
            </w:tcBorders>
            <w:shd w:val="clear" w:color="auto" w:fill="D2D2D2"/>
          </w:tcPr>
          <w:p>
            <w:pPr/>
          </w:p>
        </w:tc>
        <w:tc>
          <w:tcPr>
            <w:tcW w:w="1234" w:type="dxa"/>
            <w:vMerge/>
            <w:tcBorders>
              <w:left w:val="single" w:sz="4" w:space="0" w:color="000000"/>
              <w:bottom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47"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161"/>
              <w:jc w:val="left"/>
              <w:rPr>
                <w:rFonts w:ascii="宋体" w:hAnsi="宋体" w:cs="宋体" w:eastAsia="宋体" w:hint="default"/>
                <w:sz w:val="18"/>
                <w:szCs w:val="18"/>
              </w:rPr>
            </w:pPr>
            <w:r>
              <w:rPr>
                <w:rFonts w:ascii="宋体" w:hAnsi="宋体" w:cs="宋体" w:eastAsia="宋体" w:hint="default"/>
                <w:spacing w:val="-2"/>
                <w:sz w:val="18"/>
                <w:szCs w:val="18"/>
              </w:rPr>
              <w:t>按组合计提信用损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失准备</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0" w:right="161"/>
              <w:jc w:val="left"/>
              <w:rPr>
                <w:rFonts w:ascii="宋体" w:hAnsi="宋体" w:cs="宋体" w:eastAsia="宋体" w:hint="default"/>
                <w:sz w:val="18"/>
                <w:szCs w:val="18"/>
              </w:rPr>
            </w:pPr>
            <w:r>
              <w:rPr>
                <w:rFonts w:ascii="宋体" w:hAnsi="宋体" w:cs="宋体" w:eastAsia="宋体" w:hint="default"/>
                <w:spacing w:val="-2"/>
                <w:sz w:val="18"/>
                <w:szCs w:val="18"/>
              </w:rPr>
              <w:t>其中：押金及保证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金组合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500,103.47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21,896.01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39,988.12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56" w:right="0"/>
              <w:jc w:val="left"/>
              <w:rPr>
                <w:rFonts w:ascii="Times New Roman" w:hAnsi="Times New Roman" w:cs="Times New Roman" w:eastAsia="Times New Roman" w:hint="default"/>
                <w:sz w:val="18"/>
                <w:szCs w:val="18"/>
              </w:rPr>
            </w:pPr>
            <w:r>
              <w:rPr>
                <w:rFonts w:ascii="Times New Roman"/>
                <w:sz w:val="18"/>
              </w:rPr>
              <w:t>9,800.00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1,370.49</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473,581.85</w:t>
            </w:r>
          </w:p>
        </w:tc>
      </w:tr>
      <w:tr>
        <w:trPr>
          <w:trHeight w:val="40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其他组合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35,711.56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11,710.99</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15,973.22</w:t>
            </w:r>
          </w:p>
        </w:tc>
        <w:tc>
          <w:tcPr>
            <w:tcW w:w="1200"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1,318.03</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32,767.36</w:t>
            </w:r>
          </w:p>
        </w:tc>
      </w:tr>
      <w:tr>
        <w:trPr>
          <w:trHeight w:val="403" w:hRule="exact"/>
        </w:trPr>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535,815.03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33,607.00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55,961.34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6" w:right="0"/>
              <w:jc w:val="left"/>
              <w:rPr>
                <w:rFonts w:ascii="Times New Roman" w:hAnsi="Times New Roman" w:cs="Times New Roman" w:eastAsia="Times New Roman" w:hint="default"/>
                <w:sz w:val="18"/>
                <w:szCs w:val="18"/>
              </w:rPr>
            </w:pPr>
            <w:r>
              <w:rPr>
                <w:rFonts w:ascii="Times New Roman"/>
                <w:sz w:val="18"/>
              </w:rPr>
              <w:t>9,800.00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2,688.52</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506,349.21</w:t>
            </w:r>
          </w:p>
        </w:tc>
      </w:tr>
    </w:tbl>
    <w:p>
      <w:pPr>
        <w:pStyle w:val="BodyText"/>
        <w:spacing w:line="352" w:lineRule="auto" w:before="54"/>
        <w:ind w:right="7507"/>
        <w:jc w:val="left"/>
      </w:pPr>
      <w:r>
        <w:rPr>
          <w:spacing w:val="-3"/>
        </w:rPr>
        <w:t>其中本期坏账准备转回或收回金额重要的：</w:t>
      </w:r>
      <w:r>
        <w:rPr>
          <w:spacing w:val="-33"/>
        </w:rPr>
        <w:t> </w:t>
      </w:r>
      <w:r>
        <w:rPr>
          <w:spacing w:val="-33"/>
        </w:rPr>
      </w:r>
      <w:r>
        <w:rPr/>
        <w:t>无</w:t>
      </w:r>
    </w:p>
    <w:p>
      <w:pPr>
        <w:spacing w:line="240" w:lineRule="auto" w:before="7"/>
        <w:rPr>
          <w:rFonts w:ascii="宋体" w:hAnsi="宋体" w:cs="宋体" w:eastAsia="宋体" w:hint="default"/>
          <w:sz w:val="20"/>
          <w:szCs w:val="20"/>
        </w:rPr>
      </w:pPr>
    </w:p>
    <w:p>
      <w:pPr>
        <w:pStyle w:val="Heading4"/>
        <w:spacing w:line="240" w:lineRule="auto"/>
        <w:ind w:right="858"/>
        <w:jc w:val="left"/>
        <w:rPr>
          <w:b w:val="0"/>
          <w:bCs w:val="0"/>
        </w:rPr>
      </w:pPr>
      <w:bookmarkStart w:name="4）本期实际核销的其他应收款情况" w:id="244"/>
      <w:bookmarkEnd w:id="244"/>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8"/>
        <w:jc w:val="left"/>
      </w:pPr>
      <w:r>
        <w:rPr>
          <w:w w:val="101"/>
        </w:rPr>
        <w:t>无</w:t>
      </w:r>
      <w:r>
        <w:rPr/>
      </w:r>
    </w:p>
    <w:p>
      <w:pPr>
        <w:spacing w:after="0" w:line="240" w:lineRule="auto"/>
        <w:jc w:val="left"/>
        <w:sectPr>
          <w:type w:val="continuous"/>
          <w:pgSz w:w="11910" w:h="16840"/>
          <w:pgMar w:top="1100" w:bottom="1220" w:left="740" w:right="0"/>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right="858"/>
        <w:jc w:val="left"/>
        <w:rPr>
          <w:b w:val="0"/>
          <w:bCs w:val="0"/>
        </w:rPr>
      </w:pPr>
      <w:bookmarkStart w:name="5）按欠款方归集的期末余额前五名的其他应收款情况" w:id="245"/>
      <w:bookmarkEnd w:id="245"/>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1594"/>
        <w:gridCol w:w="1594"/>
        <w:gridCol w:w="1594"/>
        <w:gridCol w:w="1594"/>
        <w:gridCol w:w="1599"/>
        <w:gridCol w:w="2252"/>
      </w:tblGrid>
      <w:tr>
        <w:trPr>
          <w:trHeight w:val="102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42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3" w:right="161"/>
              <w:jc w:val="center"/>
              <w:rPr>
                <w:rFonts w:ascii="宋体" w:hAnsi="宋体" w:cs="宋体" w:eastAsia="宋体" w:hint="default"/>
                <w:sz w:val="18"/>
                <w:szCs w:val="18"/>
              </w:rPr>
            </w:pPr>
            <w:r>
              <w:rPr>
                <w:rFonts w:ascii="宋体" w:hAnsi="宋体" w:cs="宋体" w:eastAsia="宋体" w:hint="default"/>
                <w:spacing w:val="-3"/>
                <w:sz w:val="18"/>
                <w:szCs w:val="18"/>
              </w:rPr>
              <w:t>占其他应收款期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末余额合计数的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比例</w:t>
            </w:r>
          </w:p>
        </w:tc>
        <w:tc>
          <w:tcPr>
            <w:tcW w:w="2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98"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业务保证金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37.51%</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1,892,102.24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年以内及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年</w:t>
            </w:r>
            <w:r>
              <w:rPr>
                <w:rFonts w:ascii="宋体" w:hAnsi="宋体" w:cs="宋体" w:eastAsia="宋体" w:hint="default"/>
                <w:sz w:val="18"/>
                <w:szCs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3"/>
                <w:sz w:val="18"/>
              </w:rPr>
              <w:t>11.83%</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63,408.70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业务保证金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1,164,467.30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7.28%</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23,289.35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业务保证金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729,989.57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4.56%</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14,599.79</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502,286.40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3.14%</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25,114.32</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10,288,845.51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64.32%</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246,412.16</w:t>
            </w:r>
          </w:p>
        </w:tc>
      </w:tr>
    </w:tbl>
    <w:p>
      <w:pPr>
        <w:spacing w:line="240" w:lineRule="auto" w:before="3"/>
        <w:rPr>
          <w:rFonts w:ascii="宋体" w:hAnsi="宋体" w:cs="宋体" w:eastAsia="宋体" w:hint="default"/>
          <w:sz w:val="19"/>
          <w:szCs w:val="19"/>
        </w:rPr>
      </w:pPr>
    </w:p>
    <w:p>
      <w:pPr>
        <w:pStyle w:val="Heading4"/>
        <w:spacing w:line="240" w:lineRule="auto" w:before="36"/>
        <w:ind w:right="858"/>
        <w:jc w:val="left"/>
        <w:rPr>
          <w:b w:val="0"/>
          <w:bCs w:val="0"/>
        </w:rPr>
      </w:pPr>
      <w:bookmarkStart w:name="6）涉及政府补助的应收款项" w:id="246"/>
      <w:bookmarkEnd w:id="246"/>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858"/>
        <w:jc w:val="left"/>
      </w:pPr>
      <w:r>
        <w:rPr>
          <w:w w:val="101"/>
        </w:rPr>
        <w:t>无</w:t>
      </w:r>
      <w:r>
        <w:rPr/>
      </w:r>
    </w:p>
    <w:p>
      <w:pPr>
        <w:spacing w:line="240" w:lineRule="auto" w:before="0"/>
        <w:rPr>
          <w:rFonts w:ascii="宋体" w:hAnsi="宋体" w:cs="宋体" w:eastAsia="宋体" w:hint="default"/>
          <w:sz w:val="18"/>
          <w:szCs w:val="18"/>
        </w:rPr>
      </w:pPr>
    </w:p>
    <w:p>
      <w:pPr>
        <w:pStyle w:val="Heading4"/>
        <w:spacing w:line="240" w:lineRule="auto" w:before="118"/>
        <w:ind w:right="858"/>
        <w:jc w:val="left"/>
        <w:rPr>
          <w:b w:val="0"/>
          <w:bCs w:val="0"/>
        </w:rPr>
      </w:pPr>
      <w:bookmarkStart w:name="7）因金融资产转移而终止确认的其他应收款" w:id="247"/>
      <w:bookmarkEnd w:id="247"/>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8"/>
        <w:jc w:val="left"/>
      </w:pPr>
      <w:r>
        <w:rPr>
          <w:w w:val="101"/>
        </w:rPr>
        <w:t>无</w:t>
      </w:r>
      <w:r>
        <w:rPr/>
      </w:r>
    </w:p>
    <w:p>
      <w:pPr>
        <w:spacing w:line="240" w:lineRule="auto" w:before="0"/>
        <w:rPr>
          <w:rFonts w:ascii="宋体" w:hAnsi="宋体" w:cs="宋体" w:eastAsia="宋体" w:hint="default"/>
          <w:sz w:val="18"/>
          <w:szCs w:val="18"/>
        </w:rPr>
      </w:pPr>
    </w:p>
    <w:p>
      <w:pPr>
        <w:pStyle w:val="Heading4"/>
        <w:spacing w:line="240" w:lineRule="auto" w:before="118"/>
        <w:ind w:right="858"/>
        <w:jc w:val="left"/>
        <w:rPr>
          <w:b w:val="0"/>
          <w:bCs w:val="0"/>
        </w:rPr>
      </w:pPr>
      <w:bookmarkStart w:name="8）转移其他应收款且继续涉入形成的资产、负债金额" w:id="248"/>
      <w:bookmarkEnd w:id="248"/>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10120"/>
        <w:jc w:val="left"/>
      </w:pPr>
      <w:r>
        <w:rPr/>
        <w:t>无</w:t>
      </w:r>
      <w:r>
        <w:rPr>
          <w:spacing w:val="-88"/>
        </w:rPr>
        <w:t> </w:t>
      </w:r>
      <w:r>
        <w:rPr>
          <w:spacing w:val="-2"/>
        </w:rPr>
        <w:t>其他说明：</w:t>
      </w:r>
      <w:r>
        <w:rPr>
          <w:spacing w:val="-78"/>
        </w:rPr>
        <w:t> </w:t>
      </w:r>
      <w:r>
        <w:rPr>
          <w:spacing w:val="-78"/>
        </w:rPr>
      </w:r>
      <w:r>
        <w:rPr/>
        <w:t>无</w:t>
      </w:r>
    </w:p>
    <w:p>
      <w:pPr>
        <w:spacing w:line="240" w:lineRule="auto" w:before="2"/>
        <w:rPr>
          <w:rFonts w:ascii="宋体" w:hAnsi="宋体" w:cs="宋体" w:eastAsia="宋体" w:hint="default"/>
          <w:sz w:val="20"/>
          <w:szCs w:val="20"/>
        </w:rPr>
      </w:pPr>
    </w:p>
    <w:p>
      <w:pPr>
        <w:pStyle w:val="Heading4"/>
        <w:spacing w:line="240" w:lineRule="auto"/>
        <w:ind w:right="858"/>
        <w:jc w:val="left"/>
        <w:rPr>
          <w:b w:val="0"/>
          <w:bCs w:val="0"/>
        </w:rPr>
      </w:pPr>
      <w:bookmarkStart w:name="6、存货" w:id="249"/>
      <w:bookmarkEnd w:id="249"/>
      <w:r>
        <w:rPr>
          <w:b w:val="0"/>
          <w:bCs w:val="0"/>
        </w:rPr>
      </w:r>
      <w:r>
        <w:rPr>
          <w:rFonts w:ascii="Times New Roman" w:hAnsi="Times New Roman" w:cs="Times New Roman" w:eastAsia="Times New Roman" w:hint="default"/>
        </w:rPr>
        <w:t>6</w:t>
      </w:r>
      <w:r>
        <w:rPr/>
        <w:t>、存货</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858"/>
        <w:jc w:val="left"/>
      </w:pPr>
      <w:r>
        <w:rPr/>
        <w:t>是否已执行新收入准则</w:t>
      </w:r>
    </w:p>
    <w:p>
      <w:pPr>
        <w:pStyle w:val="BodyText"/>
        <w:spacing w:line="240" w:lineRule="auto" w:before="115"/>
        <w:ind w:right="85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4"/>
        <w:spacing w:line="240" w:lineRule="auto"/>
        <w:ind w:right="858"/>
        <w:jc w:val="left"/>
        <w:rPr>
          <w:b w:val="0"/>
          <w:bCs w:val="0"/>
        </w:rPr>
      </w:pPr>
      <w:bookmarkStart w:name="（1）存货分类" w:id="250"/>
      <w:bookmarkEnd w:id="25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1369"/>
        <w:gridCol w:w="1368"/>
        <w:gridCol w:w="1369"/>
        <w:gridCol w:w="1608"/>
        <w:gridCol w:w="1527"/>
        <w:gridCol w:w="1427"/>
        <w:gridCol w:w="158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434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4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5,052,429.68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309,504.60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4,742,925.08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4,058,106.67</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299,531.44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3,758,575.23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428,004.37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428,004.37</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215,827.05</w:t>
            </w:r>
          </w:p>
        </w:tc>
        <w:tc>
          <w:tcPr>
            <w:tcW w:w="1427"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215,827.05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5,480,434.05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309,504.60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5,170,929.45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4,273,933.72</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299,531.44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3,974,402.28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00" w:bottom="1220" w:left="740" w:right="0"/>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right="858"/>
        <w:jc w:val="left"/>
        <w:rPr>
          <w:b w:val="0"/>
          <w:bCs w:val="0"/>
        </w:rPr>
      </w:pPr>
      <w:bookmarkStart w:name="（2）存货跌价准备" w:id="251"/>
      <w:bookmarkEnd w:id="25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1369"/>
        <w:gridCol w:w="1368"/>
        <w:gridCol w:w="1369"/>
        <w:gridCol w:w="1623"/>
        <w:gridCol w:w="1512"/>
        <w:gridCol w:w="1441"/>
        <w:gridCol w:w="1575"/>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4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3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5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计提</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2"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299,531.44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9,973.16</w:t>
            </w:r>
          </w:p>
        </w:tc>
        <w:tc>
          <w:tcPr>
            <w:tcW w:w="1512"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309,504.60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299,531.44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9,973.16</w:t>
            </w:r>
          </w:p>
        </w:tc>
        <w:tc>
          <w:tcPr>
            <w:tcW w:w="1512"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309,504.60</w:t>
            </w:r>
          </w:p>
        </w:tc>
      </w:tr>
    </w:tbl>
    <w:p>
      <w:pPr>
        <w:spacing w:line="240" w:lineRule="auto" w:before="3"/>
        <w:rPr>
          <w:rFonts w:ascii="宋体" w:hAnsi="宋体" w:cs="宋体" w:eastAsia="宋体" w:hint="default"/>
          <w:sz w:val="19"/>
          <w:szCs w:val="19"/>
        </w:rPr>
      </w:pPr>
    </w:p>
    <w:p>
      <w:pPr>
        <w:pStyle w:val="Heading4"/>
        <w:spacing w:line="240" w:lineRule="auto" w:before="36"/>
        <w:ind w:right="858"/>
        <w:jc w:val="left"/>
        <w:rPr>
          <w:b w:val="0"/>
          <w:bCs w:val="0"/>
        </w:rPr>
      </w:pPr>
      <w:bookmarkStart w:name="（3）存货期末余额含有借款费用资本化金额的说明" w:id="252"/>
      <w:bookmarkEnd w:id="252"/>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858"/>
        <w:jc w:val="left"/>
        <w:rPr>
          <w:b w:val="0"/>
          <w:bCs w:val="0"/>
        </w:rPr>
      </w:pPr>
      <w:bookmarkStart w:name="（4）期末建造合同形成的已完工未结算资产情况" w:id="253"/>
      <w:bookmarkEnd w:id="253"/>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
        <w:rPr>
          <w:rFonts w:ascii="宋体" w:hAnsi="宋体" w:cs="宋体" w:eastAsia="宋体" w:hint="default"/>
          <w:b/>
          <w:bCs/>
          <w:sz w:val="27"/>
          <w:szCs w:val="27"/>
        </w:rPr>
      </w:pPr>
    </w:p>
    <w:p>
      <w:pPr>
        <w:pStyle w:val="BodyText"/>
        <w:spacing w:line="360" w:lineRule="auto"/>
        <w:ind w:right="10120"/>
        <w:jc w:val="left"/>
      </w:pPr>
      <w:r>
        <w:rPr/>
        <w:t>无</w:t>
      </w:r>
      <w:r>
        <w:rPr>
          <w:spacing w:val="-88"/>
        </w:rPr>
        <w:t> </w:t>
      </w:r>
      <w:r>
        <w:rPr>
          <w:spacing w:val="-2"/>
        </w:rPr>
        <w:t>其他说明：</w:t>
      </w:r>
      <w:r>
        <w:rPr>
          <w:spacing w:val="-78"/>
        </w:rPr>
        <w:t> </w:t>
      </w:r>
      <w:r>
        <w:rPr>
          <w:spacing w:val="-78"/>
        </w:rPr>
      </w:r>
      <w:r>
        <w:rPr/>
        <w:t>无</w:t>
      </w:r>
    </w:p>
    <w:p>
      <w:pPr>
        <w:spacing w:line="240" w:lineRule="auto" w:before="5"/>
        <w:rPr>
          <w:rFonts w:ascii="宋体" w:hAnsi="宋体" w:cs="宋体" w:eastAsia="宋体" w:hint="default"/>
          <w:sz w:val="19"/>
          <w:szCs w:val="19"/>
        </w:rPr>
      </w:pPr>
    </w:p>
    <w:p>
      <w:pPr>
        <w:pStyle w:val="Heading4"/>
        <w:spacing w:line="240" w:lineRule="auto"/>
        <w:ind w:right="858"/>
        <w:jc w:val="left"/>
        <w:rPr>
          <w:b w:val="0"/>
          <w:bCs w:val="0"/>
        </w:rPr>
      </w:pPr>
      <w:bookmarkStart w:name="7、其他流动资产" w:id="254"/>
      <w:bookmarkEnd w:id="254"/>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1022" w:top="1100" w:bottom="1220" w:left="74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100" w:bottom="1220" w:left="740" w:right="0"/>
          <w:cols w:num="2" w:equalWidth="0">
            <w:col w:w="1940" w:space="7414"/>
            <w:col w:w="1816"/>
          </w:cols>
        </w:sectPr>
      </w:pP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88"/>
        <w:gridCol w:w="3515"/>
        <w:gridCol w:w="3554"/>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1,624,041.16</w:t>
            </w:r>
          </w:p>
        </w:tc>
        <w:tc>
          <w:tcPr>
            <w:tcW w:w="3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10,362,457.53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增值税待抵扣进项税</w:t>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5,958,574.95</w:t>
            </w:r>
          </w:p>
        </w:tc>
        <w:tc>
          <w:tcPr>
            <w:tcW w:w="3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2,389,132.56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7,582,616.11</w:t>
            </w:r>
          </w:p>
        </w:tc>
        <w:tc>
          <w:tcPr>
            <w:tcW w:w="3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12,751,590.09</w:t>
            </w:r>
          </w:p>
        </w:tc>
      </w:tr>
    </w:tbl>
    <w:p>
      <w:pPr>
        <w:pStyle w:val="BodyText"/>
        <w:spacing w:line="357" w:lineRule="auto" w:before="53"/>
        <w:ind w:right="10120"/>
        <w:jc w:val="left"/>
      </w:pPr>
      <w:r>
        <w:rPr>
          <w:spacing w:val="-2"/>
        </w:rPr>
        <w:t>其他说明：</w:t>
      </w:r>
      <w:r>
        <w:rPr>
          <w:spacing w:val="-78"/>
        </w:rPr>
        <w:t> </w:t>
      </w:r>
      <w:r>
        <w:rPr>
          <w:spacing w:val="-78"/>
        </w:rPr>
      </w:r>
      <w:r>
        <w:rPr/>
        <w:t>无</w:t>
      </w:r>
    </w:p>
    <w:p>
      <w:pPr>
        <w:spacing w:after="0" w:line="357" w:lineRule="auto"/>
        <w:jc w:val="left"/>
        <w:sectPr>
          <w:type w:val="continuous"/>
          <w:pgSz w:w="11910" w:h="16840"/>
          <w:pgMar w:top="1100" w:bottom="1220" w:left="740" w:right="0"/>
        </w:sectPr>
      </w:pPr>
    </w:p>
    <w:p>
      <w:pPr>
        <w:spacing w:line="240" w:lineRule="auto" w:before="3"/>
        <w:rPr>
          <w:rFonts w:ascii="宋体" w:hAnsi="宋体" w:cs="宋体" w:eastAsia="宋体" w:hint="default"/>
          <w:sz w:val="24"/>
          <w:szCs w:val="24"/>
        </w:rPr>
      </w:pPr>
    </w:p>
    <w:p>
      <w:pPr>
        <w:pStyle w:val="Heading4"/>
        <w:spacing w:line="240" w:lineRule="auto"/>
        <w:ind w:left="220" w:right="-17"/>
        <w:jc w:val="left"/>
        <w:rPr>
          <w:b w:val="0"/>
          <w:bCs w:val="0"/>
        </w:rPr>
      </w:pPr>
      <w:r>
        <w:rPr/>
        <w:pict>
          <v:group style="position:absolute;margin-left:52.584pt;margin-top:-1.416343pt;width:737pt;height:.1pt;mso-position-horizontal-relative:page;mso-position-vertical-relative:paragraph;z-index:2008" coordorigin="1052,-28" coordsize="14740,2">
            <v:shape style="position:absolute;left:1052;top:-28;width:14740;height:2" coordorigin="1052,-28" coordsize="14740,0" path="m1052,-28l15791,-28e" filled="false" stroked="true" strokeweight=".48pt" strokecolor="#000000">
              <v:path arrowok="t"/>
            </v:shape>
            <w10:wrap type="none"/>
          </v:group>
        </w:pict>
      </w:r>
      <w:bookmarkStart w:name="8、长期股权投资" w:id="255"/>
      <w:bookmarkEnd w:id="255"/>
      <w:r>
        <w:rPr>
          <w:b w:val="0"/>
          <w:bCs w:val="0"/>
        </w:rPr>
      </w:r>
      <w:r>
        <w:rPr>
          <w:rFonts w:ascii="Times New Roman" w:hAnsi="Times New Roman" w:cs="Times New Roman" w:eastAsia="Times New Roman" w:hint="default"/>
        </w:rPr>
        <w:t>8</w:t>
      </w:r>
      <w:r>
        <w:rPr/>
        <w:t>、长期股权投资</w:t>
      </w:r>
      <w:r>
        <w:rPr>
          <w:b w:val="0"/>
          <w:bCs w:val="0"/>
        </w:rPr>
      </w:r>
    </w:p>
    <w:p>
      <w:pPr>
        <w:pStyle w:val="BodyText"/>
        <w:spacing w:line="240" w:lineRule="auto" w:before="16"/>
        <w:ind w:left="220" w:right="0"/>
        <w:jc w:val="left"/>
      </w:pPr>
      <w:r>
        <w:rPr/>
        <w:br w:type="column"/>
      </w:r>
      <w:r>
        <w:rPr/>
        <w:t>二六三网络通信股份有限公司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p>
      <w:pPr>
        <w:spacing w:after="0" w:line="240" w:lineRule="auto"/>
        <w:jc w:val="left"/>
        <w:sectPr>
          <w:headerReference w:type="default" r:id="rId41"/>
          <w:footerReference w:type="default" r:id="rId42"/>
          <w:pgSz w:w="16840" w:h="11910" w:orient="landscape"/>
          <w:pgMar w:header="0" w:footer="0" w:top="840" w:bottom="0" w:left="860" w:right="740"/>
          <w:cols w:num="2" w:equalWidth="0">
            <w:col w:w="1805" w:space="8825"/>
            <w:col w:w="4610"/>
          </w:cols>
        </w:sectPr>
      </w:pPr>
    </w:p>
    <w:p>
      <w:pPr>
        <w:spacing w:line="240" w:lineRule="auto" w:before="2"/>
        <w:rPr>
          <w:rFonts w:ascii="宋体" w:hAnsi="宋体" w:cs="宋体" w:eastAsia="宋体" w:hint="default"/>
          <w:sz w:val="23"/>
          <w:szCs w:val="23"/>
        </w:rPr>
      </w:pPr>
    </w:p>
    <w:p>
      <w:pPr>
        <w:pStyle w:val="BodyText"/>
        <w:spacing w:line="240" w:lineRule="auto" w:before="46"/>
        <w:ind w:left="0" w:right="328"/>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2698"/>
        <w:gridCol w:w="1517"/>
        <w:gridCol w:w="1253"/>
        <w:gridCol w:w="672"/>
        <w:gridCol w:w="1724"/>
        <w:gridCol w:w="1047"/>
        <w:gridCol w:w="859"/>
        <w:gridCol w:w="1325"/>
        <w:gridCol w:w="855"/>
        <w:gridCol w:w="490"/>
        <w:gridCol w:w="1522"/>
        <w:gridCol w:w="1046"/>
      </w:tblGrid>
      <w:tr>
        <w:trPr>
          <w:trHeight w:val="403" w:hRule="exact"/>
        </w:trPr>
        <w:tc>
          <w:tcPr>
            <w:tcW w:w="26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0" w:lineRule="auto"/>
              <w:ind w:left="542" w:right="185" w:hanging="36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期初余额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账面</w:t>
            </w:r>
            <w:r>
              <w:rPr>
                <w:rFonts w:ascii="宋体" w:hAnsi="宋体" w:cs="宋体" w:eastAsia="宋体" w:hint="default"/>
                <w:spacing w:val="-73"/>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822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5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0" w:lineRule="auto"/>
              <w:ind w:left="547" w:right="185" w:hanging="36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期末余额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账面</w:t>
            </w:r>
            <w:r>
              <w:rPr>
                <w:rFonts w:ascii="宋体" w:hAnsi="宋体" w:cs="宋体" w:eastAsia="宋体" w:hint="default"/>
                <w:spacing w:val="-73"/>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10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58" w:right="151"/>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711" w:hRule="exact"/>
        </w:trPr>
        <w:tc>
          <w:tcPr>
            <w:tcW w:w="2698"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53" w:right="143"/>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86"/>
                <w:sz w:val="18"/>
                <w:szCs w:val="18"/>
              </w:rPr>
              <w:t> </w:t>
            </w:r>
            <w:r>
              <w:rPr>
                <w:rFonts w:ascii="宋体" w:hAnsi="宋体" w:cs="宋体" w:eastAsia="宋体" w:hint="default"/>
                <w:sz w:val="18"/>
                <w:szCs w:val="18"/>
              </w:rPr>
              <w:t>投资</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90" w:right="127" w:hanging="452"/>
              <w:jc w:val="left"/>
              <w:rPr>
                <w:rFonts w:ascii="宋体" w:hAnsi="宋体" w:cs="宋体" w:eastAsia="宋体" w:hint="default"/>
                <w:sz w:val="18"/>
                <w:szCs w:val="18"/>
              </w:rPr>
            </w:pPr>
            <w:r>
              <w:rPr>
                <w:rFonts w:ascii="宋体" w:hAnsi="宋体" w:cs="宋体" w:eastAsia="宋体" w:hint="default"/>
                <w:spacing w:val="-2"/>
                <w:sz w:val="18"/>
                <w:szCs w:val="18"/>
              </w:rPr>
              <w:t>权益法下确认的投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资损益</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58" w:right="15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58" w:right="146"/>
              <w:jc w:val="left"/>
              <w:rPr>
                <w:rFonts w:ascii="宋体" w:hAnsi="宋体" w:cs="宋体" w:eastAsia="宋体" w:hint="default"/>
                <w:sz w:val="18"/>
                <w:szCs w:val="18"/>
              </w:rPr>
            </w:pPr>
            <w:r>
              <w:rPr>
                <w:rFonts w:ascii="宋体" w:hAnsi="宋体" w:cs="宋体" w:eastAsia="宋体" w:hint="default"/>
                <w:sz w:val="18"/>
                <w:szCs w:val="18"/>
              </w:rPr>
              <w:t>其他权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益变动</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07" w:right="113" w:hanging="92"/>
              <w:jc w:val="left"/>
              <w:rPr>
                <w:rFonts w:ascii="宋体" w:hAnsi="宋体" w:cs="宋体" w:eastAsia="宋体" w:hint="default"/>
                <w:sz w:val="18"/>
                <w:szCs w:val="18"/>
              </w:rPr>
            </w:pPr>
            <w:r>
              <w:rPr>
                <w:rFonts w:ascii="宋体" w:hAnsi="宋体" w:cs="宋体" w:eastAsia="宋体" w:hint="default"/>
                <w:spacing w:val="-2"/>
                <w:sz w:val="18"/>
                <w:szCs w:val="18"/>
              </w:rPr>
              <w:t>宣告发放现金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股利或利润</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53" w:right="147"/>
              <w:jc w:val="left"/>
              <w:rPr>
                <w:rFonts w:ascii="宋体" w:hAnsi="宋体" w:cs="宋体" w:eastAsia="宋体" w:hint="default"/>
                <w:sz w:val="18"/>
                <w:szCs w:val="18"/>
              </w:rPr>
            </w:pPr>
            <w:r>
              <w:rPr>
                <w:rFonts w:ascii="宋体" w:hAnsi="宋体" w:cs="宋体" w:eastAsia="宋体" w:hint="default"/>
                <w:sz w:val="18"/>
                <w:szCs w:val="18"/>
              </w:rPr>
              <w:t>计提减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值准备</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53" w:right="143"/>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1522" w:type="dxa"/>
            <w:vMerge/>
            <w:tcBorders>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00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1500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6"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38"/>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北京创新为营网络通信科技有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创新为营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z w:val="18"/>
                <w:szCs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1,723,033.28</w:t>
            </w:r>
          </w:p>
        </w:tc>
        <w:tc>
          <w:tcPr>
            <w:tcW w:w="125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53,933.01</w:t>
            </w:r>
          </w:p>
        </w:tc>
        <w:tc>
          <w:tcPr>
            <w:tcW w:w="104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1,776,966.29</w:t>
            </w: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北京企飞力网络科技有限公司</w:t>
            </w:r>
          </w:p>
          <w:p>
            <w:pPr>
              <w:pStyle w:val="TableParagraph"/>
              <w:spacing w:line="240" w:lineRule="auto" w:before="7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企飞力</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z w:val="18"/>
                <w:szCs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2,061,563.26</w:t>
            </w:r>
          </w:p>
        </w:tc>
        <w:tc>
          <w:tcPr>
            <w:tcW w:w="125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77,356.08</w:t>
            </w:r>
          </w:p>
        </w:tc>
        <w:tc>
          <w:tcPr>
            <w:tcW w:w="104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2,138,919.34</w:t>
            </w: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5" w:right="238"/>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苏州龙遨泛人工智能高科技投</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资中心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有限合伙</w:t>
            </w:r>
            <w:r>
              <w:rPr>
                <w:rFonts w:ascii="Times New Roman" w:hAnsi="Times New Roman" w:cs="Times New Roman" w:eastAsia="Times New Roman" w:hint="default"/>
                <w:spacing w:val="-3"/>
                <w:sz w:val="18"/>
                <w:szCs w:val="18"/>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18,813,058.70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16,000,000.00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-2,798,517.38</w:t>
            </w:r>
          </w:p>
        </w:tc>
        <w:tc>
          <w:tcPr>
            <w:tcW w:w="104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32,014,541.32</w:t>
            </w: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22,597,655.24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16,000,000.00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-2,667,228.29</w:t>
            </w:r>
          </w:p>
        </w:tc>
        <w:tc>
          <w:tcPr>
            <w:tcW w:w="104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35,930,426.95</w:t>
            </w: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22,597,655.24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16,000,000.00</w:t>
            </w:r>
          </w:p>
        </w:tc>
        <w:tc>
          <w:tcPr>
            <w:tcW w:w="67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-2,667,228.29</w:t>
            </w:r>
          </w:p>
        </w:tc>
        <w:tc>
          <w:tcPr>
            <w:tcW w:w="1047"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35,930,426.95</w:t>
            </w:r>
          </w:p>
        </w:tc>
        <w:tc>
          <w:tcPr>
            <w:tcW w:w="10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left="220" w:right="11058"/>
        <w:jc w:val="left"/>
      </w:pPr>
      <w:r>
        <w:rPr/>
        <w:t>其他说明</w:t>
      </w:r>
    </w:p>
    <w:p>
      <w:pPr>
        <w:pStyle w:val="BodyText"/>
        <w:spacing w:line="240" w:lineRule="auto" w:before="110"/>
        <w:ind w:left="220" w:right="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月，公司依投资协议，对苏州龙遨泛人工智能高科技投资中心</w:t>
      </w:r>
      <w:r>
        <w:rPr>
          <w:rFonts w:ascii="Times New Roman" w:hAnsi="Times New Roman" w:cs="Times New Roman" w:eastAsia="Times New Roman" w:hint="default"/>
          <w:spacing w:val="-3"/>
        </w:rPr>
        <w:t>(</w:t>
      </w:r>
      <w:r>
        <w:rPr>
          <w:spacing w:val="-3"/>
        </w:rPr>
        <w:t>有限合伙</w:t>
      </w:r>
      <w:r>
        <w:rPr>
          <w:rFonts w:ascii="Times New Roman" w:hAnsi="Times New Roman" w:cs="Times New Roman" w:eastAsia="Times New Roman" w:hint="default"/>
          <w:spacing w:val="-3"/>
        </w:rPr>
        <w:t>)</w:t>
      </w:r>
      <w:r>
        <w:rPr>
          <w:spacing w:val="-3"/>
        </w:rPr>
        <w:t>追加投资、支付投资款</w:t>
      </w:r>
      <w:r>
        <w:rPr>
          <w:rFonts w:ascii="Times New Roman" w:hAnsi="Times New Roman" w:cs="Times New Roman" w:eastAsia="Times New Roman" w:hint="default"/>
          <w:spacing w:val="-3"/>
        </w:rPr>
        <w:t>1,600</w:t>
      </w:r>
      <w:r>
        <w:rPr>
          <w:spacing w:val="-3"/>
        </w:rPr>
        <w:t>万元。</w:t>
      </w:r>
    </w:p>
    <w:p>
      <w:pPr>
        <w:spacing w:line="240" w:lineRule="auto" w:before="0"/>
        <w:rPr>
          <w:rFonts w:ascii="宋体" w:hAnsi="宋体" w:cs="宋体" w:eastAsia="宋体" w:hint="default"/>
          <w:sz w:val="26"/>
          <w:szCs w:val="26"/>
        </w:rPr>
      </w:pPr>
    </w:p>
    <w:p>
      <w:pPr>
        <w:pStyle w:val="Heading4"/>
        <w:spacing w:line="240" w:lineRule="auto"/>
        <w:ind w:left="220" w:right="11058"/>
        <w:jc w:val="left"/>
        <w:rPr>
          <w:b w:val="0"/>
          <w:bCs w:val="0"/>
        </w:rPr>
      </w:pPr>
      <w:bookmarkStart w:name="9、其他权益工具投资" w:id="256"/>
      <w:bookmarkEnd w:id="256"/>
      <w:r>
        <w:rPr>
          <w:b w:val="0"/>
          <w:bCs w:val="0"/>
        </w:rPr>
      </w:r>
      <w:r>
        <w:rPr>
          <w:rFonts w:ascii="Times New Roman" w:hAnsi="Times New Roman" w:cs="Times New Roman" w:eastAsia="Times New Roman" w:hint="default"/>
        </w:rPr>
        <w:t>9</w:t>
      </w:r>
      <w:r>
        <w:rPr/>
        <w:t>、其他权益工具投资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328"/>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4965"/>
        <w:gridCol w:w="4969"/>
        <w:gridCol w:w="4965"/>
      </w:tblGrid>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Old </w:t>
            </w:r>
            <w:r>
              <w:rPr>
                <w:rFonts w:ascii="Times New Roman"/>
                <w:spacing w:val="-3"/>
                <w:sz w:val="18"/>
              </w:rPr>
              <w:t>Dominion </w:t>
            </w:r>
            <w:r>
              <w:rPr>
                <w:rFonts w:ascii="Times New Roman"/>
                <w:sz w:val="18"/>
              </w:rPr>
              <w:t>National</w:t>
            </w:r>
            <w:r>
              <w:rPr>
                <w:rFonts w:ascii="Times New Roman"/>
                <w:spacing w:val="20"/>
                <w:sz w:val="18"/>
              </w:rPr>
              <w:t> </w:t>
            </w:r>
            <w:r>
              <w:rPr>
                <w:rFonts w:ascii="Times New Roman"/>
                <w:sz w:val="18"/>
              </w:rPr>
              <w:t>Bank</w:t>
            </w:r>
          </w:p>
        </w:tc>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13,048,982.10</w:t>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9,265,320.00</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Globetouch</w:t>
            </w:r>
            <w:r>
              <w:rPr>
                <w:rFonts w:ascii="Times New Roman"/>
                <w:spacing w:val="1"/>
                <w:sz w:val="18"/>
              </w:rPr>
              <w:t> </w:t>
            </w:r>
            <w:r>
              <w:rPr>
                <w:rFonts w:ascii="Times New Roman"/>
                <w:spacing w:val="-3"/>
                <w:sz w:val="18"/>
              </w:rPr>
              <w:t>Inc</w:t>
            </w:r>
          </w:p>
        </w:tc>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906,906.00</w:t>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22,306,086.32</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13,955,888.10</w:t>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31,571,406.32</w:t>
            </w:r>
          </w:p>
        </w:tc>
      </w:tr>
    </w:tbl>
    <w:p>
      <w:pPr>
        <w:pStyle w:val="BodyText"/>
        <w:spacing w:line="240" w:lineRule="auto" w:before="58"/>
        <w:ind w:left="7410" w:right="7518"/>
        <w:jc w:val="center"/>
        <w:rPr>
          <w:rFonts w:ascii="Times New Roman" w:hAnsi="Times New Roman" w:cs="Times New Roman" w:eastAsia="Times New Roman" w:hint="default"/>
        </w:rPr>
      </w:pPr>
      <w:r>
        <w:rPr>
          <w:rFonts w:ascii="Times New Roman"/>
        </w:rPr>
        <w:t>128</w: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spacing w:line="371" w:lineRule="exact"/>
        <w:ind w:left="1092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23"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100" w:bottom="1220" w:left="860" w:right="740"/>
        </w:sect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65"/>
        <w:ind w:right="858"/>
        <w:jc w:val="left"/>
      </w:pPr>
      <w:r>
        <w:rPr>
          <w:spacing w:val="-3"/>
        </w:rPr>
        <w:t>分项披露本期非交易性权益工具投资</w:t>
      </w:r>
    </w:p>
    <w:p>
      <w:pPr>
        <w:pStyle w:val="BodyText"/>
        <w:spacing w:line="240" w:lineRule="auto" w:before="115"/>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1369"/>
        <w:gridCol w:w="1368"/>
        <w:gridCol w:w="1369"/>
        <w:gridCol w:w="1368"/>
        <w:gridCol w:w="1364"/>
        <w:gridCol w:w="1369"/>
        <w:gridCol w:w="1368"/>
      </w:tblGrid>
      <w:tr>
        <w:trPr>
          <w:trHeight w:val="165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590" w:right="132" w:hanging="452"/>
              <w:jc w:val="left"/>
              <w:rPr>
                <w:rFonts w:ascii="宋体" w:hAnsi="宋体" w:cs="宋体" w:eastAsia="宋体" w:hint="default"/>
                <w:sz w:val="18"/>
                <w:szCs w:val="18"/>
              </w:rPr>
            </w:pPr>
            <w:r>
              <w:rPr>
                <w:rFonts w:ascii="宋体" w:hAnsi="宋体" w:cs="宋体" w:eastAsia="宋体" w:hint="default"/>
                <w:spacing w:val="-2"/>
                <w:sz w:val="18"/>
                <w:szCs w:val="18"/>
              </w:rPr>
              <w:t>确认的股利收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134" w:right="132"/>
              <w:jc w:val="center"/>
              <w:rPr>
                <w:rFonts w:ascii="宋体" w:hAnsi="宋体" w:cs="宋体" w:eastAsia="宋体" w:hint="default"/>
                <w:sz w:val="18"/>
                <w:szCs w:val="18"/>
              </w:rPr>
            </w:pPr>
            <w:r>
              <w:rPr>
                <w:rFonts w:ascii="宋体" w:hAnsi="宋体" w:cs="宋体" w:eastAsia="宋体" w:hint="default"/>
                <w:spacing w:val="-2"/>
                <w:sz w:val="18"/>
                <w:szCs w:val="18"/>
              </w:rPr>
              <w:t>其他综合收益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转入留存收益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39" w:right="132"/>
              <w:jc w:val="center"/>
              <w:rPr>
                <w:rFonts w:ascii="宋体" w:hAnsi="宋体" w:cs="宋体" w:eastAsia="宋体" w:hint="default"/>
                <w:sz w:val="18"/>
                <w:szCs w:val="18"/>
              </w:rPr>
            </w:pPr>
            <w:r>
              <w:rPr>
                <w:rFonts w:ascii="宋体" w:hAnsi="宋体" w:cs="宋体" w:eastAsia="宋体" w:hint="default"/>
                <w:spacing w:val="-2"/>
                <w:sz w:val="18"/>
                <w:szCs w:val="18"/>
              </w:rPr>
              <w:t>指定为以公允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价值计量且其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变动计入其他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综合收益的原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139" w:right="132"/>
              <w:jc w:val="center"/>
              <w:rPr>
                <w:rFonts w:ascii="宋体" w:hAnsi="宋体" w:cs="宋体" w:eastAsia="宋体" w:hint="default"/>
                <w:sz w:val="18"/>
                <w:szCs w:val="18"/>
              </w:rPr>
            </w:pPr>
            <w:r>
              <w:rPr>
                <w:rFonts w:ascii="宋体" w:hAnsi="宋体" w:cs="宋体" w:eastAsia="宋体" w:hint="default"/>
                <w:spacing w:val="-2"/>
                <w:sz w:val="18"/>
                <w:szCs w:val="18"/>
              </w:rPr>
              <w:t>其他综合收益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转入留存收益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的原因</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96"/>
              <w:ind w:left="100" w:right="206"/>
              <w:jc w:val="left"/>
              <w:rPr>
                <w:rFonts w:ascii="Times New Roman" w:hAnsi="Times New Roman" w:cs="Times New Roman" w:eastAsia="Times New Roman" w:hint="default"/>
                <w:sz w:val="18"/>
                <w:szCs w:val="18"/>
              </w:rPr>
            </w:pPr>
            <w:r>
              <w:rPr>
                <w:rFonts w:ascii="Times New Roman"/>
                <w:sz w:val="18"/>
              </w:rPr>
              <w:t>Old</w:t>
            </w:r>
            <w:r>
              <w:rPr>
                <w:rFonts w:ascii="Times New Roman"/>
                <w:spacing w:val="14"/>
                <w:sz w:val="18"/>
              </w:rPr>
              <w:t> </w:t>
            </w:r>
            <w:r>
              <w:rPr>
                <w:rFonts w:ascii="Times New Roman"/>
                <w:spacing w:val="-3"/>
                <w:sz w:val="18"/>
              </w:rPr>
              <w:t>Dominion</w:t>
            </w:r>
            <w:r>
              <w:rPr>
                <w:rFonts w:ascii="Times New Roman"/>
                <w:spacing w:val="-40"/>
                <w:sz w:val="18"/>
              </w:rPr>
              <w:t> </w:t>
            </w:r>
            <w:r>
              <w:rPr>
                <w:rFonts w:ascii="Times New Roman"/>
                <w:spacing w:val="-40"/>
                <w:sz w:val="18"/>
              </w:rPr>
            </w:r>
            <w:r>
              <w:rPr>
                <w:rFonts w:ascii="Times New Roman"/>
                <w:sz w:val="18"/>
              </w:rPr>
              <w:t>National</w:t>
            </w:r>
            <w:r>
              <w:rPr>
                <w:rFonts w:ascii="Times New Roman"/>
                <w:spacing w:val="1"/>
                <w:sz w:val="18"/>
              </w:rPr>
              <w:t> </w:t>
            </w:r>
            <w:r>
              <w:rPr>
                <w:rFonts w:ascii="Times New Roman"/>
                <w:sz w:val="18"/>
              </w:rPr>
              <w:t>Bank</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4,677,542.10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非交易性投资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3"/>
              <w:jc w:val="center"/>
              <w:rPr>
                <w:rFonts w:ascii="Times New Roman" w:hAnsi="Times New Roman" w:cs="Times New Roman" w:eastAsia="Times New Roman" w:hint="default"/>
                <w:sz w:val="18"/>
                <w:szCs w:val="18"/>
              </w:rPr>
            </w:pPr>
            <w:r>
              <w:rPr>
                <w:rFonts w:ascii="Times New Roman"/>
                <w:sz w:val="18"/>
              </w:rPr>
              <w:t>Globetouch</w:t>
            </w:r>
            <w:r>
              <w:rPr>
                <w:rFonts w:ascii="Times New Roman"/>
                <w:spacing w:val="1"/>
                <w:sz w:val="18"/>
              </w:rPr>
              <w:t> </w:t>
            </w:r>
            <w:r>
              <w:rPr>
                <w:rFonts w:ascii="Times New Roman"/>
                <w:spacing w:val="-3"/>
                <w:sz w:val="18"/>
              </w:rPr>
              <w:t>Inc</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5" w:right="0"/>
              <w:jc w:val="left"/>
              <w:rPr>
                <w:rFonts w:ascii="Times New Roman" w:hAnsi="Times New Roman" w:cs="Times New Roman" w:eastAsia="Times New Roman" w:hint="default"/>
                <w:sz w:val="18"/>
                <w:szCs w:val="18"/>
              </w:rPr>
            </w:pPr>
            <w:r>
              <w:rPr>
                <w:rFonts w:ascii="Times New Roman"/>
                <w:sz w:val="18"/>
              </w:rPr>
              <w:t>20,021,673.07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非交易性投资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52" w:lineRule="auto" w:before="53"/>
        <w:ind w:right="7507"/>
        <w:jc w:val="left"/>
      </w:pPr>
      <w:r>
        <w:rPr/>
        <w:t>其他说明：</w:t>
      </w:r>
      <w:r>
        <w:rPr>
          <w:w w:val="101"/>
        </w:rPr>
        <w:t> </w:t>
      </w:r>
      <w:r>
        <w:rPr>
          <w:spacing w:val="-3"/>
        </w:rPr>
        <w:t>注：公允价值的确定详见附注十一。</w:t>
      </w:r>
    </w:p>
    <w:p>
      <w:pPr>
        <w:spacing w:line="240" w:lineRule="auto" w:before="7"/>
        <w:rPr>
          <w:rFonts w:ascii="宋体" w:hAnsi="宋体" w:cs="宋体" w:eastAsia="宋体" w:hint="default"/>
          <w:sz w:val="20"/>
          <w:szCs w:val="20"/>
        </w:rPr>
      </w:pPr>
    </w:p>
    <w:p>
      <w:pPr>
        <w:pStyle w:val="Heading4"/>
        <w:spacing w:line="240" w:lineRule="auto"/>
        <w:ind w:right="858"/>
        <w:jc w:val="left"/>
        <w:rPr>
          <w:b w:val="0"/>
          <w:bCs w:val="0"/>
        </w:rPr>
      </w:pPr>
      <w:bookmarkStart w:name="10、其他非流动金融资产" w:id="257"/>
      <w:bookmarkEnd w:id="257"/>
      <w:r>
        <w:rPr>
          <w:b w:val="0"/>
          <w:bCs w:val="0"/>
        </w:rPr>
      </w:r>
      <w:r>
        <w:rPr>
          <w:rFonts w:ascii="Times New Roman" w:hAnsi="Times New Roman" w:cs="Times New Roman" w:eastAsia="Times New Roman" w:hint="default"/>
        </w:rPr>
        <w:t>10</w:t>
      </w:r>
      <w:r>
        <w:rPr/>
        <w:t>、其他非流动金融资产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北京致远互联软件股份有限公司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198,919,700.00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68,222,000.00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pacing w:val="-3"/>
                <w:sz w:val="18"/>
                <w:szCs w:val="18"/>
              </w:rPr>
              <w:t>北京首都在线科技股份有限公司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66,381,000.00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32,850,000.00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飞书数字科技</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北京朝歌数码科技股份有限公司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38,852,000.00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29,400,000.00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pacing w:val="-5"/>
                <w:sz w:val="18"/>
              </w:rPr>
              <w:t>Yulore </w:t>
            </w:r>
            <w:r>
              <w:rPr>
                <w:rFonts w:ascii="Times New Roman"/>
                <w:spacing w:val="-3"/>
                <w:sz w:val="18"/>
              </w:rPr>
              <w:t>Technology</w:t>
            </w:r>
            <w:r>
              <w:rPr>
                <w:rFonts w:ascii="Times New Roman"/>
                <w:spacing w:val="20"/>
                <w:sz w:val="18"/>
              </w:rPr>
              <w:t> </w:t>
            </w:r>
            <w:r>
              <w:rPr>
                <w:rFonts w:ascii="Times New Roman"/>
                <w:sz w:val="18"/>
              </w:rPr>
              <w:t>Limited</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37,606,601.34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36,244,559.20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pacing w:val="-3"/>
                <w:sz w:val="18"/>
                <w:szCs w:val="18"/>
              </w:rPr>
              <w:t>北京慧友云商科技有限公司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25,193,500.00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23,632,800.00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406,952,801.34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190,349,359.20</w:t>
            </w:r>
          </w:p>
        </w:tc>
      </w:tr>
    </w:tbl>
    <w:p>
      <w:pPr>
        <w:pStyle w:val="BodyText"/>
        <w:spacing w:line="357" w:lineRule="auto" w:before="53"/>
        <w:ind w:right="7507"/>
        <w:jc w:val="left"/>
      </w:pPr>
      <w:r>
        <w:rPr/>
        <w:t>其他说明：</w:t>
      </w:r>
      <w:r>
        <w:rPr>
          <w:w w:val="101"/>
        </w:rPr>
        <w:t> </w:t>
      </w:r>
      <w:r>
        <w:rPr>
          <w:spacing w:val="-3"/>
        </w:rPr>
        <w:t>注：公允价值的确定详见附注十一。</w:t>
      </w:r>
    </w:p>
    <w:p>
      <w:pPr>
        <w:spacing w:line="240" w:lineRule="auto" w:before="4"/>
        <w:rPr>
          <w:rFonts w:ascii="宋体" w:hAnsi="宋体" w:cs="宋体" w:eastAsia="宋体" w:hint="default"/>
          <w:sz w:val="20"/>
          <w:szCs w:val="20"/>
        </w:rPr>
      </w:pPr>
    </w:p>
    <w:p>
      <w:pPr>
        <w:pStyle w:val="Heading4"/>
        <w:spacing w:line="240" w:lineRule="auto"/>
        <w:ind w:right="858"/>
        <w:jc w:val="left"/>
        <w:rPr>
          <w:b w:val="0"/>
          <w:bCs w:val="0"/>
        </w:rPr>
      </w:pPr>
      <w:bookmarkStart w:name="11、投资性房地产" w:id="258"/>
      <w:bookmarkEnd w:id="258"/>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858"/>
        <w:jc w:val="left"/>
        <w:rPr>
          <w:b w:val="0"/>
          <w:bCs w:val="0"/>
        </w:rPr>
      </w:pPr>
      <w:bookmarkStart w:name="（1）采用成本计量模式的投资性房地产" w:id="259"/>
      <w:bookmarkEnd w:id="259"/>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85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1"/>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34,188,267.34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8,194,660.80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42,382,928.14</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686,236.14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134,922.00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821,158.14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123,339.22</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123,339.22</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0" w:right="98" w:firstLine="331"/>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）存货</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固定资</w:t>
            </w:r>
            <w:r>
              <w:rPr>
                <w:rFonts w:ascii="宋体" w:hAnsi="宋体" w:cs="宋体" w:eastAsia="宋体" w:hint="default"/>
                <w:w w:val="101"/>
                <w:sz w:val="18"/>
                <w:szCs w:val="18"/>
              </w:rPr>
              <w:t> </w:t>
            </w:r>
            <w:r>
              <w:rPr>
                <w:rFonts w:ascii="宋体" w:hAnsi="宋体" w:cs="宋体" w:eastAsia="宋体" w:hint="default"/>
                <w:sz w:val="18"/>
                <w:szCs w:val="18"/>
              </w:rPr>
              <w:t>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3"/>
          <w:pgSz w:w="11910" w:h="16840"/>
          <w:pgMar w:footer="1022" w:header="0" w:top="1100" w:bottom="1220" w:left="740" w:right="0"/>
          <w:pgNumType w:start="129"/>
        </w:sectPr>
      </w:pPr>
    </w:p>
    <w:tbl>
      <w:tblPr>
        <w:tblW w:w="0" w:type="auto"/>
        <w:jc w:val="left"/>
        <w:tblInd w:w="129"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9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59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6"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）企业合并增</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加</w:t>
            </w:r>
            <w:r>
              <w:rPr>
                <w:rFonts w:ascii="宋体" w:hAnsi="宋体" w:cs="宋体" w:eastAsia="宋体" w:hint="default"/>
                <w:sz w:val="18"/>
                <w:szCs w:val="18"/>
              </w:rPr>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4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汇率变动影响</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pacing w:val="-1"/>
                <w:sz w:val="18"/>
              </w:rPr>
              <w:t>562,896.92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4"/>
              <w:jc w:val="right"/>
              <w:rPr>
                <w:rFonts w:ascii="Times New Roman" w:hAnsi="Times New Roman" w:cs="Times New Roman" w:eastAsia="Times New Roman" w:hint="default"/>
                <w:sz w:val="18"/>
                <w:szCs w:val="18"/>
              </w:rPr>
            </w:pPr>
            <w:r>
              <w:rPr>
                <w:rFonts w:ascii="Times New Roman"/>
                <w:spacing w:val="-1"/>
                <w:sz w:val="18"/>
              </w:rPr>
              <w:t>134,922.00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Times New Roman" w:hAnsi="Times New Roman" w:cs="Times New Roman" w:eastAsia="Times New Roman" w:hint="default"/>
                <w:sz w:val="18"/>
                <w:szCs w:val="18"/>
              </w:rPr>
            </w:pPr>
            <w:r>
              <w:rPr>
                <w:rFonts w:ascii="Times New Roman"/>
                <w:spacing w:val="-1"/>
                <w:sz w:val="18"/>
              </w:rPr>
              <w:t>697,818.92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34,874,503.48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8,329,582.80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43,204,086.28</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100" w:right="175"/>
              <w:jc w:val="left"/>
              <w:rPr>
                <w:rFonts w:ascii="宋体" w:hAnsi="宋体" w:cs="宋体" w:eastAsia="宋体" w:hint="default"/>
                <w:sz w:val="18"/>
                <w:szCs w:val="18"/>
              </w:rPr>
            </w:pPr>
            <w:r>
              <w:rPr>
                <w:rFonts w:ascii="宋体" w:hAnsi="宋体" w:cs="宋体" w:eastAsia="宋体" w:hint="default"/>
                <w:spacing w:val="-3"/>
                <w:sz w:val="18"/>
                <w:szCs w:val="18"/>
              </w:rPr>
              <w:t>二、累计折旧和累计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摊销</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2,995,125.81</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2,995,125.81</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944,773.97</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944,773.97</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9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）计提或摊销</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pacing w:val="-1"/>
                <w:sz w:val="18"/>
              </w:rPr>
              <w:t>884,450.66</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Times New Roman" w:hAnsi="Times New Roman" w:cs="Times New Roman" w:eastAsia="Times New Roman" w:hint="default"/>
                <w:sz w:val="18"/>
                <w:szCs w:val="18"/>
              </w:rPr>
            </w:pPr>
            <w:r>
              <w:rPr>
                <w:rFonts w:ascii="Times New Roman"/>
                <w:spacing w:val="-1"/>
                <w:sz w:val="18"/>
              </w:rPr>
              <w:t>884,450.66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4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汇率变动影响</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60,323.31</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60,323.31</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3,939,899.78</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3,939,899.78</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99"/>
              <w:jc w:val="righ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0"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30,934,603.70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8,329,582.80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39,264,186.50</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31,193,141.53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8,194,660.80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39,387,802.33</w:t>
            </w:r>
          </w:p>
        </w:tc>
      </w:tr>
    </w:tbl>
    <w:p>
      <w:pPr>
        <w:spacing w:line="240" w:lineRule="auto" w:before="6"/>
        <w:rPr>
          <w:rFonts w:ascii="宋体" w:hAnsi="宋体" w:cs="宋体" w:eastAsia="宋体" w:hint="default"/>
          <w:sz w:val="18"/>
          <w:szCs w:val="18"/>
        </w:rPr>
      </w:pPr>
    </w:p>
    <w:p>
      <w:pPr>
        <w:pStyle w:val="Heading4"/>
        <w:spacing w:line="240" w:lineRule="auto" w:before="36"/>
        <w:ind w:right="858"/>
        <w:jc w:val="left"/>
        <w:rPr>
          <w:b w:val="0"/>
          <w:bCs w:val="0"/>
        </w:rPr>
      </w:pPr>
      <w:bookmarkStart w:name="（2）采用公允价值计量模式的投资性房地产" w:id="260"/>
      <w:bookmarkEnd w:id="260"/>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85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right="858"/>
        <w:jc w:val="left"/>
        <w:rPr>
          <w:b w:val="0"/>
          <w:bCs w:val="0"/>
        </w:rPr>
      </w:pPr>
      <w:bookmarkStart w:name="（3）未办妥产权证书的投资性房地产情况:无" w:id="261"/>
      <w:bookmarkEnd w:id="261"/>
      <w:r>
        <w:rPr>
          <w:b w:val="0"/>
          <w:bCs w:val="0"/>
        </w:rPr>
      </w:r>
      <w:r>
        <w:rPr/>
        <w:t>（</w:t>
      </w:r>
      <w:r>
        <w:rPr>
          <w:rFonts w:ascii="Times New Roman" w:hAnsi="Times New Roman" w:cs="Times New Roman" w:eastAsia="Times New Roman" w:hint="default"/>
        </w:rPr>
        <w:t>3</w:t>
      </w:r>
      <w:r>
        <w:rPr/>
        <w:t>）未办妥产权证书的投资性房地产情况</w:t>
      </w:r>
      <w:r>
        <w:rPr>
          <w:rFonts w:ascii="Times New Roman" w:hAnsi="Times New Roman" w:cs="Times New Roman" w:eastAsia="Times New Roman" w:hint="default"/>
        </w:rPr>
        <w:t>:</w:t>
      </w:r>
      <w:r>
        <w:rPr/>
        <w:t>无</w:t>
      </w:r>
      <w:r>
        <w:rPr>
          <w:b w:val="0"/>
          <w:bCs w:val="0"/>
        </w:rPr>
      </w:r>
    </w:p>
    <w:p>
      <w:pPr>
        <w:spacing w:line="240" w:lineRule="auto" w:before="1"/>
        <w:rPr>
          <w:rFonts w:ascii="宋体" w:hAnsi="宋体" w:cs="宋体" w:eastAsia="宋体" w:hint="default"/>
          <w:b/>
          <w:bCs/>
          <w:sz w:val="27"/>
          <w:szCs w:val="27"/>
        </w:rPr>
      </w:pPr>
    </w:p>
    <w:p>
      <w:pPr>
        <w:pStyle w:val="BodyText"/>
        <w:spacing w:line="352" w:lineRule="auto"/>
        <w:ind w:right="10290"/>
        <w:jc w:val="left"/>
      </w:pPr>
      <w:r>
        <w:rPr/>
        <w:t>其他说明</w:t>
      </w:r>
      <w:r>
        <w:rPr>
          <w:spacing w:val="-86"/>
        </w:rPr>
        <w:t> </w:t>
      </w:r>
      <w:r>
        <w:rPr>
          <w:spacing w:val="-86"/>
        </w:rPr>
      </w:r>
      <w:r>
        <w:rPr/>
        <w:t>无</w:t>
      </w:r>
    </w:p>
    <w:p>
      <w:pPr>
        <w:spacing w:after="0" w:line="352" w:lineRule="auto"/>
        <w:jc w:val="left"/>
        <w:sectPr>
          <w:pgSz w:w="11910" w:h="16840"/>
          <w:pgMar w:header="0" w:footer="1022" w:top="1180" w:bottom="1220" w:left="740" w:right="0"/>
        </w:sectPr>
      </w:pPr>
    </w:p>
    <w:p>
      <w:pPr>
        <w:spacing w:line="20" w:lineRule="exact"/>
        <w:ind w:left="2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234" w:right="7211"/>
        <w:jc w:val="left"/>
        <w:rPr>
          <w:b w:val="0"/>
          <w:bCs w:val="0"/>
        </w:rPr>
      </w:pPr>
      <w:bookmarkStart w:name="12、固定资产" w:id="262"/>
      <w:bookmarkEnd w:id="262"/>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138,560,499.70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152,689,452.45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138,560,499.70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152,689,452.45</w:t>
            </w:r>
          </w:p>
        </w:tc>
      </w:tr>
    </w:tbl>
    <w:p>
      <w:pPr>
        <w:spacing w:line="240" w:lineRule="auto" w:before="3"/>
        <w:rPr>
          <w:rFonts w:ascii="宋体" w:hAnsi="宋体" w:cs="宋体" w:eastAsia="宋体" w:hint="default"/>
          <w:sz w:val="19"/>
          <w:szCs w:val="19"/>
        </w:rPr>
      </w:pPr>
    </w:p>
    <w:p>
      <w:pPr>
        <w:pStyle w:val="Heading4"/>
        <w:spacing w:line="240" w:lineRule="auto" w:before="36"/>
        <w:ind w:left="234" w:right="7211"/>
        <w:jc w:val="left"/>
        <w:rPr>
          <w:b w:val="0"/>
          <w:bCs w:val="0"/>
        </w:rPr>
      </w:pPr>
      <w:bookmarkStart w:name="（1）固定资产情况" w:id="263"/>
      <w:bookmarkEnd w:id="26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372"/>
        <w:gridCol w:w="2271"/>
        <w:gridCol w:w="1512"/>
        <w:gridCol w:w="1307"/>
        <w:gridCol w:w="1412"/>
        <w:gridCol w:w="1508"/>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0" w:right="0"/>
              <w:jc w:val="left"/>
              <w:rPr>
                <w:rFonts w:ascii="宋体" w:hAnsi="宋体" w:cs="宋体" w:eastAsia="宋体" w:hint="default"/>
                <w:sz w:val="18"/>
                <w:szCs w:val="18"/>
              </w:rPr>
            </w:pPr>
            <w:r>
              <w:rPr>
                <w:rFonts w:ascii="宋体" w:hAnsi="宋体" w:cs="宋体" w:eastAsia="宋体" w:hint="default"/>
                <w:sz w:val="18"/>
                <w:szCs w:val="18"/>
              </w:rPr>
              <w:t>房屋及建筑物、构筑物</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227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37,704,760.07</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345,998,021.10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2,885,651.68</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13,130,427.16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399,718,860.01</w:t>
            </w:r>
          </w:p>
        </w:tc>
      </w:tr>
      <w:tr>
        <w:trPr>
          <w:trHeight w:val="398"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27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18,196,851.73</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1,375,141.62</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577,378.01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20,149,371.36</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27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16,014,079.86</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1,366,163.72</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470,775.63</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17,851,019.21</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8"/>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227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1,378,350.57</w:t>
            </w:r>
          </w:p>
        </w:tc>
        <w:tc>
          <w:tcPr>
            <w:tcW w:w="1307"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1,378,350.57</w:t>
            </w:r>
          </w:p>
        </w:tc>
      </w:tr>
      <w:tr>
        <w:trPr>
          <w:trHeight w:val="404"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58"/>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227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汇率变动影响</w:t>
            </w:r>
          </w:p>
        </w:tc>
        <w:tc>
          <w:tcPr>
            <w:tcW w:w="227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804,421.30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8,977.90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106,602.38</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920,001.58</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27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10,214,267.38</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357,568.00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254,624.71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10,826,460.09</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27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10,214,267.38</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357,568.00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254,624.71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10,826,460.09</w:t>
            </w:r>
          </w:p>
        </w:tc>
      </w:tr>
      <w:tr>
        <w:trPr>
          <w:trHeight w:val="404"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37,704,760.07</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353,980,605.45</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3,903,225.30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13,453,180.46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409,041,771.28</w:t>
            </w:r>
          </w:p>
        </w:tc>
      </w:tr>
      <w:tr>
        <w:trPr>
          <w:trHeight w:val="398"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27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13,443,278.02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217,606,548.72</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2,419,571.73</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11,603,973.37</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245,073,371.84</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737,463.46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32,232,794.19</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145,871.95</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593,776.21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33,709,905.81</w:t>
            </w:r>
          </w:p>
        </w:tc>
      </w:tr>
      <w:tr>
        <w:trPr>
          <w:trHeight w:val="404"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737,463.46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31,626,146.38</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142,265.98</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501,121.76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33,006,997.58</w:t>
            </w:r>
          </w:p>
        </w:tc>
      </w:tr>
      <w:tr>
        <w:trPr>
          <w:trHeight w:val="398"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汇率变动影响</w:t>
            </w:r>
          </w:p>
        </w:tc>
        <w:tc>
          <w:tcPr>
            <w:tcW w:w="227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606,647.81</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3,605.97</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92,654.45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702,908.23</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27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9,361,059.92</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339,689.60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240,693.91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9,941,443.43</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27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9,361,059.92</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339,689.60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240,693.91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9,941,443.43</w:t>
            </w:r>
          </w:p>
        </w:tc>
      </w:tr>
      <w:tr>
        <w:trPr>
          <w:trHeight w:val="404"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14,180,741.48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240,478,282.99</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2,225,754.08</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11,957,055.67</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268,841,834.22</w:t>
            </w:r>
          </w:p>
        </w:tc>
      </w:tr>
      <w:tr>
        <w:trPr>
          <w:trHeight w:val="398"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27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27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1,930,237.08</w:t>
            </w:r>
          </w:p>
        </w:tc>
        <w:tc>
          <w:tcPr>
            <w:tcW w:w="1307"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25,798.64</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1,956,035.72</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27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27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27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316,598.36</w:t>
            </w:r>
          </w:p>
        </w:tc>
        <w:tc>
          <w:tcPr>
            <w:tcW w:w="1307"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316,598.36</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27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316,598.36</w:t>
            </w:r>
          </w:p>
        </w:tc>
        <w:tc>
          <w:tcPr>
            <w:tcW w:w="1307"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316,598.36</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27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1,613,638.72</w:t>
            </w:r>
          </w:p>
        </w:tc>
        <w:tc>
          <w:tcPr>
            <w:tcW w:w="1307"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25,798.64</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1,639,437.36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00" w:bottom="1220" w:left="640" w:right="0"/>
        </w:sectPr>
      </w:pPr>
    </w:p>
    <w:p>
      <w:pPr>
        <w:spacing w:line="20" w:lineRule="exact"/>
        <w:ind w:left="2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372"/>
        <w:gridCol w:w="2271"/>
        <w:gridCol w:w="1512"/>
        <w:gridCol w:w="1307"/>
        <w:gridCol w:w="1412"/>
        <w:gridCol w:w="1508"/>
      </w:tblGrid>
      <w:tr>
        <w:trPr>
          <w:trHeight w:val="398"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房屋及建筑物、构筑物</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27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5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期末账面价值</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23,524,018.59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111,888,683.74</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1,677,471.22</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0" w:right="0"/>
              <w:jc w:val="left"/>
              <w:rPr>
                <w:rFonts w:ascii="Times New Roman" w:hAnsi="Times New Roman" w:cs="Times New Roman" w:eastAsia="Times New Roman" w:hint="default"/>
                <w:sz w:val="18"/>
                <w:szCs w:val="18"/>
              </w:rPr>
            </w:pPr>
            <w:r>
              <w:rPr>
                <w:rFonts w:ascii="Times New Roman"/>
                <w:sz w:val="18"/>
              </w:rPr>
              <w:t>1,470,326.15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138,560,499.70</w:t>
            </w:r>
          </w:p>
        </w:tc>
      </w:tr>
      <w:tr>
        <w:trPr>
          <w:trHeight w:val="404"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85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期初账面价值</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24,261,482.05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126,461,235.30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466,079.95</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0" w:right="0"/>
              <w:jc w:val="left"/>
              <w:rPr>
                <w:rFonts w:ascii="Times New Roman" w:hAnsi="Times New Roman" w:cs="Times New Roman" w:eastAsia="Times New Roman" w:hint="default"/>
                <w:sz w:val="18"/>
                <w:szCs w:val="18"/>
              </w:rPr>
            </w:pPr>
            <w:r>
              <w:rPr>
                <w:rFonts w:ascii="Times New Roman"/>
                <w:sz w:val="18"/>
              </w:rPr>
              <w:t>1,500,655.15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152,689,452.45</w:t>
            </w:r>
          </w:p>
        </w:tc>
      </w:tr>
    </w:tbl>
    <w:p>
      <w:pPr>
        <w:spacing w:line="240" w:lineRule="auto" w:before="3"/>
        <w:rPr>
          <w:rFonts w:ascii="宋体" w:hAnsi="宋体" w:cs="宋体" w:eastAsia="宋体" w:hint="default"/>
          <w:sz w:val="19"/>
          <w:szCs w:val="19"/>
        </w:rPr>
      </w:pPr>
    </w:p>
    <w:p>
      <w:pPr>
        <w:pStyle w:val="Heading4"/>
        <w:spacing w:line="240" w:lineRule="auto" w:before="36"/>
        <w:ind w:left="234" w:right="7211"/>
        <w:jc w:val="left"/>
        <w:rPr>
          <w:b w:val="0"/>
          <w:bCs w:val="0"/>
        </w:rPr>
      </w:pPr>
      <w:bookmarkStart w:name="（2）暂时闲置的固定资产情况:无" w:id="264"/>
      <w:bookmarkEnd w:id="264"/>
      <w:r>
        <w:rPr>
          <w:b w:val="0"/>
          <w:bCs w:val="0"/>
        </w:rPr>
      </w:r>
      <w:r>
        <w:rPr/>
        <w:t>（</w:t>
      </w:r>
      <w:r>
        <w:rPr>
          <w:rFonts w:ascii="Times New Roman" w:hAnsi="Times New Roman" w:cs="Times New Roman" w:eastAsia="Times New Roman" w:hint="default"/>
        </w:rPr>
        <w:t>2</w:t>
      </w:r>
      <w:r>
        <w:rPr/>
        <w:t>）暂时闲置的固定资产情况</w:t>
      </w:r>
      <w:r>
        <w:rPr>
          <w:rFonts w:ascii="Times New Roman" w:hAnsi="Times New Roman" w:cs="Times New Roman" w:eastAsia="Times New Roman" w:hint="default"/>
        </w:rPr>
        <w:t>:</w:t>
      </w:r>
      <w:r>
        <w:rPr/>
        <w:t>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234" w:right="714"/>
        <w:jc w:val="left"/>
        <w:rPr>
          <w:b w:val="0"/>
          <w:bCs w:val="0"/>
        </w:rPr>
      </w:pPr>
      <w:bookmarkStart w:name="（3）通过融资租赁租入的固定资产情况:无" w:id="265"/>
      <w:bookmarkEnd w:id="265"/>
      <w:r>
        <w:rPr>
          <w:b w:val="0"/>
          <w:bCs w:val="0"/>
        </w:rPr>
      </w:r>
      <w:r>
        <w:rPr/>
        <w:t>（</w:t>
      </w:r>
      <w:r>
        <w:rPr>
          <w:rFonts w:ascii="Times New Roman" w:hAnsi="Times New Roman" w:cs="Times New Roman" w:eastAsia="Times New Roman" w:hint="default"/>
        </w:rPr>
        <w:t>3</w:t>
      </w:r>
      <w:r>
        <w:rPr/>
        <w:t>）通过融资租赁租入的固定资产情况</w:t>
      </w:r>
      <w:r>
        <w:rPr>
          <w:rFonts w:ascii="Times New Roman" w:hAnsi="Times New Roman" w:cs="Times New Roman" w:eastAsia="Times New Roman" w:hint="default"/>
        </w:rPr>
        <w:t>:</w:t>
      </w:r>
      <w:r>
        <w:rPr/>
        <w:t>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34" w:right="7211"/>
        <w:jc w:val="left"/>
        <w:rPr>
          <w:b w:val="0"/>
          <w:bCs w:val="0"/>
        </w:rPr>
      </w:pPr>
      <w:bookmarkStart w:name="（4）通过经营租赁租出的固定资产:无" w:id="266"/>
      <w:bookmarkEnd w:id="266"/>
      <w:r>
        <w:rPr>
          <w:b w:val="0"/>
          <w:bCs w:val="0"/>
        </w:rPr>
      </w:r>
      <w:r>
        <w:rPr/>
        <w:t>（</w:t>
      </w:r>
      <w:r>
        <w:rPr>
          <w:rFonts w:ascii="Times New Roman" w:hAnsi="Times New Roman" w:cs="Times New Roman" w:eastAsia="Times New Roman" w:hint="default"/>
        </w:rPr>
        <w:t>4</w:t>
      </w:r>
      <w:r>
        <w:rPr/>
        <w:t>）通过经营租赁租出的固定资产</w:t>
      </w:r>
      <w:r>
        <w:rPr>
          <w:rFonts w:ascii="Times New Roman" w:hAnsi="Times New Roman" w:cs="Times New Roman" w:eastAsia="Times New Roman" w:hint="default"/>
        </w:rPr>
        <w:t>:</w:t>
      </w:r>
      <w:r>
        <w:rPr/>
        <w:t>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34" w:right="7211"/>
        <w:jc w:val="left"/>
        <w:rPr>
          <w:b w:val="0"/>
          <w:bCs w:val="0"/>
        </w:rPr>
      </w:pPr>
      <w:bookmarkStart w:name="（5）未办妥产权证书的固定资产情况:无" w:id="267"/>
      <w:bookmarkEnd w:id="267"/>
      <w:r>
        <w:rPr>
          <w:b w:val="0"/>
          <w:bCs w:val="0"/>
        </w:rPr>
      </w:r>
      <w:r>
        <w:rPr/>
        <w:t>（</w:t>
      </w:r>
      <w:r>
        <w:rPr>
          <w:rFonts w:ascii="Times New Roman" w:hAnsi="Times New Roman" w:cs="Times New Roman" w:eastAsia="Times New Roman" w:hint="default"/>
        </w:rPr>
        <w:t>5</w:t>
      </w:r>
      <w:r>
        <w:rPr/>
        <w:t>）未办妥产权证书的固定资产情况</w:t>
      </w:r>
      <w:r>
        <w:rPr>
          <w:rFonts w:ascii="Times New Roman" w:hAnsi="Times New Roman" w:cs="Times New Roman" w:eastAsia="Times New Roman" w:hint="default"/>
        </w:rPr>
        <w:t>:</w:t>
      </w:r>
      <w:r>
        <w:rPr/>
        <w:t>无</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34" w:right="7211"/>
        <w:jc w:val="left"/>
      </w:pPr>
      <w:r>
        <w:rPr/>
        <w:t>其他说明</w:t>
      </w:r>
    </w:p>
    <w:p>
      <w:pPr>
        <w:pStyle w:val="BodyText"/>
        <w:spacing w:line="300" w:lineRule="auto" w:before="115"/>
        <w:ind w:left="594" w:right="714"/>
        <w:jc w:val="left"/>
      </w:pP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日，本集团无未办妥产权证书的固定资产</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日：无</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41"/>
        </w:rPr>
        <w:t> </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日，本集团无抵押固定资产的情况</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1"/>
        <w:ind w:left="234" w:right="7211"/>
        <w:jc w:val="left"/>
        <w:rPr>
          <w:b w:val="0"/>
          <w:bCs w:val="0"/>
        </w:rPr>
      </w:pPr>
      <w:bookmarkStart w:name="（6）固定资产清理" w:id="268"/>
      <w:bookmarkEnd w:id="268"/>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34" w:right="7211"/>
        <w:jc w:val="left"/>
      </w:pPr>
      <w:r>
        <w:rPr>
          <w:w w:val="101"/>
        </w:rPr>
        <w:t>无</w:t>
      </w:r>
      <w:r>
        <w:rPr/>
      </w:r>
    </w:p>
    <w:p>
      <w:pPr>
        <w:spacing w:line="240" w:lineRule="auto" w:before="4"/>
        <w:rPr>
          <w:rFonts w:ascii="宋体" w:hAnsi="宋体" w:cs="宋体" w:eastAsia="宋体" w:hint="default"/>
          <w:sz w:val="26"/>
          <w:szCs w:val="26"/>
        </w:rPr>
      </w:pPr>
    </w:p>
    <w:p>
      <w:pPr>
        <w:pStyle w:val="Heading4"/>
        <w:spacing w:line="240" w:lineRule="auto"/>
        <w:ind w:left="234" w:right="7211"/>
        <w:jc w:val="left"/>
        <w:rPr>
          <w:b w:val="0"/>
          <w:bCs w:val="0"/>
        </w:rPr>
      </w:pPr>
      <w:bookmarkStart w:name="13、在建工程" w:id="269"/>
      <w:bookmarkEnd w:id="269"/>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1,428,072.55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617,683.78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1,428,072.55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617,683.78</w:t>
            </w:r>
          </w:p>
        </w:tc>
      </w:tr>
    </w:tbl>
    <w:p>
      <w:pPr>
        <w:spacing w:line="240" w:lineRule="auto" w:before="3"/>
        <w:rPr>
          <w:rFonts w:ascii="宋体" w:hAnsi="宋体" w:cs="宋体" w:eastAsia="宋体" w:hint="default"/>
          <w:sz w:val="19"/>
          <w:szCs w:val="19"/>
        </w:rPr>
      </w:pPr>
    </w:p>
    <w:p>
      <w:pPr>
        <w:pStyle w:val="Heading4"/>
        <w:spacing w:line="240" w:lineRule="auto" w:before="36"/>
        <w:ind w:left="234" w:right="7211"/>
        <w:jc w:val="left"/>
        <w:rPr>
          <w:b w:val="0"/>
          <w:bCs w:val="0"/>
        </w:rPr>
      </w:pPr>
      <w:bookmarkStart w:name="（1）在建工程情况" w:id="270"/>
      <w:bookmarkEnd w:id="27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3212"/>
        <w:gridCol w:w="1335"/>
        <w:gridCol w:w="1071"/>
        <w:gridCol w:w="1335"/>
        <w:gridCol w:w="1177"/>
        <w:gridCol w:w="1076"/>
        <w:gridCol w:w="1177"/>
      </w:tblGrid>
      <w:tr>
        <w:trPr>
          <w:trHeight w:val="401" w:hRule="exact"/>
        </w:trPr>
        <w:tc>
          <w:tcPr>
            <w:tcW w:w="3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12" w:type="dxa"/>
            <w:vMerge/>
            <w:tcBorders>
              <w:left w:val="single" w:sz="4" w:space="0" w:color="000000"/>
              <w:bottom w:val="single" w:sz="4" w:space="0" w:color="000000"/>
              <w:right w:val="single" w:sz="4" w:space="0" w:color="000000"/>
            </w:tcBorders>
            <w:shd w:val="clear" w:color="auto" w:fill="D2D2D2"/>
          </w:tcPr>
          <w:p>
            <w:pP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上海奈盛</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机房改造项目</w:t>
            </w:r>
          </w:p>
        </w:tc>
        <w:tc>
          <w:tcPr>
            <w:tcW w:w="1335"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550,959.64</w:t>
            </w:r>
          </w:p>
        </w:tc>
        <w:tc>
          <w:tcPr>
            <w:tcW w:w="107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550,959.64</w:t>
            </w:r>
          </w:p>
        </w:tc>
      </w:tr>
      <w:tr>
        <w:trPr>
          <w:trHeight w:val="398"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上海奈盛</w:t>
            </w:r>
            <w:r>
              <w:rPr>
                <w:rFonts w:ascii="Times New Roman" w:hAnsi="Times New Roman" w:cs="Times New Roman" w:eastAsia="Times New Roman" w:hint="default"/>
                <w:sz w:val="18"/>
                <w:szCs w:val="18"/>
              </w:rPr>
              <w:t>-NOMS</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二期开发</w:t>
            </w:r>
          </w:p>
        </w:tc>
        <w:tc>
          <w:tcPr>
            <w:tcW w:w="1335"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66,724.14</w:t>
            </w:r>
          </w:p>
        </w:tc>
        <w:tc>
          <w:tcPr>
            <w:tcW w:w="107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66,724.14</w:t>
            </w:r>
          </w:p>
        </w:tc>
      </w:tr>
      <w:tr>
        <w:trPr>
          <w:trHeight w:val="403"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上海通信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国际业务骨干平台建设</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3" w:right="0"/>
              <w:jc w:val="left"/>
              <w:rPr>
                <w:rFonts w:ascii="Times New Roman" w:hAnsi="Times New Roman" w:cs="Times New Roman" w:eastAsia="Times New Roman" w:hint="default"/>
                <w:sz w:val="18"/>
                <w:szCs w:val="18"/>
              </w:rPr>
            </w:pPr>
            <w:r>
              <w:rPr>
                <w:rFonts w:ascii="Times New Roman"/>
                <w:sz w:val="18"/>
              </w:rPr>
              <w:t>1,428,072.55</w:t>
            </w:r>
          </w:p>
        </w:tc>
        <w:tc>
          <w:tcPr>
            <w:tcW w:w="107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8" w:right="0"/>
              <w:jc w:val="left"/>
              <w:rPr>
                <w:rFonts w:ascii="Times New Roman" w:hAnsi="Times New Roman" w:cs="Times New Roman" w:eastAsia="Times New Roman" w:hint="default"/>
                <w:sz w:val="18"/>
                <w:szCs w:val="18"/>
              </w:rPr>
            </w:pPr>
            <w:r>
              <w:rPr>
                <w:rFonts w:ascii="Times New Roman"/>
                <w:sz w:val="18"/>
              </w:rPr>
              <w:t>1,428,072.55</w:t>
            </w:r>
          </w:p>
        </w:tc>
        <w:tc>
          <w:tcPr>
            <w:tcW w:w="1177"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73" w:right="0"/>
              <w:jc w:val="left"/>
              <w:rPr>
                <w:rFonts w:ascii="Times New Roman" w:hAnsi="Times New Roman" w:cs="Times New Roman" w:eastAsia="Times New Roman" w:hint="default"/>
                <w:sz w:val="18"/>
                <w:szCs w:val="18"/>
              </w:rPr>
            </w:pPr>
            <w:r>
              <w:rPr>
                <w:rFonts w:ascii="Times New Roman"/>
                <w:sz w:val="18"/>
              </w:rPr>
              <w:t>1,428,072.55</w:t>
            </w:r>
          </w:p>
        </w:tc>
        <w:tc>
          <w:tcPr>
            <w:tcW w:w="107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78" w:right="0"/>
              <w:jc w:val="left"/>
              <w:rPr>
                <w:rFonts w:ascii="Times New Roman" w:hAnsi="Times New Roman" w:cs="Times New Roman" w:eastAsia="Times New Roman" w:hint="default"/>
                <w:sz w:val="18"/>
                <w:szCs w:val="18"/>
              </w:rPr>
            </w:pPr>
            <w:r>
              <w:rPr>
                <w:rFonts w:ascii="Times New Roman"/>
                <w:sz w:val="18"/>
              </w:rPr>
              <w:t>1,428,072.55</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617,683.78</w:t>
            </w:r>
          </w:p>
        </w:tc>
        <w:tc>
          <w:tcPr>
            <w:tcW w:w="107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617,683.78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00" w:bottom="1220" w:left="640" w:right="0"/>
        </w:sectPr>
      </w:pPr>
    </w:p>
    <w:p>
      <w:pPr>
        <w:spacing w:line="240" w:lineRule="auto" w:before="3"/>
        <w:rPr>
          <w:rFonts w:ascii="宋体" w:hAnsi="宋体" w:cs="宋体" w:eastAsia="宋体" w:hint="default"/>
          <w:sz w:val="24"/>
          <w:szCs w:val="24"/>
        </w:rPr>
      </w:pPr>
    </w:p>
    <w:p>
      <w:pPr>
        <w:pStyle w:val="Heading4"/>
        <w:spacing w:line="240" w:lineRule="auto"/>
        <w:ind w:left="220" w:right="-1"/>
        <w:jc w:val="left"/>
        <w:rPr>
          <w:b w:val="0"/>
          <w:bCs w:val="0"/>
        </w:rPr>
      </w:pPr>
      <w:r>
        <w:rPr/>
        <w:pict>
          <v:group style="position:absolute;margin-left:52.584pt;margin-top:-1.416343pt;width:737pt;height:.1pt;mso-position-horizontal-relative:page;mso-position-vertical-relative:paragraph;z-index:2104" coordorigin="1052,-28" coordsize="14740,2">
            <v:shape style="position:absolute;left:1052;top:-28;width:14740;height:2" coordorigin="1052,-28" coordsize="14740,0" path="m1052,-28l15791,-28e" filled="false" stroked="true" strokeweight=".48pt" strokecolor="#000000">
              <v:path arrowok="t"/>
            </v:shape>
            <w10:wrap type="none"/>
          </v:group>
        </w:pict>
      </w:r>
      <w:bookmarkStart w:name="（2）重要在建工程项目本期变动情况" w:id="271"/>
      <w:bookmarkEnd w:id="271"/>
      <w:r>
        <w:rPr>
          <w:b w:val="0"/>
          <w:bCs w:val="0"/>
        </w:rPr>
      </w:r>
      <w:r>
        <w:rPr>
          <w:spacing w:val="-1"/>
        </w:rPr>
        <w:t>（</w:t>
      </w:r>
      <w:r>
        <w:rPr>
          <w:rFonts w:ascii="Times New Roman" w:hAnsi="Times New Roman" w:cs="Times New Roman" w:eastAsia="Times New Roman" w:hint="default"/>
          <w:spacing w:val="-1"/>
        </w:rPr>
        <w:t>2</w:t>
      </w:r>
      <w:r>
        <w:rPr>
          <w:spacing w:val="-1"/>
        </w:rPr>
        <w:t>）重要在建工程项目本期变动情况</w:t>
      </w:r>
      <w:r>
        <w:rPr>
          <w:b w:val="0"/>
          <w:bCs w:val="0"/>
          <w:spacing w:val="-1"/>
        </w:rPr>
      </w:r>
    </w:p>
    <w:p>
      <w:pPr>
        <w:pStyle w:val="BodyText"/>
        <w:spacing w:line="240" w:lineRule="auto" w:before="16"/>
        <w:ind w:left="220" w:right="0"/>
        <w:jc w:val="left"/>
      </w:pPr>
      <w:r>
        <w:rPr/>
        <w:br w:type="column"/>
      </w:r>
      <w:r>
        <w:rPr/>
        <w:t>二六三网络通信股份有限公司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p>
      <w:pPr>
        <w:spacing w:after="0" w:line="240" w:lineRule="auto"/>
        <w:jc w:val="left"/>
        <w:sectPr>
          <w:headerReference w:type="default" r:id="rId44"/>
          <w:footerReference w:type="default" r:id="rId45"/>
          <w:pgSz w:w="16840" w:h="11910" w:orient="landscape"/>
          <w:pgMar w:header="0" w:footer="0" w:top="840" w:bottom="0" w:left="860" w:right="860"/>
          <w:cols w:num="2" w:equalWidth="0">
            <w:col w:w="3701" w:space="6929"/>
            <w:col w:w="4490"/>
          </w:cols>
        </w:sectPr>
      </w:pPr>
    </w:p>
    <w:p>
      <w:pPr>
        <w:spacing w:line="240" w:lineRule="auto" w:before="2"/>
        <w:rPr>
          <w:rFonts w:ascii="宋体" w:hAnsi="宋体" w:cs="宋体" w:eastAsia="宋体" w:hint="default"/>
          <w:sz w:val="23"/>
          <w:szCs w:val="23"/>
        </w:rPr>
      </w:pPr>
    </w:p>
    <w:p>
      <w:pPr>
        <w:pStyle w:val="BodyText"/>
        <w:spacing w:line="240" w:lineRule="auto" w:before="46"/>
        <w:ind w:left="0" w:right="208"/>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585"/>
        <w:gridCol w:w="1253"/>
        <w:gridCol w:w="1023"/>
        <w:gridCol w:w="1210"/>
        <w:gridCol w:w="1488"/>
        <w:gridCol w:w="1272"/>
        <w:gridCol w:w="1157"/>
        <w:gridCol w:w="1388"/>
        <w:gridCol w:w="773"/>
        <w:gridCol w:w="965"/>
        <w:gridCol w:w="1287"/>
        <w:gridCol w:w="893"/>
        <w:gridCol w:w="605"/>
      </w:tblGrid>
      <w:tr>
        <w:trPr>
          <w:trHeight w:val="1028"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2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50"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508" w:right="147" w:hanging="360"/>
              <w:jc w:val="left"/>
              <w:rPr>
                <w:rFonts w:ascii="宋体" w:hAnsi="宋体" w:cs="宋体" w:eastAsia="宋体" w:hint="default"/>
                <w:sz w:val="18"/>
                <w:szCs w:val="18"/>
              </w:rPr>
            </w:pPr>
            <w:r>
              <w:rPr>
                <w:rFonts w:ascii="宋体" w:hAnsi="宋体" w:cs="宋体" w:eastAsia="宋体" w:hint="default"/>
                <w:spacing w:val="-2"/>
                <w:sz w:val="18"/>
                <w:szCs w:val="18"/>
              </w:rPr>
              <w:t>本期增加金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470" w:right="103" w:hanging="360"/>
              <w:jc w:val="left"/>
              <w:rPr>
                <w:rFonts w:ascii="宋体" w:hAnsi="宋体" w:cs="宋体" w:eastAsia="宋体" w:hint="default"/>
                <w:sz w:val="18"/>
                <w:szCs w:val="18"/>
              </w:rPr>
            </w:pPr>
            <w:r>
              <w:rPr>
                <w:rFonts w:ascii="宋体" w:hAnsi="宋体" w:cs="宋体" w:eastAsia="宋体" w:hint="default"/>
                <w:spacing w:val="-3"/>
                <w:sz w:val="18"/>
                <w:szCs w:val="18"/>
              </w:rPr>
              <w:t>本期转入固定资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产金额</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60" w:right="175" w:hanging="178"/>
              <w:jc w:val="left"/>
              <w:rPr>
                <w:rFonts w:ascii="宋体" w:hAnsi="宋体" w:cs="宋体" w:eastAsia="宋体" w:hint="default"/>
                <w:sz w:val="18"/>
                <w:szCs w:val="18"/>
              </w:rPr>
            </w:pPr>
            <w:r>
              <w:rPr>
                <w:rFonts w:ascii="宋体" w:hAnsi="宋体" w:cs="宋体" w:eastAsia="宋体" w:hint="default"/>
                <w:spacing w:val="-2"/>
                <w:sz w:val="18"/>
                <w:szCs w:val="18"/>
              </w:rPr>
              <w:t>本期其他减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少金额</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9" w:right="142" w:hanging="92"/>
              <w:jc w:val="left"/>
              <w:rPr>
                <w:rFonts w:ascii="宋体" w:hAnsi="宋体" w:cs="宋体" w:eastAsia="宋体" w:hint="default"/>
                <w:sz w:val="18"/>
                <w:szCs w:val="18"/>
              </w:rPr>
            </w:pPr>
            <w:r>
              <w:rPr>
                <w:rFonts w:ascii="宋体" w:hAnsi="宋体" w:cs="宋体" w:eastAsia="宋体" w:hint="default"/>
                <w:spacing w:val="-2"/>
                <w:sz w:val="18"/>
                <w:szCs w:val="18"/>
              </w:rPr>
              <w:t>工程累计投入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占预算比例</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92" w:right="108" w:hanging="183"/>
              <w:jc w:val="left"/>
              <w:rPr>
                <w:rFonts w:ascii="宋体" w:hAnsi="宋体" w:cs="宋体" w:eastAsia="宋体" w:hint="default"/>
                <w:sz w:val="18"/>
                <w:szCs w:val="18"/>
              </w:rPr>
            </w:pPr>
            <w:r>
              <w:rPr>
                <w:rFonts w:ascii="宋体" w:hAnsi="宋体" w:cs="宋体" w:eastAsia="宋体" w:hint="default"/>
                <w:sz w:val="18"/>
                <w:szCs w:val="18"/>
              </w:rPr>
              <w:t>工程进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9" w:right="108"/>
              <w:jc w:val="center"/>
              <w:rPr>
                <w:rFonts w:ascii="宋体" w:hAnsi="宋体" w:cs="宋体" w:eastAsia="宋体" w:hint="default"/>
                <w:sz w:val="18"/>
                <w:szCs w:val="18"/>
              </w:rPr>
            </w:pPr>
            <w:r>
              <w:rPr>
                <w:rFonts w:ascii="宋体" w:hAnsi="宋体" w:cs="宋体" w:eastAsia="宋体" w:hint="default"/>
                <w:spacing w:val="-2"/>
                <w:sz w:val="18"/>
                <w:szCs w:val="18"/>
              </w:rPr>
              <w:t>利息资本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化累计金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4"/>
              <w:jc w:val="center"/>
              <w:rPr>
                <w:rFonts w:ascii="宋体" w:hAnsi="宋体" w:cs="宋体" w:eastAsia="宋体" w:hint="default"/>
                <w:sz w:val="18"/>
                <w:szCs w:val="18"/>
              </w:rPr>
            </w:pPr>
            <w:r>
              <w:rPr>
                <w:rFonts w:ascii="宋体" w:hAnsi="宋体" w:cs="宋体" w:eastAsia="宋体" w:hint="default"/>
                <w:spacing w:val="-4"/>
                <w:sz w:val="18"/>
                <w:szCs w:val="18"/>
              </w:rPr>
              <w:t>其中：本期利</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息资本化金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68" w:right="170"/>
              <w:jc w:val="both"/>
              <w:rPr>
                <w:rFonts w:ascii="宋体" w:hAnsi="宋体" w:cs="宋体" w:eastAsia="宋体" w:hint="default"/>
                <w:sz w:val="18"/>
                <w:szCs w:val="18"/>
              </w:rPr>
            </w:pPr>
            <w:r>
              <w:rPr>
                <w:rFonts w:ascii="宋体" w:hAnsi="宋体" w:cs="宋体" w:eastAsia="宋体" w:hint="default"/>
                <w:sz w:val="18"/>
                <w:szCs w:val="18"/>
              </w:rPr>
              <w:t>本期利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化率</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15" w:right="113"/>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来源</w:t>
            </w:r>
          </w:p>
        </w:tc>
      </w:tr>
      <w:tr>
        <w:trPr>
          <w:trHeight w:val="710"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142"/>
              <w:jc w:val="left"/>
              <w:rPr>
                <w:rFonts w:ascii="宋体" w:hAnsi="宋体" w:cs="宋体" w:eastAsia="宋体" w:hint="default"/>
                <w:sz w:val="18"/>
                <w:szCs w:val="18"/>
              </w:rPr>
            </w:pPr>
            <w:r>
              <w:rPr>
                <w:rFonts w:ascii="宋体" w:hAnsi="宋体" w:cs="宋体" w:eastAsia="宋体" w:hint="default"/>
                <w:spacing w:val="-2"/>
                <w:sz w:val="18"/>
                <w:szCs w:val="18"/>
              </w:rPr>
              <w:t>上海奈盛</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机房改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造项目</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226,547.16</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66,724.14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159,823.02</w:t>
            </w:r>
          </w:p>
        </w:tc>
        <w:tc>
          <w:tcPr>
            <w:tcW w:w="148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226,547.16</w:t>
            </w:r>
          </w:p>
        </w:tc>
        <w:tc>
          <w:tcPr>
            <w:tcW w:w="115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8"/>
              <w:jc w:val="center"/>
              <w:rPr>
                <w:rFonts w:ascii="Times New Roman" w:hAnsi="Times New Roman" w:cs="Times New Roman" w:eastAsia="Times New Roman" w:hint="default"/>
                <w:sz w:val="18"/>
                <w:szCs w:val="18"/>
              </w:rPr>
            </w:pPr>
            <w:r>
              <w:rPr>
                <w:rFonts w:ascii="Times New Roman"/>
                <w:sz w:val="18"/>
              </w:rPr>
              <w:t>100%</w:t>
            </w:r>
          </w:p>
        </w:tc>
        <w:tc>
          <w:tcPr>
            <w:tcW w:w="96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6"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5" w:right="161"/>
              <w:jc w:val="left"/>
              <w:rPr>
                <w:rFonts w:ascii="宋体" w:hAnsi="宋体" w:cs="宋体" w:eastAsia="宋体" w:hint="default"/>
                <w:sz w:val="18"/>
                <w:szCs w:val="18"/>
              </w:rPr>
            </w:pPr>
            <w:r>
              <w:rPr>
                <w:rFonts w:ascii="宋体" w:hAnsi="宋体" w:cs="宋体" w:eastAsia="宋体" w:hint="default"/>
                <w:spacing w:val="-2"/>
                <w:sz w:val="18"/>
                <w:szCs w:val="18"/>
              </w:rPr>
              <w:t>上海奈盛</w:t>
            </w:r>
            <w:r>
              <w:rPr>
                <w:rFonts w:ascii="Times New Roman" w:hAnsi="Times New Roman" w:cs="Times New Roman" w:eastAsia="Times New Roman" w:hint="default"/>
                <w:spacing w:val="-2"/>
                <w:sz w:val="18"/>
                <w:szCs w:val="18"/>
              </w:rPr>
              <w:t>-NOMS</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pacing w:val="-24"/>
                <w:sz w:val="18"/>
                <w:szCs w:val="18"/>
              </w:rPr>
            </w:r>
            <w:r>
              <w:rPr>
                <w:rFonts w:ascii="宋体" w:hAnsi="宋体" w:cs="宋体" w:eastAsia="宋体" w:hint="default"/>
                <w:sz w:val="18"/>
                <w:szCs w:val="18"/>
              </w:rPr>
              <w:t>二期开发</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1,378,350.57</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550,959.64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827,390.93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1,378,350.57</w:t>
            </w:r>
          </w:p>
        </w:tc>
        <w:tc>
          <w:tcPr>
            <w:tcW w:w="127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8"/>
              <w:jc w:val="center"/>
              <w:rPr>
                <w:rFonts w:ascii="Times New Roman" w:hAnsi="Times New Roman" w:cs="Times New Roman" w:eastAsia="Times New Roman" w:hint="default"/>
                <w:sz w:val="18"/>
                <w:szCs w:val="18"/>
              </w:rPr>
            </w:pPr>
            <w:r>
              <w:rPr>
                <w:rFonts w:ascii="Times New Roman"/>
                <w:sz w:val="18"/>
              </w:rPr>
              <w:t>100%</w:t>
            </w:r>
          </w:p>
        </w:tc>
        <w:tc>
          <w:tcPr>
            <w:tcW w:w="96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142"/>
              <w:jc w:val="left"/>
              <w:rPr>
                <w:rFonts w:ascii="宋体" w:hAnsi="宋体" w:cs="宋体" w:eastAsia="宋体" w:hint="default"/>
                <w:sz w:val="18"/>
                <w:szCs w:val="18"/>
              </w:rPr>
            </w:pPr>
            <w:r>
              <w:rPr>
                <w:rFonts w:ascii="宋体" w:hAnsi="宋体" w:cs="宋体" w:eastAsia="宋体" w:hint="default"/>
                <w:spacing w:val="-2"/>
                <w:sz w:val="18"/>
                <w:szCs w:val="18"/>
              </w:rPr>
              <w:t>上海增值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国际业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务骨干平台建设</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20,179,316.69</w:t>
            </w:r>
          </w:p>
        </w:tc>
        <w:tc>
          <w:tcPr>
            <w:tcW w:w="102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1,428,072.55</w:t>
            </w:r>
          </w:p>
        </w:tc>
        <w:tc>
          <w:tcPr>
            <w:tcW w:w="148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1,428,072.55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1"/>
              <w:jc w:val="center"/>
              <w:rPr>
                <w:rFonts w:ascii="Times New Roman" w:hAnsi="Times New Roman" w:cs="Times New Roman" w:eastAsia="Times New Roman" w:hint="default"/>
                <w:sz w:val="18"/>
                <w:szCs w:val="18"/>
              </w:rPr>
            </w:pPr>
            <w:r>
              <w:rPr>
                <w:rFonts w:ascii="Times New Roman"/>
                <w:sz w:val="18"/>
              </w:rPr>
              <w:t>7.08%</w:t>
            </w:r>
          </w:p>
        </w:tc>
        <w:tc>
          <w:tcPr>
            <w:tcW w:w="96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404"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21,784,214.42</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617,683.78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2,415,286.50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1,378,350.57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226,547.16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1,428,072.55</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left="220" w:right="0"/>
        <w:jc w:val="left"/>
        <w:rPr>
          <w:b w:val="0"/>
          <w:bCs w:val="0"/>
        </w:rPr>
      </w:pPr>
      <w:bookmarkStart w:name="（3）本期计提在建工程减值准备情况" w:id="272"/>
      <w:bookmarkEnd w:id="272"/>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20" w:right="0"/>
        <w:jc w:val="left"/>
      </w:pPr>
      <w:r>
        <w:rPr>
          <w:w w:val="101"/>
        </w:rPr>
        <w:t>无</w:t>
      </w:r>
      <w:r>
        <w:rPr/>
      </w:r>
    </w:p>
    <w:p>
      <w:pPr>
        <w:spacing w:line="240" w:lineRule="auto" w:before="0"/>
        <w:rPr>
          <w:rFonts w:ascii="宋体" w:hAnsi="宋体" w:cs="宋体" w:eastAsia="宋体" w:hint="default"/>
          <w:sz w:val="18"/>
          <w:szCs w:val="18"/>
        </w:rPr>
      </w:pPr>
    </w:p>
    <w:p>
      <w:pPr>
        <w:pStyle w:val="Heading4"/>
        <w:spacing w:line="240" w:lineRule="auto" w:before="118"/>
        <w:ind w:left="220" w:right="0"/>
        <w:jc w:val="left"/>
        <w:rPr>
          <w:b w:val="0"/>
          <w:bCs w:val="0"/>
        </w:rPr>
      </w:pPr>
      <w:bookmarkStart w:name="（4）工程物资" w:id="273"/>
      <w:bookmarkEnd w:id="273"/>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20" w:right="0"/>
        <w:jc w:val="left"/>
      </w:pPr>
      <w:r>
        <w:rPr>
          <w:w w:val="101"/>
        </w:rPr>
        <w:t>无</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40" w:lineRule="auto" w:before="78"/>
        <w:ind w:left="7406" w:right="7397"/>
        <w:jc w:val="center"/>
        <w:rPr>
          <w:rFonts w:ascii="Times New Roman" w:hAnsi="Times New Roman" w:cs="Times New Roman" w:eastAsia="Times New Roman" w:hint="default"/>
        </w:rPr>
      </w:pPr>
      <w:r>
        <w:rPr>
          <w:rFonts w:ascii="Times New Roman"/>
        </w:rPr>
        <w:t>133</w: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spacing w:line="371" w:lineRule="exact"/>
        <w:ind w:left="1092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3" name="image1.jpeg" descr=""/>
            <wp:cNvGraphicFramePr>
              <a:graphicFrameLocks noChangeAspect="1"/>
            </wp:cNvGraphicFramePr>
            <a:graphic>
              <a:graphicData uri="http://schemas.openxmlformats.org/drawingml/2006/picture">
                <pic:pic>
                  <pic:nvPicPr>
                    <pic:cNvPr id="14" name="image1.jpeg"/>
                    <pic:cNvPicPr/>
                  </pic:nvPicPr>
                  <pic:blipFill>
                    <a:blip r:embed="rId23"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100" w:bottom="1220" w:left="860" w:right="860"/>
        </w:sectPr>
      </w:pPr>
    </w:p>
    <w:p>
      <w:pPr>
        <w:spacing w:line="20" w:lineRule="exact"/>
        <w:ind w:left="2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Times New Roman" w:hAnsi="Times New Roman" w:cs="Times New Roman" w:eastAsia="Times New Roman" w:hint="default"/>
          <w:sz w:val="2"/>
          <w:szCs w:val="2"/>
        </w:rPr>
      </w:r>
    </w:p>
    <w:p>
      <w:pPr>
        <w:pStyle w:val="Heading4"/>
        <w:spacing w:line="240" w:lineRule="auto" w:before="35"/>
        <w:ind w:left="234" w:right="7211"/>
        <w:jc w:val="left"/>
        <w:rPr>
          <w:b w:val="0"/>
          <w:bCs w:val="0"/>
        </w:rPr>
      </w:pPr>
      <w:bookmarkStart w:name="14、无形资产" w:id="274"/>
      <w:bookmarkEnd w:id="274"/>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234" w:right="7211"/>
        <w:jc w:val="left"/>
        <w:rPr>
          <w:b w:val="0"/>
          <w:bCs w:val="0"/>
        </w:rPr>
      </w:pPr>
      <w:bookmarkStart w:name="（1）无形资产情况" w:id="275"/>
      <w:bookmarkEnd w:id="27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569"/>
        <w:gridCol w:w="1301"/>
        <w:gridCol w:w="850"/>
        <w:gridCol w:w="1248"/>
        <w:gridCol w:w="1407"/>
        <w:gridCol w:w="1503"/>
        <w:gridCol w:w="1503"/>
      </w:tblGrid>
      <w:tr>
        <w:trPr>
          <w:trHeight w:val="398"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6"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1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3" w:right="0"/>
              <w:jc w:val="left"/>
              <w:rPr>
                <w:rFonts w:ascii="宋体" w:hAnsi="宋体" w:cs="宋体" w:eastAsia="宋体" w:hint="default"/>
                <w:sz w:val="18"/>
                <w:szCs w:val="18"/>
              </w:rPr>
            </w:pPr>
            <w:r>
              <w:rPr>
                <w:rFonts w:ascii="宋体" w:hAnsi="宋体" w:cs="宋体" w:eastAsia="宋体" w:hint="default"/>
                <w:sz w:val="18"/>
                <w:szCs w:val="18"/>
              </w:rPr>
              <w:t>软件及其他</w:t>
            </w:r>
          </w:p>
        </w:tc>
        <w:tc>
          <w:tcPr>
            <w:tcW w:w="1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3,429,840.84</w:t>
            </w: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16,565,019.52</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106,606,237.01</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126,601,097.37</w:t>
            </w:r>
          </w:p>
        </w:tc>
      </w:tr>
      <w:tr>
        <w:trPr>
          <w:trHeight w:val="404"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272,736.80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10,409,349.07</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10,682,085.87</w:t>
            </w:r>
          </w:p>
        </w:tc>
      </w:tr>
      <w:tr>
        <w:trPr>
          <w:trHeight w:val="398"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7,752,194.86</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7,752,194.86</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）内部研发</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2,229,134.25</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2,229,134.25</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）企业合并增加</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在建工程转入</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226,547.16</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226,547.16</w:t>
            </w:r>
          </w:p>
        </w:tc>
      </w:tr>
      <w:tr>
        <w:trPr>
          <w:trHeight w:val="398"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汇率变动影响</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272,736.80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201,472.80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474,209.60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128,000.00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128,000.00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128,000.00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128,000.00</w:t>
            </w:r>
          </w:p>
        </w:tc>
      </w:tr>
      <w:tr>
        <w:trPr>
          <w:trHeight w:val="404"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3,429,840.84</w:t>
            </w: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16,837,756.32</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116,887,586.08</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137,155,183.24</w:t>
            </w:r>
          </w:p>
        </w:tc>
      </w:tr>
      <w:tr>
        <w:trPr>
          <w:trHeight w:val="398"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1,198,012.04</w:t>
            </w: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6,626,008.22</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98,635,345.06</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106,459,365.32</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72,975.33</w:t>
            </w: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3,476,646.27</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6,654,504.39</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10,204,125.99</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72,975.33</w:t>
            </w: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3,325,800.27</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6,472,924.78</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9,871,700.38</w:t>
            </w:r>
          </w:p>
        </w:tc>
      </w:tr>
      <w:tr>
        <w:trPr>
          <w:trHeight w:val="399"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汇率变动影响</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150,846.00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181,579.61</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332,425.61</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128,000.00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128,000.00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128,000.00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128,000.00</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1,270,987.37</w:t>
            </w: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10,102,654.49</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105,161,849.45</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116,535,491.31</w:t>
            </w:r>
          </w:p>
        </w:tc>
      </w:tr>
      <w:tr>
        <w:trPr>
          <w:trHeight w:val="399"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0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2,158,853.47</w:t>
            </w: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6,735,101.83</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11,725,736.63</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20,619,691.93</w:t>
            </w:r>
          </w:p>
        </w:tc>
      </w:tr>
      <w:tr>
        <w:trPr>
          <w:trHeight w:val="403" w:hRule="exact"/>
        </w:trPr>
        <w:tc>
          <w:tcPr>
            <w:tcW w:w="2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2,231,828.80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9,939,011.30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7,970,891.95</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20,141,732.05</w:t>
            </w:r>
          </w:p>
        </w:tc>
      </w:tr>
    </w:tbl>
    <w:p>
      <w:pPr>
        <w:pStyle w:val="BodyText"/>
        <w:spacing w:line="240" w:lineRule="auto" w:before="53"/>
        <w:ind w:left="234" w:right="714"/>
        <w:jc w:val="left"/>
      </w:pPr>
      <w:r>
        <w:rPr>
          <w:spacing w:val="-3"/>
        </w:rPr>
        <w:t>本期末通过公司内部研发形成的无形资产占无形资产余额的比例</w:t>
      </w:r>
      <w:r>
        <w:rPr>
          <w:spacing w:val="38"/>
        </w:rPr>
        <w:t> </w:t>
      </w:r>
      <w:r>
        <w:rPr>
          <w:rFonts w:ascii="Times New Roman" w:hAnsi="Times New Roman" w:cs="Times New Roman" w:eastAsia="Times New Roman" w:hint="default"/>
        </w:rPr>
        <w:t>65.96%</w:t>
      </w:r>
      <w:r>
        <w:rPr/>
        <w:t>。</w:t>
      </w:r>
    </w:p>
    <w:p>
      <w:pPr>
        <w:spacing w:after="0" w:line="240" w:lineRule="auto"/>
        <w:jc w:val="left"/>
        <w:sectPr>
          <w:footerReference w:type="default" r:id="rId46"/>
          <w:pgSz w:w="11910" w:h="16840"/>
          <w:pgMar w:footer="1022" w:header="0" w:top="1100" w:bottom="1220" w:left="640" w:right="0"/>
          <w:pgNumType w:start="134"/>
        </w:sectPr>
      </w:pPr>
    </w:p>
    <w:p>
      <w:pPr>
        <w:spacing w:line="20" w:lineRule="exact"/>
        <w:ind w:left="2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234" w:right="7211"/>
        <w:jc w:val="left"/>
        <w:rPr>
          <w:b w:val="0"/>
          <w:bCs w:val="0"/>
        </w:rPr>
      </w:pPr>
      <w:bookmarkStart w:name="（2）未办妥产权证书的土地使用权情况" w:id="276"/>
      <w:bookmarkEnd w:id="27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34" w:right="7211"/>
        <w:jc w:val="left"/>
      </w:pPr>
      <w:r>
        <w:rPr>
          <w:w w:val="101"/>
        </w:rPr>
        <w:t>无</w:t>
      </w:r>
      <w:r>
        <w:rPr/>
      </w:r>
    </w:p>
    <w:p>
      <w:pPr>
        <w:spacing w:line="240" w:lineRule="auto" w:before="9"/>
        <w:rPr>
          <w:rFonts w:ascii="宋体" w:hAnsi="宋体" w:cs="宋体" w:eastAsia="宋体" w:hint="default"/>
          <w:sz w:val="26"/>
          <w:szCs w:val="26"/>
        </w:rPr>
      </w:pPr>
    </w:p>
    <w:p>
      <w:pPr>
        <w:pStyle w:val="Heading4"/>
        <w:spacing w:line="240" w:lineRule="auto"/>
        <w:ind w:left="234" w:right="7211"/>
        <w:jc w:val="left"/>
        <w:rPr>
          <w:b w:val="0"/>
          <w:bCs w:val="0"/>
        </w:rPr>
      </w:pPr>
      <w:bookmarkStart w:name="15、开发支出" w:id="277"/>
      <w:bookmarkEnd w:id="277"/>
      <w:r>
        <w:rPr>
          <w:b w:val="0"/>
          <w:bCs w:val="0"/>
        </w:rPr>
      </w:r>
      <w:r>
        <w:rPr>
          <w:rFonts w:ascii="Times New Roman" w:hAnsi="Times New Roman" w:cs="Times New Roman" w:eastAsia="Times New Roman" w:hint="default"/>
        </w:rPr>
        <w:t>15</w:t>
      </w:r>
      <w:r>
        <w:rPr/>
        <w:t>、开发支出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2"/>
        <w:rPr>
          <w:rFonts w:ascii="宋体" w:hAnsi="宋体" w:cs="宋体" w:eastAsia="宋体" w:hint="default"/>
          <w:sz w:val="8"/>
          <w:szCs w:val="8"/>
        </w:rPr>
      </w:pPr>
    </w:p>
    <w:tbl>
      <w:tblPr>
        <w:tblW w:w="0" w:type="auto"/>
        <w:jc w:val="left"/>
        <w:tblInd w:w="210" w:type="dxa"/>
        <w:tblLayout w:type="fixed"/>
        <w:tblCellMar>
          <w:top w:w="0" w:type="dxa"/>
          <w:left w:w="0" w:type="dxa"/>
          <w:bottom w:w="0" w:type="dxa"/>
          <w:right w:w="0" w:type="dxa"/>
        </w:tblCellMar>
        <w:tblLook w:val="01E0"/>
      </w:tblPr>
      <w:tblGrid>
        <w:gridCol w:w="1570"/>
        <w:gridCol w:w="1436"/>
        <w:gridCol w:w="1637"/>
        <w:gridCol w:w="576"/>
        <w:gridCol w:w="1901"/>
        <w:gridCol w:w="1633"/>
        <w:gridCol w:w="1441"/>
      </w:tblGrid>
      <w:tr>
        <w:trPr>
          <w:trHeight w:val="446" w:hRule="exact"/>
        </w:trPr>
        <w:tc>
          <w:tcPr>
            <w:tcW w:w="1570"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6"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14"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1"/>
              <w:ind w:left="5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34"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441"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3" w:hRule="exact"/>
        </w:trPr>
        <w:tc>
          <w:tcPr>
            <w:tcW w:w="1570" w:type="dxa"/>
            <w:vMerge/>
            <w:tcBorders>
              <w:left w:val="single" w:sz="8" w:space="0" w:color="000000"/>
              <w:bottom w:val="single" w:sz="8" w:space="0" w:color="000000"/>
              <w:right w:val="single" w:sz="8" w:space="0" w:color="000000"/>
            </w:tcBorders>
            <w:shd w:val="clear" w:color="auto" w:fill="D2D2D2"/>
          </w:tcPr>
          <w:p>
            <w:pPr/>
          </w:p>
        </w:tc>
        <w:tc>
          <w:tcPr>
            <w:tcW w:w="1436" w:type="dxa"/>
            <w:vMerge/>
            <w:tcBorders>
              <w:left w:val="single" w:sz="8" w:space="0" w:color="000000"/>
              <w:bottom w:val="single" w:sz="8" w:space="0" w:color="000000"/>
              <w:right w:val="single" w:sz="8" w:space="0" w:color="000000"/>
            </w:tcBorders>
            <w:shd w:val="clear" w:color="auto" w:fill="D2D2D2"/>
          </w:tcPr>
          <w:p>
            <w:pPr/>
          </w:p>
        </w:tc>
        <w:tc>
          <w:tcPr>
            <w:tcW w:w="163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0"/>
              <w:ind w:left="268"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57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0"/>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0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0"/>
              <w:ind w:left="312" w:right="0"/>
              <w:jc w:val="left"/>
              <w:rPr>
                <w:rFonts w:ascii="宋体" w:hAnsi="宋体" w:cs="宋体" w:eastAsia="宋体" w:hint="default"/>
                <w:sz w:val="18"/>
                <w:szCs w:val="18"/>
              </w:rPr>
            </w:pPr>
            <w:r>
              <w:rPr>
                <w:rFonts w:ascii="宋体" w:hAnsi="宋体" w:cs="宋体" w:eastAsia="宋体" w:hint="default"/>
                <w:spacing w:val="-3"/>
                <w:sz w:val="18"/>
                <w:szCs w:val="18"/>
              </w:rPr>
              <w:t>确认为无形资产</w:t>
            </w:r>
          </w:p>
        </w:tc>
        <w:tc>
          <w:tcPr>
            <w:tcW w:w="163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0"/>
              <w:ind w:left="264"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441" w:type="dxa"/>
            <w:vMerge/>
            <w:tcBorders>
              <w:left w:val="single" w:sz="8" w:space="0" w:color="000000"/>
              <w:bottom w:val="single" w:sz="8" w:space="0" w:color="000000"/>
              <w:right w:val="single" w:sz="8" w:space="0" w:color="000000"/>
            </w:tcBorders>
            <w:shd w:val="clear" w:color="auto" w:fill="D2D2D2"/>
          </w:tcPr>
          <w:p>
            <w:pPr/>
          </w:p>
        </w:tc>
      </w:tr>
      <w:tr>
        <w:trPr>
          <w:trHeight w:val="413" w:hRule="exact"/>
        </w:trPr>
        <w:tc>
          <w:tcPr>
            <w:tcW w:w="157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right="502"/>
              <w:jc w:val="right"/>
              <w:rPr>
                <w:rFonts w:ascii="宋体" w:hAnsi="宋体" w:cs="宋体" w:eastAsia="宋体"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云视系统</w:t>
            </w:r>
          </w:p>
        </w:tc>
        <w:tc>
          <w:tcPr>
            <w:tcW w:w="143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1,825,446.41</w:t>
            </w:r>
          </w:p>
        </w:tc>
        <w:tc>
          <w:tcPr>
            <w:tcW w:w="1637" w:type="dxa"/>
            <w:tcBorders>
              <w:top w:val="single" w:sz="21" w:space="0" w:color="D2D2D2"/>
              <w:left w:val="single" w:sz="8" w:space="0" w:color="000000"/>
              <w:bottom w:val="single" w:sz="8" w:space="0" w:color="000000"/>
              <w:right w:val="single" w:sz="8"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spacing w:val="-1"/>
                <w:sz w:val="18"/>
              </w:rPr>
              <w:t>6,941,634.63</w:t>
            </w:r>
          </w:p>
        </w:tc>
        <w:tc>
          <w:tcPr>
            <w:tcW w:w="576" w:type="dxa"/>
            <w:tcBorders>
              <w:top w:val="single" w:sz="21" w:space="0" w:color="D2D2D2"/>
              <w:left w:val="single" w:sz="8" w:space="0" w:color="000000"/>
              <w:bottom w:val="single" w:sz="8" w:space="0" w:color="000000"/>
              <w:right w:val="single" w:sz="8" w:space="0" w:color="000000"/>
            </w:tcBorders>
          </w:tcPr>
          <w:p>
            <w:pPr/>
          </w:p>
        </w:tc>
        <w:tc>
          <w:tcPr>
            <w:tcW w:w="1901" w:type="dxa"/>
            <w:tcBorders>
              <w:top w:val="single" w:sz="21" w:space="0" w:color="D2D2D2"/>
              <w:left w:val="single" w:sz="8" w:space="0" w:color="000000"/>
              <w:bottom w:val="single" w:sz="8" w:space="0" w:color="000000"/>
              <w:right w:val="single" w:sz="8" w:space="0" w:color="000000"/>
            </w:tcBorders>
          </w:tcPr>
          <w:p>
            <w:pPr/>
          </w:p>
        </w:tc>
        <w:tc>
          <w:tcPr>
            <w:tcW w:w="1633" w:type="dxa"/>
            <w:tcBorders>
              <w:top w:val="single" w:sz="21" w:space="0" w:color="D2D2D2"/>
              <w:left w:val="single" w:sz="8" w:space="0" w:color="000000"/>
              <w:bottom w:val="single" w:sz="8" w:space="0" w:color="000000"/>
              <w:right w:val="single" w:sz="8" w:space="0" w:color="000000"/>
            </w:tcBorders>
          </w:tcPr>
          <w:p>
            <w:pP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8,767,081.04</w:t>
            </w:r>
          </w:p>
        </w:tc>
      </w:tr>
      <w:tr>
        <w:trPr>
          <w:trHeight w:val="413" w:hRule="exact"/>
        </w:trPr>
        <w:tc>
          <w:tcPr>
            <w:tcW w:w="157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right="560"/>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eSchool</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平台</w:t>
            </w:r>
          </w:p>
        </w:tc>
        <w:tc>
          <w:tcPr>
            <w:tcW w:w="1436" w:type="dxa"/>
            <w:tcBorders>
              <w:top w:val="single" w:sz="8" w:space="0" w:color="000000"/>
              <w:left w:val="single" w:sz="12" w:space="0" w:color="000000"/>
              <w:bottom w:val="single" w:sz="8" w:space="0" w:color="000000"/>
              <w:right w:val="single" w:sz="8" w:space="0" w:color="000000"/>
            </w:tcBorders>
          </w:tcPr>
          <w:p>
            <w:pP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2,229,134.25</w:t>
            </w:r>
          </w:p>
        </w:tc>
        <w:tc>
          <w:tcPr>
            <w:tcW w:w="576" w:type="dxa"/>
            <w:tcBorders>
              <w:top w:val="single" w:sz="8" w:space="0" w:color="000000"/>
              <w:left w:val="single" w:sz="8" w:space="0" w:color="000000"/>
              <w:bottom w:val="single" w:sz="8" w:space="0" w:color="000000"/>
              <w:right w:val="single" w:sz="8" w:space="0" w:color="000000"/>
            </w:tcBorders>
          </w:tcPr>
          <w:p>
            <w:pPr/>
          </w:p>
        </w:tc>
        <w:tc>
          <w:tcPr>
            <w:tcW w:w="1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2,229,134.25</w:t>
            </w:r>
          </w:p>
        </w:tc>
        <w:tc>
          <w:tcPr>
            <w:tcW w:w="1633" w:type="dxa"/>
            <w:tcBorders>
              <w:top w:val="single" w:sz="8" w:space="0" w:color="000000"/>
              <w:left w:val="single" w:sz="8" w:space="0" w:color="000000"/>
              <w:bottom w:val="single" w:sz="8" w:space="0" w:color="000000"/>
              <w:right w:val="single" w:sz="8" w:space="0" w:color="000000"/>
            </w:tcBorders>
          </w:tcPr>
          <w:p>
            <w:pPr/>
          </w:p>
        </w:tc>
        <w:tc>
          <w:tcPr>
            <w:tcW w:w="1441"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157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right="588"/>
              <w:jc w:val="right"/>
              <w:rPr>
                <w:rFonts w:ascii="宋体" w:hAnsi="宋体" w:cs="宋体" w:eastAsia="宋体" w:hint="default"/>
                <w:sz w:val="18"/>
                <w:szCs w:val="18"/>
              </w:rPr>
            </w:pPr>
            <w:r>
              <w:rPr>
                <w:rFonts w:ascii="宋体" w:hAnsi="宋体" w:cs="宋体" w:eastAsia="宋体" w:hint="default"/>
                <w:sz w:val="18"/>
                <w:szCs w:val="18"/>
              </w:rPr>
              <w:t>合计</w:t>
            </w:r>
          </w:p>
        </w:tc>
        <w:tc>
          <w:tcPr>
            <w:tcW w:w="1436"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1,825,446.41</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9,170,768.88</w:t>
            </w:r>
          </w:p>
        </w:tc>
        <w:tc>
          <w:tcPr>
            <w:tcW w:w="576" w:type="dxa"/>
            <w:tcBorders>
              <w:top w:val="single" w:sz="8" w:space="0" w:color="000000"/>
              <w:left w:val="single" w:sz="8" w:space="0" w:color="000000"/>
              <w:bottom w:val="single" w:sz="8" w:space="0" w:color="000000"/>
              <w:right w:val="single" w:sz="8" w:space="0" w:color="000000"/>
            </w:tcBorders>
          </w:tcPr>
          <w:p>
            <w:pPr/>
          </w:p>
        </w:tc>
        <w:tc>
          <w:tcPr>
            <w:tcW w:w="1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2,229,134.25</w:t>
            </w:r>
          </w:p>
        </w:tc>
        <w:tc>
          <w:tcPr>
            <w:tcW w:w="1633" w:type="dxa"/>
            <w:tcBorders>
              <w:top w:val="single" w:sz="8" w:space="0" w:color="000000"/>
              <w:left w:val="single" w:sz="8" w:space="0" w:color="000000"/>
              <w:bottom w:val="single" w:sz="8" w:space="0" w:color="000000"/>
              <w:right w:val="single" w:sz="8" w:space="0" w:color="000000"/>
            </w:tcBorders>
          </w:tcPr>
          <w:p>
            <w:pPr/>
          </w:p>
        </w:tc>
        <w:tc>
          <w:tcPr>
            <w:tcW w:w="14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8,767,081.04</w:t>
            </w:r>
          </w:p>
        </w:tc>
      </w:tr>
    </w:tbl>
    <w:p>
      <w:pPr>
        <w:pStyle w:val="BodyText"/>
        <w:spacing w:line="240" w:lineRule="auto" w:before="53"/>
        <w:ind w:left="234" w:right="7211"/>
        <w:jc w:val="left"/>
      </w:pPr>
      <w:r>
        <w:rPr/>
        <w:t>其他说明</w:t>
      </w:r>
    </w:p>
    <w:p>
      <w:pPr>
        <w:pStyle w:val="BodyText"/>
        <w:spacing w:line="240" w:lineRule="auto" w:before="115"/>
        <w:ind w:left="234" w:right="714"/>
        <w:jc w:val="left"/>
      </w:pPr>
      <w:r>
        <w:rPr>
          <w:spacing w:val="-3"/>
        </w:rPr>
        <w:t>注：本年度资本化的开发支出占研发支出总额的比例为</w:t>
      </w:r>
      <w:r>
        <w:rPr>
          <w:rFonts w:ascii="Times New Roman" w:hAnsi="Times New Roman" w:cs="Times New Roman" w:eastAsia="Times New Roman" w:hint="default"/>
          <w:spacing w:val="-3"/>
        </w:rPr>
        <w:t>7.22%  </w:t>
      </w:r>
      <w:r>
        <w:rPr>
          <w:rFonts w:ascii="Times New Roman" w:hAnsi="Times New Roman" w:cs="Times New Roman" w:eastAsia="Times New Roman" w:hint="default"/>
        </w:rPr>
        <w:t> (</w:t>
      </w:r>
      <w:r>
        <w:rPr/>
        <w:t>上年：</w:t>
      </w:r>
      <w:r>
        <w:rPr>
          <w:rFonts w:ascii="Times New Roman" w:hAnsi="Times New Roman" w:cs="Times New Roman" w:eastAsia="Times New Roman" w:hint="default"/>
        </w:rPr>
        <w:t>1.33%)</w:t>
      </w:r>
      <w:r>
        <w:rPr/>
        <w:t>。</w:t>
      </w:r>
    </w:p>
    <w:p>
      <w:pPr>
        <w:spacing w:line="240" w:lineRule="auto" w:before="13"/>
        <w:rPr>
          <w:rFonts w:ascii="宋体" w:hAnsi="宋体" w:cs="宋体" w:eastAsia="宋体" w:hint="default"/>
          <w:sz w:val="25"/>
          <w:szCs w:val="25"/>
        </w:rPr>
      </w:pPr>
    </w:p>
    <w:p>
      <w:pPr>
        <w:pStyle w:val="Heading4"/>
        <w:spacing w:line="240" w:lineRule="auto"/>
        <w:ind w:left="234" w:right="7211"/>
        <w:jc w:val="left"/>
        <w:rPr>
          <w:b w:val="0"/>
          <w:bCs w:val="0"/>
        </w:rPr>
      </w:pPr>
      <w:bookmarkStart w:name="16、商誉" w:id="278"/>
      <w:bookmarkEnd w:id="278"/>
      <w:r>
        <w:rPr>
          <w:b w:val="0"/>
          <w:bCs w:val="0"/>
        </w:rPr>
      </w:r>
      <w:r>
        <w:rPr>
          <w:rFonts w:ascii="Times New Roman" w:hAnsi="Times New Roman" w:cs="Times New Roman" w:eastAsia="Times New Roman" w:hint="default"/>
        </w:rPr>
        <w:t>16</w:t>
      </w:r>
      <w:r>
        <w:rPr/>
        <w:t>、商誉</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234" w:right="7211"/>
        <w:jc w:val="left"/>
        <w:rPr>
          <w:b w:val="0"/>
          <w:bCs w:val="0"/>
        </w:rPr>
      </w:pPr>
      <w:bookmarkStart w:name="（1）商誉账面原值" w:id="279"/>
      <w:bookmarkEnd w:id="27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983"/>
        <w:gridCol w:w="1474"/>
        <w:gridCol w:w="1023"/>
        <w:gridCol w:w="1344"/>
        <w:gridCol w:w="1239"/>
        <w:gridCol w:w="500"/>
        <w:gridCol w:w="1344"/>
        <w:gridCol w:w="1474"/>
      </w:tblGrid>
      <w:tr>
        <w:trPr>
          <w:trHeight w:val="403" w:hRule="exact"/>
        </w:trPr>
        <w:tc>
          <w:tcPr>
            <w:tcW w:w="19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446" w:right="171" w:hanging="269"/>
              <w:jc w:val="left"/>
              <w:rPr>
                <w:rFonts w:ascii="宋体" w:hAnsi="宋体" w:cs="宋体" w:eastAsia="宋体" w:hint="default"/>
                <w:sz w:val="18"/>
                <w:szCs w:val="18"/>
              </w:rPr>
            </w:pPr>
            <w:r>
              <w:rPr>
                <w:rFonts w:ascii="宋体" w:hAnsi="宋体" w:cs="宋体" w:eastAsia="宋体" w:hint="default"/>
                <w:spacing w:val="-3"/>
                <w:sz w:val="18"/>
                <w:szCs w:val="18"/>
              </w:rPr>
              <w:t>被投资单位名称或形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成商誉的事项</w:t>
            </w:r>
          </w:p>
        </w:tc>
        <w:tc>
          <w:tcPr>
            <w:tcW w:w="14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6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0" w:hRule="exact"/>
        </w:trPr>
        <w:tc>
          <w:tcPr>
            <w:tcW w:w="1983" w:type="dxa"/>
            <w:vMerge/>
            <w:tcBorders>
              <w:left w:val="single" w:sz="4" w:space="0" w:color="000000"/>
              <w:bottom w:val="single" w:sz="4" w:space="0" w:color="000000"/>
              <w:right w:val="single" w:sz="4" w:space="0" w:color="000000"/>
            </w:tcBorders>
            <w:shd w:val="clear" w:color="auto" w:fill="D2D2D2"/>
          </w:tcPr>
          <w:p>
            <w:pPr/>
          </w:p>
        </w:tc>
        <w:tc>
          <w:tcPr>
            <w:tcW w:w="1474" w:type="dxa"/>
            <w:vMerge/>
            <w:tcBorders>
              <w:left w:val="single" w:sz="4" w:space="0" w:color="000000"/>
              <w:bottom w:val="single" w:sz="4" w:space="0" w:color="000000"/>
              <w:right w:val="single" w:sz="4" w:space="0" w:color="000000"/>
            </w:tcBorders>
            <w:shd w:val="clear" w:color="auto" w:fill="D2D2D2"/>
          </w:tcPr>
          <w:p>
            <w:pP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5" w:right="142" w:hanging="92"/>
              <w:jc w:val="left"/>
              <w:rPr>
                <w:rFonts w:ascii="宋体" w:hAnsi="宋体" w:cs="宋体" w:eastAsia="宋体" w:hint="default"/>
                <w:sz w:val="18"/>
                <w:szCs w:val="18"/>
              </w:rPr>
            </w:pPr>
            <w:r>
              <w:rPr>
                <w:rFonts w:ascii="宋体" w:hAnsi="宋体" w:cs="宋体" w:eastAsia="宋体" w:hint="default"/>
                <w:sz w:val="18"/>
                <w:szCs w:val="18"/>
              </w:rPr>
              <w:t>企业合并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形成的</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其他增加</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3" w:right="161" w:hanging="361"/>
              <w:jc w:val="left"/>
              <w:rPr>
                <w:rFonts w:ascii="宋体" w:hAnsi="宋体" w:cs="宋体" w:eastAsia="宋体" w:hint="default"/>
                <w:sz w:val="18"/>
                <w:szCs w:val="18"/>
              </w:rPr>
            </w:pPr>
            <w:r>
              <w:rPr>
                <w:rFonts w:ascii="宋体" w:hAnsi="宋体" w:cs="宋体" w:eastAsia="宋体" w:hint="default"/>
                <w:spacing w:val="-2"/>
                <w:sz w:val="18"/>
                <w:szCs w:val="18"/>
              </w:rPr>
              <w:t>汇率变动影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响</w:t>
            </w:r>
          </w:p>
        </w:tc>
        <w:tc>
          <w:tcPr>
            <w:tcW w:w="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53" w:right="152"/>
              <w:jc w:val="left"/>
              <w:rPr>
                <w:rFonts w:ascii="宋体" w:hAnsi="宋体" w:cs="宋体" w:eastAsia="宋体" w:hint="default"/>
                <w:sz w:val="18"/>
                <w:szCs w:val="18"/>
              </w:rPr>
            </w:pPr>
            <w:r>
              <w:rPr>
                <w:rFonts w:ascii="宋体" w:hAnsi="宋体" w:cs="宋体" w:eastAsia="宋体" w:hint="default"/>
                <w:sz w:val="18"/>
                <w:szCs w:val="18"/>
              </w:rPr>
              <w:t>处</w:t>
            </w:r>
            <w:r>
              <w:rPr>
                <w:rFonts w:ascii="宋体" w:hAnsi="宋体" w:cs="宋体" w:eastAsia="宋体" w:hint="default"/>
                <w:spacing w:val="-88"/>
                <w:sz w:val="18"/>
                <w:szCs w:val="18"/>
              </w:rPr>
              <w:t> </w:t>
            </w:r>
            <w:r>
              <w:rPr>
                <w:rFonts w:ascii="宋体" w:hAnsi="宋体" w:cs="宋体" w:eastAsia="宋体" w:hint="default"/>
                <w:sz w:val="18"/>
                <w:szCs w:val="18"/>
              </w:rPr>
              <w:t>置</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7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VoIP </w:t>
            </w:r>
            <w:r>
              <w:rPr>
                <w:rFonts w:ascii="宋体" w:hAnsi="宋体" w:cs="宋体" w:eastAsia="宋体" w:hint="default"/>
                <w:sz w:val="18"/>
                <w:szCs w:val="18"/>
              </w:rPr>
              <w:t>及 </w:t>
            </w:r>
            <w:r>
              <w:rPr>
                <w:rFonts w:ascii="Times New Roman" w:hAnsi="Times New Roman" w:cs="Times New Roman" w:eastAsia="Times New Roman" w:hint="default"/>
                <w:spacing w:val="-3"/>
                <w:sz w:val="18"/>
                <w:szCs w:val="18"/>
              </w:rPr>
              <w:t>IPTV</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业务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733,132,426.79</w:t>
            </w:r>
          </w:p>
        </w:tc>
        <w:tc>
          <w:tcPr>
            <w:tcW w:w="102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733,132,426.79</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国际专线业务</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p>
        </w:tc>
        <w:tc>
          <w:tcPr>
            <w:tcW w:w="147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305,528,524.63</w:t>
            </w:r>
          </w:p>
        </w:tc>
        <w:tc>
          <w:tcPr>
            <w:tcW w:w="1239"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305,528,524.63</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263 </w:t>
            </w:r>
            <w:r>
              <w:rPr>
                <w:rFonts w:ascii="宋体" w:hAnsi="宋体" w:cs="宋体" w:eastAsia="宋体" w:hint="default"/>
                <w:sz w:val="18"/>
                <w:szCs w:val="18"/>
              </w:rPr>
              <w:t>环球通信</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0"/>
                <w:sz w:val="18"/>
                <w:szCs w:val="18"/>
              </w:rPr>
              <w:t> </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z w:val="18"/>
                <w:szCs w:val="18"/>
              </w:rPr>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298,640,069.71</w:t>
            </w:r>
          </w:p>
        </w:tc>
        <w:tc>
          <w:tcPr>
            <w:tcW w:w="102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298,640,069.71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深圳日升</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6,888,454.92</w:t>
            </w:r>
          </w:p>
        </w:tc>
        <w:tc>
          <w:tcPr>
            <w:tcW w:w="102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6,888,454.92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展动科技</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243,800,754.66</w:t>
            </w:r>
          </w:p>
        </w:tc>
        <w:tc>
          <w:tcPr>
            <w:tcW w:w="102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243,800,754.66</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迪讯业务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104,849,908.64</w:t>
            </w:r>
          </w:p>
        </w:tc>
        <w:tc>
          <w:tcPr>
            <w:tcW w:w="102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1,726,314.21</w:t>
            </w:r>
          </w:p>
        </w:tc>
        <w:tc>
          <w:tcPr>
            <w:tcW w:w="50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106,576,222.85</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pacing w:val="1"/>
                <w:sz w:val="18"/>
              </w:rPr>
              <w:t> </w:t>
            </w:r>
            <w:r>
              <w:rPr>
                <w:rFonts w:ascii="Times New Roman"/>
                <w:sz w:val="18"/>
              </w:rPr>
              <w:t>Media</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38,910,891.26</w:t>
            </w:r>
          </w:p>
        </w:tc>
        <w:tc>
          <w:tcPr>
            <w:tcW w:w="102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640,653.15</w:t>
            </w:r>
          </w:p>
        </w:tc>
        <w:tc>
          <w:tcPr>
            <w:tcW w:w="50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39,551,544.41</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翰平事业部</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34,635,570.72</w:t>
            </w:r>
          </w:p>
        </w:tc>
        <w:tc>
          <w:tcPr>
            <w:tcW w:w="102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34,635,570.72</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1,460,858,076.70</w:t>
            </w:r>
          </w:p>
        </w:tc>
        <w:tc>
          <w:tcPr>
            <w:tcW w:w="102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305,528,524.63</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2,366,967.36</w:t>
            </w:r>
          </w:p>
        </w:tc>
        <w:tc>
          <w:tcPr>
            <w:tcW w:w="50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305,528,524.63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1,463,225,044.06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00" w:bottom="1220" w:left="640" w:right="0"/>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right="858"/>
        <w:jc w:val="left"/>
        <w:rPr>
          <w:b w:val="0"/>
          <w:bCs w:val="0"/>
        </w:rPr>
      </w:pPr>
      <w:bookmarkStart w:name="（2）商誉减值准备" w:id="280"/>
      <w:bookmarkEnd w:id="280"/>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3832"/>
        <w:gridCol w:w="1810"/>
        <w:gridCol w:w="1685"/>
        <w:gridCol w:w="1056"/>
        <w:gridCol w:w="1811"/>
      </w:tblGrid>
      <w:tr>
        <w:trPr>
          <w:trHeight w:val="435" w:hRule="exact"/>
        </w:trPr>
        <w:tc>
          <w:tcPr>
            <w:tcW w:w="3832"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pacing w:val="-3"/>
                <w:sz w:val="18"/>
                <w:szCs w:val="18"/>
              </w:rPr>
              <w:t>被投资单位名称或形成商誉的事项</w:t>
            </w:r>
          </w:p>
        </w:tc>
        <w:tc>
          <w:tcPr>
            <w:tcW w:w="1810"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8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8"/>
              <w:ind w:left="4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5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8"/>
              <w:ind w:right="2"/>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11" w:type="dxa"/>
            <w:vMerge w:val="restart"/>
            <w:tcBorders>
              <w:top w:val="single" w:sz="8" w:space="0" w:color="000000"/>
              <w:left w:val="single" w:sz="8" w:space="0" w:color="000000"/>
              <w:right w:val="single" w:sz="8" w:space="0" w:color="000000"/>
            </w:tcBorders>
            <w:shd w:val="clear" w:color="auto" w:fill="D2D2D2"/>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0" w:hRule="exact"/>
        </w:trPr>
        <w:tc>
          <w:tcPr>
            <w:tcW w:w="3832" w:type="dxa"/>
            <w:vMerge/>
            <w:tcBorders>
              <w:left w:val="single" w:sz="8" w:space="0" w:color="000000"/>
              <w:bottom w:val="single" w:sz="8" w:space="0" w:color="000000"/>
              <w:right w:val="single" w:sz="8" w:space="0" w:color="000000"/>
            </w:tcBorders>
            <w:shd w:val="clear" w:color="auto" w:fill="D2D2D2"/>
          </w:tcPr>
          <w:p>
            <w:pPr/>
          </w:p>
        </w:tc>
        <w:tc>
          <w:tcPr>
            <w:tcW w:w="1810" w:type="dxa"/>
            <w:vMerge/>
            <w:tcBorders>
              <w:left w:val="single" w:sz="8" w:space="0" w:color="000000"/>
              <w:bottom w:val="single" w:sz="8" w:space="0" w:color="000000"/>
              <w:right w:val="single" w:sz="8" w:space="0" w:color="000000"/>
            </w:tcBorders>
            <w:shd w:val="clear" w:color="auto" w:fill="D2D2D2"/>
          </w:tcPr>
          <w:p>
            <w:pPr/>
          </w:p>
        </w:tc>
        <w:tc>
          <w:tcPr>
            <w:tcW w:w="168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5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811" w:type="dxa"/>
            <w:vMerge/>
            <w:tcBorders>
              <w:left w:val="single" w:sz="8" w:space="0" w:color="000000"/>
              <w:bottom w:val="single" w:sz="8" w:space="0" w:color="000000"/>
              <w:right w:val="single" w:sz="8" w:space="0" w:color="000000"/>
            </w:tcBorders>
            <w:shd w:val="clear" w:color="auto" w:fill="D2D2D2"/>
          </w:tcPr>
          <w:p>
            <w:pPr/>
          </w:p>
        </w:tc>
      </w:tr>
      <w:tr>
        <w:trPr>
          <w:trHeight w:val="499" w:hRule="exact"/>
        </w:trPr>
        <w:tc>
          <w:tcPr>
            <w:tcW w:w="38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 </w:t>
            </w:r>
            <w:r>
              <w:rPr>
                <w:rFonts w:ascii="宋体" w:hAnsi="宋体" w:cs="宋体" w:eastAsia="宋体" w:hint="default"/>
                <w:sz w:val="18"/>
                <w:szCs w:val="18"/>
              </w:rPr>
              <w:t>及</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IPTV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18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320,271,824.69</w:t>
            </w:r>
          </w:p>
        </w:tc>
        <w:tc>
          <w:tcPr>
            <w:tcW w:w="1685" w:type="dxa"/>
            <w:tcBorders>
              <w:top w:val="single" w:sz="8" w:space="0" w:color="000000"/>
              <w:left w:val="single" w:sz="8" w:space="0" w:color="000000"/>
              <w:bottom w:val="single" w:sz="8" w:space="0" w:color="000000"/>
              <w:right w:val="single" w:sz="8" w:space="0" w:color="000000"/>
            </w:tcBorders>
          </w:tcPr>
          <w:p>
            <w:pPr/>
          </w:p>
        </w:tc>
        <w:tc>
          <w:tcPr>
            <w:tcW w:w="1056" w:type="dxa"/>
            <w:tcBorders>
              <w:top w:val="single" w:sz="8" w:space="0" w:color="000000"/>
              <w:left w:val="single" w:sz="8" w:space="0" w:color="000000"/>
              <w:bottom w:val="single" w:sz="8" w:space="0" w:color="000000"/>
              <w:right w:val="single" w:sz="8" w:space="0" w:color="000000"/>
            </w:tcBorders>
          </w:tcPr>
          <w:p>
            <w:pPr/>
          </w:p>
        </w:tc>
        <w:tc>
          <w:tcPr>
            <w:tcW w:w="18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9"/>
              <w:ind w:right="3"/>
              <w:jc w:val="right"/>
              <w:rPr>
                <w:rFonts w:ascii="Times New Roman" w:hAnsi="Times New Roman" w:cs="Times New Roman" w:eastAsia="Times New Roman" w:hint="default"/>
                <w:sz w:val="18"/>
                <w:szCs w:val="18"/>
              </w:rPr>
            </w:pPr>
            <w:r>
              <w:rPr>
                <w:rFonts w:ascii="Times New Roman"/>
                <w:spacing w:val="-1"/>
                <w:sz w:val="18"/>
              </w:rPr>
              <w:t>320,271,824.69</w:t>
            </w:r>
          </w:p>
        </w:tc>
      </w:tr>
      <w:tr>
        <w:trPr>
          <w:trHeight w:val="413" w:hRule="exact"/>
        </w:trPr>
        <w:tc>
          <w:tcPr>
            <w:tcW w:w="38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翰平事业部</w:t>
            </w:r>
          </w:p>
        </w:tc>
        <w:tc>
          <w:tcPr>
            <w:tcW w:w="18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34,635,570.72</w:t>
            </w:r>
          </w:p>
        </w:tc>
        <w:tc>
          <w:tcPr>
            <w:tcW w:w="1685" w:type="dxa"/>
            <w:tcBorders>
              <w:top w:val="single" w:sz="8" w:space="0" w:color="000000"/>
              <w:left w:val="single" w:sz="8" w:space="0" w:color="000000"/>
              <w:bottom w:val="single" w:sz="8" w:space="0" w:color="000000"/>
              <w:right w:val="single" w:sz="8" w:space="0" w:color="000000"/>
            </w:tcBorders>
          </w:tcPr>
          <w:p>
            <w:pPr/>
          </w:p>
        </w:tc>
        <w:tc>
          <w:tcPr>
            <w:tcW w:w="1056" w:type="dxa"/>
            <w:tcBorders>
              <w:top w:val="single" w:sz="8" w:space="0" w:color="000000"/>
              <w:left w:val="single" w:sz="8" w:space="0" w:color="000000"/>
              <w:bottom w:val="single" w:sz="8" w:space="0" w:color="000000"/>
              <w:right w:val="single" w:sz="8" w:space="0" w:color="000000"/>
            </w:tcBorders>
          </w:tcPr>
          <w:p>
            <w:pPr/>
          </w:p>
        </w:tc>
        <w:tc>
          <w:tcPr>
            <w:tcW w:w="18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34,635,570.72</w:t>
            </w:r>
          </w:p>
        </w:tc>
      </w:tr>
      <w:tr>
        <w:trPr>
          <w:trHeight w:val="413" w:hRule="exact"/>
        </w:trPr>
        <w:tc>
          <w:tcPr>
            <w:tcW w:w="38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迪讯业务</w:t>
            </w:r>
          </w:p>
        </w:tc>
        <w:tc>
          <w:tcPr>
            <w:tcW w:w="1810" w:type="dxa"/>
            <w:tcBorders>
              <w:top w:val="single" w:sz="8" w:space="0" w:color="000000"/>
              <w:left w:val="single" w:sz="8" w:space="0" w:color="000000"/>
              <w:bottom w:val="single" w:sz="8" w:space="0" w:color="000000"/>
              <w:right w:val="single" w:sz="8" w:space="0" w:color="000000"/>
            </w:tcBorders>
          </w:tcPr>
          <w:p>
            <w:pP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74,236,800.00</w:t>
            </w:r>
          </w:p>
        </w:tc>
        <w:tc>
          <w:tcPr>
            <w:tcW w:w="1056" w:type="dxa"/>
            <w:tcBorders>
              <w:top w:val="single" w:sz="8" w:space="0" w:color="000000"/>
              <w:left w:val="single" w:sz="8" w:space="0" w:color="000000"/>
              <w:bottom w:val="single" w:sz="8" w:space="0" w:color="000000"/>
              <w:right w:val="single" w:sz="8" w:space="0" w:color="000000"/>
            </w:tcBorders>
          </w:tcPr>
          <w:p>
            <w:pPr/>
          </w:p>
        </w:tc>
        <w:tc>
          <w:tcPr>
            <w:tcW w:w="18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74,236,800.00</w:t>
            </w:r>
          </w:p>
        </w:tc>
      </w:tr>
      <w:tr>
        <w:trPr>
          <w:trHeight w:val="413" w:hRule="exact"/>
        </w:trPr>
        <w:tc>
          <w:tcPr>
            <w:tcW w:w="38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354,907,395.41</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74,236,800.00</w:t>
            </w:r>
          </w:p>
        </w:tc>
        <w:tc>
          <w:tcPr>
            <w:tcW w:w="1056" w:type="dxa"/>
            <w:tcBorders>
              <w:top w:val="single" w:sz="8" w:space="0" w:color="000000"/>
              <w:left w:val="single" w:sz="8" w:space="0" w:color="000000"/>
              <w:bottom w:val="single" w:sz="8" w:space="0" w:color="000000"/>
              <w:right w:val="single" w:sz="8" w:space="0" w:color="000000"/>
            </w:tcBorders>
          </w:tcPr>
          <w:p>
            <w:pPr/>
          </w:p>
        </w:tc>
        <w:tc>
          <w:tcPr>
            <w:tcW w:w="18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429,144,195.41</w:t>
            </w:r>
          </w:p>
        </w:tc>
      </w:tr>
    </w:tbl>
    <w:p>
      <w:pPr>
        <w:pStyle w:val="BodyText"/>
        <w:spacing w:line="352" w:lineRule="auto" w:before="53"/>
        <w:ind w:left="494" w:right="863" w:hanging="360"/>
        <w:jc w:val="left"/>
      </w:pPr>
      <w:r>
        <w:rPr>
          <w:spacing w:val="-3"/>
        </w:rPr>
        <w:t>商誉所在资产组或资产组组合的相关信息</w:t>
      </w:r>
      <w:r>
        <w:rPr>
          <w:spacing w:val="-33"/>
        </w:rPr>
        <w:t> </w:t>
      </w:r>
      <w:r>
        <w:rPr>
          <w:spacing w:val="-33"/>
        </w:rPr>
      </w:r>
      <w:r>
        <w:rPr>
          <w:spacing w:val="-3"/>
        </w:rPr>
        <w:t>注</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22</w:t>
      </w:r>
      <w:r>
        <w:rPr>
          <w:spacing w:val="-3"/>
        </w:rPr>
        <w:t>日，公司第六届董事会第八次会议审议通过了《关于将日升科技业务与  </w:t>
      </w:r>
      <w:r>
        <w:rPr>
          <w:rFonts w:ascii="Times New Roman" w:hAnsi="Times New Roman" w:cs="Times New Roman" w:eastAsia="Times New Roman" w:hint="default"/>
          <w:spacing w:val="-3"/>
        </w:rPr>
        <w:t>I-Access   </w:t>
      </w:r>
      <w:r>
        <w:rPr>
          <w:rFonts w:ascii="Times New Roman" w:hAnsi="Times New Roman" w:cs="Times New Roman" w:eastAsia="Times New Roman" w:hint="default"/>
          <w:spacing w:val="4"/>
        </w:rPr>
        <w:t> </w:t>
      </w:r>
      <w:r>
        <w:rPr>
          <w:spacing w:val="-3"/>
        </w:rPr>
        <w:t>业务资产组及商誉合并处</w:t>
      </w:r>
    </w:p>
    <w:p>
      <w:pPr>
        <w:pStyle w:val="BodyText"/>
        <w:spacing w:line="218" w:lineRule="exact"/>
        <w:ind w:right="0"/>
        <w:jc w:val="left"/>
      </w:pPr>
      <w:r>
        <w:rPr>
          <w:spacing w:val="-4"/>
        </w:rPr>
        <w:t>理的议案》，将原收购深圳日升所形成资产组及商誉与原收购</w:t>
      </w:r>
      <w:r>
        <w:rPr>
          <w:rFonts w:ascii="Times New Roman" w:hAnsi="Times New Roman" w:cs="Times New Roman" w:eastAsia="Times New Roman" w:hint="default"/>
          <w:spacing w:val="-4"/>
        </w:rPr>
        <w:t>I-ACCESS    </w:t>
      </w:r>
      <w:r>
        <w:rPr>
          <w:rFonts w:ascii="Times New Roman" w:hAnsi="Times New Roman" w:cs="Times New Roman" w:eastAsia="Times New Roman" w:hint="default"/>
          <w:spacing w:val="6"/>
        </w:rPr>
        <w:t> </w:t>
      </w:r>
      <w:r>
        <w:rPr>
          <w:spacing w:val="-3"/>
        </w:rPr>
        <w:t>（已更名为</w:t>
      </w:r>
      <w:r>
        <w:rPr>
          <w:rFonts w:ascii="Times New Roman" w:hAnsi="Times New Roman" w:cs="Times New Roman" w:eastAsia="Times New Roman" w:hint="default"/>
          <w:spacing w:val="-3"/>
        </w:rPr>
        <w:t>263</w:t>
      </w:r>
      <w:r>
        <w:rPr>
          <w:spacing w:val="-3"/>
        </w:rPr>
        <w:t>环球通信）所形成资产组及商誉予以合并。</w:t>
      </w:r>
    </w:p>
    <w:p>
      <w:pPr>
        <w:pStyle w:val="BodyText"/>
        <w:spacing w:line="307" w:lineRule="auto" w:before="63"/>
        <w:ind w:right="858"/>
        <w:jc w:val="left"/>
      </w:pPr>
      <w:r>
        <w:rPr>
          <w:spacing w:val="-3"/>
        </w:rPr>
        <w:t>于并购前，深圳日升为</w:t>
      </w:r>
      <w:r>
        <w:rPr>
          <w:rFonts w:ascii="Times New Roman" w:hAnsi="Times New Roman" w:cs="Times New Roman" w:eastAsia="Times New Roman" w:hint="default"/>
          <w:spacing w:val="-3"/>
        </w:rPr>
        <w:t>263</w:t>
      </w:r>
      <w:r>
        <w:rPr>
          <w:spacing w:val="-3"/>
        </w:rPr>
        <w:t>环球通信提供一定的技术支持服务，系</w:t>
      </w:r>
      <w:r>
        <w:rPr>
          <w:spacing w:val="71"/>
        </w:rPr>
        <w:t> </w:t>
      </w:r>
      <w:r>
        <w:rPr>
          <w:rFonts w:ascii="Times New Roman" w:hAnsi="Times New Roman" w:cs="Times New Roman" w:eastAsia="Times New Roman" w:hint="default"/>
          <w:spacing w:val="-3"/>
        </w:rPr>
        <w:t>263</w:t>
      </w:r>
      <w:r>
        <w:rPr>
          <w:spacing w:val="-3"/>
        </w:rPr>
        <w:t>环球通信的供应商之一。于并购后，考虑到深圳日升和</w:t>
      </w:r>
      <w:r>
        <w:rPr>
          <w:spacing w:val="70"/>
        </w:rPr>
        <w:t> </w:t>
      </w:r>
      <w:r>
        <w:rPr>
          <w:rFonts w:ascii="Times New Roman" w:hAnsi="Times New Roman" w:cs="Times New Roman" w:eastAsia="Times New Roman" w:hint="default"/>
        </w:rPr>
        <w:t>263</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spacing w:val="-3"/>
        </w:rPr>
        <w:t>环球通信的整合可完善业务线，同时因转让方对二者做出整体业绩承诺导致双方目前共用运营管理团队，公司决定将双方业务、</w:t>
      </w:r>
      <w:r>
        <w:rPr>
          <w:spacing w:val="72"/>
        </w:rPr>
        <w:t> </w:t>
      </w:r>
      <w:r>
        <w:rPr>
          <w:spacing w:val="72"/>
        </w:rPr>
      </w:r>
      <w:r>
        <w:rPr>
          <w:spacing w:val="-3"/>
        </w:rPr>
        <w:t>管理团队及客户等予以整合、统一管理，故将原收购深圳日升所形成资产组及商誉与原收购</w:t>
      </w:r>
      <w:r>
        <w:rPr>
          <w:rFonts w:ascii="Times New Roman" w:hAnsi="Times New Roman" w:cs="Times New Roman" w:eastAsia="Times New Roman" w:hint="default"/>
          <w:spacing w:val="-3"/>
        </w:rPr>
        <w:t>263</w:t>
      </w:r>
      <w:r>
        <w:rPr>
          <w:spacing w:val="-3"/>
        </w:rPr>
        <w:t>环球通信所形成资产组及商誉予以</w:t>
      </w:r>
      <w:r>
        <w:rPr>
          <w:spacing w:val="69"/>
        </w:rPr>
        <w:t> </w:t>
      </w:r>
      <w:r>
        <w:rPr>
          <w:spacing w:val="69"/>
        </w:rPr>
      </w:r>
      <w:r>
        <w:rPr>
          <w:spacing w:val="-3"/>
        </w:rPr>
        <w:t>合并。根据合并后的资产组进行价值评估和商誉减值测试，命名为</w:t>
      </w:r>
      <w:r>
        <w:rPr>
          <w:rFonts w:ascii="Times New Roman" w:hAnsi="Times New Roman" w:cs="Times New Roman" w:eastAsia="Times New Roman" w:hint="default"/>
          <w:spacing w:val="-3"/>
        </w:rPr>
        <w:t>“</w:t>
      </w:r>
      <w:r>
        <w:rPr>
          <w:spacing w:val="-3"/>
        </w:rPr>
        <w:t>国际专线业务</w:t>
      </w:r>
      <w:r>
        <w:rPr>
          <w:rFonts w:ascii="Times New Roman" w:hAnsi="Times New Roman" w:cs="Times New Roman" w:eastAsia="Times New Roman" w:hint="default"/>
          <w:spacing w:val="-3"/>
        </w:rPr>
        <w:t>”</w:t>
      </w:r>
      <w:r>
        <w:rPr>
          <w:spacing w:val="-3"/>
        </w:rPr>
        <w:t>。</w:t>
      </w:r>
    </w:p>
    <w:p>
      <w:pPr>
        <w:pStyle w:val="BodyText"/>
        <w:spacing w:line="324" w:lineRule="auto" w:before="50"/>
        <w:ind w:right="858" w:firstLine="360"/>
        <w:jc w:val="left"/>
      </w:pPr>
      <w:r>
        <w:rPr>
          <w:spacing w:val="-3"/>
        </w:rPr>
        <w:t>说明商誉减值测试过程、关键参数（如预计未来现金流量现值时的预测期增长率、稳定期增长率、利润率、折现率、预测期</w:t>
      </w:r>
      <w:r>
        <w:rPr>
          <w:spacing w:val="-5"/>
          <w:w w:val="101"/>
        </w:rPr>
        <w:t> </w:t>
      </w:r>
      <w:r>
        <w:rPr>
          <w:spacing w:val="-3"/>
        </w:rPr>
        <w:t>等）及商誉减值损失的确认方法：</w:t>
      </w:r>
    </w:p>
    <w:p>
      <w:pPr>
        <w:pStyle w:val="BodyText"/>
        <w:spacing w:line="316" w:lineRule="auto" w:before="47"/>
        <w:ind w:left="494" w:right="858"/>
        <w:jc w:val="left"/>
      </w:pPr>
      <w:r>
        <w:rPr>
          <w:spacing w:val="-3"/>
        </w:rPr>
        <w:t>商誉减值测试过程、参数及商誉减值损失的确认方法。</w:t>
      </w:r>
      <w:r>
        <w:rPr>
          <w:spacing w:val="-16"/>
        </w:rPr>
        <w:t> </w:t>
      </w:r>
      <w:r>
        <w:rPr>
          <w:spacing w:val="-16"/>
        </w:rPr>
      </w:r>
      <w:r>
        <w:rPr>
          <w:spacing w:val="-3"/>
        </w:rPr>
        <w:t>本集团的商誉来自七个资产组。</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日，分配到这七个资产组的商誉的账面价值及相关减值准备如下：</w:t>
      </w:r>
    </w:p>
    <w:tbl>
      <w:tblPr>
        <w:tblW w:w="0" w:type="auto"/>
        <w:jc w:val="left"/>
        <w:tblInd w:w="114" w:type="dxa"/>
        <w:tblLayout w:type="fixed"/>
        <w:tblCellMar>
          <w:top w:w="0" w:type="dxa"/>
          <w:left w:w="0" w:type="dxa"/>
          <w:bottom w:w="0" w:type="dxa"/>
          <w:right w:w="0" w:type="dxa"/>
        </w:tblCellMar>
        <w:tblLook w:val="01E0"/>
      </w:tblPr>
      <w:tblGrid>
        <w:gridCol w:w="2641"/>
        <w:gridCol w:w="2583"/>
        <w:gridCol w:w="2372"/>
        <w:gridCol w:w="2588"/>
      </w:tblGrid>
      <w:tr>
        <w:trPr>
          <w:trHeight w:val="329" w:hRule="exact"/>
        </w:trPr>
        <w:tc>
          <w:tcPr>
            <w:tcW w:w="264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8"/>
              <w:ind w:left="36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8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8"/>
              <w:ind w:left="369"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237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8"/>
              <w:ind w:left="99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58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8"/>
              <w:ind w:left="364" w:right="0"/>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362" w:hRule="exact"/>
        </w:trPr>
        <w:tc>
          <w:tcPr>
            <w:tcW w:w="2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64" w:right="0"/>
              <w:jc w:val="left"/>
              <w:rPr>
                <w:rFonts w:ascii="宋体" w:hAnsi="宋体" w:cs="宋体" w:eastAsia="宋体" w:hint="default"/>
                <w:sz w:val="18"/>
                <w:szCs w:val="18"/>
              </w:rPr>
            </w:pPr>
            <w:r>
              <w:rPr>
                <w:rFonts w:ascii="Times New Roman" w:hAnsi="Times New Roman" w:cs="Times New Roman" w:eastAsia="Times New Roman" w:hint="default"/>
                <w:color w:val="0D0D0D"/>
                <w:spacing w:val="-5"/>
                <w:sz w:val="18"/>
                <w:szCs w:val="18"/>
              </w:rPr>
              <w:t>VoIP</w:t>
            </w:r>
            <w:r>
              <w:rPr>
                <w:rFonts w:ascii="宋体" w:hAnsi="宋体" w:cs="宋体" w:eastAsia="宋体" w:hint="default"/>
                <w:color w:val="0D0D0D"/>
                <w:spacing w:val="-5"/>
                <w:sz w:val="18"/>
                <w:szCs w:val="18"/>
              </w:rPr>
              <w:t>及</w:t>
            </w:r>
            <w:r>
              <w:rPr>
                <w:rFonts w:ascii="Times New Roman" w:hAnsi="Times New Roman" w:cs="Times New Roman" w:eastAsia="Times New Roman" w:hint="default"/>
                <w:color w:val="0D0D0D"/>
                <w:spacing w:val="-5"/>
                <w:sz w:val="18"/>
                <w:szCs w:val="18"/>
              </w:rPr>
              <w:t>IPTV</w:t>
            </w:r>
            <w:r>
              <w:rPr>
                <w:rFonts w:ascii="宋体" w:hAnsi="宋体" w:cs="宋体" w:eastAsia="宋体" w:hint="default"/>
                <w:color w:val="0D0D0D"/>
                <w:spacing w:val="-5"/>
                <w:sz w:val="18"/>
                <w:szCs w:val="18"/>
              </w:rPr>
              <w:t>业务</w:t>
            </w:r>
            <w:r>
              <w:rPr>
                <w:rFonts w:ascii="宋体" w:hAnsi="宋体" w:cs="宋体" w:eastAsia="宋体" w:hint="default"/>
                <w:spacing w:val="-5"/>
                <w:sz w:val="18"/>
                <w:szCs w:val="18"/>
              </w:rPr>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color w:val="0D0D0D"/>
                <w:spacing w:val="-1"/>
                <w:sz w:val="18"/>
              </w:rPr>
              <w:t>733,132,426.79</w:t>
            </w:r>
            <w:r>
              <w:rPr>
                <w:rFonts w:ascii="Times New Roman"/>
                <w:spacing w:val="-1"/>
                <w:sz w:val="18"/>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color w:val="0D0D0D"/>
                <w:spacing w:val="-1"/>
                <w:sz w:val="18"/>
              </w:rPr>
              <w:t>320,271,824.69</w:t>
            </w:r>
            <w:r>
              <w:rPr>
                <w:rFonts w:ascii="Times New Roman"/>
                <w:spacing w:val="-1"/>
                <w:sz w:val="18"/>
              </w:rPr>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color w:val="0D0D0D"/>
                <w:spacing w:val="-1"/>
                <w:sz w:val="18"/>
              </w:rPr>
              <w:t>412,860,602.10</w:t>
            </w:r>
            <w:r>
              <w:rPr>
                <w:rFonts w:ascii="Times New Roman"/>
                <w:spacing w:val="-1"/>
                <w:sz w:val="18"/>
              </w:rPr>
            </w:r>
          </w:p>
        </w:tc>
      </w:tr>
      <w:tr>
        <w:trPr>
          <w:trHeight w:val="351" w:hRule="exact"/>
        </w:trPr>
        <w:tc>
          <w:tcPr>
            <w:tcW w:w="2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64" w:right="0"/>
              <w:jc w:val="left"/>
              <w:rPr>
                <w:rFonts w:ascii="宋体" w:hAnsi="宋体" w:cs="宋体" w:eastAsia="宋体" w:hint="default"/>
                <w:sz w:val="18"/>
                <w:szCs w:val="18"/>
              </w:rPr>
            </w:pPr>
            <w:r>
              <w:rPr>
                <w:rFonts w:ascii="宋体" w:hAnsi="宋体" w:cs="宋体" w:eastAsia="宋体" w:hint="default"/>
                <w:color w:val="0D0D0D"/>
                <w:sz w:val="18"/>
                <w:szCs w:val="18"/>
              </w:rPr>
              <w:t>国际专线业务</w:t>
            </w:r>
            <w:r>
              <w:rPr>
                <w:rFonts w:ascii="宋体" w:hAnsi="宋体" w:cs="宋体" w:eastAsia="宋体" w:hint="default"/>
                <w:sz w:val="18"/>
                <w:szCs w:val="18"/>
              </w:rPr>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5"/>
              <w:jc w:val="right"/>
              <w:rPr>
                <w:rFonts w:ascii="Times New Roman" w:hAnsi="Times New Roman" w:cs="Times New Roman" w:eastAsia="Times New Roman" w:hint="default"/>
                <w:sz w:val="18"/>
                <w:szCs w:val="18"/>
              </w:rPr>
            </w:pPr>
            <w:r>
              <w:rPr>
                <w:rFonts w:ascii="Times New Roman"/>
                <w:color w:val="0D0D0D"/>
                <w:spacing w:val="-1"/>
                <w:sz w:val="18"/>
              </w:rPr>
              <w:t>305,528,524.63</w:t>
            </w:r>
            <w:r>
              <w:rPr>
                <w:rFonts w:ascii="Times New Roman"/>
                <w:spacing w:val="-1"/>
                <w:sz w:val="18"/>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4"/>
              <w:jc w:val="right"/>
              <w:rPr>
                <w:rFonts w:ascii="Times New Roman" w:hAnsi="Times New Roman" w:cs="Times New Roman" w:eastAsia="Times New Roman" w:hint="default"/>
                <w:sz w:val="18"/>
                <w:szCs w:val="18"/>
              </w:rPr>
            </w:pPr>
            <w:r>
              <w:rPr>
                <w:rFonts w:ascii="Times New Roman"/>
                <w:color w:val="0D0D0D"/>
                <w:w w:val="101"/>
                <w:sz w:val="18"/>
              </w:rPr>
              <w:t>-</w:t>
            </w:r>
            <w:r>
              <w:rPr>
                <w:rFonts w:ascii="Times New Roman"/>
                <w:sz w:val="18"/>
              </w:rPr>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color w:val="0D0D0D"/>
                <w:spacing w:val="-1"/>
                <w:sz w:val="18"/>
              </w:rPr>
              <w:t>305,528,524.63</w:t>
            </w:r>
            <w:r>
              <w:rPr>
                <w:rFonts w:ascii="Times New Roman"/>
                <w:spacing w:val="-1"/>
                <w:sz w:val="18"/>
              </w:rPr>
            </w:r>
          </w:p>
        </w:tc>
      </w:tr>
      <w:tr>
        <w:trPr>
          <w:trHeight w:val="346" w:hRule="exact"/>
        </w:trPr>
        <w:tc>
          <w:tcPr>
            <w:tcW w:w="2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color w:val="0D0D0D"/>
                <w:sz w:val="18"/>
                <w:szCs w:val="18"/>
              </w:rPr>
              <w:t>展动科技</w:t>
            </w:r>
            <w:r>
              <w:rPr>
                <w:rFonts w:ascii="宋体" w:hAnsi="宋体" w:cs="宋体" w:eastAsia="宋体" w:hint="default"/>
                <w:sz w:val="18"/>
                <w:szCs w:val="18"/>
              </w:rPr>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color w:val="0D0D0D"/>
                <w:spacing w:val="-1"/>
                <w:sz w:val="18"/>
              </w:rPr>
              <w:t>243,800,754.66</w:t>
            </w:r>
            <w:r>
              <w:rPr>
                <w:rFonts w:ascii="Times New Roman"/>
                <w:spacing w:val="-1"/>
                <w:sz w:val="18"/>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
              <w:jc w:val="right"/>
              <w:rPr>
                <w:rFonts w:ascii="Times New Roman" w:hAnsi="Times New Roman" w:cs="Times New Roman" w:eastAsia="Times New Roman" w:hint="default"/>
                <w:sz w:val="18"/>
                <w:szCs w:val="18"/>
              </w:rPr>
            </w:pPr>
            <w:r>
              <w:rPr>
                <w:rFonts w:ascii="Times New Roman"/>
                <w:color w:val="0D0D0D"/>
                <w:w w:val="101"/>
                <w:sz w:val="18"/>
              </w:rPr>
              <w:t>-</w:t>
            </w:r>
            <w:r>
              <w:rPr>
                <w:rFonts w:ascii="Times New Roman"/>
                <w:sz w:val="18"/>
              </w:rPr>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Times New Roman" w:hAnsi="Times New Roman" w:cs="Times New Roman" w:eastAsia="Times New Roman" w:hint="default"/>
                <w:sz w:val="18"/>
                <w:szCs w:val="18"/>
              </w:rPr>
            </w:pPr>
            <w:r>
              <w:rPr>
                <w:rFonts w:ascii="Times New Roman"/>
                <w:color w:val="0D0D0D"/>
                <w:spacing w:val="-1"/>
                <w:sz w:val="18"/>
              </w:rPr>
              <w:t>243,800,754.66</w:t>
            </w:r>
            <w:r>
              <w:rPr>
                <w:rFonts w:ascii="Times New Roman"/>
                <w:spacing w:val="-1"/>
                <w:sz w:val="18"/>
              </w:rPr>
            </w:r>
          </w:p>
        </w:tc>
      </w:tr>
      <w:tr>
        <w:trPr>
          <w:trHeight w:val="346" w:hRule="exact"/>
        </w:trPr>
        <w:tc>
          <w:tcPr>
            <w:tcW w:w="2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color w:val="0D0D0D"/>
                <w:sz w:val="18"/>
                <w:szCs w:val="18"/>
              </w:rPr>
              <w:t>迪讯业务</w:t>
            </w:r>
            <w:r>
              <w:rPr>
                <w:rFonts w:ascii="宋体" w:hAnsi="宋体" w:cs="宋体" w:eastAsia="宋体" w:hint="default"/>
                <w:sz w:val="18"/>
                <w:szCs w:val="18"/>
              </w:rPr>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color w:val="0D0D0D"/>
                <w:spacing w:val="-1"/>
                <w:sz w:val="18"/>
              </w:rPr>
              <w:t>106,576,222.85</w:t>
            </w:r>
            <w:r>
              <w:rPr>
                <w:rFonts w:ascii="Times New Roman"/>
                <w:spacing w:val="-1"/>
                <w:sz w:val="18"/>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
              <w:jc w:val="right"/>
              <w:rPr>
                <w:rFonts w:ascii="Times New Roman" w:hAnsi="Times New Roman" w:cs="Times New Roman" w:eastAsia="Times New Roman" w:hint="default"/>
                <w:sz w:val="18"/>
                <w:szCs w:val="18"/>
              </w:rPr>
            </w:pPr>
            <w:r>
              <w:rPr>
                <w:rFonts w:ascii="Times New Roman"/>
                <w:color w:val="0D0D0D"/>
                <w:spacing w:val="-1"/>
                <w:sz w:val="18"/>
              </w:rPr>
              <w:t>74,236,800.00</w:t>
            </w:r>
            <w:r>
              <w:rPr>
                <w:rFonts w:ascii="Times New Roman"/>
                <w:spacing w:val="-1"/>
                <w:sz w:val="18"/>
              </w:rPr>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color w:val="0D0D0D"/>
                <w:spacing w:val="-1"/>
                <w:sz w:val="18"/>
              </w:rPr>
              <w:t>32,339,422.85</w:t>
            </w:r>
            <w:r>
              <w:rPr>
                <w:rFonts w:ascii="Times New Roman"/>
                <w:spacing w:val="-1"/>
                <w:sz w:val="18"/>
              </w:rPr>
            </w:r>
          </w:p>
        </w:tc>
      </w:tr>
      <w:tr>
        <w:trPr>
          <w:trHeight w:val="350" w:hRule="exact"/>
        </w:trPr>
        <w:tc>
          <w:tcPr>
            <w:tcW w:w="2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364" w:right="0"/>
              <w:jc w:val="left"/>
              <w:rPr>
                <w:rFonts w:ascii="Times New Roman" w:hAnsi="Times New Roman" w:cs="Times New Roman" w:eastAsia="Times New Roman" w:hint="default"/>
                <w:sz w:val="18"/>
                <w:szCs w:val="18"/>
              </w:rPr>
            </w:pPr>
            <w:r>
              <w:rPr>
                <w:rFonts w:ascii="Times New Roman"/>
                <w:color w:val="0D0D0D"/>
                <w:spacing w:val="-3"/>
                <w:sz w:val="18"/>
              </w:rPr>
              <w:t>iTalk</w:t>
            </w:r>
            <w:r>
              <w:rPr>
                <w:rFonts w:ascii="Times New Roman"/>
                <w:color w:val="0D0D0D"/>
                <w:spacing w:val="1"/>
                <w:sz w:val="18"/>
              </w:rPr>
              <w:t> </w:t>
            </w:r>
            <w:r>
              <w:rPr>
                <w:rFonts w:ascii="Times New Roman"/>
                <w:color w:val="0D0D0D"/>
                <w:sz w:val="18"/>
              </w:rPr>
              <w:t>Media</w:t>
            </w:r>
            <w:r>
              <w:rPr>
                <w:rFonts w:ascii="Times New Roman"/>
                <w:sz w:val="18"/>
              </w:rPr>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color w:val="0D0D0D"/>
                <w:spacing w:val="-1"/>
                <w:sz w:val="18"/>
              </w:rPr>
              <w:t>39,551,544.41</w:t>
            </w:r>
            <w:r>
              <w:rPr>
                <w:rFonts w:ascii="Times New Roman"/>
                <w:spacing w:val="-1"/>
                <w:sz w:val="18"/>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color w:val="0D0D0D"/>
                <w:w w:val="101"/>
                <w:sz w:val="18"/>
              </w:rPr>
              <w:t>-</w:t>
            </w:r>
            <w:r>
              <w:rPr>
                <w:rFonts w:ascii="Times New Roman"/>
                <w:sz w:val="18"/>
              </w:rPr>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color w:val="0D0D0D"/>
                <w:spacing w:val="-1"/>
                <w:sz w:val="18"/>
              </w:rPr>
              <w:t>39,551,544.41</w:t>
            </w:r>
            <w:r>
              <w:rPr>
                <w:rFonts w:ascii="Times New Roman"/>
                <w:spacing w:val="-1"/>
                <w:sz w:val="18"/>
              </w:rPr>
            </w:r>
          </w:p>
        </w:tc>
      </w:tr>
      <w:tr>
        <w:trPr>
          <w:trHeight w:val="346" w:hRule="exact"/>
        </w:trPr>
        <w:tc>
          <w:tcPr>
            <w:tcW w:w="2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hAnsi="宋体" w:cs="宋体" w:eastAsia="宋体" w:hint="default"/>
                <w:color w:val="0D0D0D"/>
                <w:sz w:val="18"/>
                <w:szCs w:val="18"/>
              </w:rPr>
              <w:t>翰平事业部</w:t>
            </w:r>
            <w:r>
              <w:rPr>
                <w:rFonts w:ascii="宋体" w:hAnsi="宋体" w:cs="宋体" w:eastAsia="宋体" w:hint="default"/>
                <w:sz w:val="18"/>
                <w:szCs w:val="18"/>
              </w:rPr>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
              <w:jc w:val="right"/>
              <w:rPr>
                <w:rFonts w:ascii="Times New Roman" w:hAnsi="Times New Roman" w:cs="Times New Roman" w:eastAsia="Times New Roman" w:hint="default"/>
                <w:sz w:val="18"/>
                <w:szCs w:val="18"/>
              </w:rPr>
            </w:pPr>
            <w:r>
              <w:rPr>
                <w:rFonts w:ascii="Times New Roman"/>
                <w:color w:val="0D0D0D"/>
                <w:spacing w:val="-1"/>
                <w:sz w:val="18"/>
              </w:rPr>
              <w:t>34,635,570.72</w:t>
            </w:r>
            <w:r>
              <w:rPr>
                <w:rFonts w:ascii="Times New Roman"/>
                <w:spacing w:val="-1"/>
                <w:sz w:val="18"/>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
              <w:jc w:val="right"/>
              <w:rPr>
                <w:rFonts w:ascii="Times New Roman" w:hAnsi="Times New Roman" w:cs="Times New Roman" w:eastAsia="Times New Roman" w:hint="default"/>
                <w:sz w:val="18"/>
                <w:szCs w:val="18"/>
              </w:rPr>
            </w:pPr>
            <w:r>
              <w:rPr>
                <w:rFonts w:ascii="Times New Roman"/>
                <w:color w:val="0D0D0D"/>
                <w:spacing w:val="-1"/>
                <w:sz w:val="18"/>
              </w:rPr>
              <w:t>34,635,570.72</w:t>
            </w:r>
            <w:r>
              <w:rPr>
                <w:rFonts w:ascii="Times New Roman"/>
                <w:spacing w:val="-1"/>
                <w:sz w:val="18"/>
              </w:rPr>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color w:val="0D0D0D"/>
                <w:w w:val="101"/>
                <w:sz w:val="18"/>
              </w:rPr>
              <w:t>-</w:t>
            </w:r>
            <w:r>
              <w:rPr>
                <w:rFonts w:ascii="Times New Roman"/>
                <w:sz w:val="18"/>
              </w:rPr>
            </w:r>
          </w:p>
        </w:tc>
      </w:tr>
      <w:tr>
        <w:trPr>
          <w:trHeight w:val="346" w:hRule="exact"/>
        </w:trPr>
        <w:tc>
          <w:tcPr>
            <w:tcW w:w="2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64" w:right="0"/>
              <w:jc w:val="left"/>
              <w:rPr>
                <w:rFonts w:ascii="宋体" w:hAnsi="宋体" w:cs="宋体" w:eastAsia="宋体" w:hint="default"/>
                <w:sz w:val="18"/>
                <w:szCs w:val="18"/>
              </w:rPr>
            </w:pPr>
            <w:r>
              <w:rPr>
                <w:rFonts w:ascii="宋体" w:hAnsi="宋体" w:cs="宋体" w:eastAsia="宋体" w:hint="default"/>
                <w:color w:val="0D0D0D"/>
                <w:sz w:val="18"/>
                <w:szCs w:val="18"/>
              </w:rPr>
              <w:t>合计</w:t>
            </w:r>
            <w:r>
              <w:rPr>
                <w:rFonts w:ascii="宋体" w:hAnsi="宋体" w:cs="宋体" w:eastAsia="宋体" w:hint="default"/>
                <w:sz w:val="18"/>
                <w:szCs w:val="18"/>
              </w:rPr>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color w:val="0D0D0D"/>
                <w:spacing w:val="-2"/>
                <w:sz w:val="18"/>
              </w:rPr>
              <w:t>1,463,225,044.06</w:t>
            </w:r>
            <w:r>
              <w:rPr>
                <w:rFonts w:ascii="Times New Roman"/>
                <w:spacing w:val="-2"/>
                <w:sz w:val="18"/>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color w:val="0D0D0D"/>
                <w:spacing w:val="-1"/>
                <w:sz w:val="18"/>
              </w:rPr>
              <w:t>429,144,195.41</w:t>
            </w:r>
            <w:r>
              <w:rPr>
                <w:rFonts w:ascii="Times New Roman"/>
                <w:spacing w:val="-1"/>
                <w:sz w:val="18"/>
              </w:rPr>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Times New Roman" w:hAnsi="Times New Roman" w:cs="Times New Roman" w:eastAsia="Times New Roman" w:hint="default"/>
                <w:sz w:val="18"/>
                <w:szCs w:val="18"/>
              </w:rPr>
            </w:pPr>
            <w:r>
              <w:rPr>
                <w:rFonts w:ascii="Times New Roman"/>
                <w:color w:val="0D0D0D"/>
                <w:spacing w:val="-2"/>
                <w:sz w:val="18"/>
              </w:rPr>
              <w:t>1,034,080,848.65</w:t>
            </w:r>
            <w:r>
              <w:rPr>
                <w:rFonts w:ascii="Times New Roman"/>
                <w:spacing w:val="-2"/>
                <w:sz w:val="18"/>
              </w:rPr>
            </w:r>
          </w:p>
        </w:tc>
      </w:tr>
    </w:tbl>
    <w:p>
      <w:pPr>
        <w:pStyle w:val="BodyText"/>
        <w:spacing w:line="300" w:lineRule="auto"/>
        <w:ind w:left="494" w:right="858"/>
        <w:jc w:val="left"/>
      </w:pPr>
      <w:r>
        <w:rPr>
          <w:spacing w:val="-3"/>
        </w:rPr>
        <w:t>本年度，本集团评估了商誉的可收回金额，按照商誉资产组的可收回金额计提了减值准备人民币</w:t>
      </w:r>
      <w:r>
        <w:rPr>
          <w:rFonts w:ascii="Times New Roman" w:hAnsi="Times New Roman" w:cs="Times New Roman" w:eastAsia="Times New Roman" w:hint="default"/>
          <w:spacing w:val="-3"/>
        </w:rPr>
        <w:t>74,236,800.00</w:t>
      </w:r>
      <w:r>
        <w:rPr>
          <w:spacing w:val="-3"/>
        </w:rPr>
        <w:t>元。</w:t>
      </w:r>
      <w:r>
        <w:rPr>
          <w:spacing w:val="77"/>
        </w:rPr>
        <w:t> </w:t>
      </w:r>
      <w:r>
        <w:rPr>
          <w:spacing w:val="-3"/>
        </w:rPr>
        <w:t>计算上述资产组的可收回金额的关键假设及其依据如下：</w:t>
      </w:r>
    </w:p>
    <w:p>
      <w:pPr>
        <w:pStyle w:val="BodyText"/>
        <w:spacing w:line="300" w:lineRule="auto" w:before="31"/>
        <w:ind w:left="494" w:right="858"/>
        <w:jc w:val="left"/>
      </w:pPr>
      <w:r>
        <w:rPr>
          <w:rFonts w:ascii="Times New Roman" w:hAnsi="Times New Roman" w:cs="Times New Roman" w:eastAsia="Times New Roman" w:hint="default"/>
          <w:w w:val="101"/>
        </w:rPr>
      </w:r>
      <w:r>
        <w:rPr>
          <w:rFonts w:ascii="Times New Roman" w:hAnsi="Times New Roman" w:cs="Times New Roman" w:eastAsia="Times New Roman" w:hint="default"/>
          <w:spacing w:val="-4"/>
          <w:u w:val="single" w:color="000000"/>
        </w:rPr>
        <w:t>VoIP</w:t>
      </w:r>
      <w:r>
        <w:rPr>
          <w:spacing w:val="-4"/>
          <w:u w:val="single" w:color="000000"/>
        </w:rPr>
        <w:t>及</w:t>
      </w:r>
      <w:r>
        <w:rPr>
          <w:rFonts w:ascii="Times New Roman" w:hAnsi="Times New Roman" w:cs="Times New Roman" w:eastAsia="Times New Roman" w:hint="default"/>
          <w:spacing w:val="-4"/>
          <w:u w:val="single" w:color="000000"/>
        </w:rPr>
        <w:t>IPTV</w:t>
      </w:r>
      <w:r>
        <w:rPr>
          <w:spacing w:val="-4"/>
          <w:u w:val="single" w:color="000000"/>
        </w:rPr>
        <w:t>业务</w:t>
      </w:r>
      <w:r>
        <w:rPr>
          <w:spacing w:val="-4"/>
        </w:rPr>
        <w:t>：</w:t>
      </w:r>
      <w:r>
        <w:rPr>
          <w:spacing w:val="-70"/>
        </w:rPr>
        <w:t> </w:t>
      </w:r>
      <w:r>
        <w:rPr>
          <w:spacing w:val="-70"/>
        </w:rPr>
      </w:r>
      <w:r>
        <w:rPr>
          <w:rFonts w:ascii="Times New Roman" w:hAnsi="Times New Roman" w:cs="Times New Roman" w:eastAsia="Times New Roman" w:hint="default"/>
          <w:spacing w:val="-2"/>
        </w:rPr>
        <w:t>VoIP</w:t>
      </w:r>
      <w:r>
        <w:rPr>
          <w:spacing w:val="-2"/>
        </w:rPr>
        <w:t>及</w:t>
      </w:r>
      <w:r>
        <w:rPr>
          <w:rFonts w:ascii="Times New Roman" w:hAnsi="Times New Roman" w:cs="Times New Roman" w:eastAsia="Times New Roman" w:hint="default"/>
          <w:spacing w:val="-2"/>
        </w:rPr>
        <w:t>IPTV</w:t>
      </w:r>
      <w:r>
        <w:rPr>
          <w:spacing w:val="-2"/>
        </w:rPr>
        <w:t>业务的可回收金额按照预计未来现金流量现值确定。未来现金流量基于管理层批准的</w:t>
      </w:r>
      <w:r>
        <w:rPr>
          <w:rFonts w:ascii="Times New Roman" w:hAnsi="Times New Roman" w:cs="Times New Roman" w:eastAsia="Times New Roman" w:hint="default"/>
          <w:spacing w:val="-2"/>
        </w:rPr>
        <w:t>2020</w:t>
      </w:r>
      <w:r>
        <w:rPr>
          <w:spacing w:val="-2"/>
        </w:rPr>
        <w:t>年至</w:t>
      </w:r>
      <w:r>
        <w:rPr>
          <w:rFonts w:ascii="Times New Roman" w:hAnsi="Times New Roman" w:cs="Times New Roman" w:eastAsia="Times New Roman" w:hint="default"/>
          <w:spacing w:val="-2"/>
        </w:rPr>
        <w:t>2024</w:t>
      </w:r>
      <w:r>
        <w:rPr>
          <w:spacing w:val="-2"/>
        </w:rPr>
        <w:t>年的财务预算</w:t>
      </w:r>
    </w:p>
    <w:p>
      <w:pPr>
        <w:pStyle w:val="BodyText"/>
        <w:spacing w:line="307" w:lineRule="auto" w:before="13"/>
        <w:ind w:right="859"/>
        <w:jc w:val="both"/>
      </w:pPr>
      <w:r>
        <w:rPr>
          <w:spacing w:val="-2"/>
        </w:rPr>
        <w:t>确定，并采用</w:t>
      </w:r>
      <w:r>
        <w:rPr>
          <w:rFonts w:ascii="Times New Roman" w:hAnsi="Times New Roman" w:cs="Times New Roman" w:eastAsia="Times New Roman" w:hint="default"/>
          <w:spacing w:val="-2"/>
        </w:rPr>
        <w:t>14.16%</w:t>
      </w:r>
      <w:r>
        <w:rPr>
          <w:spacing w:val="-2"/>
        </w:rPr>
        <w:t>的折现率</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12.11%)</w:t>
      </w:r>
      <w:r>
        <w:rPr>
          <w:spacing w:val="-2"/>
        </w:rPr>
        <w:t>。该资产组超过</w:t>
      </w:r>
      <w:r>
        <w:rPr>
          <w:rFonts w:ascii="Times New Roman" w:hAnsi="Times New Roman" w:cs="Times New Roman" w:eastAsia="Times New Roman" w:hint="default"/>
          <w:spacing w:val="-2"/>
        </w:rPr>
        <w:t>5</w:t>
      </w:r>
      <w:r>
        <w:rPr>
          <w:spacing w:val="-2"/>
        </w:rPr>
        <w:t>年的现金流量采用稳定的永续现金流。在预计未来现金</w:t>
      </w:r>
      <w:r>
        <w:rPr>
          <w:spacing w:val="63"/>
        </w:rPr>
        <w:t> </w:t>
      </w:r>
      <w:r>
        <w:rPr>
          <w:spacing w:val="63"/>
        </w:rPr>
      </w:r>
      <w:r>
        <w:rPr/>
        <w:t>流量时使用的其他关键假设还有：基于该资产组过去的业绩和管理层对市场发展的预期估计预计用户数量和单位用户产生收入</w:t>
      </w:r>
      <w:r>
        <w:rPr>
          <w:spacing w:val="59"/>
        </w:rPr>
        <w:t> </w:t>
      </w:r>
      <w:r>
        <w:rPr>
          <w:spacing w:val="59"/>
        </w:rPr>
      </w:r>
      <w:r>
        <w:rPr>
          <w:rFonts w:ascii="Times New Roman" w:hAnsi="Times New Roman" w:cs="Times New Roman" w:eastAsia="Times New Roman" w:hint="default"/>
          <w:spacing w:val="-7"/>
        </w:rPr>
        <w:t>(APU)</w:t>
      </w:r>
      <w:r>
        <w:rPr>
          <w:spacing w:val="-7"/>
        </w:rPr>
        <w:t>、毛利率、费用、折旧摊销和长期资产投资增加。管理层认为上述假设发生的任何合理变化均不会导致包含商誉的</w:t>
      </w:r>
      <w:r>
        <w:rPr>
          <w:rFonts w:ascii="Times New Roman" w:hAnsi="Times New Roman" w:cs="Times New Roman" w:eastAsia="Times New Roman" w:hint="default"/>
          <w:spacing w:val="-7"/>
        </w:rPr>
        <w:t>VoIP</w:t>
      </w:r>
      <w:r>
        <w:rPr>
          <w:spacing w:val="-7"/>
        </w:rPr>
        <w:t>及</w:t>
      </w:r>
      <w:r>
        <w:rPr>
          <w:rFonts w:ascii="Times New Roman" w:hAnsi="Times New Roman" w:cs="Times New Roman" w:eastAsia="Times New Roman" w:hint="default"/>
          <w:spacing w:val="-7"/>
        </w:rPr>
        <w:t>IPTV</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spacing w:val="-3"/>
        </w:rPr>
        <w:t>业务资产组的账面价值合计超过其可收回余额。</w:t>
      </w:r>
    </w:p>
    <w:p>
      <w:pPr>
        <w:pStyle w:val="BodyText"/>
        <w:spacing w:line="316" w:lineRule="auto" w:before="26"/>
        <w:ind w:left="494" w:right="858"/>
        <w:jc w:val="left"/>
      </w:pPr>
      <w:r>
        <w:rPr>
          <w:w w:val="101"/>
        </w:rPr>
      </w:r>
      <w:r>
        <w:rPr>
          <w:u w:val="single" w:color="000000"/>
        </w:rPr>
        <w:t>迪迅业务</w:t>
      </w:r>
      <w:r>
        <w:rPr/>
        <w:t>：</w:t>
      </w:r>
      <w:r>
        <w:rPr>
          <w:w w:val="101"/>
        </w:rPr>
        <w:t> </w:t>
      </w:r>
      <w:r>
        <w:rPr>
          <w:spacing w:val="-1"/>
        </w:rPr>
        <w:t>迪讯业务的可回收金额按照预计未来现金流量现值确定。未来现金流量基于管理层批准的</w:t>
      </w:r>
      <w:r>
        <w:rPr>
          <w:rFonts w:ascii="Times New Roman" w:hAnsi="Times New Roman" w:cs="Times New Roman" w:eastAsia="Times New Roman" w:hint="default"/>
          <w:spacing w:val="-1"/>
        </w:rPr>
        <w:t>2020</w:t>
      </w:r>
      <w:r>
        <w:rPr>
          <w:spacing w:val="-1"/>
        </w:rPr>
        <w:t>年至</w:t>
      </w:r>
      <w:r>
        <w:rPr>
          <w:rFonts w:ascii="Times New Roman" w:hAnsi="Times New Roman" w:cs="Times New Roman" w:eastAsia="Times New Roman" w:hint="default"/>
          <w:spacing w:val="-1"/>
        </w:rPr>
        <w:t>2024</w:t>
      </w:r>
      <w:r>
        <w:rPr>
          <w:spacing w:val="-1"/>
        </w:rPr>
        <w:t>年的财务预算确定，</w:t>
      </w:r>
    </w:p>
    <w:p>
      <w:pPr>
        <w:pStyle w:val="BodyText"/>
        <w:spacing w:line="312" w:lineRule="auto"/>
        <w:ind w:right="858"/>
        <w:jc w:val="left"/>
      </w:pPr>
      <w:r>
        <w:rPr>
          <w:spacing w:val="-2"/>
        </w:rPr>
        <w:t>并采用</w:t>
      </w:r>
      <w:r>
        <w:rPr>
          <w:rFonts w:ascii="Times New Roman" w:hAnsi="Times New Roman" w:cs="Times New Roman" w:eastAsia="Times New Roman" w:hint="default"/>
          <w:spacing w:val="-2"/>
        </w:rPr>
        <w:t>16.91%</w:t>
      </w:r>
      <w:r>
        <w:rPr>
          <w:spacing w:val="-2"/>
        </w:rPr>
        <w:t>的折现率</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12.10%)</w:t>
      </w:r>
      <w:r>
        <w:rPr>
          <w:spacing w:val="-2"/>
        </w:rPr>
        <w:t>。该资产组超过</w:t>
      </w:r>
      <w:r>
        <w:rPr>
          <w:rFonts w:ascii="Times New Roman" w:hAnsi="Times New Roman" w:cs="Times New Roman" w:eastAsia="Times New Roman" w:hint="default"/>
          <w:spacing w:val="-2"/>
        </w:rPr>
        <w:t>5</w:t>
      </w:r>
      <w:r>
        <w:rPr>
          <w:spacing w:val="-2"/>
        </w:rPr>
        <w:t>年的现金流量采用稳定的永续现金流。在预计未来现金流量时</w:t>
      </w:r>
      <w:r>
        <w:rPr>
          <w:spacing w:val="66"/>
        </w:rPr>
        <w:t> </w:t>
      </w:r>
      <w:r>
        <w:rPr>
          <w:spacing w:val="66"/>
        </w:rPr>
      </w:r>
      <w:r>
        <w:rPr>
          <w:spacing w:val="-3"/>
        </w:rPr>
        <w:t>使用的其他关键假设还有：基于该资产组过去的经营数据、合同签订情况和管理层对市场发展的预期估计预计营业收入、毛利率、</w:t>
      </w:r>
      <w:r>
        <w:rPr>
          <w:spacing w:val="72"/>
        </w:rPr>
        <w:t> </w:t>
      </w:r>
      <w:r>
        <w:rPr>
          <w:spacing w:val="72"/>
        </w:rPr>
      </w:r>
      <w:r>
        <w:rPr/>
        <w:t>费用、折旧摊销和长期资产投资增加。管理层认为上述假设发生的任何合理变化均不会导致包含商誉的迪讯业务资产组的账面价</w:t>
      </w:r>
      <w:r>
        <w:rPr>
          <w:spacing w:val="-6"/>
        </w:rPr>
        <w:t> </w:t>
      </w:r>
      <w:r>
        <w:rPr>
          <w:spacing w:val="-6"/>
        </w:rPr>
      </w:r>
      <w:r>
        <w:rPr>
          <w:spacing w:val="-3"/>
        </w:rPr>
        <w:t>值合计超过其可收回余额。</w:t>
      </w:r>
    </w:p>
    <w:p>
      <w:pPr>
        <w:spacing w:after="0" w:line="312" w:lineRule="auto"/>
        <w:jc w:val="left"/>
        <w:sectPr>
          <w:pgSz w:w="11910" w:h="16840"/>
          <w:pgMar w:header="0" w:footer="1022" w:top="1100" w:bottom="1220" w:left="740" w:right="0"/>
        </w:sectPr>
      </w:pPr>
    </w:p>
    <w:p>
      <w:pPr>
        <w:spacing w:line="20" w:lineRule="exact"/>
        <w:ind w:left="2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BodyText"/>
        <w:spacing w:line="316" w:lineRule="auto" w:before="60"/>
        <w:ind w:left="594" w:right="714"/>
        <w:jc w:val="left"/>
      </w:pPr>
      <w:r>
        <w:rPr/>
        <w:pict>
          <v:group style="position:absolute;margin-left:61.703999pt;margin-top:15.191716pt;width:36.050pt;height:.1pt;mso-position-horizontal-relative:page;mso-position-vertical-relative:paragraph;z-index:-945400" coordorigin="1234,304" coordsize="721,2">
            <v:shape style="position:absolute;left:1234;top:304;width:721;height:2" coordorigin="1234,304" coordsize="721,0" path="m1234,304l1955,304e" filled="false" stroked="true" strokeweight=".48pt" strokecolor="#000000">
              <v:path arrowok="t"/>
            </v:shape>
            <w10:wrap type="none"/>
          </v:group>
        </w:pict>
      </w:r>
      <w:r>
        <w:rPr/>
        <w:t>展动科技：</w:t>
      </w:r>
      <w:r>
        <w:rPr>
          <w:w w:val="101"/>
        </w:rPr>
        <w:t> </w:t>
      </w:r>
      <w:r>
        <w:rPr>
          <w:spacing w:val="-1"/>
        </w:rPr>
        <w:t>展动科技的可回收金额按照预计未来现金流量现值确定。未来现金流量基于管理层批准的</w:t>
      </w:r>
      <w:r>
        <w:rPr>
          <w:rFonts w:ascii="Times New Roman" w:hAnsi="Times New Roman" w:cs="Times New Roman" w:eastAsia="Times New Roman" w:hint="default"/>
          <w:spacing w:val="-1"/>
        </w:rPr>
        <w:t>2020</w:t>
      </w:r>
      <w:r>
        <w:rPr>
          <w:spacing w:val="-1"/>
        </w:rPr>
        <w:t>年至</w:t>
      </w:r>
      <w:r>
        <w:rPr>
          <w:rFonts w:ascii="Times New Roman" w:hAnsi="Times New Roman" w:cs="Times New Roman" w:eastAsia="Times New Roman" w:hint="default"/>
          <w:spacing w:val="-1"/>
        </w:rPr>
        <w:t>2024</w:t>
      </w:r>
      <w:r>
        <w:rPr>
          <w:spacing w:val="-1"/>
        </w:rPr>
        <w:t>年的财务预算确定，</w:t>
      </w:r>
    </w:p>
    <w:p>
      <w:pPr>
        <w:pStyle w:val="BodyText"/>
        <w:spacing w:line="312" w:lineRule="auto"/>
        <w:ind w:left="234" w:right="859"/>
        <w:jc w:val="both"/>
      </w:pPr>
      <w:r>
        <w:rPr>
          <w:spacing w:val="-2"/>
        </w:rPr>
        <w:t>并采用</w:t>
      </w:r>
      <w:r>
        <w:rPr>
          <w:rFonts w:ascii="Times New Roman" w:hAnsi="Times New Roman" w:cs="Times New Roman" w:eastAsia="Times New Roman" w:hint="default"/>
          <w:spacing w:val="-2"/>
        </w:rPr>
        <w:t>14.42%</w:t>
      </w:r>
      <w:r>
        <w:rPr>
          <w:spacing w:val="-2"/>
        </w:rPr>
        <w:t>的折现率</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11.86%)</w:t>
      </w:r>
      <w:r>
        <w:rPr>
          <w:spacing w:val="-2"/>
        </w:rPr>
        <w:t>。该资产组超过</w:t>
      </w:r>
      <w:r>
        <w:rPr>
          <w:rFonts w:ascii="Times New Roman" w:hAnsi="Times New Roman" w:cs="Times New Roman" w:eastAsia="Times New Roman" w:hint="default"/>
          <w:spacing w:val="-2"/>
        </w:rPr>
        <w:t>5</w:t>
      </w:r>
      <w:r>
        <w:rPr>
          <w:spacing w:val="-2"/>
        </w:rPr>
        <w:t>年的现金流量采用稳定的永续现金流。在预计未来现金流量时</w:t>
      </w:r>
      <w:r>
        <w:rPr>
          <w:spacing w:val="65"/>
        </w:rPr>
        <w:t> </w:t>
      </w:r>
      <w:r>
        <w:rPr>
          <w:spacing w:val="65"/>
        </w:rPr>
      </w:r>
      <w:r>
        <w:rPr>
          <w:spacing w:val="-1"/>
        </w:rPr>
        <w:t>使用的其他关键假设还有：基于该资产组过去的业绩、行业的发展趋势和管理层对市场发展的预期估计预计营业收入、毛利率、</w:t>
      </w:r>
      <w:r>
        <w:rPr>
          <w:spacing w:val="50"/>
        </w:rPr>
        <w:t> </w:t>
      </w:r>
      <w:r>
        <w:rPr>
          <w:spacing w:val="50"/>
        </w:rPr>
      </w:r>
      <w:r>
        <w:rPr>
          <w:spacing w:val="-1"/>
        </w:rPr>
        <w:t>费用、折旧摊销和长期资产投资增加。管理层认为上述假设发生的任何合理变化均不会导致包含商誉的展动科技资产组的账面价</w:t>
      </w:r>
      <w:r>
        <w:rPr>
          <w:spacing w:val="50"/>
        </w:rPr>
        <w:t> </w:t>
      </w:r>
      <w:r>
        <w:rPr>
          <w:spacing w:val="50"/>
        </w:rPr>
      </w:r>
      <w:r>
        <w:rPr>
          <w:spacing w:val="-3"/>
        </w:rPr>
        <w:t>值合计超过其可收回余额。</w:t>
      </w:r>
    </w:p>
    <w:p>
      <w:pPr>
        <w:pStyle w:val="BodyText"/>
        <w:spacing w:line="240" w:lineRule="auto" w:before="22"/>
        <w:ind w:left="594" w:right="7211"/>
        <w:jc w:val="left"/>
      </w:pPr>
      <w:r>
        <w:rPr>
          <w:rFonts w:ascii="Times New Roman" w:hAnsi="Times New Roman" w:cs="Times New Roman" w:eastAsia="Times New Roman" w:hint="default"/>
          <w:w w:val="101"/>
        </w:rPr>
      </w:r>
      <w:r>
        <w:rPr>
          <w:rFonts w:ascii="Times New Roman" w:hAnsi="Times New Roman" w:cs="Times New Roman" w:eastAsia="Times New Roman" w:hint="default"/>
          <w:spacing w:val="-3"/>
          <w:u w:val="single" w:color="000000"/>
        </w:rPr>
        <w:t>iTalk</w:t>
      </w:r>
      <w:r>
        <w:rPr>
          <w:rFonts w:ascii="Times New Roman" w:hAnsi="Times New Roman" w:cs="Times New Roman" w:eastAsia="Times New Roman" w:hint="default"/>
          <w:u w:val="single" w:color="000000"/>
        </w:rPr>
        <w:t> Media</w:t>
      </w:r>
      <w:r>
        <w:rPr>
          <w:rFonts w:ascii="Times New Roman" w:hAnsi="Times New Roman" w:cs="Times New Roman" w:eastAsia="Times New Roman" w:hint="default"/>
        </w:rPr>
      </w:r>
      <w:r>
        <w:rPr/>
        <w:t>：</w:t>
      </w:r>
    </w:p>
    <w:p>
      <w:pPr>
        <w:pStyle w:val="BodyText"/>
        <w:spacing w:line="304" w:lineRule="auto" w:before="63"/>
        <w:ind w:left="234" w:right="843" w:firstLine="360"/>
        <w:jc w:val="both"/>
      </w:pPr>
      <w:r>
        <w:rPr>
          <w:rFonts w:ascii="Times New Roman" w:hAnsi="Times New Roman" w:cs="Times New Roman" w:eastAsia="Times New Roman" w:hint="default"/>
          <w:spacing w:val="-4"/>
        </w:rPr>
        <w:t>Talk</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
        </w:rPr>
        <w:t>Media</w:t>
      </w:r>
      <w:r>
        <w:rPr>
          <w:spacing w:val="-3"/>
        </w:rPr>
        <w:t>的可回收金额按照预计未来现金流量现值确定。未来现金流量基于管理层批准的</w:t>
      </w:r>
      <w:r>
        <w:rPr>
          <w:rFonts w:ascii="Times New Roman" w:hAnsi="Times New Roman" w:cs="Times New Roman" w:eastAsia="Times New Roman" w:hint="default"/>
          <w:spacing w:val="-3"/>
        </w:rPr>
        <w:t>2020</w:t>
      </w:r>
      <w:r>
        <w:rPr>
          <w:spacing w:val="-3"/>
        </w:rPr>
        <w:t>年至</w:t>
      </w:r>
      <w:r>
        <w:rPr>
          <w:rFonts w:ascii="Times New Roman" w:hAnsi="Times New Roman" w:cs="Times New Roman" w:eastAsia="Times New Roman" w:hint="default"/>
          <w:spacing w:val="-3"/>
        </w:rPr>
        <w:t>2024</w:t>
      </w:r>
      <w:r>
        <w:rPr>
          <w:spacing w:val="-3"/>
        </w:rPr>
        <w:t>年的财务预算确定，</w:t>
      </w:r>
      <w:r>
        <w:rPr>
          <w:w w:val="101"/>
        </w:rPr>
        <w:t> </w:t>
      </w:r>
      <w:r>
        <w:rPr>
          <w:spacing w:val="-2"/>
        </w:rPr>
        <w:t>并采用</w:t>
      </w:r>
      <w:r>
        <w:rPr>
          <w:rFonts w:ascii="Times New Roman" w:hAnsi="Times New Roman" w:cs="Times New Roman" w:eastAsia="Times New Roman" w:hint="default"/>
          <w:spacing w:val="-2"/>
        </w:rPr>
        <w:t>16.58%</w:t>
      </w:r>
      <w:r>
        <w:rPr>
          <w:spacing w:val="-2"/>
        </w:rPr>
        <w:t>的折现率</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13.42%)</w:t>
      </w:r>
      <w:r>
        <w:rPr>
          <w:spacing w:val="-2"/>
        </w:rPr>
        <w:t>。该资产组超过</w:t>
      </w:r>
      <w:r>
        <w:rPr>
          <w:rFonts w:ascii="Times New Roman" w:hAnsi="Times New Roman" w:cs="Times New Roman" w:eastAsia="Times New Roman" w:hint="default"/>
          <w:spacing w:val="-2"/>
        </w:rPr>
        <w:t>5</w:t>
      </w:r>
      <w:r>
        <w:rPr>
          <w:spacing w:val="-2"/>
        </w:rPr>
        <w:t>年的现金流量采用稳定的永续现金流。在预计未来现金流量时</w:t>
      </w:r>
      <w:r>
        <w:rPr>
          <w:spacing w:val="66"/>
        </w:rPr>
        <w:t> </w:t>
      </w:r>
      <w:r>
        <w:rPr>
          <w:spacing w:val="66"/>
        </w:rPr>
      </w:r>
      <w:r>
        <w:rPr>
          <w:spacing w:val="-1"/>
        </w:rPr>
        <w:t>使用的其他关键假设还有：基于该资产组过去的业绩、行业的发展趋势和管理层对市场发展的预期估计预计营业收入、毛利率、</w:t>
      </w:r>
      <w:r>
        <w:rPr>
          <w:spacing w:val="50"/>
        </w:rPr>
        <w:t> </w:t>
      </w:r>
      <w:r>
        <w:rPr>
          <w:spacing w:val="50"/>
        </w:rPr>
      </w:r>
      <w:r>
        <w:rPr>
          <w:spacing w:val="-5"/>
        </w:rPr>
        <w:t>费用、折旧摊销和长期资产投资增加。管理层认为上述假设发生的任何合理变化均不会导致包含商誉的</w:t>
      </w:r>
      <w:r>
        <w:rPr>
          <w:rFonts w:ascii="Times New Roman" w:hAnsi="Times New Roman" w:cs="Times New Roman" w:eastAsia="Times New Roman" w:hint="default"/>
          <w:spacing w:val="-5"/>
        </w:rPr>
        <w:t>iTalk </w:t>
      </w:r>
      <w:r>
        <w:rPr>
          <w:rFonts w:ascii="Times New Roman" w:hAnsi="Times New Roman" w:cs="Times New Roman" w:eastAsia="Times New Roman" w:hint="default"/>
        </w:rPr>
        <w:t>Media</w:t>
      </w:r>
      <w:r>
        <w:rPr/>
        <w:t>资产组的账面价</w:t>
      </w:r>
      <w:r>
        <w:rPr>
          <w:spacing w:val="-7"/>
        </w:rPr>
        <w:t> </w:t>
      </w:r>
      <w:r>
        <w:rPr>
          <w:spacing w:val="-7"/>
        </w:rPr>
      </w:r>
      <w:r>
        <w:rPr>
          <w:spacing w:val="-3"/>
        </w:rPr>
        <w:t>值合计超过其可收回余额。</w:t>
      </w:r>
    </w:p>
    <w:p>
      <w:pPr>
        <w:pStyle w:val="BodyText"/>
        <w:spacing w:line="316" w:lineRule="auto" w:before="28"/>
        <w:ind w:left="594" w:right="714"/>
        <w:jc w:val="left"/>
      </w:pPr>
      <w:r>
        <w:rPr>
          <w:w w:val="101"/>
        </w:rPr>
      </w:r>
      <w:r>
        <w:rPr>
          <w:spacing w:val="-3"/>
          <w:u w:val="single" w:color="000000"/>
        </w:rPr>
        <w:t>国际专线业务</w:t>
      </w:r>
      <w:r>
        <w:rPr>
          <w:spacing w:val="-3"/>
        </w:rPr>
        <w:t>：</w:t>
      </w:r>
      <w:r>
        <w:rPr>
          <w:spacing w:val="-68"/>
        </w:rPr>
        <w:t> </w:t>
      </w:r>
      <w:r>
        <w:rPr>
          <w:spacing w:val="-68"/>
        </w:rPr>
      </w:r>
      <w:r>
        <w:rPr>
          <w:spacing w:val="-1"/>
        </w:rPr>
        <w:t>国际专线业务的可回收金额按照预计未来现金流量现值确定。未来现金流量基于管理层批准的</w:t>
      </w:r>
      <w:r>
        <w:rPr>
          <w:rFonts w:ascii="Times New Roman" w:hAnsi="Times New Roman" w:cs="Times New Roman" w:eastAsia="Times New Roman" w:hint="default"/>
          <w:spacing w:val="-1"/>
        </w:rPr>
        <w:t>2020</w:t>
      </w:r>
      <w:r>
        <w:rPr>
          <w:spacing w:val="-1"/>
        </w:rPr>
        <w:t>年至</w:t>
      </w:r>
      <w:r>
        <w:rPr>
          <w:rFonts w:ascii="Times New Roman" w:hAnsi="Times New Roman" w:cs="Times New Roman" w:eastAsia="Times New Roman" w:hint="default"/>
          <w:spacing w:val="-1"/>
        </w:rPr>
        <w:t>2024</w:t>
      </w:r>
      <w:r>
        <w:rPr>
          <w:spacing w:val="-1"/>
        </w:rPr>
        <w:t>年的财务预算确</w:t>
      </w:r>
    </w:p>
    <w:p>
      <w:pPr>
        <w:pStyle w:val="BodyText"/>
        <w:spacing w:line="312" w:lineRule="auto"/>
        <w:ind w:left="234" w:right="858"/>
        <w:jc w:val="both"/>
      </w:pPr>
      <w:r>
        <w:rPr>
          <w:spacing w:val="-4"/>
        </w:rPr>
        <w:t>定，并采用</w:t>
      </w:r>
      <w:r>
        <w:rPr>
          <w:rFonts w:ascii="Times New Roman" w:hAnsi="Times New Roman" w:cs="Times New Roman" w:eastAsia="Times New Roman" w:hint="default"/>
          <w:spacing w:val="-4"/>
        </w:rPr>
        <w:t>15.93%</w:t>
      </w:r>
      <w:r>
        <w:rPr>
          <w:spacing w:val="-4"/>
        </w:rPr>
        <w:t>的折现率</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日：深圳日升：</w:t>
      </w:r>
      <w:r>
        <w:rPr>
          <w:rFonts w:ascii="Times New Roman" w:hAnsi="Times New Roman" w:cs="Times New Roman" w:eastAsia="Times New Roman" w:hint="default"/>
          <w:spacing w:val="-4"/>
        </w:rPr>
        <w:t>14.50%</w:t>
      </w:r>
      <w:r>
        <w:rPr>
          <w:spacing w:val="-4"/>
        </w:rPr>
        <w:t>；</w:t>
      </w:r>
      <w:r>
        <w:rPr>
          <w:rFonts w:ascii="Times New Roman" w:hAnsi="Times New Roman" w:cs="Times New Roman" w:eastAsia="Times New Roman" w:hint="default"/>
          <w:spacing w:val="-4"/>
        </w:rPr>
        <w:t>I-Access</w:t>
      </w:r>
      <w:r>
        <w:rPr>
          <w:spacing w:val="-4"/>
        </w:rPr>
        <w:t>：</w:t>
      </w:r>
      <w:r>
        <w:rPr>
          <w:rFonts w:ascii="Times New Roman" w:hAnsi="Times New Roman" w:cs="Times New Roman" w:eastAsia="Times New Roman" w:hint="default"/>
          <w:spacing w:val="-4"/>
        </w:rPr>
        <w:t>14.75%)</w:t>
      </w:r>
      <w:r>
        <w:rPr>
          <w:spacing w:val="-4"/>
        </w:rPr>
        <w:t>。该资产组超过</w:t>
      </w:r>
      <w:r>
        <w:rPr>
          <w:rFonts w:ascii="Times New Roman" w:hAnsi="Times New Roman" w:cs="Times New Roman" w:eastAsia="Times New Roman" w:hint="default"/>
          <w:spacing w:val="-4"/>
        </w:rPr>
        <w:t>5</w:t>
      </w:r>
      <w:r>
        <w:rPr>
          <w:spacing w:val="-4"/>
        </w:rPr>
        <w:t>年的现金流量采用稳定的永</w:t>
      </w:r>
      <w:r>
        <w:rPr>
          <w:spacing w:val="30"/>
        </w:rPr>
        <w:t> </w:t>
      </w:r>
      <w:r>
        <w:rPr>
          <w:spacing w:val="30"/>
        </w:rPr>
      </w:r>
      <w:r>
        <w:rPr>
          <w:spacing w:val="-1"/>
        </w:rPr>
        <w:t>续现金流。在预计未来现金流量时使用的其他关键假设还有：基于该资产组过去的业绩、行业的发展趋势和管理层对市场发展的</w:t>
      </w:r>
      <w:r>
        <w:rPr>
          <w:spacing w:val="52"/>
        </w:rPr>
        <w:t> </w:t>
      </w:r>
      <w:r>
        <w:rPr>
          <w:spacing w:val="52"/>
        </w:rPr>
      </w:r>
      <w:r>
        <w:rPr>
          <w:spacing w:val="-1"/>
        </w:rPr>
        <w:t>预期估计预计营业收入、毛利率、费用、折旧摊销和长期资产投资增加。管理层认为上述假设发生的任何合理变化均不会导致包</w:t>
      </w:r>
      <w:r>
        <w:rPr>
          <w:spacing w:val="50"/>
        </w:rPr>
        <w:t> </w:t>
      </w:r>
      <w:r>
        <w:rPr>
          <w:spacing w:val="50"/>
        </w:rPr>
      </w:r>
      <w:r>
        <w:rPr>
          <w:spacing w:val="-3"/>
        </w:rPr>
        <w:t>含商誉的深圳日升资产组的账面价值合计超过其可收回余额。</w:t>
      </w:r>
    </w:p>
    <w:p>
      <w:pPr>
        <w:spacing w:line="240" w:lineRule="auto" w:before="12"/>
        <w:rPr>
          <w:rFonts w:ascii="宋体" w:hAnsi="宋体" w:cs="宋体" w:eastAsia="宋体" w:hint="default"/>
          <w:sz w:val="22"/>
          <w:szCs w:val="22"/>
        </w:rPr>
      </w:pPr>
    </w:p>
    <w:p>
      <w:pPr>
        <w:pStyle w:val="Heading4"/>
        <w:spacing w:line="240" w:lineRule="auto"/>
        <w:ind w:left="234" w:right="0"/>
        <w:jc w:val="both"/>
        <w:rPr>
          <w:b w:val="0"/>
          <w:bCs w:val="0"/>
        </w:rPr>
      </w:pPr>
      <w:bookmarkStart w:name="17、长期待摊费用" w:id="281"/>
      <w:bookmarkEnd w:id="281"/>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247"/>
        <w:gridCol w:w="1590"/>
        <w:gridCol w:w="1652"/>
        <w:gridCol w:w="1652"/>
        <w:gridCol w:w="1652"/>
        <w:gridCol w:w="1589"/>
      </w:tblGrid>
      <w:tr>
        <w:trPr>
          <w:trHeight w:val="403"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机房及办公楼装修</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52,601,678.32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767,032.23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7,521,834.35</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421,752.41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45,425,123.79</w:t>
            </w:r>
          </w:p>
        </w:tc>
      </w:tr>
      <w:tr>
        <w:trPr>
          <w:trHeight w:val="404" w:hRule="exact"/>
        </w:trPr>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VOIP</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用户获取费用</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10,244,352.80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1,018,096.39</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4,761,843.32</w:t>
            </w:r>
          </w:p>
        </w:tc>
        <w:tc>
          <w:tcPr>
            <w:tcW w:w="165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6,500,605.87</w:t>
            </w:r>
          </w:p>
        </w:tc>
      </w:tr>
      <w:tr>
        <w:trPr>
          <w:trHeight w:val="398" w:hRule="exact"/>
        </w:trPr>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IPTV</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用户获取费用</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14,083,179.15</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2,051,917.50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5,776,915.86</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481,889.00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9,876,291.79</w:t>
            </w:r>
          </w:p>
        </w:tc>
      </w:tr>
      <w:tr>
        <w:trPr>
          <w:trHeight w:val="403" w:hRule="exact"/>
        </w:trPr>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AHC</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用户获取费用</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161,063.61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4,270.73</w:t>
            </w:r>
          </w:p>
        </w:tc>
        <w:tc>
          <w:tcPr>
            <w:tcW w:w="165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156,792.88</w:t>
            </w:r>
          </w:p>
        </w:tc>
      </w:tr>
      <w:tr>
        <w:trPr>
          <w:trHeight w:val="403" w:hRule="exact"/>
        </w:trPr>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办公楼租金</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667,051.72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18,537,377.99</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2,584,671.21</w:t>
            </w:r>
          </w:p>
        </w:tc>
        <w:tc>
          <w:tcPr>
            <w:tcW w:w="165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16,619,758.50</w:t>
            </w:r>
          </w:p>
        </w:tc>
      </w:tr>
      <w:tr>
        <w:trPr>
          <w:trHeight w:val="403" w:hRule="exact"/>
        </w:trPr>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210,868.73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2,807.54</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52,920.69</w:t>
            </w:r>
          </w:p>
        </w:tc>
        <w:tc>
          <w:tcPr>
            <w:tcW w:w="165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160,755.58</w:t>
            </w:r>
          </w:p>
        </w:tc>
      </w:tr>
      <w:tr>
        <w:trPr>
          <w:trHeight w:val="399" w:hRule="exact"/>
        </w:trPr>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生产软件服务费</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48,723.17</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77,592.68</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77,464.43</w:t>
            </w:r>
          </w:p>
        </w:tc>
        <w:tc>
          <w:tcPr>
            <w:tcW w:w="165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48,851.42</w:t>
            </w:r>
          </w:p>
        </w:tc>
      </w:tr>
      <w:tr>
        <w:trPr>
          <w:trHeight w:val="403"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77,855,853.89</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22,615,887.94</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20,779,920.59</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903,641.41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78,788,179.83</w:t>
            </w:r>
          </w:p>
        </w:tc>
      </w:tr>
    </w:tbl>
    <w:p>
      <w:pPr>
        <w:pStyle w:val="BodyText"/>
        <w:spacing w:line="240" w:lineRule="auto" w:before="53"/>
        <w:ind w:left="234" w:right="7211"/>
        <w:jc w:val="left"/>
      </w:pPr>
      <w:r>
        <w:rPr/>
        <w:t>其他说明</w:t>
      </w:r>
    </w:p>
    <w:p>
      <w:pPr>
        <w:spacing w:after="0" w:line="240" w:lineRule="auto"/>
        <w:jc w:val="left"/>
        <w:sectPr>
          <w:pgSz w:w="11910" w:h="16840"/>
          <w:pgMar w:header="0" w:footer="1022" w:top="1100" w:bottom="1220" w:left="640" w:right="0"/>
        </w:sectPr>
      </w:pPr>
    </w:p>
    <w:p>
      <w:pPr>
        <w:spacing w:line="20" w:lineRule="exact"/>
        <w:ind w:left="2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234" w:right="7211"/>
        <w:jc w:val="left"/>
        <w:rPr>
          <w:b w:val="0"/>
          <w:bCs w:val="0"/>
        </w:rPr>
      </w:pPr>
      <w:bookmarkStart w:name="18、递延所得税资产/递延所得税负债" w:id="282"/>
      <w:bookmarkEnd w:id="282"/>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234" w:right="7211"/>
        <w:jc w:val="left"/>
        <w:rPr>
          <w:b w:val="0"/>
          <w:bCs w:val="0"/>
        </w:rPr>
      </w:pPr>
      <w:bookmarkStart w:name="（1）未经抵销的递延所得税资产" w:id="283"/>
      <w:bookmarkEnd w:id="28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9,572,596.07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1,572,547.59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10,536,143.25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1,642,904.72</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105,721,388.28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26,404,097.07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32,467,824.28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5,403,986.66</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未实现的汇兑净损失</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963,137.67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231,153.04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1,617,306.25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388,153.50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9,737,641.91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2,012,069.34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2,216,000.00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380,727.63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无形资产摊销差异</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10,255,198.74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1,453,547.50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10,272,658.68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1,493,434.99</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计提未支付的费用</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24,751,582.88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6,040,418.03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5,629,921.36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1,426,240.34</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161,001,545.55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37,713,832.57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62,739,853.82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10,735,447.84</w:t>
            </w:r>
          </w:p>
        </w:tc>
      </w:tr>
    </w:tbl>
    <w:p>
      <w:pPr>
        <w:spacing w:line="240" w:lineRule="auto" w:before="3"/>
        <w:rPr>
          <w:rFonts w:ascii="宋体" w:hAnsi="宋体" w:cs="宋体" w:eastAsia="宋体" w:hint="default"/>
          <w:sz w:val="19"/>
          <w:szCs w:val="19"/>
        </w:rPr>
      </w:pPr>
    </w:p>
    <w:p>
      <w:pPr>
        <w:pStyle w:val="Heading4"/>
        <w:spacing w:line="240" w:lineRule="auto" w:before="36"/>
        <w:ind w:left="234" w:right="7211"/>
        <w:jc w:val="left"/>
        <w:rPr>
          <w:b w:val="0"/>
          <w:bCs w:val="0"/>
        </w:rPr>
      </w:pPr>
      <w:bookmarkStart w:name="（2）未经抵销的递延所得税负债" w:id="284"/>
      <w:bookmarkEnd w:id="284"/>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3299"/>
        <w:gridCol w:w="1873"/>
        <w:gridCol w:w="1671"/>
        <w:gridCol w:w="1868"/>
        <w:gridCol w:w="1671"/>
      </w:tblGrid>
      <w:tr>
        <w:trPr>
          <w:trHeight w:val="403" w:hRule="exact"/>
        </w:trPr>
        <w:tc>
          <w:tcPr>
            <w:tcW w:w="32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299" w:type="dxa"/>
            <w:vMerge/>
            <w:tcBorders>
              <w:left w:val="single" w:sz="4" w:space="0" w:color="000000"/>
              <w:bottom w:val="single" w:sz="4" w:space="0" w:color="000000"/>
              <w:right w:val="single" w:sz="4" w:space="0" w:color="000000"/>
            </w:tcBorders>
            <w:shd w:val="clear" w:color="auto" w:fill="D2D2D2"/>
          </w:tcPr>
          <w:p>
            <w:pP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非同一控制企业合并资产评估增值</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8,293,435.16</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2,030,674.85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12,597,344.63</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2,994,819.64</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加速折旧或摊销的长期资产</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10,522,341.14</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2,540,811.00</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39,853,584.67</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5,642,008.08</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其他非流动金融资产公允价值变动</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222,595,070.00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55,648,759.27</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57,547,170.00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14,386,784.27</w:t>
            </w:r>
          </w:p>
        </w:tc>
      </w:tr>
      <w:tr>
        <w:trPr>
          <w:trHeight w:val="398"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其他权益工具投资公允价值变动</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4,872,439.71</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1,169,385.53</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1,029,480.00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257,370.00</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246,283,286.01</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61,389,630.65</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111,027,579.30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23,280,981.99</w:t>
            </w:r>
          </w:p>
        </w:tc>
      </w:tr>
    </w:tbl>
    <w:p>
      <w:pPr>
        <w:spacing w:line="240" w:lineRule="auto" w:before="3"/>
        <w:rPr>
          <w:rFonts w:ascii="宋体" w:hAnsi="宋体" w:cs="宋体" w:eastAsia="宋体" w:hint="default"/>
          <w:sz w:val="19"/>
          <w:szCs w:val="19"/>
        </w:rPr>
      </w:pPr>
    </w:p>
    <w:p>
      <w:pPr>
        <w:pStyle w:val="Heading4"/>
        <w:spacing w:line="240" w:lineRule="auto" w:before="36"/>
        <w:ind w:left="234" w:right="714"/>
        <w:jc w:val="left"/>
        <w:rPr>
          <w:b w:val="0"/>
          <w:bCs w:val="0"/>
        </w:rPr>
      </w:pPr>
      <w:bookmarkStart w:name="（3）以抵销后净额列示的递延所得税资产或负债" w:id="285"/>
      <w:bookmarkEnd w:id="285"/>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6" w:right="142" w:hanging="183"/>
              <w:jc w:val="left"/>
              <w:rPr>
                <w:rFonts w:ascii="宋体" w:hAnsi="宋体" w:cs="宋体" w:eastAsia="宋体" w:hint="default"/>
                <w:sz w:val="18"/>
                <w:szCs w:val="18"/>
              </w:rPr>
            </w:pPr>
            <w:r>
              <w:rPr>
                <w:rFonts w:ascii="宋体" w:hAnsi="宋体" w:cs="宋体" w:eastAsia="宋体" w:hint="default"/>
                <w:spacing w:val="-3"/>
                <w:sz w:val="18"/>
                <w:szCs w:val="18"/>
              </w:rPr>
              <w:t>递延所得税资产和负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债期末互抵金额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0" w:right="137" w:hanging="92"/>
              <w:jc w:val="left"/>
              <w:rPr>
                <w:rFonts w:ascii="宋体" w:hAnsi="宋体" w:cs="宋体" w:eastAsia="宋体" w:hint="default"/>
                <w:sz w:val="18"/>
                <w:szCs w:val="18"/>
              </w:rPr>
            </w:pPr>
            <w:r>
              <w:rPr>
                <w:rFonts w:ascii="宋体" w:hAnsi="宋体" w:cs="宋体" w:eastAsia="宋体" w:hint="default"/>
                <w:spacing w:val="-3"/>
                <w:sz w:val="18"/>
                <w:szCs w:val="18"/>
              </w:rPr>
              <w:t>抵销后递延所得税资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产或负债期末余额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6" w:right="137" w:hanging="183"/>
              <w:jc w:val="left"/>
              <w:rPr>
                <w:rFonts w:ascii="宋体" w:hAnsi="宋体" w:cs="宋体" w:eastAsia="宋体" w:hint="default"/>
                <w:sz w:val="18"/>
                <w:szCs w:val="18"/>
              </w:rPr>
            </w:pPr>
            <w:r>
              <w:rPr>
                <w:rFonts w:ascii="宋体" w:hAnsi="宋体" w:cs="宋体" w:eastAsia="宋体" w:hint="default"/>
                <w:spacing w:val="-3"/>
                <w:sz w:val="18"/>
                <w:szCs w:val="18"/>
              </w:rPr>
              <w:t>递延所得税资产和负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债期初互抵金额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0" w:right="142" w:hanging="92"/>
              <w:jc w:val="left"/>
              <w:rPr>
                <w:rFonts w:ascii="宋体" w:hAnsi="宋体" w:cs="宋体" w:eastAsia="宋体" w:hint="default"/>
                <w:sz w:val="18"/>
                <w:szCs w:val="18"/>
              </w:rPr>
            </w:pPr>
            <w:r>
              <w:rPr>
                <w:rFonts w:ascii="宋体" w:hAnsi="宋体" w:cs="宋体" w:eastAsia="宋体" w:hint="default"/>
                <w:spacing w:val="-3"/>
                <w:sz w:val="18"/>
                <w:szCs w:val="18"/>
              </w:rPr>
              <w:t>抵销后递延所得税资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产或负债期初余额</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37,713,832.57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10,735,447.84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61,389,630.65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23,280,981.99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00" w:bottom="1220" w:left="640" w:right="0"/>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right="858"/>
        <w:jc w:val="left"/>
        <w:rPr>
          <w:b w:val="0"/>
          <w:bCs w:val="0"/>
        </w:rPr>
      </w:pPr>
      <w:bookmarkStart w:name="（4）未确认递延所得税资产明细" w:id="286"/>
      <w:bookmarkEnd w:id="286"/>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162,149,772.82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160,814,590.60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202,974,985.11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277,190,448.94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365,124,757.93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438,005,039.54</w:t>
            </w:r>
          </w:p>
        </w:tc>
      </w:tr>
    </w:tbl>
    <w:p>
      <w:pPr>
        <w:spacing w:line="240" w:lineRule="auto" w:before="3"/>
        <w:rPr>
          <w:rFonts w:ascii="宋体" w:hAnsi="宋体" w:cs="宋体" w:eastAsia="宋体" w:hint="default"/>
          <w:sz w:val="19"/>
          <w:szCs w:val="19"/>
        </w:rPr>
      </w:pPr>
    </w:p>
    <w:p>
      <w:pPr>
        <w:pStyle w:val="Heading4"/>
        <w:spacing w:line="240" w:lineRule="auto" w:before="36"/>
        <w:ind w:right="858"/>
        <w:jc w:val="left"/>
        <w:rPr>
          <w:b w:val="0"/>
          <w:bCs w:val="0"/>
        </w:rPr>
      </w:pPr>
      <w:bookmarkStart w:name="（5）未确认递延所得税资产的可抵扣亏损将于以下年度到期" w:id="287"/>
      <w:bookmarkEnd w:id="287"/>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4,227,556.22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22,169,699.63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4,465,391.63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28,985,223.98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1,472,686.71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44,318,218.64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3,759,281.92</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2025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13,032,343.03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13,263,650.64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2026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64,669,164.25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59,530,431.41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2027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53,234,311.85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51,847,556.18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2028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42,999,531.91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41,742,389.51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2029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17,615,149.62</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无期限</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0"/>
                <w:sz w:val="18"/>
                <w:szCs w:val="18"/>
              </w:rPr>
              <w:t> </w:t>
            </w:r>
            <w:r>
              <w:rPr>
                <w:rFonts w:ascii="Times New Roman" w:hAnsi="Times New Roman" w:cs="Times New Roman" w:eastAsia="Times New Roman" w:hint="default"/>
                <w:spacing w:val="-5"/>
                <w:sz w:val="18"/>
                <w:szCs w:val="18"/>
              </w:rPr>
              <w:t>2)</w:t>
            </w:r>
            <w:r>
              <w:rPr>
                <w:rFonts w:ascii="Times New Roman" w:hAnsi="Times New Roman" w:cs="Times New Roman" w:eastAsia="Times New Roman"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6,192,515.82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6,640,331.10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202,974,985.11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277,190,448.94</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858"/>
        <w:jc w:val="left"/>
      </w:pPr>
      <w:r>
        <w:rPr/>
        <w:t>其他说明：</w:t>
      </w:r>
    </w:p>
    <w:p>
      <w:pPr>
        <w:pStyle w:val="BodyText"/>
        <w:spacing w:line="300" w:lineRule="auto" w:before="115"/>
        <w:ind w:right="859" w:firstLine="360"/>
        <w:jc w:val="both"/>
      </w:pPr>
      <w:r>
        <w:rPr>
          <w:spacing w:val="-3"/>
        </w:rPr>
        <w:t>注</w:t>
      </w:r>
      <w:r>
        <w:rPr>
          <w:rFonts w:ascii="Times New Roman" w:hAnsi="Times New Roman" w:cs="Times New Roman" w:eastAsia="Times New Roman" w:hint="default"/>
          <w:spacing w:val="-3"/>
        </w:rPr>
        <w:t>1</w:t>
      </w:r>
      <w:r>
        <w:rPr>
          <w:spacing w:val="-3"/>
        </w:rPr>
        <w:t>：根据财政部、税务总局财税</w:t>
      </w:r>
      <w:r>
        <w:rPr>
          <w:rFonts w:ascii="Times New Roman" w:hAnsi="Times New Roman" w:cs="Times New Roman" w:eastAsia="Times New Roman" w:hint="default"/>
          <w:spacing w:val="-3"/>
        </w:rPr>
        <w:t>[2018]76</w:t>
      </w:r>
      <w:r>
        <w:rPr>
          <w:spacing w:val="-3"/>
        </w:rPr>
        <w:t>号《关于延长高新技术企业和科技型中小企业亏损结转年限的通知》，自</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w w:val="101"/>
        </w:rPr>
        <w:t> </w:t>
      </w:r>
      <w:r>
        <w:rPr>
          <w:rFonts w:ascii="Times New Roman" w:hAnsi="Times New Roman" w:cs="Times New Roman" w:eastAsia="Times New Roman" w:hint="default"/>
          <w:spacing w:val="-1"/>
        </w:rPr>
        <w:t>1</w:t>
      </w:r>
      <w:r>
        <w:rPr>
          <w:spacing w:val="-1"/>
        </w:rPr>
        <w:t>日起，对于高新技术企业，其具备高新技术企业资质年度之前</w:t>
      </w:r>
      <w:r>
        <w:rPr>
          <w:rFonts w:ascii="Times New Roman" w:hAnsi="Times New Roman" w:cs="Times New Roman" w:eastAsia="Times New Roman" w:hint="default"/>
          <w:spacing w:val="-1"/>
        </w:rPr>
        <w:t>5</w:t>
      </w:r>
      <w:r>
        <w:rPr>
          <w:spacing w:val="-1"/>
        </w:rPr>
        <w:t>个年度发生的尚未弥补完的亏损，准予结转以后年度弥补，最长</w:t>
      </w:r>
      <w:r>
        <w:rPr>
          <w:spacing w:val="52"/>
        </w:rPr>
        <w:t> </w:t>
      </w:r>
      <w:r>
        <w:rPr>
          <w:spacing w:val="52"/>
        </w:rPr>
      </w:r>
      <w:r>
        <w:rPr>
          <w:spacing w:val="-3"/>
        </w:rPr>
        <w:t>结转年限由</w:t>
      </w:r>
      <w:r>
        <w:rPr>
          <w:rFonts w:ascii="Times New Roman" w:hAnsi="Times New Roman" w:cs="Times New Roman" w:eastAsia="Times New Roman" w:hint="default"/>
          <w:spacing w:val="-3"/>
        </w:rPr>
        <w:t>5</w:t>
      </w:r>
      <w:r>
        <w:rPr>
          <w:spacing w:val="-3"/>
        </w:rPr>
        <w:t>年延长至</w:t>
      </w:r>
      <w:r>
        <w:rPr>
          <w:rFonts w:ascii="Times New Roman" w:hAnsi="Times New Roman" w:cs="Times New Roman" w:eastAsia="Times New Roman" w:hint="default"/>
          <w:spacing w:val="-3"/>
        </w:rPr>
        <w:t>10</w:t>
      </w:r>
      <w:r>
        <w:rPr>
          <w:spacing w:val="-3"/>
        </w:rPr>
        <w:t>年。本公司之子公司上海通信和广州二六三可享受该优惠政策。</w:t>
      </w:r>
    </w:p>
    <w:p>
      <w:pPr>
        <w:pStyle w:val="BodyText"/>
        <w:spacing w:line="240" w:lineRule="auto" w:before="13"/>
        <w:ind w:left="494" w:right="858"/>
        <w:jc w:val="left"/>
      </w:pPr>
      <w:r>
        <w:rPr>
          <w:spacing w:val="-2"/>
        </w:rPr>
        <w:t>注</w:t>
      </w:r>
      <w:r>
        <w:rPr>
          <w:rFonts w:ascii="Times New Roman" w:hAnsi="Times New Roman" w:cs="Times New Roman" w:eastAsia="Times New Roman" w:hint="default"/>
          <w:spacing w:val="-2"/>
        </w:rPr>
        <w:t>2</w:t>
      </w:r>
      <w:r>
        <w:rPr>
          <w:spacing w:val="-2"/>
        </w:rPr>
        <w:t>：本公司之境外经营子公司累计余额为人民币</w:t>
      </w:r>
      <w:r>
        <w:rPr>
          <w:rFonts w:ascii="Times New Roman" w:hAnsi="Times New Roman" w:cs="Times New Roman" w:eastAsia="Times New Roman" w:hint="default"/>
          <w:spacing w:val="-2"/>
        </w:rPr>
        <w:t>6,192,515.82</w:t>
      </w:r>
      <w:r>
        <w:rPr>
          <w:rFonts w:ascii="Times New Roman" w:hAnsi="Times New Roman" w:cs="Times New Roman" w:eastAsia="Times New Roman" w:hint="default"/>
        </w:rPr>
        <w:t>   </w:t>
      </w:r>
      <w:r>
        <w:rPr>
          <w:rFonts w:ascii="Times New Roman" w:hAnsi="Times New Roman" w:cs="Times New Roman" w:eastAsia="Times New Roman" w:hint="default"/>
          <w:spacing w:val="31"/>
        </w:rPr>
        <w:t> </w:t>
      </w:r>
      <w:r>
        <w:rPr>
          <w:spacing w:val="-3"/>
        </w:rPr>
        <w:t>的可抵扣亏损按照当地税法规定可在未来无限期内弥补。</w:t>
      </w:r>
    </w:p>
    <w:p>
      <w:pPr>
        <w:spacing w:after="0" w:line="240" w:lineRule="auto"/>
        <w:jc w:val="left"/>
        <w:sectPr>
          <w:pgSz w:w="11910" w:h="16840"/>
          <w:pgMar w:header="0" w:footer="1022" w:top="1100" w:bottom="1220" w:left="740" w:right="0"/>
        </w:sectPr>
      </w:pPr>
    </w:p>
    <w:p>
      <w:pPr>
        <w:spacing w:line="20" w:lineRule="exact"/>
        <w:ind w:left="2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234" w:right="7211"/>
        <w:jc w:val="left"/>
        <w:rPr>
          <w:b w:val="0"/>
          <w:bCs w:val="0"/>
        </w:rPr>
      </w:pPr>
      <w:bookmarkStart w:name="19、应付账款" w:id="288"/>
      <w:bookmarkEnd w:id="288"/>
      <w:r>
        <w:rPr>
          <w:b w:val="0"/>
          <w:bCs w:val="0"/>
        </w:rPr>
      </w:r>
      <w:r>
        <w:rPr>
          <w:rFonts w:ascii="Times New Roman" w:hAnsi="Times New Roman" w:cs="Times New Roman" w:eastAsia="Times New Roman" w:hint="default"/>
        </w:rPr>
        <w:t>19</w:t>
      </w:r>
      <w:r>
        <w:rPr/>
        <w:t>、应付账款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234" w:right="7211"/>
        <w:jc w:val="left"/>
        <w:rPr>
          <w:b w:val="0"/>
          <w:bCs w:val="0"/>
        </w:rPr>
      </w:pPr>
      <w:bookmarkStart w:name="（1）应付账款列示" w:id="289"/>
      <w:bookmarkEnd w:id="28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应付带宽、运营费用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47,657,177.07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53,003,256.34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应付服务费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20,028,320.03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20,523,372.04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应付市场费用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3,683,367.72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2,940,167.50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1,206,249.69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2,273,997.69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应付其他款项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6,198,504.15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1,317,915.45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78,773,618.66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80,058,709.02</w:t>
            </w:r>
          </w:p>
        </w:tc>
      </w:tr>
    </w:tbl>
    <w:p>
      <w:pPr>
        <w:spacing w:line="240" w:lineRule="auto" w:before="3"/>
        <w:rPr>
          <w:rFonts w:ascii="宋体" w:hAnsi="宋体" w:cs="宋体" w:eastAsia="宋体" w:hint="default"/>
          <w:sz w:val="19"/>
          <w:szCs w:val="19"/>
        </w:rPr>
      </w:pPr>
    </w:p>
    <w:p>
      <w:pPr>
        <w:pStyle w:val="Heading4"/>
        <w:spacing w:line="240" w:lineRule="auto" w:before="36"/>
        <w:ind w:left="234" w:right="7211"/>
        <w:jc w:val="left"/>
        <w:rPr>
          <w:b w:val="0"/>
          <w:bCs w:val="0"/>
        </w:rPr>
      </w:pPr>
      <w:bookmarkStart w:name="（2）账龄超过1年的重要应付账款:无" w:id="290"/>
      <w:bookmarkEnd w:id="290"/>
      <w:r>
        <w:rPr>
          <w:b w:val="0"/>
          <w:bCs w:val="0"/>
        </w:rPr>
      </w:r>
      <w:r>
        <w:rPr/>
        <w:t>（</w:t>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年的重要应付账款</w:t>
      </w:r>
      <w:r>
        <w:rPr>
          <w:rFonts w:ascii="Times New Roman" w:hAnsi="Times New Roman" w:cs="Times New Roman" w:eastAsia="Times New Roman" w:hint="default"/>
        </w:rPr>
        <w:t>:</w:t>
      </w:r>
      <w:r>
        <w:rPr/>
        <w:t>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234" w:right="7211"/>
        <w:jc w:val="left"/>
        <w:rPr>
          <w:b w:val="0"/>
          <w:bCs w:val="0"/>
        </w:rPr>
      </w:pPr>
      <w:bookmarkStart w:name="20、预收款项" w:id="291"/>
      <w:bookmarkEnd w:id="291"/>
      <w:r>
        <w:rPr>
          <w:b w:val="0"/>
          <w:bCs w:val="0"/>
        </w:rPr>
      </w:r>
      <w:r>
        <w:rPr>
          <w:rFonts w:ascii="Times New Roman" w:hAnsi="Times New Roman" w:cs="Times New Roman" w:eastAsia="Times New Roman" w:hint="default"/>
        </w:rPr>
        <w:t>20</w:t>
      </w:r>
      <w:r>
        <w:rPr/>
        <w:t>、预收款项</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234" w:right="7211"/>
        <w:jc w:val="left"/>
      </w:pPr>
      <w:r>
        <w:rPr/>
        <w:t>是否已执行新收入准则</w:t>
      </w:r>
    </w:p>
    <w:p>
      <w:pPr>
        <w:pStyle w:val="BodyText"/>
        <w:spacing w:line="240" w:lineRule="auto" w:before="115"/>
        <w:ind w:left="234" w:right="721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4"/>
        <w:spacing w:line="240" w:lineRule="auto"/>
        <w:ind w:left="234" w:right="7211"/>
        <w:jc w:val="left"/>
        <w:rPr>
          <w:b w:val="0"/>
          <w:bCs w:val="0"/>
        </w:rPr>
      </w:pPr>
      <w:bookmarkStart w:name="（1）预收款项列示" w:id="292"/>
      <w:bookmarkEnd w:id="29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预收服务款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208,815,635.98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229,857,594.32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208,815,635.98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229,857,594.32</w:t>
            </w:r>
          </w:p>
        </w:tc>
      </w:tr>
    </w:tbl>
    <w:p>
      <w:pPr>
        <w:spacing w:line="240" w:lineRule="auto" w:before="3"/>
        <w:rPr>
          <w:rFonts w:ascii="宋体" w:hAnsi="宋体" w:cs="宋体" w:eastAsia="宋体" w:hint="default"/>
          <w:sz w:val="19"/>
          <w:szCs w:val="19"/>
        </w:rPr>
      </w:pPr>
    </w:p>
    <w:p>
      <w:pPr>
        <w:pStyle w:val="Heading4"/>
        <w:spacing w:line="240" w:lineRule="auto" w:before="36"/>
        <w:ind w:left="234" w:right="7211"/>
        <w:jc w:val="left"/>
        <w:rPr>
          <w:b w:val="0"/>
          <w:bCs w:val="0"/>
        </w:rPr>
      </w:pPr>
      <w:bookmarkStart w:name="（2）账龄超过1年的重要预收款项:无" w:id="293"/>
      <w:bookmarkEnd w:id="293"/>
      <w:r>
        <w:rPr>
          <w:b w:val="0"/>
          <w:bCs w:val="0"/>
        </w:rPr>
      </w:r>
      <w:r>
        <w:rPr/>
        <w:t>（</w:t>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年的重要预收款项</w:t>
      </w:r>
      <w:r>
        <w:rPr>
          <w:rFonts w:ascii="Times New Roman" w:hAnsi="Times New Roman" w:cs="Times New Roman" w:eastAsia="Times New Roman" w:hint="default"/>
        </w:rPr>
        <w:t>:</w:t>
      </w:r>
      <w:r>
        <w:rPr/>
        <w:t>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234" w:right="714"/>
        <w:jc w:val="left"/>
        <w:rPr>
          <w:b w:val="0"/>
          <w:bCs w:val="0"/>
        </w:rPr>
      </w:pPr>
      <w:bookmarkStart w:name="（3）期末建造合同形成的已结算未完工项目情况:无" w:id="294"/>
      <w:bookmarkEnd w:id="294"/>
      <w:r>
        <w:rPr>
          <w:b w:val="0"/>
          <w:bCs w:val="0"/>
        </w:rPr>
      </w:r>
      <w:r>
        <w:rPr/>
        <w:t>（</w:t>
      </w:r>
      <w:r>
        <w:rPr>
          <w:rFonts w:ascii="Times New Roman" w:hAnsi="Times New Roman" w:cs="Times New Roman" w:eastAsia="Times New Roman" w:hint="default"/>
        </w:rPr>
        <w:t>3</w:t>
      </w:r>
      <w:r>
        <w:rPr/>
        <w:t>）期末建造合同形成的已结算未完工项目情况</w:t>
      </w:r>
      <w:r>
        <w:rPr>
          <w:rFonts w:ascii="Times New Roman" w:hAnsi="Times New Roman" w:cs="Times New Roman" w:eastAsia="Times New Roman" w:hint="default"/>
        </w:rPr>
        <w:t>:</w:t>
      </w:r>
      <w:r>
        <w:rPr/>
        <w:t>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34" w:right="7211"/>
        <w:jc w:val="left"/>
        <w:rPr>
          <w:b w:val="0"/>
          <w:bCs w:val="0"/>
        </w:rPr>
      </w:pPr>
      <w:bookmarkStart w:name="21、应付职工薪酬" w:id="295"/>
      <w:bookmarkEnd w:id="295"/>
      <w:r>
        <w:rPr>
          <w:b w:val="0"/>
          <w:bCs w:val="0"/>
        </w:rPr>
      </w:r>
      <w:r>
        <w:rPr>
          <w:rFonts w:ascii="Times New Roman" w:hAnsi="Times New Roman" w:cs="Times New Roman" w:eastAsia="Times New Roman" w:hint="default"/>
        </w:rPr>
        <w:t>21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34" w:right="7211"/>
        <w:jc w:val="left"/>
        <w:rPr>
          <w:b w:val="0"/>
          <w:bCs w:val="0"/>
        </w:rPr>
      </w:pPr>
      <w:bookmarkStart w:name="（1）应付职工薪酬列示" w:id="296"/>
      <w:bookmarkEnd w:id="29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3486"/>
        <w:gridCol w:w="1662"/>
        <w:gridCol w:w="1786"/>
        <w:gridCol w:w="1787"/>
        <w:gridCol w:w="1661"/>
      </w:tblGrid>
      <w:tr>
        <w:trPr>
          <w:trHeight w:val="403" w:hRule="exact"/>
        </w:trPr>
        <w:tc>
          <w:tcPr>
            <w:tcW w:w="3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31,279,706.02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305,412,540.43</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307,368,488.46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29,323,757.99</w:t>
            </w:r>
          </w:p>
        </w:tc>
      </w:tr>
      <w:tr>
        <w:trPr>
          <w:trHeight w:val="399" w:hRule="exact"/>
        </w:trPr>
        <w:tc>
          <w:tcPr>
            <w:tcW w:w="3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设定提存计划</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1,718,999.62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28,755,921.10</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28,945,041.38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1,529,879.34</w:t>
            </w:r>
          </w:p>
        </w:tc>
      </w:tr>
      <w:tr>
        <w:trPr>
          <w:trHeight w:val="403" w:hRule="exact"/>
        </w:trPr>
        <w:tc>
          <w:tcPr>
            <w:tcW w:w="3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798,769.52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3,629,468.38</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2,548,879.58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1,879,358.32</w:t>
            </w:r>
          </w:p>
        </w:tc>
      </w:tr>
      <w:tr>
        <w:trPr>
          <w:trHeight w:val="403" w:hRule="exact"/>
        </w:trPr>
        <w:tc>
          <w:tcPr>
            <w:tcW w:w="3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33,797,475.16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337,797,929.91</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338,862,409.42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32,732,995.65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00" w:bottom="1220" w:left="640" w:right="0"/>
        </w:sectPr>
      </w:pPr>
    </w:p>
    <w:p>
      <w:pPr>
        <w:spacing w:line="20" w:lineRule="exact"/>
        <w:ind w:left="2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234" w:right="7211"/>
        <w:jc w:val="left"/>
        <w:rPr>
          <w:b w:val="0"/>
          <w:bCs w:val="0"/>
        </w:rPr>
      </w:pPr>
      <w:bookmarkStart w:name="（2）短期薪酬列示" w:id="297"/>
      <w:bookmarkEnd w:id="29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3347"/>
        <w:gridCol w:w="1700"/>
        <w:gridCol w:w="1820"/>
        <w:gridCol w:w="1820"/>
        <w:gridCol w:w="1695"/>
      </w:tblGrid>
      <w:tr>
        <w:trPr>
          <w:trHeight w:val="404" w:hRule="exact"/>
        </w:trPr>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29,803,835.88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268,710,242.53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270,715,004.21</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27,799,074.20</w:t>
            </w:r>
          </w:p>
        </w:tc>
      </w:tr>
      <w:tr>
        <w:trPr>
          <w:trHeight w:val="403" w:hRule="exact"/>
        </w:trPr>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1,769,351.68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1,769,351.68</w:t>
            </w:r>
          </w:p>
        </w:tc>
        <w:tc>
          <w:tcPr>
            <w:tcW w:w="16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1,271,656.40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16,571,438.65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16,757,605.45</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1,085,489.60</w:t>
            </w:r>
          </w:p>
        </w:tc>
      </w:tr>
      <w:tr>
        <w:trPr>
          <w:trHeight w:val="403" w:hRule="exact"/>
        </w:trPr>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871,324.15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14,440,924.16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14,350,490.45</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961,757.86</w:t>
            </w:r>
          </w:p>
        </w:tc>
      </w:tr>
      <w:tr>
        <w:trPr>
          <w:trHeight w:val="399" w:hRule="exact"/>
        </w:trPr>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8"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344,540.83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942,217.88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1,226,202.03</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60,556.68</w:t>
            </w:r>
          </w:p>
        </w:tc>
      </w:tr>
      <w:tr>
        <w:trPr>
          <w:trHeight w:val="403" w:hRule="exact"/>
        </w:trPr>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55,791.42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1,188,296.61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1,180,912.97</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63,175.06</w:t>
            </w:r>
          </w:p>
        </w:tc>
      </w:tr>
      <w:tr>
        <w:trPr>
          <w:trHeight w:val="403" w:hRule="exact"/>
        </w:trPr>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135,229.25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16,618,409.99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16,593,827.80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159,811.44</w:t>
            </w:r>
          </w:p>
        </w:tc>
      </w:tr>
      <w:tr>
        <w:trPr>
          <w:trHeight w:val="403" w:hRule="exact"/>
        </w:trPr>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53,870.19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239,968.32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98,594.03</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195,244.48</w:t>
            </w:r>
          </w:p>
        </w:tc>
      </w:tr>
      <w:tr>
        <w:trPr>
          <w:trHeight w:val="399"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、其他短期薪酬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15,114.30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1,503,129.26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1,434,105.29</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84,138.27</w:t>
            </w:r>
          </w:p>
        </w:tc>
      </w:tr>
      <w:tr>
        <w:trPr>
          <w:trHeight w:val="403" w:hRule="exact"/>
        </w:trPr>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31,279,706.02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305,412,540.43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307,368,488.46</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29,323,757.99</w:t>
            </w:r>
          </w:p>
        </w:tc>
      </w:tr>
    </w:tbl>
    <w:p>
      <w:pPr>
        <w:spacing w:line="240" w:lineRule="auto" w:before="3"/>
        <w:rPr>
          <w:rFonts w:ascii="宋体" w:hAnsi="宋体" w:cs="宋体" w:eastAsia="宋体" w:hint="default"/>
          <w:sz w:val="19"/>
          <w:szCs w:val="19"/>
        </w:rPr>
      </w:pPr>
    </w:p>
    <w:p>
      <w:pPr>
        <w:pStyle w:val="Heading4"/>
        <w:spacing w:line="240" w:lineRule="auto" w:before="36"/>
        <w:ind w:left="234" w:right="7211"/>
        <w:jc w:val="left"/>
        <w:rPr>
          <w:b w:val="0"/>
          <w:bCs w:val="0"/>
        </w:rPr>
      </w:pPr>
      <w:bookmarkStart w:name="（3）设定提存计划列示" w:id="298"/>
      <w:bookmarkEnd w:id="29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1,667,135.38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27,385,812.50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27,628,860.90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1,424,086.98</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51,864.24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1,370,108.60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1,316,180.48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105,792.36</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1,718,999.62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28,755,921.10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28,945,041.38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1,529,879.34</w:t>
            </w:r>
          </w:p>
        </w:tc>
      </w:tr>
    </w:tbl>
    <w:p>
      <w:pPr>
        <w:pStyle w:val="BodyText"/>
        <w:spacing w:line="240" w:lineRule="auto" w:before="53"/>
        <w:ind w:left="234" w:right="7211"/>
        <w:jc w:val="left"/>
      </w:pPr>
      <w:r>
        <w:rPr/>
        <w:t>其他说明：</w:t>
      </w:r>
    </w:p>
    <w:p>
      <w:pPr>
        <w:pStyle w:val="BodyText"/>
        <w:spacing w:line="316" w:lineRule="auto" w:before="110"/>
        <w:ind w:left="594" w:right="714"/>
        <w:jc w:val="left"/>
      </w:pPr>
      <w:r>
        <w:rPr>
          <w:spacing w:val="-3"/>
        </w:rPr>
        <w:t>注：其他短期薪酬主要包括残保金。</w:t>
      </w:r>
      <w:r>
        <w:rPr>
          <w:spacing w:val="-39"/>
        </w:rPr>
        <w:t> </w:t>
      </w:r>
      <w:r>
        <w:rPr>
          <w:spacing w:val="-39"/>
        </w:rPr>
      </w:r>
      <w:r>
        <w:rPr>
          <w:spacing w:val="-1"/>
        </w:rPr>
        <w:t>本集团境内子公司按规定参加由政府机构设立的养老保险、失业保险计划，根据该等计划，本集团分别按员工上年平均工资</w:t>
      </w:r>
    </w:p>
    <w:p>
      <w:pPr>
        <w:pStyle w:val="BodyText"/>
        <w:spacing w:line="300" w:lineRule="auto" w:before="19"/>
        <w:ind w:left="234" w:right="714"/>
        <w:jc w:val="left"/>
      </w:pPr>
      <w:r>
        <w:rPr>
          <w:spacing w:val="-3"/>
        </w:rPr>
        <w:t>的</w:t>
      </w:r>
      <w:r>
        <w:rPr>
          <w:rFonts w:ascii="Times New Roman" w:hAnsi="Times New Roman" w:cs="Times New Roman" w:eastAsia="Times New Roman" w:hint="default"/>
          <w:spacing w:val="-3"/>
        </w:rPr>
        <w:t>13%-16%</w:t>
      </w:r>
      <w:r>
        <w:rPr>
          <w:spacing w:val="-3"/>
        </w:rPr>
        <w:t>、</w:t>
      </w:r>
      <w:r>
        <w:rPr>
          <w:rFonts w:ascii="Times New Roman" w:hAnsi="Times New Roman" w:cs="Times New Roman" w:eastAsia="Times New Roman" w:hint="default"/>
          <w:spacing w:val="-3"/>
        </w:rPr>
        <w:t>0.5%-0.8%</w:t>
      </w:r>
      <w:r>
        <w:rPr>
          <w:spacing w:val="-3"/>
        </w:rPr>
        <w:t>每月向该等计划缴存费用。除上述每月缴存费用外，本集团不再承担进一步支付义务。相应的支出于发生</w:t>
      </w:r>
      <w:r>
        <w:rPr>
          <w:spacing w:val="82"/>
        </w:rPr>
        <w:t> </w:t>
      </w:r>
      <w:r>
        <w:rPr>
          <w:spacing w:val="82"/>
        </w:rPr>
      </w:r>
      <w:r>
        <w:rPr>
          <w:spacing w:val="-3"/>
        </w:rPr>
        <w:t>时计入当期损益或相关资产的成本。</w:t>
      </w:r>
    </w:p>
    <w:p>
      <w:pPr>
        <w:pStyle w:val="BodyText"/>
        <w:spacing w:line="316" w:lineRule="auto" w:before="31"/>
        <w:ind w:left="594" w:right="714"/>
        <w:jc w:val="left"/>
      </w:pPr>
      <w:r>
        <w:rPr>
          <w:spacing w:val="-3"/>
        </w:rPr>
        <w:t>本集团境外子公司根据所在地养老保险、失业保险政策进行费用的缴纳。</w:t>
      </w:r>
      <w:r>
        <w:rPr>
          <w:spacing w:val="2"/>
        </w:rPr>
        <w:t> </w:t>
      </w:r>
      <w:r>
        <w:rPr>
          <w:spacing w:val="2"/>
        </w:rPr>
      </w:r>
      <w:r>
        <w:rPr>
          <w:spacing w:val="9"/>
        </w:rPr>
        <w:t>本集团本年应分别向养老保险、失业保险计划缴存费用人民币 </w:t>
      </w:r>
      <w:r>
        <w:rPr>
          <w:spacing w:val="28"/>
        </w:rPr>
        <w:t> </w:t>
      </w:r>
      <w:r>
        <w:rPr>
          <w:rFonts w:ascii="Times New Roman" w:hAnsi="Times New Roman" w:cs="Times New Roman" w:eastAsia="Times New Roman" w:hint="default"/>
          <w:spacing w:val="2"/>
        </w:rPr>
        <w:t>27,385,812.50</w:t>
      </w:r>
      <w:r>
        <w:rPr>
          <w:spacing w:val="2"/>
        </w:rPr>
        <w:t>元及人民币</w:t>
      </w:r>
      <w:r>
        <w:rPr>
          <w:rFonts w:ascii="Times New Roman" w:hAnsi="Times New Roman" w:cs="Times New Roman" w:eastAsia="Times New Roman" w:hint="default"/>
          <w:spacing w:val="2"/>
        </w:rPr>
        <w:t>1,370,108.60</w:t>
      </w:r>
      <w:r>
        <w:rPr>
          <w:spacing w:val="2"/>
        </w:rPr>
        <w:t>元</w:t>
      </w:r>
      <w:r>
        <w:rPr>
          <w:rFonts w:ascii="Times New Roman" w:hAnsi="Times New Roman" w:cs="Times New Roman" w:eastAsia="Times New Roman" w:hint="default"/>
          <w:spacing w:val="2"/>
        </w:rPr>
        <w:t>(2018</w:t>
      </w:r>
      <w:r>
        <w:rPr>
          <w:spacing w:val="2"/>
        </w:rPr>
        <w:t>年：人民币</w:t>
      </w:r>
    </w:p>
    <w:p>
      <w:pPr>
        <w:pStyle w:val="BodyText"/>
        <w:spacing w:line="248" w:lineRule="exact"/>
        <w:ind w:left="234" w:right="714"/>
        <w:jc w:val="left"/>
      </w:pPr>
      <w:r>
        <w:rPr>
          <w:rFonts w:ascii="Times New Roman" w:hAnsi="Times New Roman" w:cs="Times New Roman" w:eastAsia="Times New Roman" w:hint="default"/>
          <w:spacing w:val="-2"/>
        </w:rPr>
        <w:t>29,684,806.81</w:t>
      </w:r>
      <w:r>
        <w:rPr>
          <w:spacing w:val="-2"/>
        </w:rPr>
        <w:t>元及人民币</w:t>
      </w:r>
      <w:r>
        <w:rPr>
          <w:rFonts w:ascii="Times New Roman" w:hAnsi="Times New Roman" w:cs="Times New Roman" w:eastAsia="Times New Roman" w:hint="default"/>
          <w:spacing w:val="-2"/>
        </w:rPr>
        <w:t>771,512.74</w:t>
      </w:r>
      <w:r>
        <w:rPr>
          <w:spacing w:val="-2"/>
        </w:rPr>
        <w:t>元</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日，本集团尚有人民币</w:t>
      </w:r>
      <w:r>
        <w:rPr>
          <w:rFonts w:ascii="Times New Roman" w:hAnsi="Times New Roman" w:cs="Times New Roman" w:eastAsia="Times New Roman" w:hint="default"/>
          <w:spacing w:val="-2"/>
        </w:rPr>
        <w:t>1,424,086.98</w:t>
      </w:r>
      <w:r>
        <w:rPr>
          <w:spacing w:val="-2"/>
        </w:rPr>
        <w:t>元及人民币</w:t>
      </w:r>
      <w:r>
        <w:rPr>
          <w:rFonts w:ascii="Times New Roman" w:hAnsi="Times New Roman" w:cs="Times New Roman" w:eastAsia="Times New Roman" w:hint="default"/>
          <w:spacing w:val="-2"/>
        </w:rPr>
        <w:t>105,792.36</w:t>
      </w:r>
      <w:r>
        <w:rPr>
          <w:rFonts w:ascii="Times New Roman" w:hAnsi="Times New Roman" w:cs="Times New Roman" w:eastAsia="Times New Roman" w:hint="default"/>
        </w:rPr>
        <w:t>     </w:t>
      </w:r>
      <w:r>
        <w:rPr>
          <w:rFonts w:ascii="Times New Roman" w:hAnsi="Times New Roman" w:cs="Times New Roman" w:eastAsia="Times New Roman" w:hint="default"/>
          <w:spacing w:val="37"/>
        </w:rPr>
        <w:t> </w:t>
      </w:r>
      <w:r>
        <w:rPr>
          <w:spacing w:val="-2"/>
        </w:rPr>
        <w:t>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p>
    <w:p>
      <w:pPr>
        <w:pStyle w:val="BodyText"/>
        <w:spacing w:line="300" w:lineRule="auto" w:before="63"/>
        <w:ind w:left="234" w:right="714"/>
        <w:jc w:val="left"/>
      </w:pPr>
      <w:r>
        <w:rPr>
          <w:rFonts w:ascii="Times New Roman" w:hAnsi="Times New Roman" w:cs="Times New Roman" w:eastAsia="Times New Roman" w:hint="default"/>
          <w:spacing w:val="-3"/>
        </w:rPr>
        <w:t>31</w:t>
      </w:r>
      <w:r>
        <w:rPr>
          <w:spacing w:val="-3"/>
        </w:rPr>
        <w:t>日：人民币</w:t>
      </w:r>
      <w:r>
        <w:rPr>
          <w:rFonts w:ascii="Times New Roman" w:hAnsi="Times New Roman" w:cs="Times New Roman" w:eastAsia="Times New Roman" w:hint="default"/>
          <w:spacing w:val="-3"/>
        </w:rPr>
        <w:t>1,667,135.38</w:t>
      </w:r>
      <w:r>
        <w:rPr>
          <w:spacing w:val="-3"/>
        </w:rPr>
        <w:t>元及人民币</w:t>
      </w:r>
      <w:r>
        <w:rPr>
          <w:rFonts w:ascii="Times New Roman" w:hAnsi="Times New Roman" w:cs="Times New Roman" w:eastAsia="Times New Roman" w:hint="default"/>
          <w:spacing w:val="-3"/>
        </w:rPr>
        <w:t>51,864.24</w:t>
      </w:r>
      <w:r>
        <w:rPr>
          <w:spacing w:val="-3"/>
        </w:rPr>
        <w:t>元</w:t>
      </w:r>
      <w:r>
        <w:rPr>
          <w:rFonts w:ascii="Times New Roman" w:hAnsi="Times New Roman" w:cs="Times New Roman" w:eastAsia="Times New Roman" w:hint="default"/>
          <w:spacing w:val="-3"/>
        </w:rPr>
        <w:t>)</w:t>
      </w:r>
      <w:r>
        <w:rPr>
          <w:spacing w:val="-3"/>
        </w:rPr>
        <w:t>的应缴存费用是于本报告期应付而未支付的养老保险及失业保险。有关应缴存费</w:t>
      </w:r>
      <w:r>
        <w:rPr>
          <w:spacing w:val="-1"/>
        </w:rPr>
        <w:t> </w:t>
      </w:r>
      <w:r>
        <w:rPr>
          <w:spacing w:val="-1"/>
        </w:rPr>
      </w:r>
      <w:r>
        <w:rPr/>
        <w:t>用已于报告期后支付。</w:t>
      </w:r>
    </w:p>
    <w:p>
      <w:pPr>
        <w:spacing w:after="0" w:line="300" w:lineRule="auto"/>
        <w:jc w:val="left"/>
        <w:sectPr>
          <w:pgSz w:w="11910" w:h="16840"/>
          <w:pgMar w:header="0" w:footer="1022" w:top="1100" w:bottom="1220" w:left="640" w:right="0"/>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right="858"/>
        <w:jc w:val="left"/>
        <w:rPr>
          <w:b w:val="0"/>
          <w:bCs w:val="0"/>
        </w:rPr>
      </w:pPr>
      <w:bookmarkStart w:name="22、应交税费" w:id="299"/>
      <w:bookmarkEnd w:id="299"/>
      <w:r>
        <w:rPr>
          <w:b w:val="0"/>
          <w:bCs w:val="0"/>
        </w:rPr>
      </w:r>
      <w:r>
        <w:rPr>
          <w:rFonts w:ascii="Times New Roman" w:hAnsi="Times New Roman" w:cs="Times New Roman" w:eastAsia="Times New Roman" w:hint="default"/>
        </w:rPr>
        <w:t>22</w:t>
      </w:r>
      <w:r>
        <w:rPr/>
        <w:t>、应交税费</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2,086,176.45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2,847,189.76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3,990,927.67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9,079,430.96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7,387,686.83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1,274,552.14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25,932.56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66,894.19</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21,397.45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54,003.26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境外公司销售税等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849,213.92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495,747.03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53,196.77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8,303.74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14,414,531.65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13,826,121.08</w:t>
            </w:r>
          </w:p>
        </w:tc>
      </w:tr>
    </w:tbl>
    <w:p>
      <w:pPr>
        <w:pStyle w:val="BodyText"/>
        <w:spacing w:line="352" w:lineRule="auto" w:before="54"/>
        <w:ind w:right="10120"/>
        <w:jc w:val="left"/>
      </w:pPr>
      <w:r>
        <w:rPr>
          <w:spacing w:val="-2"/>
        </w:rPr>
        <w:t>其他说明：</w:t>
      </w:r>
      <w:r>
        <w:rPr>
          <w:spacing w:val="-78"/>
        </w:rPr>
        <w:t> </w:t>
      </w:r>
      <w:r>
        <w:rPr>
          <w:spacing w:val="-78"/>
        </w:rPr>
      </w:r>
      <w:r>
        <w:rPr/>
        <w:t>无</w:t>
      </w:r>
    </w:p>
    <w:p>
      <w:pPr>
        <w:spacing w:line="240" w:lineRule="auto" w:before="7"/>
        <w:rPr>
          <w:rFonts w:ascii="宋体" w:hAnsi="宋体" w:cs="宋体" w:eastAsia="宋体" w:hint="default"/>
          <w:sz w:val="20"/>
          <w:szCs w:val="20"/>
        </w:rPr>
      </w:pPr>
    </w:p>
    <w:p>
      <w:pPr>
        <w:pStyle w:val="Heading4"/>
        <w:spacing w:line="240" w:lineRule="auto"/>
        <w:ind w:right="858"/>
        <w:jc w:val="left"/>
        <w:rPr>
          <w:b w:val="0"/>
          <w:bCs w:val="0"/>
        </w:rPr>
      </w:pPr>
      <w:bookmarkStart w:name="23、其他应付款" w:id="300"/>
      <w:bookmarkEnd w:id="300"/>
      <w:r>
        <w:rPr>
          <w:b w:val="0"/>
          <w:bCs w:val="0"/>
        </w:rPr>
      </w:r>
      <w:r>
        <w:rPr>
          <w:rFonts w:ascii="Times New Roman" w:hAnsi="Times New Roman" w:cs="Times New Roman" w:eastAsia="Times New Roman" w:hint="default"/>
        </w:rPr>
        <w:t>23</w:t>
      </w:r>
      <w:r>
        <w:rPr/>
        <w:t>、其他应付款</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145,764,513.40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181,835,463.95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145,764,513.40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181,835,463.95</w:t>
            </w:r>
          </w:p>
        </w:tc>
      </w:tr>
    </w:tbl>
    <w:p>
      <w:pPr>
        <w:spacing w:line="240" w:lineRule="auto" w:before="3"/>
        <w:rPr>
          <w:rFonts w:ascii="宋体" w:hAnsi="宋体" w:cs="宋体" w:eastAsia="宋体" w:hint="default"/>
          <w:sz w:val="19"/>
          <w:szCs w:val="19"/>
        </w:rPr>
      </w:pPr>
    </w:p>
    <w:p>
      <w:pPr>
        <w:pStyle w:val="Heading4"/>
        <w:spacing w:line="240" w:lineRule="auto" w:before="36"/>
        <w:ind w:right="858"/>
        <w:jc w:val="left"/>
        <w:rPr>
          <w:b w:val="0"/>
          <w:bCs w:val="0"/>
        </w:rPr>
      </w:pPr>
      <w:bookmarkStart w:name="（1）应付利息:无" w:id="301"/>
      <w:bookmarkEnd w:id="301"/>
      <w:r>
        <w:rPr>
          <w:b w:val="0"/>
          <w:bCs w:val="0"/>
        </w:rPr>
      </w:r>
      <w:r>
        <w:rPr/>
        <w:t>（</w:t>
      </w:r>
      <w:r>
        <w:rPr>
          <w:rFonts w:ascii="Times New Roman" w:hAnsi="Times New Roman" w:cs="Times New Roman" w:eastAsia="Times New Roman" w:hint="default"/>
        </w:rPr>
        <w:t>1</w:t>
      </w:r>
      <w:r>
        <w:rPr/>
        <w:t>）应付利息</w:t>
      </w:r>
      <w:r>
        <w:rPr>
          <w:rFonts w:ascii="Times New Roman" w:hAnsi="Times New Roman" w:cs="Times New Roman" w:eastAsia="Times New Roman" w:hint="default"/>
        </w:rPr>
        <w:t>:</w:t>
      </w:r>
      <w:r>
        <w:rPr/>
        <w:t>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858"/>
        <w:jc w:val="left"/>
        <w:rPr>
          <w:b w:val="0"/>
          <w:bCs w:val="0"/>
        </w:rPr>
      </w:pPr>
      <w:bookmarkStart w:name="（2）应付股利:无" w:id="302"/>
      <w:bookmarkEnd w:id="302"/>
      <w:r>
        <w:rPr>
          <w:b w:val="0"/>
          <w:bCs w:val="0"/>
        </w:rPr>
      </w:r>
      <w:r>
        <w:rPr/>
        <w:t>（</w:t>
      </w:r>
      <w:r>
        <w:rPr>
          <w:rFonts w:ascii="Times New Roman" w:hAnsi="Times New Roman" w:cs="Times New Roman" w:eastAsia="Times New Roman" w:hint="default"/>
        </w:rPr>
        <w:t>2</w:t>
      </w:r>
      <w:r>
        <w:rPr/>
        <w:t>）应付股利</w:t>
      </w:r>
      <w:r>
        <w:rPr>
          <w:rFonts w:ascii="Times New Roman" w:hAnsi="Times New Roman" w:cs="Times New Roman" w:eastAsia="Times New Roman" w:hint="default"/>
        </w:rPr>
        <w:t>:</w:t>
      </w:r>
      <w:r>
        <w:rPr/>
        <w:t>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858"/>
        <w:jc w:val="left"/>
        <w:rPr>
          <w:b w:val="0"/>
          <w:bCs w:val="0"/>
        </w:rPr>
      </w:pPr>
      <w:bookmarkStart w:name="（3）其他应付款" w:id="303"/>
      <w:bookmarkEnd w:id="303"/>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858"/>
        <w:jc w:val="left"/>
        <w:rPr>
          <w:b w:val="0"/>
          <w:bCs w:val="0"/>
        </w:rPr>
      </w:pPr>
      <w:bookmarkStart w:name="1）按款项性质列示其他应付款" w:id="304"/>
      <w:bookmarkEnd w:id="304"/>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股权受让款</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112,395,900.00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139,500,000.00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限制性股票回购义务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26,410,000.00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35,340,000.00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3,475,841.64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1,914,562.18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房租及管理费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584,108.60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1,170,046.78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外部公司往来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842,001.37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489,314.64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2,056,661.79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3,421,540.35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145,764,513.40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181,835,463.95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00" w:bottom="1220" w:left="740" w:right="0"/>
        </w:sectPr>
      </w:pPr>
    </w:p>
    <w:p>
      <w:pPr>
        <w:spacing w:line="20" w:lineRule="exact"/>
        <w:ind w:left="2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234" w:right="7211"/>
        <w:jc w:val="left"/>
        <w:rPr>
          <w:b w:val="0"/>
          <w:bCs w:val="0"/>
        </w:rPr>
      </w:pPr>
      <w:bookmarkStart w:name="2）账龄超过1年的重要其他应付款:无" w:id="305"/>
      <w:bookmarkEnd w:id="305"/>
      <w:r>
        <w:rPr>
          <w:b w:val="0"/>
          <w:bCs w:val="0"/>
        </w:rPr>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年的重要其他应付款</w:t>
      </w:r>
      <w:r>
        <w:rPr>
          <w:rFonts w:ascii="Times New Roman" w:hAnsi="Times New Roman" w:cs="Times New Roman" w:eastAsia="Times New Roman" w:hint="default"/>
        </w:rPr>
        <w:t>:</w:t>
      </w:r>
      <w:r>
        <w:rPr/>
        <w:t>无</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234" w:right="3169"/>
        <w:jc w:val="left"/>
      </w:pPr>
      <w:r>
        <w:rPr/>
        <w:t>其他说明</w:t>
      </w:r>
      <w:r>
        <w:rPr>
          <w:spacing w:val="-86"/>
        </w:rPr>
        <w:t> </w:t>
      </w:r>
      <w:r>
        <w:rPr>
          <w:spacing w:val="-86"/>
        </w:rPr>
      </w:r>
      <w:r>
        <w:rPr>
          <w:spacing w:val="-3"/>
        </w:rPr>
        <w:t>注：本年末，股权受让款余额为本公司之子公司上海通信收购</w:t>
      </w:r>
      <w:r>
        <w:rPr>
          <w:rFonts w:ascii="Times New Roman" w:hAnsi="Times New Roman" w:cs="Times New Roman" w:eastAsia="Times New Roman" w:hint="default"/>
          <w:spacing w:val="-3"/>
        </w:rPr>
        <w:t>263</w:t>
      </w:r>
      <w:r>
        <w:rPr>
          <w:spacing w:val="-3"/>
        </w:rPr>
        <w:t>环球通信应付股权转让款尾款。</w:t>
      </w:r>
    </w:p>
    <w:p>
      <w:pPr>
        <w:spacing w:line="240" w:lineRule="auto" w:before="7"/>
        <w:rPr>
          <w:rFonts w:ascii="宋体" w:hAnsi="宋体" w:cs="宋体" w:eastAsia="宋体" w:hint="default"/>
          <w:sz w:val="18"/>
          <w:szCs w:val="18"/>
        </w:rPr>
      </w:pPr>
    </w:p>
    <w:p>
      <w:pPr>
        <w:pStyle w:val="Heading4"/>
        <w:spacing w:line="240" w:lineRule="auto"/>
        <w:ind w:left="234" w:right="7211"/>
        <w:jc w:val="left"/>
        <w:rPr>
          <w:b w:val="0"/>
          <w:bCs w:val="0"/>
        </w:rPr>
      </w:pPr>
      <w:bookmarkStart w:name="24、预计负债" w:id="306"/>
      <w:bookmarkEnd w:id="306"/>
      <w:r>
        <w:rPr>
          <w:b w:val="0"/>
          <w:bCs w:val="0"/>
        </w:rPr>
      </w:r>
      <w:r>
        <w:rPr>
          <w:rFonts w:ascii="Times New Roman" w:hAnsi="Times New Roman" w:cs="Times New Roman" w:eastAsia="Times New Roman" w:hint="default"/>
        </w:rPr>
        <w:t>24</w:t>
      </w:r>
      <w:r>
        <w:rPr/>
        <w:t>、预计负债</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1022" w:top="1100" w:bottom="1220" w:left="640" w:right="0"/>
        </w:sectPr>
      </w:pPr>
    </w:p>
    <w:p>
      <w:pPr>
        <w:pStyle w:val="BodyText"/>
        <w:spacing w:line="240" w:lineRule="auto" w:before="46"/>
        <w:ind w:left="234" w:right="0"/>
        <w:jc w:val="left"/>
      </w:pPr>
      <w:r>
        <w:rPr>
          <w:spacing w:val="-2"/>
        </w:rPr>
        <w:t>是否已执行新收入准则</w:t>
      </w:r>
    </w:p>
    <w:p>
      <w:pPr>
        <w:pStyle w:val="BodyText"/>
        <w:spacing w:line="240" w:lineRule="auto" w:before="115"/>
        <w:ind w:left="2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234" w:right="0"/>
        <w:jc w:val="left"/>
      </w:pPr>
      <w:r>
        <w:rPr/>
        <w:t>单位：</w:t>
      </w:r>
      <w:r>
        <w:rPr>
          <w:spacing w:val="5"/>
        </w:rPr>
        <w:t> </w:t>
      </w:r>
      <w:r>
        <w:rPr/>
        <w:t>元</w:t>
      </w:r>
    </w:p>
    <w:p>
      <w:pPr>
        <w:spacing w:after="0" w:line="240" w:lineRule="auto"/>
        <w:jc w:val="left"/>
        <w:sectPr>
          <w:type w:val="continuous"/>
          <w:pgSz w:w="11910" w:h="16840"/>
          <w:pgMar w:top="1100" w:bottom="1220" w:left="640" w:right="0"/>
          <w:cols w:num="2" w:equalWidth="0">
            <w:col w:w="2040" w:space="7314"/>
            <w:col w:w="1916"/>
          </w:cols>
        </w:sectPr>
      </w:pPr>
    </w:p>
    <w:p>
      <w:pPr>
        <w:spacing w:line="240" w:lineRule="auto" w:before="8"/>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16,174,319.70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16,174,319.70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357" w:lineRule="auto" w:before="54"/>
        <w:ind w:left="234" w:right="4558"/>
        <w:jc w:val="left"/>
      </w:pPr>
      <w:r>
        <w:rPr>
          <w:spacing w:val="-3"/>
        </w:rPr>
        <w:t>其他说明，包括重要预计负债的相关重要假设、估计说明：</w:t>
      </w:r>
      <w:r>
        <w:rPr>
          <w:spacing w:val="-10"/>
        </w:rPr>
        <w:t> </w:t>
      </w:r>
      <w:r>
        <w:rPr>
          <w:spacing w:val="-10"/>
        </w:rPr>
      </w:r>
      <w:r>
        <w:rPr/>
        <w:t>注：详见附注十四、</w:t>
      </w:r>
      <w:r>
        <w:rPr>
          <w:rFonts w:ascii="Times New Roman" w:hAnsi="Times New Roman" w:cs="Times New Roman" w:eastAsia="Times New Roman" w:hint="default"/>
        </w:rPr>
        <w:t>2</w:t>
      </w:r>
      <w:r>
        <w:rPr/>
        <w:t>。</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4"/>
          <w:szCs w:val="24"/>
        </w:rPr>
      </w:pPr>
    </w:p>
    <w:p>
      <w:pPr>
        <w:pStyle w:val="Heading4"/>
        <w:spacing w:line="240" w:lineRule="auto"/>
        <w:ind w:left="234" w:right="7211"/>
        <w:jc w:val="left"/>
        <w:rPr>
          <w:b w:val="0"/>
          <w:bCs w:val="0"/>
        </w:rPr>
      </w:pPr>
      <w:bookmarkStart w:name="25、递延收益" w:id="307"/>
      <w:bookmarkEnd w:id="307"/>
      <w:r>
        <w:rPr>
          <w:b w:val="0"/>
          <w:bCs w:val="0"/>
        </w:rPr>
      </w:r>
      <w:r>
        <w:rPr>
          <w:rFonts w:ascii="Times New Roman" w:hAnsi="Times New Roman" w:cs="Times New Roman" w:eastAsia="Times New Roman" w:hint="default"/>
        </w:rPr>
        <w:t>25</w:t>
      </w:r>
      <w:r>
        <w:rPr/>
        <w:t>、递延收益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1594"/>
        <w:gridCol w:w="1599"/>
        <w:gridCol w:w="1594"/>
        <w:gridCol w:w="1594"/>
        <w:gridCol w:w="1594"/>
        <w:gridCol w:w="1594"/>
      </w:tblGrid>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2,427,015.67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1,729,015.68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1,697,999.99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2,427,015.67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1,729,015.68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1,697,999.99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4"/>
        <w:ind w:left="234" w:right="7211"/>
        <w:jc w:val="left"/>
      </w:pPr>
      <w:r>
        <w:rPr/>
        <w:t>涉及政府补助的项目：</w:t>
      </w:r>
    </w:p>
    <w:p>
      <w:pPr>
        <w:pStyle w:val="BodyText"/>
        <w:spacing w:line="240" w:lineRule="auto" w:before="119"/>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839"/>
        <w:gridCol w:w="1162"/>
        <w:gridCol w:w="1253"/>
        <w:gridCol w:w="1052"/>
        <w:gridCol w:w="1469"/>
        <w:gridCol w:w="985"/>
        <w:gridCol w:w="595"/>
        <w:gridCol w:w="1023"/>
        <w:gridCol w:w="1004"/>
      </w:tblGrid>
      <w:tr>
        <w:trPr>
          <w:trHeight w:val="1027" w:hRule="exact"/>
        </w:trPr>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50" w:right="171" w:hanging="183"/>
              <w:jc w:val="left"/>
              <w:rPr>
                <w:rFonts w:ascii="宋体" w:hAnsi="宋体" w:cs="宋体" w:eastAsia="宋体" w:hint="default"/>
                <w:sz w:val="18"/>
                <w:szCs w:val="18"/>
              </w:rPr>
            </w:pPr>
            <w:r>
              <w:rPr>
                <w:rFonts w:ascii="宋体" w:hAnsi="宋体" w:cs="宋体" w:eastAsia="宋体" w:hint="default"/>
                <w:spacing w:val="-2"/>
                <w:sz w:val="18"/>
                <w:szCs w:val="18"/>
              </w:rPr>
              <w:t>本期新增补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助金额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63" w:right="151"/>
              <w:jc w:val="both"/>
              <w:rPr>
                <w:rFonts w:ascii="宋体" w:hAnsi="宋体" w:cs="宋体" w:eastAsia="宋体" w:hint="default"/>
                <w:sz w:val="18"/>
                <w:szCs w:val="18"/>
              </w:rPr>
            </w:pPr>
            <w:r>
              <w:rPr>
                <w:rFonts w:ascii="宋体" w:hAnsi="宋体" w:cs="宋体" w:eastAsia="宋体" w:hint="default"/>
                <w:sz w:val="18"/>
                <w:szCs w:val="18"/>
              </w:rPr>
              <w:t>本期计入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营业外收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入金额</w:t>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64" w:right="185" w:hanging="178"/>
              <w:jc w:val="left"/>
              <w:rPr>
                <w:rFonts w:ascii="宋体" w:hAnsi="宋体" w:cs="宋体" w:eastAsia="宋体" w:hint="default"/>
                <w:sz w:val="18"/>
                <w:szCs w:val="18"/>
              </w:rPr>
            </w:pPr>
            <w:r>
              <w:rPr>
                <w:rFonts w:ascii="宋体" w:hAnsi="宋体" w:cs="宋体" w:eastAsia="宋体" w:hint="default"/>
                <w:spacing w:val="-2"/>
                <w:sz w:val="18"/>
                <w:szCs w:val="18"/>
              </w:rPr>
              <w:t>本期计入其他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收益金额</w:t>
            </w:r>
          </w:p>
        </w:tc>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9" w:right="118"/>
              <w:jc w:val="center"/>
              <w:rPr>
                <w:rFonts w:ascii="宋体" w:hAnsi="宋体" w:cs="宋体" w:eastAsia="宋体" w:hint="default"/>
                <w:sz w:val="18"/>
                <w:szCs w:val="18"/>
              </w:rPr>
            </w:pPr>
            <w:r>
              <w:rPr>
                <w:rFonts w:ascii="宋体" w:hAnsi="宋体" w:cs="宋体" w:eastAsia="宋体" w:hint="default"/>
                <w:spacing w:val="-2"/>
                <w:sz w:val="18"/>
                <w:szCs w:val="18"/>
              </w:rPr>
              <w:t>本期冲减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成本费用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10" w:right="108"/>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变动</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5" w:right="104"/>
              <w:jc w:val="center"/>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w w:val="101"/>
                <w:sz w:val="18"/>
                <w:szCs w:val="18"/>
              </w:rPr>
              <w:t> </w:t>
            </w:r>
            <w:r>
              <w:rPr>
                <w:rFonts w:ascii="宋体" w:hAnsi="宋体" w:cs="宋体" w:eastAsia="宋体" w:hint="default"/>
                <w:spacing w:val="-2"/>
                <w:sz w:val="18"/>
                <w:szCs w:val="18"/>
              </w:rPr>
              <w:t>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与收益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相关</w:t>
            </w:r>
          </w:p>
        </w:tc>
      </w:tr>
      <w:tr>
        <w:trPr>
          <w:trHeight w:val="71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263 </w:t>
            </w:r>
            <w:r>
              <w:rPr>
                <w:rFonts w:ascii="宋体" w:hAnsi="宋体" w:cs="宋体" w:eastAsia="宋体" w:hint="default"/>
                <w:sz w:val="18"/>
                <w:szCs w:val="18"/>
              </w:rPr>
              <w:t>云通信项目</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73"/>
                <w:sz w:val="18"/>
                <w:szCs w:val="18"/>
              </w:rPr>
              <w:t> </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1,146,000.00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1,146,000.00</w:t>
            </w:r>
          </w:p>
        </w:tc>
        <w:tc>
          <w:tcPr>
            <w:tcW w:w="98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61"/>
              <w:jc w:val="left"/>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028"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8"/>
              <w:ind w:left="105" w:right="99"/>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移动数据虚拟专用网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络服务平台项目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注</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332,015.67</w:t>
            </w:r>
          </w:p>
        </w:tc>
        <w:tc>
          <w:tcPr>
            <w:tcW w:w="1253"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332,015.67</w:t>
            </w:r>
          </w:p>
        </w:tc>
        <w:tc>
          <w:tcPr>
            <w:tcW w:w="98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61"/>
              <w:jc w:val="left"/>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715"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企业号云呼智能</w:t>
            </w:r>
          </w:p>
          <w:p>
            <w:pPr>
              <w:pStyle w:val="TableParagraph"/>
              <w:spacing w:line="240" w:lineRule="auto" w:before="67"/>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通信平台</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949,000.00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251,000.01</w:t>
            </w:r>
          </w:p>
        </w:tc>
        <w:tc>
          <w:tcPr>
            <w:tcW w:w="98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897,999.99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61"/>
              <w:jc w:val="left"/>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715"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二六三</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ONET-G</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网平</w:t>
            </w:r>
            <w:r>
              <w:rPr>
                <w:rFonts w:ascii="宋体" w:hAnsi="宋体" w:cs="宋体" w:eastAsia="宋体" w:hint="default"/>
                <w:spacing w:val="-86"/>
                <w:sz w:val="18"/>
                <w:szCs w:val="18"/>
              </w:rPr>
              <w:t> </w:t>
            </w:r>
            <w:r>
              <w:rPr>
                <w:rFonts w:ascii="宋体" w:hAnsi="宋体" w:cs="宋体" w:eastAsia="宋体" w:hint="default"/>
                <w:sz w:val="18"/>
                <w:szCs w:val="18"/>
              </w:rPr>
              <w:t>台建设</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0"/>
                <w:sz w:val="18"/>
                <w:szCs w:val="18"/>
              </w:rPr>
              <w:t> </w:t>
            </w:r>
            <w:r>
              <w:rPr>
                <w:rFonts w:ascii="Times New Roman" w:hAnsi="Times New Roman" w:cs="Times New Roman" w:eastAsia="Times New Roman" w:hint="default"/>
                <w:spacing w:val="-5"/>
                <w:sz w:val="18"/>
                <w:szCs w:val="18"/>
              </w:rPr>
              <w:t>4)</w:t>
            </w:r>
            <w:r>
              <w:rPr>
                <w:rFonts w:ascii="Times New Roman" w:hAnsi="Times New Roman" w:cs="Times New Roman" w:eastAsia="Times New Roman"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800,000.00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800,000.00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1"/>
              <w:jc w:val="left"/>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bl>
    <w:p>
      <w:pPr>
        <w:pStyle w:val="BodyText"/>
        <w:spacing w:line="240" w:lineRule="auto" w:before="54"/>
        <w:ind w:left="234" w:right="7211"/>
        <w:jc w:val="left"/>
      </w:pPr>
      <w:r>
        <w:rPr/>
        <w:t>其他说明：</w:t>
      </w:r>
    </w:p>
    <w:p>
      <w:pPr>
        <w:pStyle w:val="BodyText"/>
        <w:spacing w:line="300" w:lineRule="auto" w:before="110"/>
        <w:ind w:left="234" w:right="862" w:firstLine="360"/>
        <w:jc w:val="both"/>
      </w:pPr>
      <w:r>
        <w:rPr>
          <w:spacing w:val="-1"/>
        </w:rPr>
        <w:t>注</w:t>
      </w:r>
      <w:r>
        <w:rPr>
          <w:rFonts w:ascii="Times New Roman" w:hAnsi="Times New Roman" w:cs="Times New Roman" w:eastAsia="Times New Roman" w:hint="default"/>
          <w:spacing w:val="-1"/>
        </w:rPr>
        <w:t>1</w:t>
      </w:r>
      <w:r>
        <w:rPr>
          <w:spacing w:val="-1"/>
        </w:rPr>
        <w:t>：根据北京市财政局关于下达</w:t>
      </w:r>
      <w:r>
        <w:rPr>
          <w:rFonts w:ascii="Times New Roman" w:hAnsi="Times New Roman" w:cs="Times New Roman" w:eastAsia="Times New Roman" w:hint="default"/>
          <w:spacing w:val="-1"/>
        </w:rPr>
        <w:t>2013</w:t>
      </w:r>
      <w:r>
        <w:rPr>
          <w:spacing w:val="-1"/>
        </w:rPr>
        <w:t>年中关村现代服务业试点项目财政补助资金预算的函，本集团</w:t>
      </w:r>
      <w:r>
        <w:rPr>
          <w:rFonts w:ascii="Times New Roman" w:hAnsi="Times New Roman" w:cs="Times New Roman" w:eastAsia="Times New Roman" w:hint="default"/>
          <w:spacing w:val="-1"/>
        </w:rPr>
        <w:t>2014</w:t>
      </w:r>
      <w:r>
        <w:rPr>
          <w:spacing w:val="-1"/>
        </w:rPr>
        <w:t>年收到人民币</w:t>
      </w:r>
      <w:r>
        <w:rPr>
          <w:rFonts w:ascii="Times New Roman" w:hAnsi="Times New Roman" w:cs="Times New Roman" w:eastAsia="Times New Roman" w:hint="default"/>
          <w:spacing w:val="-1"/>
        </w:rPr>
        <w:t>573</w:t>
      </w:r>
      <w:r>
        <w:rPr>
          <w:spacing w:val="-1"/>
        </w:rPr>
        <w:t>万</w:t>
      </w:r>
      <w:r>
        <w:rPr>
          <w:w w:val="101"/>
        </w:rPr>
        <w:t> </w:t>
      </w:r>
      <w:r>
        <w:rPr>
          <w:spacing w:val="-3"/>
        </w:rPr>
        <w:t>元拨款补助。该拨款专项用于</w:t>
      </w:r>
      <w:r>
        <w:rPr>
          <w:rFonts w:ascii="Times New Roman" w:hAnsi="Times New Roman" w:cs="Times New Roman" w:eastAsia="Times New Roman" w:hint="default"/>
          <w:spacing w:val="-3"/>
        </w:rPr>
        <w:t>“263</w:t>
      </w:r>
      <w:r>
        <w:rPr>
          <w:spacing w:val="-3"/>
        </w:rPr>
        <w:t>云通信</w:t>
      </w:r>
      <w:r>
        <w:rPr>
          <w:rFonts w:ascii="Times New Roman" w:hAnsi="Times New Roman" w:cs="Times New Roman" w:eastAsia="Times New Roman" w:hint="default"/>
          <w:spacing w:val="-3"/>
        </w:rPr>
        <w:t>”</w:t>
      </w:r>
      <w:r>
        <w:rPr>
          <w:spacing w:val="-3"/>
        </w:rPr>
        <w:t>企业通信云服务平台的建设与推广，项目已于</w:t>
      </w:r>
      <w:r>
        <w:rPr>
          <w:rFonts w:ascii="Times New Roman" w:hAnsi="Times New Roman" w:cs="Times New Roman" w:eastAsia="Times New Roman" w:hint="default"/>
          <w:spacing w:val="-3"/>
        </w:rPr>
        <w:t>2015</w:t>
      </w:r>
      <w:r>
        <w:rPr>
          <w:spacing w:val="-3"/>
        </w:rPr>
        <w:t>年完成验收，本集团按照所购买的资</w:t>
      </w:r>
      <w:r>
        <w:rPr>
          <w:spacing w:val="9"/>
        </w:rPr>
        <w:t> </w:t>
      </w:r>
      <w:r>
        <w:rPr>
          <w:spacing w:val="9"/>
        </w:rPr>
      </w:r>
      <w:r>
        <w:rPr>
          <w:spacing w:val="-3"/>
        </w:rPr>
        <w:t>产使用年限分期计入当期损益。</w:t>
      </w:r>
    </w:p>
    <w:p>
      <w:pPr>
        <w:spacing w:after="0" w:line="300" w:lineRule="auto"/>
        <w:jc w:val="both"/>
        <w:sectPr>
          <w:type w:val="continuous"/>
          <w:pgSz w:w="11910" w:h="16840"/>
          <w:pgMar w:top="1100" w:bottom="1220" w:left="640" w:right="0"/>
        </w:sectPr>
      </w:pPr>
    </w:p>
    <w:p>
      <w:pPr>
        <w:spacing w:line="20" w:lineRule="exact"/>
        <w:ind w:left="2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BodyText"/>
        <w:spacing w:line="300" w:lineRule="auto" w:before="60"/>
        <w:ind w:left="234" w:right="862" w:firstLine="360"/>
        <w:jc w:val="both"/>
      </w:pPr>
      <w:r>
        <w:rPr>
          <w:spacing w:val="-3"/>
        </w:rPr>
        <w:t>注</w:t>
      </w:r>
      <w:r>
        <w:rPr>
          <w:rFonts w:ascii="Times New Roman" w:hAnsi="Times New Roman" w:cs="Times New Roman" w:eastAsia="Times New Roman" w:hint="default"/>
          <w:spacing w:val="-3"/>
        </w:rPr>
        <w:t>2</w:t>
      </w:r>
      <w:r>
        <w:rPr>
          <w:spacing w:val="-3"/>
        </w:rPr>
        <w:t>：根据《关于下达</w:t>
      </w:r>
      <w:r>
        <w:rPr>
          <w:rFonts w:ascii="Times New Roman" w:hAnsi="Times New Roman" w:cs="Times New Roman" w:eastAsia="Times New Roman" w:hint="default"/>
          <w:spacing w:val="-3"/>
        </w:rPr>
        <w:t>2014</w:t>
      </w:r>
      <w:r>
        <w:rPr>
          <w:spacing w:val="-3"/>
        </w:rPr>
        <w:t>年第一批上海市服务业发展引导资金计划的通知》</w:t>
      </w:r>
      <w:r>
        <w:rPr>
          <w:rFonts w:ascii="Times New Roman" w:hAnsi="Times New Roman" w:cs="Times New Roman" w:eastAsia="Times New Roman" w:hint="default"/>
          <w:spacing w:val="-3"/>
        </w:rPr>
        <w:t>(</w:t>
      </w:r>
      <w:r>
        <w:rPr>
          <w:spacing w:val="-3"/>
        </w:rPr>
        <w:t>沪发改服务</w:t>
      </w:r>
      <w:r>
        <w:rPr>
          <w:rFonts w:ascii="Times New Roman" w:hAnsi="Times New Roman" w:cs="Times New Roman" w:eastAsia="Times New Roman" w:hint="default"/>
          <w:spacing w:val="-3"/>
        </w:rPr>
        <w:t>[2014]8</w:t>
      </w:r>
      <w:r>
        <w:rPr>
          <w:spacing w:val="-3"/>
        </w:rPr>
        <w:t>号</w:t>
      </w:r>
      <w:r>
        <w:rPr>
          <w:rFonts w:ascii="Times New Roman" w:hAnsi="Times New Roman" w:cs="Times New Roman" w:eastAsia="Times New Roman" w:hint="default"/>
          <w:spacing w:val="-3"/>
        </w:rPr>
        <w:t>)</w:t>
      </w:r>
      <w:r>
        <w:rPr>
          <w:spacing w:val="-3"/>
        </w:rPr>
        <w:t>，以及</w:t>
      </w:r>
      <w:r>
        <w:rPr>
          <w:rFonts w:ascii="Times New Roman" w:hAnsi="Times New Roman" w:cs="Times New Roman" w:eastAsia="Times New Roman" w:hint="default"/>
          <w:spacing w:val="-3"/>
        </w:rPr>
        <w:t>2014-09</w:t>
      </w:r>
      <w:r>
        <w:rPr>
          <w:spacing w:val="-3"/>
        </w:rPr>
        <w:t>《虹口区服</w:t>
      </w:r>
      <w:r>
        <w:rPr>
          <w:w w:val="101"/>
        </w:rPr>
        <w:t> </w:t>
      </w:r>
      <w:r>
        <w:rPr>
          <w:spacing w:val="-3"/>
        </w:rPr>
        <w:t>务业发展引导资金扶持项目协议书》的规定，上海市虹口区发展和改革委员会、上海市财政局分别拨付人民币</w:t>
      </w:r>
      <w:r>
        <w:rPr>
          <w:rFonts w:ascii="Times New Roman" w:hAnsi="Times New Roman" w:cs="Times New Roman" w:eastAsia="Times New Roman" w:hint="default"/>
          <w:spacing w:val="-3"/>
        </w:rPr>
        <w:t>200</w:t>
      </w:r>
      <w:r>
        <w:rPr>
          <w:spacing w:val="-3"/>
        </w:rPr>
        <w:t>万元用于上海通</w:t>
      </w:r>
      <w:r>
        <w:rPr>
          <w:spacing w:val="71"/>
        </w:rPr>
        <w:t> </w:t>
      </w:r>
      <w:r>
        <w:rPr>
          <w:spacing w:val="71"/>
        </w:rPr>
      </w:r>
      <w:r>
        <w:rPr>
          <w:spacing w:val="-4"/>
        </w:rPr>
        <w:t>信的</w:t>
      </w:r>
      <w:r>
        <w:rPr>
          <w:rFonts w:ascii="Times New Roman" w:hAnsi="Times New Roman" w:cs="Times New Roman" w:eastAsia="Times New Roman" w:hint="default"/>
          <w:spacing w:val="-4"/>
        </w:rPr>
        <w:t>“</w:t>
      </w:r>
      <w:r>
        <w:rPr>
          <w:spacing w:val="-4"/>
        </w:rPr>
        <w:t>移动数据虚拟专用网络服务平台</w:t>
      </w:r>
      <w:r>
        <w:rPr>
          <w:rFonts w:ascii="Times New Roman" w:hAnsi="Times New Roman" w:cs="Times New Roman" w:eastAsia="Times New Roman" w:hint="default"/>
          <w:spacing w:val="-4"/>
        </w:rPr>
        <w:t>”</w:t>
      </w:r>
      <w:r>
        <w:rPr>
          <w:spacing w:val="-4"/>
        </w:rPr>
        <w:t>项目的建设。上海通信分别于</w:t>
      </w:r>
      <w:r>
        <w:rPr>
          <w:rFonts w:ascii="Times New Roman" w:hAnsi="Times New Roman" w:cs="Times New Roman" w:eastAsia="Times New Roman" w:hint="default"/>
          <w:spacing w:val="-4"/>
        </w:rPr>
        <w:t>2014</w:t>
      </w:r>
      <w:r>
        <w:rPr>
          <w:spacing w:val="-4"/>
        </w:rPr>
        <w:t>年度、</w:t>
      </w:r>
      <w:r>
        <w:rPr>
          <w:rFonts w:ascii="Times New Roman" w:hAnsi="Times New Roman" w:cs="Times New Roman" w:eastAsia="Times New Roman" w:hint="default"/>
          <w:spacing w:val="-4"/>
        </w:rPr>
        <w:t>2015</w:t>
      </w:r>
      <w:r>
        <w:rPr>
          <w:spacing w:val="-4"/>
        </w:rPr>
        <w:t>年度收到该补助款，上海通信利用该补助款购</w:t>
      </w:r>
      <w:r>
        <w:rPr>
          <w:spacing w:val="70"/>
        </w:rPr>
        <w:t> </w:t>
      </w:r>
      <w:r>
        <w:rPr>
          <w:spacing w:val="70"/>
        </w:rPr>
      </w:r>
      <w:r>
        <w:rPr>
          <w:spacing w:val="-3"/>
        </w:rPr>
        <w:t>买相关设备，并按照所购买的资产使用年限分期计入当期损益。</w:t>
      </w:r>
    </w:p>
    <w:p>
      <w:pPr>
        <w:pStyle w:val="BodyText"/>
        <w:spacing w:line="300" w:lineRule="auto" w:before="75"/>
        <w:ind w:left="234" w:right="858" w:firstLine="360"/>
        <w:jc w:val="both"/>
      </w:pPr>
      <w:r>
        <w:rPr>
          <w:spacing w:val="-2"/>
        </w:rPr>
        <w:t>注</w:t>
      </w:r>
      <w:r>
        <w:rPr>
          <w:rFonts w:ascii="Times New Roman" w:hAnsi="Times New Roman" w:cs="Times New Roman" w:eastAsia="Times New Roman" w:hint="default"/>
          <w:spacing w:val="-2"/>
        </w:rPr>
        <w:t>3</w:t>
      </w:r>
      <w:r>
        <w:rPr>
          <w:spacing w:val="-2"/>
        </w:rPr>
        <w:t>：根据《上海张江国家自主创新示范区专项发展资金使用和管理办法》</w:t>
      </w:r>
      <w:r>
        <w:rPr>
          <w:rFonts w:ascii="Times New Roman" w:hAnsi="Times New Roman" w:cs="Times New Roman" w:eastAsia="Times New Roman" w:hint="default"/>
          <w:spacing w:val="-2"/>
        </w:rPr>
        <w:t>(</w:t>
      </w:r>
      <w:r>
        <w:rPr>
          <w:spacing w:val="-2"/>
        </w:rPr>
        <w:t>沪财预</w:t>
      </w:r>
      <w:r>
        <w:rPr>
          <w:rFonts w:ascii="Times New Roman" w:hAnsi="Times New Roman" w:cs="Times New Roman" w:eastAsia="Times New Roman" w:hint="default"/>
          <w:spacing w:val="-2"/>
        </w:rPr>
        <w:t>[2016]149</w:t>
      </w:r>
      <w:r>
        <w:rPr>
          <w:spacing w:val="-2"/>
        </w:rPr>
        <w:t>号</w:t>
      </w:r>
      <w:r>
        <w:rPr>
          <w:rFonts w:ascii="Times New Roman" w:hAnsi="Times New Roman" w:cs="Times New Roman" w:eastAsia="Times New Roman" w:hint="default"/>
          <w:spacing w:val="-2"/>
        </w:rPr>
        <w:t>)</w:t>
      </w:r>
      <w:r>
        <w:rPr>
          <w:spacing w:val="-2"/>
        </w:rPr>
        <w:t>、《上海张江国家自主创新示</w:t>
      </w:r>
      <w:r>
        <w:rPr>
          <w:w w:val="101"/>
        </w:rPr>
        <w:t> </w:t>
      </w:r>
      <w:r>
        <w:rPr>
          <w:spacing w:val="-2"/>
        </w:rPr>
        <w:t>范区专项发展资金项目经费管理实施办法》</w:t>
      </w:r>
      <w:r>
        <w:rPr>
          <w:rFonts w:ascii="Times New Roman" w:hAnsi="Times New Roman" w:cs="Times New Roman" w:eastAsia="Times New Roman" w:hint="default"/>
          <w:spacing w:val="-2"/>
        </w:rPr>
        <w:t>(</w:t>
      </w:r>
      <w:r>
        <w:rPr>
          <w:spacing w:val="-2"/>
        </w:rPr>
        <w:t>沪张江高新管委</w:t>
      </w:r>
      <w:r>
        <w:rPr>
          <w:rFonts w:ascii="Times New Roman" w:hAnsi="Times New Roman" w:cs="Times New Roman" w:eastAsia="Times New Roman" w:hint="default"/>
          <w:spacing w:val="-2"/>
        </w:rPr>
        <w:t>[2016]86</w:t>
      </w:r>
      <w:r>
        <w:rPr>
          <w:spacing w:val="-2"/>
        </w:rPr>
        <w:t>号</w:t>
      </w:r>
      <w:r>
        <w:rPr>
          <w:rFonts w:ascii="Times New Roman" w:hAnsi="Times New Roman" w:cs="Times New Roman" w:eastAsia="Times New Roman" w:hint="default"/>
          <w:spacing w:val="-2"/>
        </w:rPr>
        <w:t>)</w:t>
      </w:r>
      <w:r>
        <w:rPr>
          <w:spacing w:val="-2"/>
        </w:rPr>
        <w:t>和《关于下达张江国家自主创新示范区专项发展资金</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3"/>
        </w:rPr>
        <w:t> </w:t>
      </w:r>
      <w:r>
        <w:rPr>
          <w:spacing w:val="-3"/>
        </w:rPr>
        <w:t>年度重点项目</w:t>
      </w:r>
      <w:r>
        <w:rPr>
          <w:rFonts w:ascii="Times New Roman" w:hAnsi="Times New Roman" w:cs="Times New Roman" w:eastAsia="Times New Roman" w:hint="default"/>
          <w:spacing w:val="-3"/>
        </w:rPr>
        <w:t>(</w:t>
      </w:r>
      <w:r>
        <w:rPr>
          <w:spacing w:val="-3"/>
        </w:rPr>
        <w:t>虹口园</w:t>
      </w:r>
      <w:r>
        <w:rPr>
          <w:rFonts w:ascii="Times New Roman" w:hAnsi="Times New Roman" w:cs="Times New Roman" w:eastAsia="Times New Roman" w:hint="default"/>
          <w:spacing w:val="-3"/>
        </w:rPr>
        <w:t>)</w:t>
      </w:r>
      <w:r>
        <w:rPr>
          <w:spacing w:val="-3"/>
        </w:rPr>
        <w:t>资助经费的通知》</w:t>
      </w:r>
      <w:r>
        <w:rPr>
          <w:rFonts w:ascii="Times New Roman" w:hAnsi="Times New Roman" w:cs="Times New Roman" w:eastAsia="Times New Roman" w:hint="default"/>
          <w:spacing w:val="-3"/>
        </w:rPr>
        <w:t>(</w:t>
      </w:r>
      <w:r>
        <w:rPr>
          <w:spacing w:val="-3"/>
        </w:rPr>
        <w:t>沪张江高新管委</w:t>
      </w:r>
      <w:r>
        <w:rPr>
          <w:rFonts w:ascii="Times New Roman" w:hAnsi="Times New Roman" w:cs="Times New Roman" w:eastAsia="Times New Roman" w:hint="default"/>
          <w:spacing w:val="-3"/>
        </w:rPr>
        <w:t>[2018]74</w:t>
      </w:r>
      <w:r>
        <w:rPr>
          <w:spacing w:val="-3"/>
        </w:rPr>
        <w:t>号</w:t>
      </w:r>
      <w:r>
        <w:rPr>
          <w:rFonts w:ascii="Times New Roman" w:hAnsi="Times New Roman" w:cs="Times New Roman" w:eastAsia="Times New Roman" w:hint="default"/>
          <w:spacing w:val="-3"/>
        </w:rPr>
        <w:t>)</w:t>
      </w:r>
      <w:r>
        <w:rPr>
          <w:spacing w:val="-3"/>
        </w:rPr>
        <w:t>的规定，上海市虹口区科学技术委员会拨付人民币</w:t>
      </w:r>
      <w:r>
        <w:rPr>
          <w:rFonts w:ascii="Times New Roman" w:hAnsi="Times New Roman" w:cs="Times New Roman" w:eastAsia="Times New Roman" w:hint="default"/>
          <w:spacing w:val="-3"/>
        </w:rPr>
        <w:t>200</w:t>
      </w:r>
      <w:r>
        <w:rPr>
          <w:spacing w:val="-3"/>
        </w:rPr>
        <w:t>万元用</w:t>
      </w:r>
      <w:r>
        <w:rPr/>
        <w:t> </w:t>
      </w:r>
      <w:r>
        <w:rPr/>
      </w:r>
      <w:r>
        <w:rPr>
          <w:spacing w:val="-4"/>
        </w:rPr>
        <w:t>于上海通信的</w:t>
      </w:r>
      <w:r>
        <w:rPr>
          <w:rFonts w:ascii="Times New Roman" w:hAnsi="Times New Roman" w:cs="Times New Roman" w:eastAsia="Times New Roman" w:hint="default"/>
          <w:spacing w:val="-4"/>
        </w:rPr>
        <w:t>“263</w:t>
      </w:r>
      <w:r>
        <w:rPr>
          <w:spacing w:val="-4"/>
        </w:rPr>
        <w:t>企业号云呼智能通信平台</w:t>
      </w:r>
      <w:r>
        <w:rPr>
          <w:rFonts w:ascii="Times New Roman" w:hAnsi="Times New Roman" w:cs="Times New Roman" w:eastAsia="Times New Roman" w:hint="default"/>
          <w:spacing w:val="-4"/>
        </w:rPr>
        <w:t>”</w:t>
      </w:r>
      <w:r>
        <w:rPr>
          <w:spacing w:val="-4"/>
        </w:rPr>
        <w:t>项目的建设。上海通信于</w:t>
      </w:r>
      <w:r>
        <w:rPr>
          <w:rFonts w:ascii="Times New Roman" w:hAnsi="Times New Roman" w:cs="Times New Roman" w:eastAsia="Times New Roman" w:hint="default"/>
          <w:spacing w:val="-4"/>
        </w:rPr>
        <w:t>2018</w:t>
      </w:r>
      <w:r>
        <w:rPr>
          <w:spacing w:val="-4"/>
        </w:rPr>
        <w:t>年度收到人民币</w:t>
      </w:r>
      <w:r>
        <w:rPr>
          <w:rFonts w:ascii="Times New Roman" w:hAnsi="Times New Roman" w:cs="Times New Roman" w:eastAsia="Times New Roman" w:hint="default"/>
          <w:spacing w:val="-4"/>
        </w:rPr>
        <w:t>120</w:t>
      </w:r>
      <w:r>
        <w:rPr>
          <w:spacing w:val="-4"/>
        </w:rPr>
        <w:t>万元用于设备的购买，并按照所购买</w:t>
      </w:r>
      <w:r>
        <w:rPr>
          <w:spacing w:val="79"/>
        </w:rPr>
        <w:t> </w:t>
      </w:r>
      <w:r>
        <w:rPr>
          <w:spacing w:val="79"/>
        </w:rPr>
      </w:r>
      <w:r>
        <w:rPr>
          <w:spacing w:val="-3"/>
        </w:rPr>
        <w:t>的资产使用年限分期计入当期损益。</w:t>
      </w:r>
    </w:p>
    <w:p>
      <w:pPr>
        <w:spacing w:line="240" w:lineRule="auto" w:before="11"/>
        <w:rPr>
          <w:rFonts w:ascii="宋体" w:hAnsi="宋体" w:cs="宋体" w:eastAsia="宋体" w:hint="default"/>
          <w:sz w:val="22"/>
          <w:szCs w:val="22"/>
        </w:rPr>
      </w:pPr>
    </w:p>
    <w:p>
      <w:pPr>
        <w:pStyle w:val="Heading4"/>
        <w:spacing w:line="240" w:lineRule="auto"/>
        <w:ind w:left="234" w:right="7211"/>
        <w:jc w:val="left"/>
        <w:rPr>
          <w:b w:val="0"/>
          <w:bCs w:val="0"/>
        </w:rPr>
      </w:pPr>
      <w:bookmarkStart w:name="26、股本" w:id="308"/>
      <w:bookmarkEnd w:id="308"/>
      <w:r>
        <w:rPr>
          <w:b w:val="0"/>
          <w:bCs w:val="0"/>
        </w:rPr>
      </w:r>
      <w:r>
        <w:rPr>
          <w:rFonts w:ascii="Times New Roman" w:hAnsi="Times New Roman" w:cs="Times New Roman" w:eastAsia="Times New Roman" w:hint="default"/>
        </w:rPr>
        <w:t>26</w:t>
      </w:r>
      <w:r>
        <w:rPr/>
        <w:t>、股本</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858"/>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114"/>
        <w:gridCol w:w="1590"/>
        <w:gridCol w:w="1378"/>
        <w:gridCol w:w="682"/>
        <w:gridCol w:w="1594"/>
        <w:gridCol w:w="682"/>
        <w:gridCol w:w="1589"/>
        <w:gridCol w:w="1753"/>
      </w:tblGrid>
      <w:tr>
        <w:trPr>
          <w:trHeight w:val="398" w:hRule="exact"/>
        </w:trPr>
        <w:tc>
          <w:tcPr>
            <w:tcW w:w="1114" w:type="dxa"/>
            <w:vMerge w:val="restart"/>
            <w:tcBorders>
              <w:top w:val="single" w:sz="4" w:space="0" w:color="000000"/>
              <w:left w:val="single" w:sz="4" w:space="0" w:color="000000"/>
              <w:right w:val="single" w:sz="4" w:space="0" w:color="000000"/>
            </w:tcBorders>
            <w:shd w:val="clear" w:color="auto" w:fill="D2D2D2"/>
          </w:tcPr>
          <w:p>
            <w:pP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2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1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114"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75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0" w:right="0"/>
              <w:jc w:val="left"/>
              <w:rPr>
                <w:rFonts w:ascii="Times New Roman" w:hAnsi="Times New Roman" w:cs="Times New Roman" w:eastAsia="Times New Roman" w:hint="default"/>
                <w:sz w:val="18"/>
                <w:szCs w:val="18"/>
              </w:rPr>
            </w:pPr>
            <w:r>
              <w:rPr>
                <w:rFonts w:ascii="Times New Roman"/>
                <w:sz w:val="18"/>
              </w:rPr>
              <w:t>794,980,220.00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1" w:right="0"/>
              <w:jc w:val="left"/>
              <w:rPr>
                <w:rFonts w:ascii="Times New Roman" w:hAnsi="Times New Roman" w:cs="Times New Roman" w:eastAsia="Times New Roman" w:hint="default"/>
                <w:sz w:val="18"/>
                <w:szCs w:val="18"/>
              </w:rPr>
            </w:pPr>
            <w:r>
              <w:rPr>
                <w:rFonts w:ascii="Times New Roman"/>
                <w:sz w:val="18"/>
              </w:rPr>
              <w:t>1,710,282.00</w:t>
            </w:r>
          </w:p>
        </w:tc>
        <w:tc>
          <w:tcPr>
            <w:tcW w:w="68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5" w:right="0"/>
              <w:jc w:val="left"/>
              <w:rPr>
                <w:rFonts w:ascii="Times New Roman" w:hAnsi="Times New Roman" w:cs="Times New Roman" w:eastAsia="Times New Roman" w:hint="default"/>
                <w:sz w:val="18"/>
                <w:szCs w:val="18"/>
              </w:rPr>
            </w:pPr>
            <w:r>
              <w:rPr>
                <w:rFonts w:ascii="Times New Roman"/>
                <w:sz w:val="18"/>
              </w:rPr>
              <w:t>557,192,451.00</w:t>
            </w:r>
          </w:p>
        </w:tc>
        <w:tc>
          <w:tcPr>
            <w:tcW w:w="68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0" w:right="0"/>
              <w:jc w:val="left"/>
              <w:rPr>
                <w:rFonts w:ascii="Times New Roman" w:hAnsi="Times New Roman" w:cs="Times New Roman" w:eastAsia="Times New Roman" w:hint="default"/>
                <w:sz w:val="18"/>
                <w:szCs w:val="18"/>
              </w:rPr>
            </w:pPr>
            <w:r>
              <w:rPr>
                <w:rFonts w:ascii="Times New Roman"/>
                <w:sz w:val="18"/>
              </w:rPr>
              <w:t>558,902,733.00</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4" w:right="0"/>
              <w:jc w:val="left"/>
              <w:rPr>
                <w:rFonts w:ascii="Times New Roman" w:hAnsi="Times New Roman" w:cs="Times New Roman" w:eastAsia="Times New Roman" w:hint="default"/>
                <w:sz w:val="18"/>
                <w:szCs w:val="18"/>
              </w:rPr>
            </w:pPr>
            <w:r>
              <w:rPr>
                <w:rFonts w:ascii="Times New Roman"/>
                <w:sz w:val="18"/>
              </w:rPr>
              <w:t>1,353,882,953.00</w:t>
            </w:r>
          </w:p>
        </w:tc>
      </w:tr>
    </w:tbl>
    <w:p>
      <w:pPr>
        <w:pStyle w:val="BodyText"/>
        <w:spacing w:line="240" w:lineRule="auto" w:before="53"/>
        <w:ind w:left="234" w:right="7211"/>
        <w:jc w:val="left"/>
      </w:pPr>
      <w:r>
        <w:rPr/>
        <w:t>其他说明：</w:t>
      </w:r>
    </w:p>
    <w:p>
      <w:pPr>
        <w:pStyle w:val="BodyText"/>
        <w:spacing w:line="240" w:lineRule="auto" w:before="115"/>
        <w:ind w:left="234" w:right="7211"/>
        <w:jc w:val="left"/>
      </w:pPr>
      <w:r>
        <w:rPr/>
        <w:t>详见</w:t>
      </w:r>
      <w:r>
        <w:rPr>
          <w:spacing w:val="5"/>
        </w:rPr>
        <w:t> </w:t>
      </w:r>
      <w:r>
        <w:rPr/>
        <w:t>三、公司基本情况</w:t>
      </w:r>
    </w:p>
    <w:p>
      <w:pPr>
        <w:spacing w:line="240" w:lineRule="auto" w:before="0"/>
        <w:rPr>
          <w:rFonts w:ascii="宋体" w:hAnsi="宋体" w:cs="宋体" w:eastAsia="宋体" w:hint="default"/>
          <w:sz w:val="18"/>
          <w:szCs w:val="18"/>
        </w:rPr>
      </w:pPr>
    </w:p>
    <w:p>
      <w:pPr>
        <w:pStyle w:val="Heading4"/>
        <w:spacing w:line="240" w:lineRule="auto" w:before="118"/>
        <w:ind w:left="234" w:right="7211"/>
        <w:jc w:val="left"/>
        <w:rPr>
          <w:b w:val="0"/>
          <w:bCs w:val="0"/>
        </w:rPr>
      </w:pPr>
      <w:bookmarkStart w:name="27、资本公积" w:id="309"/>
      <w:bookmarkEnd w:id="309"/>
      <w:r>
        <w:rPr>
          <w:b w:val="0"/>
          <w:bCs w:val="0"/>
        </w:rPr>
      </w:r>
      <w:r>
        <w:rPr>
          <w:rFonts w:ascii="Times New Roman" w:hAnsi="Times New Roman" w:cs="Times New Roman" w:eastAsia="Times New Roman" w:hint="default"/>
        </w:rPr>
        <w:t>27</w:t>
      </w:r>
      <w:r>
        <w:rPr/>
        <w:t>、资本公积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4"/>
                <w:sz w:val="18"/>
                <w:szCs w:val="18"/>
              </w:rPr>
              <w:t>资本溢价（股本溢价）</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826,953,789.55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26,905,067.20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557,192,451.00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296,666,405.75</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23,587,852.98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9,924,300.00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17,784,426.84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15,727,726.14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850,541,642.53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36,829,367.20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574,976,877.84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312,394,131.89</w:t>
            </w:r>
          </w:p>
        </w:tc>
      </w:tr>
    </w:tbl>
    <w:p>
      <w:pPr>
        <w:pStyle w:val="BodyText"/>
        <w:spacing w:line="357" w:lineRule="auto" w:before="53"/>
        <w:ind w:left="594" w:right="714" w:hanging="360"/>
        <w:jc w:val="left"/>
      </w:pPr>
      <w:r>
        <w:rPr>
          <w:spacing w:val="-3"/>
        </w:rPr>
        <w:t>其他说明，包括本期增减变动情况、变动原因说明：</w:t>
      </w:r>
      <w:r>
        <w:rPr>
          <w:spacing w:val="-21"/>
        </w:rPr>
        <w:t> </w:t>
      </w:r>
      <w:r>
        <w:rPr>
          <w:spacing w:val="-21"/>
        </w:rPr>
      </w:r>
      <w:r>
        <w:rPr>
          <w:spacing w:val="-4"/>
        </w:rPr>
        <w:t>注</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(1)</w:t>
      </w:r>
      <w:r>
        <w:rPr>
          <w:spacing w:val="-4"/>
        </w:rPr>
        <w:t>股本溢价本年增加系公司股票期权行权溢价人民币</w:t>
      </w:r>
      <w:r>
        <w:rPr>
          <w:rFonts w:ascii="Times New Roman" w:hAnsi="Times New Roman" w:cs="Times New Roman" w:eastAsia="Times New Roman" w:hint="default"/>
          <w:spacing w:val="-4"/>
        </w:rPr>
        <w:t>9,120,640.36</w:t>
      </w:r>
      <w:r>
        <w:rPr>
          <w:spacing w:val="-4"/>
        </w:rPr>
        <w:t>元及限制性股票解锁、股票期权行权对应股份支付费用</w:t>
      </w:r>
    </w:p>
    <w:p>
      <w:pPr>
        <w:pStyle w:val="BodyText"/>
        <w:spacing w:line="215" w:lineRule="exact"/>
        <w:ind w:left="234" w:right="714"/>
        <w:jc w:val="left"/>
      </w:pPr>
      <w:r>
        <w:rPr>
          <w:spacing w:val="-3"/>
        </w:rPr>
        <w:t>由其他资本公积结转至股本溢价人民币</w:t>
      </w:r>
      <w:r>
        <w:rPr>
          <w:rFonts w:ascii="Times New Roman" w:hAnsi="Times New Roman" w:cs="Times New Roman" w:eastAsia="Times New Roman" w:hint="default"/>
          <w:spacing w:val="-3"/>
        </w:rPr>
        <w:t>17,784,426.84</w:t>
      </w:r>
      <w:r>
        <w:rPr>
          <w:spacing w:val="-3"/>
        </w:rPr>
        <w:t>元，详见附注十三。</w:t>
      </w:r>
    </w:p>
    <w:p>
      <w:pPr>
        <w:pStyle w:val="BodyText"/>
        <w:spacing w:line="300" w:lineRule="auto" w:before="63"/>
        <w:ind w:left="594" w:right="714" w:firstLine="451"/>
        <w:jc w:val="left"/>
      </w:pPr>
      <w:r>
        <w:rPr>
          <w:rFonts w:ascii="Times New Roman" w:hAnsi="Times New Roman" w:cs="Times New Roman" w:eastAsia="Times New Roman" w:hint="default"/>
          <w:spacing w:val="-3"/>
        </w:rPr>
        <w:t>(2)</w:t>
      </w:r>
      <w:r>
        <w:rPr>
          <w:spacing w:val="-3"/>
        </w:rPr>
        <w:t>股本溢价减少系公司按</w:t>
      </w:r>
      <w:r>
        <w:rPr>
          <w:rFonts w:ascii="Times New Roman" w:hAnsi="Times New Roman" w:cs="Times New Roman" w:eastAsia="Times New Roman" w:hint="default"/>
          <w:spacing w:val="-3"/>
        </w:rPr>
        <w:t>2018</w:t>
      </w:r>
      <w:r>
        <w:rPr>
          <w:spacing w:val="-3"/>
        </w:rPr>
        <w:t>年权益分配方案，资本公积转增股本。</w:t>
      </w:r>
      <w:r>
        <w:rPr>
          <w:w w:val="101"/>
        </w:rPr>
        <w:t> </w:t>
      </w:r>
      <w:r>
        <w:rPr>
          <w:spacing w:val="-3"/>
        </w:rPr>
        <w:t>注</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(1)</w:t>
      </w:r>
      <w:r>
        <w:rPr>
          <w:spacing w:val="-3"/>
        </w:rPr>
        <w:t>其他资本公积增加系公司本年度依据预计可行权权益工具的数量确认的股份支付费用人民币</w:t>
      </w:r>
      <w:r>
        <w:rPr>
          <w:rFonts w:ascii="Times New Roman" w:hAnsi="Times New Roman" w:cs="Times New Roman" w:eastAsia="Times New Roman" w:hint="default"/>
          <w:spacing w:val="-3"/>
        </w:rPr>
        <w:t>9,924,300.00</w:t>
      </w:r>
      <w:r>
        <w:rPr>
          <w:spacing w:val="-3"/>
        </w:rPr>
        <w:t>元。</w:t>
      </w:r>
      <w:r>
        <w:rPr/>
      </w:r>
    </w:p>
    <w:p>
      <w:pPr>
        <w:pStyle w:val="BodyText"/>
        <w:spacing w:line="240" w:lineRule="auto" w:before="13"/>
        <w:ind w:left="1045" w:right="714"/>
        <w:jc w:val="left"/>
      </w:pPr>
      <w:r>
        <w:rPr>
          <w:rFonts w:ascii="Times New Roman" w:hAnsi="Times New Roman" w:cs="Times New Roman" w:eastAsia="Times New Roman" w:hint="default"/>
          <w:spacing w:val="-3"/>
        </w:rPr>
        <w:t>(2)</w:t>
      </w:r>
      <w:r>
        <w:rPr>
          <w:spacing w:val="-3"/>
        </w:rPr>
        <w:t>其他资本公积减少系公司限制性股票解锁、股票期权行权对应股份支付费用由其他资本公积结转至股本溢价。</w:t>
      </w:r>
    </w:p>
    <w:p>
      <w:pPr>
        <w:spacing w:line="240" w:lineRule="auto" w:before="13"/>
        <w:rPr>
          <w:rFonts w:ascii="宋体" w:hAnsi="宋体" w:cs="宋体" w:eastAsia="宋体" w:hint="default"/>
          <w:sz w:val="25"/>
          <w:szCs w:val="25"/>
        </w:rPr>
      </w:pPr>
    </w:p>
    <w:p>
      <w:pPr>
        <w:pStyle w:val="Heading4"/>
        <w:spacing w:line="240" w:lineRule="auto"/>
        <w:ind w:left="234" w:right="7211"/>
        <w:jc w:val="left"/>
        <w:rPr>
          <w:b w:val="0"/>
          <w:bCs w:val="0"/>
        </w:rPr>
      </w:pPr>
      <w:bookmarkStart w:name="28、库存股" w:id="310"/>
      <w:bookmarkEnd w:id="310"/>
      <w:r>
        <w:rPr>
          <w:b w:val="0"/>
          <w:bCs w:val="0"/>
        </w:rPr>
      </w:r>
      <w:r>
        <w:rPr>
          <w:rFonts w:ascii="Times New Roman" w:hAnsi="Times New Roman" w:cs="Times New Roman" w:eastAsia="Times New Roman" w:hint="default"/>
        </w:rPr>
        <w:t>28</w:t>
      </w:r>
      <w:r>
        <w:rPr/>
        <w:t>、库存股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175"/>
              <w:jc w:val="left"/>
              <w:rPr>
                <w:rFonts w:ascii="宋体" w:hAnsi="宋体" w:cs="宋体" w:eastAsia="宋体" w:hint="default"/>
                <w:sz w:val="18"/>
                <w:szCs w:val="18"/>
              </w:rPr>
            </w:pPr>
            <w:r>
              <w:rPr>
                <w:rFonts w:ascii="宋体" w:hAnsi="宋体" w:cs="宋体" w:eastAsia="宋体" w:hint="default"/>
                <w:spacing w:val="-3"/>
                <w:sz w:val="18"/>
                <w:szCs w:val="18"/>
              </w:rPr>
              <w:t>与限制性股票回购义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务相关的库存股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35,340,000.00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8,930,000.00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26,410,000.00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35,340,000.00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8,930,000.00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26,410,000.00</w:t>
            </w:r>
          </w:p>
        </w:tc>
      </w:tr>
    </w:tbl>
    <w:p>
      <w:pPr>
        <w:pStyle w:val="BodyText"/>
        <w:spacing w:line="357" w:lineRule="auto" w:before="53"/>
        <w:ind w:left="594" w:right="714" w:hanging="360"/>
        <w:jc w:val="left"/>
      </w:pPr>
      <w:r>
        <w:rPr>
          <w:spacing w:val="-3"/>
        </w:rPr>
        <w:t>其他说明，包括本期增减变动情况、变动原因说明：</w:t>
      </w:r>
      <w:r>
        <w:rPr>
          <w:spacing w:val="-21"/>
        </w:rPr>
        <w:t> </w:t>
      </w:r>
      <w:r>
        <w:rPr>
          <w:spacing w:val="-21"/>
        </w:rPr>
      </w:r>
      <w:r>
        <w:rPr>
          <w:spacing w:val="-3"/>
        </w:rPr>
        <w:t>注：库存股本年减少系</w:t>
      </w:r>
      <w:r>
        <w:rPr>
          <w:rFonts w:ascii="Times New Roman" w:hAnsi="Times New Roman" w:cs="Times New Roman" w:eastAsia="Times New Roman" w:hint="default"/>
          <w:spacing w:val="-3"/>
        </w:rPr>
        <w:t>2017</w:t>
      </w:r>
      <w:r>
        <w:rPr>
          <w:spacing w:val="-3"/>
        </w:rPr>
        <w:t>年度股权激励第一个解除限售期解除</w:t>
      </w:r>
      <w:r>
        <w:rPr>
          <w:rFonts w:ascii="Times New Roman" w:hAnsi="Times New Roman" w:cs="Times New Roman" w:eastAsia="Times New Roman" w:hint="default"/>
          <w:spacing w:val="-3"/>
        </w:rPr>
        <w:t>3,230,000</w:t>
      </w:r>
      <w:r>
        <w:rPr>
          <w:spacing w:val="-3"/>
        </w:rPr>
        <w:t>股限制性股票所致。截至本年末，</w:t>
      </w:r>
      <w:r>
        <w:rPr>
          <w:rFonts w:ascii="Times New Roman" w:hAnsi="Times New Roman" w:cs="Times New Roman" w:eastAsia="Times New Roman" w:hint="default"/>
          <w:spacing w:val="-3"/>
        </w:rPr>
        <w:t>2017</w:t>
      </w:r>
      <w:r>
        <w:rPr>
          <w:spacing w:val="-3"/>
        </w:rPr>
        <w:t>年度股权激</w:t>
      </w:r>
    </w:p>
    <w:p>
      <w:pPr>
        <w:spacing w:after="0" w:line="357" w:lineRule="auto"/>
        <w:jc w:val="left"/>
        <w:sectPr>
          <w:pgSz w:w="11910" w:h="16840"/>
          <w:pgMar w:header="0" w:footer="1022" w:top="1100" w:bottom="1220" w:left="640" w:right="0"/>
        </w:sectPr>
      </w:pPr>
    </w:p>
    <w:p>
      <w:pPr>
        <w:pStyle w:val="BodyText"/>
        <w:spacing w:line="240" w:lineRule="auto" w:before="80"/>
        <w:ind w:left="234" w:right="714"/>
        <w:jc w:val="left"/>
      </w:pPr>
      <w:r>
        <w:rPr/>
        <w:t>励尚有</w:t>
      </w:r>
      <w:r>
        <w:rPr>
          <w:rFonts w:ascii="Times New Roman" w:hAnsi="Times New Roman" w:cs="Times New Roman" w:eastAsia="Times New Roman" w:hint="default"/>
        </w:rPr>
        <w:t>3,230,000</w:t>
      </w:r>
      <w:r>
        <w:rPr/>
        <w:t>股未回购及解锁，</w:t>
      </w:r>
      <w:r>
        <w:rPr>
          <w:rFonts w:ascii="Times New Roman" w:hAnsi="Times New Roman" w:cs="Times New Roman" w:eastAsia="Times New Roman" w:hint="default"/>
        </w:rPr>
        <w:t>2018</w:t>
      </w:r>
      <w:r>
        <w:rPr/>
        <w:t>年度股权激励尚有</w:t>
      </w:r>
      <w:r>
        <w:rPr>
          <w:rFonts w:ascii="Times New Roman" w:hAnsi="Times New Roman" w:cs="Times New Roman" w:eastAsia="Times New Roman" w:hint="default"/>
        </w:rPr>
        <w:t>12,920,000</w:t>
      </w:r>
      <w:r>
        <w:rPr/>
        <w:t>股未回购及解锁，详见附注十三。</w:t>
      </w:r>
    </w:p>
    <w:p>
      <w:pPr>
        <w:spacing w:line="240" w:lineRule="auto" w:before="13"/>
        <w:rPr>
          <w:rFonts w:ascii="宋体" w:hAnsi="宋体" w:cs="宋体" w:eastAsia="宋体" w:hint="default"/>
          <w:sz w:val="25"/>
          <w:szCs w:val="25"/>
        </w:rPr>
      </w:pPr>
    </w:p>
    <w:p>
      <w:pPr>
        <w:pStyle w:val="Heading4"/>
        <w:spacing w:line="240" w:lineRule="auto"/>
        <w:ind w:left="234" w:right="7211"/>
        <w:jc w:val="left"/>
        <w:rPr>
          <w:b w:val="0"/>
          <w:bCs w:val="0"/>
        </w:rPr>
      </w:pPr>
      <w:bookmarkStart w:name="29、其他综合收益" w:id="311"/>
      <w:bookmarkEnd w:id="311"/>
      <w:r>
        <w:rPr>
          <w:b w:val="0"/>
          <w:bCs w:val="0"/>
        </w:rPr>
      </w:r>
      <w:r>
        <w:rPr>
          <w:rFonts w:ascii="Times New Roman" w:hAnsi="Times New Roman" w:cs="Times New Roman" w:eastAsia="Times New Roman" w:hint="default"/>
        </w:rPr>
        <w:t>29</w:t>
      </w:r>
      <w:r>
        <w:rPr/>
        <w:t>、其他综合收益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056"/>
        <w:gridCol w:w="1249"/>
        <w:gridCol w:w="1407"/>
        <w:gridCol w:w="1085"/>
        <w:gridCol w:w="1148"/>
        <w:gridCol w:w="1104"/>
        <w:gridCol w:w="1373"/>
        <w:gridCol w:w="648"/>
        <w:gridCol w:w="1311"/>
      </w:tblGrid>
      <w:tr>
        <w:trPr>
          <w:trHeight w:val="398" w:hRule="exact"/>
        </w:trPr>
        <w:tc>
          <w:tcPr>
            <w:tcW w:w="10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7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3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56" w:hRule="exact"/>
        </w:trPr>
        <w:tc>
          <w:tcPr>
            <w:tcW w:w="1056" w:type="dxa"/>
            <w:vMerge/>
            <w:tcBorders>
              <w:left w:val="single" w:sz="4" w:space="0" w:color="000000"/>
              <w:bottom w:val="single" w:sz="4" w:space="0" w:color="000000"/>
              <w:right w:val="single" w:sz="4" w:space="0" w:color="000000"/>
            </w:tcBorders>
            <w:shd w:val="clear" w:color="auto" w:fill="D2D2D2"/>
          </w:tcPr>
          <w:p>
            <w:pPr/>
          </w:p>
        </w:tc>
        <w:tc>
          <w:tcPr>
            <w:tcW w:w="1249" w:type="dxa"/>
            <w:vMerge/>
            <w:tcBorders>
              <w:left w:val="single" w:sz="4" w:space="0" w:color="000000"/>
              <w:bottom w:val="single" w:sz="4" w:space="0" w:color="000000"/>
              <w:right w:val="single" w:sz="4" w:space="0" w:color="000000"/>
            </w:tcBorders>
            <w:shd w:val="clear" w:color="auto" w:fill="D2D2D2"/>
          </w:tcPr>
          <w:p>
            <w:pP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19" w:lineRule="auto"/>
              <w:ind w:left="427" w:right="152" w:hanging="269"/>
              <w:jc w:val="left"/>
              <w:rPr>
                <w:rFonts w:ascii="宋体" w:hAnsi="宋体" w:cs="宋体" w:eastAsia="宋体" w:hint="default"/>
                <w:sz w:val="18"/>
                <w:szCs w:val="18"/>
              </w:rPr>
            </w:pPr>
            <w:r>
              <w:rPr>
                <w:rFonts w:ascii="宋体" w:hAnsi="宋体" w:cs="宋体" w:eastAsia="宋体" w:hint="default"/>
                <w:spacing w:val="-2"/>
                <w:sz w:val="18"/>
                <w:szCs w:val="18"/>
              </w:rPr>
              <w:t>本期所得税前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发生额</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00" w:right="98"/>
              <w:jc w:val="center"/>
              <w:rPr>
                <w:rFonts w:ascii="宋体" w:hAnsi="宋体" w:cs="宋体" w:eastAsia="宋体" w:hint="default"/>
                <w:sz w:val="18"/>
                <w:szCs w:val="18"/>
              </w:rPr>
            </w:pPr>
            <w:r>
              <w:rPr>
                <w:rFonts w:ascii="宋体" w:hAnsi="宋体" w:cs="宋体" w:eastAsia="宋体" w:hint="default"/>
                <w:spacing w:val="-8"/>
                <w:sz w:val="18"/>
                <w:szCs w:val="18"/>
              </w:rPr>
              <w:t>减：前期计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入其他综</w:t>
            </w:r>
            <w:r>
              <w:rPr>
                <w:rFonts w:ascii="宋体" w:hAnsi="宋体" w:cs="宋体" w:eastAsia="宋体" w:hint="default"/>
                <w:w w:val="101"/>
                <w:sz w:val="18"/>
                <w:szCs w:val="18"/>
              </w:rPr>
              <w:t> </w:t>
            </w:r>
            <w:r>
              <w:rPr>
                <w:rFonts w:ascii="宋体" w:hAnsi="宋体" w:cs="宋体" w:eastAsia="宋体" w:hint="default"/>
                <w:sz w:val="18"/>
                <w:szCs w:val="18"/>
              </w:rPr>
              <w:t>合收益当</w:t>
            </w:r>
            <w:r>
              <w:rPr>
                <w:rFonts w:ascii="宋体" w:hAnsi="宋体" w:cs="宋体" w:eastAsia="宋体" w:hint="default"/>
                <w:w w:val="101"/>
                <w:sz w:val="18"/>
                <w:szCs w:val="18"/>
              </w:rPr>
              <w:t> </w:t>
            </w:r>
            <w:r>
              <w:rPr>
                <w:rFonts w:ascii="宋体" w:hAnsi="宋体" w:cs="宋体" w:eastAsia="宋体" w:hint="default"/>
                <w:sz w:val="18"/>
                <w:szCs w:val="18"/>
              </w:rPr>
              <w:t>期转入损</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115" w:right="117"/>
              <w:jc w:val="both"/>
              <w:rPr>
                <w:rFonts w:ascii="宋体" w:hAnsi="宋体" w:cs="宋体" w:eastAsia="宋体" w:hint="default"/>
                <w:sz w:val="18"/>
                <w:szCs w:val="18"/>
              </w:rPr>
            </w:pPr>
            <w:r>
              <w:rPr>
                <w:rFonts w:ascii="宋体" w:hAnsi="宋体" w:cs="宋体" w:eastAsia="宋体" w:hint="default"/>
                <w:spacing w:val="-2"/>
                <w:sz w:val="18"/>
                <w:szCs w:val="18"/>
              </w:rPr>
              <w:t>减：前期计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入其他综合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收益当期转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入留存收益</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19" w:lineRule="auto"/>
              <w:ind w:left="365" w:right="99" w:hanging="265"/>
              <w:jc w:val="left"/>
              <w:rPr>
                <w:rFonts w:ascii="宋体" w:hAnsi="宋体" w:cs="宋体" w:eastAsia="宋体" w:hint="default"/>
                <w:sz w:val="18"/>
                <w:szCs w:val="18"/>
              </w:rPr>
            </w:pPr>
            <w:r>
              <w:rPr>
                <w:rFonts w:ascii="宋体" w:hAnsi="宋体" w:cs="宋体" w:eastAsia="宋体" w:hint="default"/>
                <w:spacing w:val="-4"/>
                <w:sz w:val="18"/>
                <w:szCs w:val="18"/>
              </w:rPr>
              <w:t>减：所得税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费用</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19" w:lineRule="auto"/>
              <w:ind w:left="499" w:right="137" w:hanging="361"/>
              <w:jc w:val="left"/>
              <w:rPr>
                <w:rFonts w:ascii="宋体" w:hAnsi="宋体" w:cs="宋体" w:eastAsia="宋体" w:hint="default"/>
                <w:sz w:val="18"/>
                <w:szCs w:val="18"/>
              </w:rPr>
            </w:pPr>
            <w:r>
              <w:rPr>
                <w:rFonts w:ascii="宋体" w:hAnsi="宋体" w:cs="宋体" w:eastAsia="宋体" w:hint="default"/>
                <w:spacing w:val="-2"/>
                <w:sz w:val="18"/>
                <w:szCs w:val="18"/>
              </w:rPr>
              <w:t>税后归属于母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34" w:right="137"/>
              <w:jc w:val="both"/>
              <w:rPr>
                <w:rFonts w:ascii="宋体" w:hAnsi="宋体" w:cs="宋体" w:eastAsia="宋体" w:hint="default"/>
                <w:sz w:val="18"/>
                <w:szCs w:val="18"/>
              </w:rPr>
            </w:pPr>
            <w:r>
              <w:rPr>
                <w:rFonts w:ascii="宋体" w:hAnsi="宋体" w:cs="宋体" w:eastAsia="宋体" w:hint="default"/>
                <w:sz w:val="18"/>
                <w:szCs w:val="18"/>
              </w:rPr>
              <w:t>税后</w:t>
            </w:r>
            <w:r>
              <w:rPr>
                <w:rFonts w:ascii="宋体" w:hAnsi="宋体" w:cs="宋体" w:eastAsia="宋体" w:hint="default"/>
                <w:spacing w:val="-86"/>
                <w:sz w:val="18"/>
                <w:szCs w:val="18"/>
              </w:rPr>
              <w:t> </w:t>
            </w:r>
            <w:r>
              <w:rPr>
                <w:rFonts w:ascii="宋体" w:hAnsi="宋体" w:cs="宋体" w:eastAsia="宋体" w:hint="default"/>
                <w:sz w:val="18"/>
                <w:szCs w:val="18"/>
              </w:rPr>
              <w:t>归属</w:t>
            </w:r>
            <w:r>
              <w:rPr>
                <w:rFonts w:ascii="宋体" w:hAnsi="宋体" w:cs="宋体" w:eastAsia="宋体" w:hint="default"/>
                <w:spacing w:val="-86"/>
                <w:sz w:val="18"/>
                <w:szCs w:val="18"/>
              </w:rPr>
              <w:t> </w:t>
            </w:r>
            <w:r>
              <w:rPr>
                <w:rFonts w:ascii="宋体" w:hAnsi="宋体" w:cs="宋体" w:eastAsia="宋体" w:hint="default"/>
                <w:sz w:val="18"/>
                <w:szCs w:val="18"/>
              </w:rPr>
              <w:t>于少</w:t>
            </w:r>
            <w:r>
              <w:rPr>
                <w:rFonts w:ascii="宋体" w:hAnsi="宋体" w:cs="宋体" w:eastAsia="宋体" w:hint="default"/>
                <w:spacing w:val="-86"/>
                <w:sz w:val="18"/>
                <w:szCs w:val="18"/>
              </w:rPr>
              <w:t> </w:t>
            </w:r>
            <w:r>
              <w:rPr>
                <w:rFonts w:ascii="宋体" w:hAnsi="宋体" w:cs="宋体" w:eastAsia="宋体" w:hint="default"/>
                <w:sz w:val="18"/>
                <w:szCs w:val="18"/>
              </w:rPr>
              <w:t>数股</w:t>
            </w:r>
            <w:r>
              <w:rPr>
                <w:rFonts w:ascii="宋体" w:hAnsi="宋体" w:cs="宋体" w:eastAsia="宋体" w:hint="default"/>
                <w:spacing w:val="-86"/>
                <w:sz w:val="18"/>
                <w:szCs w:val="18"/>
              </w:rPr>
              <w:t> </w:t>
            </w:r>
            <w:r>
              <w:rPr>
                <w:rFonts w:ascii="宋体" w:hAnsi="宋体" w:cs="宋体" w:eastAsia="宋体" w:hint="default"/>
                <w:sz w:val="18"/>
                <w:szCs w:val="18"/>
              </w:rPr>
              <w:t>东</w:t>
            </w:r>
          </w:p>
        </w:tc>
        <w:tc>
          <w:tcPr>
            <w:tcW w:w="1311" w:type="dxa"/>
            <w:vMerge/>
            <w:tcBorders>
              <w:left w:val="single" w:sz="4" w:space="0" w:color="000000"/>
              <w:bottom w:val="single" w:sz="4" w:space="0" w:color="000000"/>
              <w:right w:val="single" w:sz="4" w:space="0" w:color="000000"/>
            </w:tcBorders>
            <w:shd w:val="clear" w:color="auto" w:fill="D2D2D2"/>
          </w:tcPr>
          <w:p>
            <w:pPr/>
          </w:p>
        </w:tc>
      </w:tr>
      <w:tr>
        <w:trPr>
          <w:trHeight w:val="1340" w:hRule="exact"/>
        </w:trPr>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98"/>
              <w:jc w:val="left"/>
              <w:rPr>
                <w:rFonts w:ascii="宋体" w:hAnsi="宋体" w:cs="宋体" w:eastAsia="宋体" w:hint="default"/>
                <w:sz w:val="18"/>
                <w:szCs w:val="18"/>
              </w:rPr>
            </w:pPr>
            <w:r>
              <w:rPr>
                <w:rFonts w:ascii="宋体" w:hAnsi="宋体" w:cs="宋体" w:eastAsia="宋体" w:hint="default"/>
                <w:spacing w:val="-15"/>
                <w:sz w:val="18"/>
                <w:szCs w:val="18"/>
              </w:rPr>
              <w:t>一、不能重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分类进损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益的其他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综合收益</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2,488,616.91</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-17,841,574.72</w:t>
            </w:r>
          </w:p>
        </w:tc>
        <w:tc>
          <w:tcPr>
            <w:tcW w:w="108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893,073.90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-18,734,648.62</w:t>
            </w:r>
          </w:p>
        </w:tc>
        <w:tc>
          <w:tcPr>
            <w:tcW w:w="648"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-16,246,031.71</w:t>
            </w:r>
          </w:p>
        </w:tc>
      </w:tr>
      <w:tr>
        <w:trPr>
          <w:trHeight w:val="1647" w:hRule="exact"/>
        </w:trPr>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213" w:firstLine="542"/>
              <w:jc w:val="both"/>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w w:val="101"/>
                <w:sz w:val="18"/>
                <w:szCs w:val="18"/>
              </w:rPr>
              <w:t> </w:t>
            </w:r>
            <w:r>
              <w:rPr>
                <w:rFonts w:ascii="宋体" w:hAnsi="宋体" w:cs="宋体" w:eastAsia="宋体" w:hint="default"/>
                <w:sz w:val="18"/>
                <w:szCs w:val="18"/>
              </w:rPr>
              <w:t>他权益工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具投资公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允价值变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2,488,616.91</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-17,841,574.72</w:t>
            </w:r>
          </w:p>
        </w:tc>
        <w:tc>
          <w:tcPr>
            <w:tcW w:w="108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893,073.90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-18,734,648.62</w:t>
            </w:r>
          </w:p>
        </w:tc>
        <w:tc>
          <w:tcPr>
            <w:tcW w:w="648"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-16,246,031.71</w:t>
            </w:r>
          </w:p>
        </w:tc>
      </w:tr>
      <w:tr>
        <w:trPr>
          <w:trHeight w:val="1339" w:hRule="exact"/>
        </w:trPr>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98"/>
              <w:jc w:val="left"/>
              <w:rPr>
                <w:rFonts w:ascii="宋体" w:hAnsi="宋体" w:cs="宋体" w:eastAsia="宋体" w:hint="default"/>
                <w:sz w:val="18"/>
                <w:szCs w:val="18"/>
              </w:rPr>
            </w:pPr>
            <w:r>
              <w:rPr>
                <w:rFonts w:ascii="宋体" w:hAnsi="宋体" w:cs="宋体" w:eastAsia="宋体" w:hint="default"/>
                <w:spacing w:val="-15"/>
                <w:sz w:val="18"/>
                <w:szCs w:val="18"/>
              </w:rPr>
              <w:t>二、将重分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类进损益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的其他综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合收益</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25,453,950.85</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6,808,974.66</w:t>
            </w:r>
          </w:p>
        </w:tc>
        <w:tc>
          <w:tcPr>
            <w:tcW w:w="108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6,808,974.66</w:t>
            </w:r>
          </w:p>
        </w:tc>
        <w:tc>
          <w:tcPr>
            <w:tcW w:w="648"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32,262,925.51</w:t>
            </w:r>
          </w:p>
        </w:tc>
      </w:tr>
      <w:tr>
        <w:trPr>
          <w:trHeight w:val="1340" w:hRule="exact"/>
        </w:trPr>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213" w:firstLine="542"/>
              <w:jc w:val="both"/>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w w:val="101"/>
                <w:sz w:val="18"/>
                <w:szCs w:val="18"/>
              </w:rPr>
              <w:t> </w:t>
            </w:r>
            <w:r>
              <w:rPr>
                <w:rFonts w:ascii="宋体" w:hAnsi="宋体" w:cs="宋体" w:eastAsia="宋体" w:hint="default"/>
                <w:sz w:val="18"/>
                <w:szCs w:val="18"/>
              </w:rPr>
              <w:t>币财务报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表折算差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25,453,950.85</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6,808,974.66</w:t>
            </w:r>
          </w:p>
        </w:tc>
        <w:tc>
          <w:tcPr>
            <w:tcW w:w="108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6,808,974.66</w:t>
            </w:r>
          </w:p>
        </w:tc>
        <w:tc>
          <w:tcPr>
            <w:tcW w:w="648"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32,262,925.51</w:t>
            </w:r>
          </w:p>
        </w:tc>
      </w:tr>
      <w:tr>
        <w:trPr>
          <w:trHeight w:val="716" w:hRule="exact"/>
        </w:trPr>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213"/>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收益合计</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27,942,567.76</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-11,032,600.06</w:t>
            </w:r>
          </w:p>
        </w:tc>
        <w:tc>
          <w:tcPr>
            <w:tcW w:w="108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893,073.90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-11,925,673.96</w:t>
            </w:r>
          </w:p>
        </w:tc>
        <w:tc>
          <w:tcPr>
            <w:tcW w:w="648"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16,016,893.80</w:t>
            </w:r>
          </w:p>
        </w:tc>
      </w:tr>
    </w:tbl>
    <w:p>
      <w:pPr>
        <w:pStyle w:val="BodyText"/>
        <w:spacing w:line="352" w:lineRule="auto" w:before="53"/>
        <w:ind w:left="234" w:right="4321"/>
        <w:jc w:val="left"/>
      </w:pPr>
      <w:r>
        <w:rPr>
          <w:spacing w:val="-3"/>
        </w:rPr>
        <w:t>其他说明，包括对现金流量套期损益的有效部分转为被套期项目初始确认金额调整：</w:t>
      </w:r>
      <w:r>
        <w:rPr>
          <w:spacing w:val="19"/>
        </w:rPr>
        <w:t> </w:t>
      </w:r>
      <w:r>
        <w:rPr>
          <w:spacing w:val="19"/>
        </w:rPr>
      </w:r>
      <w:r>
        <w:rPr/>
        <w:t>无</w:t>
      </w:r>
    </w:p>
    <w:p>
      <w:pPr>
        <w:spacing w:line="240" w:lineRule="auto" w:before="7"/>
        <w:rPr>
          <w:rFonts w:ascii="宋体" w:hAnsi="宋体" w:cs="宋体" w:eastAsia="宋体" w:hint="default"/>
          <w:sz w:val="20"/>
          <w:szCs w:val="20"/>
        </w:rPr>
      </w:pPr>
    </w:p>
    <w:p>
      <w:pPr>
        <w:pStyle w:val="Heading4"/>
        <w:spacing w:line="240" w:lineRule="auto"/>
        <w:ind w:left="234" w:right="7211"/>
        <w:jc w:val="left"/>
        <w:rPr>
          <w:b w:val="0"/>
          <w:bCs w:val="0"/>
        </w:rPr>
      </w:pPr>
      <w:bookmarkStart w:name="30、盈余公积" w:id="312"/>
      <w:bookmarkEnd w:id="312"/>
      <w:r>
        <w:rPr>
          <w:b w:val="0"/>
          <w:bCs w:val="0"/>
        </w:rPr>
      </w:r>
      <w:r>
        <w:rPr>
          <w:rFonts w:ascii="Times New Roman" w:hAnsi="Times New Roman" w:cs="Times New Roman" w:eastAsia="Times New Roman" w:hint="default"/>
        </w:rPr>
        <w:t>30</w:t>
      </w:r>
      <w:r>
        <w:rPr/>
        <w:t>、盈余公积</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90,731,741.37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6,645,976.25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97,377,717.62</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90,731,741.37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6,645,976.25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97,377,717.62</w:t>
            </w:r>
          </w:p>
        </w:tc>
      </w:tr>
    </w:tbl>
    <w:p>
      <w:pPr>
        <w:pStyle w:val="BodyText"/>
        <w:spacing w:line="357" w:lineRule="auto" w:before="53"/>
        <w:ind w:left="594" w:right="714" w:hanging="360"/>
        <w:jc w:val="left"/>
      </w:pPr>
      <w:r>
        <w:rPr>
          <w:spacing w:val="-3"/>
        </w:rPr>
        <w:t>盈余公积说明，包括本期增减变动情况、变动原因说明：</w:t>
      </w:r>
      <w:r>
        <w:rPr>
          <w:spacing w:val="-15"/>
        </w:rPr>
        <w:t> </w:t>
      </w:r>
      <w:r>
        <w:rPr>
          <w:spacing w:val="-15"/>
        </w:rPr>
      </w:r>
      <w:r>
        <w:rPr>
          <w:spacing w:val="-3"/>
        </w:rPr>
        <w:t>根据公司章程规定，法定盈余公积金按净利润之</w:t>
      </w:r>
      <w:r>
        <w:rPr>
          <w:rFonts w:ascii="Times New Roman" w:hAnsi="Times New Roman" w:cs="Times New Roman" w:eastAsia="Times New Roman" w:hint="default"/>
          <w:spacing w:val="-3"/>
        </w:rPr>
        <w:t>10%</w:t>
      </w:r>
      <w:r>
        <w:rPr>
          <w:spacing w:val="-3"/>
        </w:rPr>
        <w:t>提取。本公司本年度提取法定盈余公积人民币</w:t>
      </w:r>
      <w:r>
        <w:rPr>
          <w:rFonts w:ascii="Times New Roman" w:hAnsi="Times New Roman" w:cs="Times New Roman" w:eastAsia="Times New Roman" w:hint="default"/>
          <w:spacing w:val="-3"/>
        </w:rPr>
        <w:t>6,645,976.25</w:t>
      </w:r>
      <w:r>
        <w:rPr>
          <w:spacing w:val="-3"/>
        </w:rPr>
        <w:t>元。</w:t>
      </w:r>
    </w:p>
    <w:p>
      <w:pPr>
        <w:spacing w:after="0" w:line="357" w:lineRule="auto"/>
        <w:jc w:val="left"/>
        <w:sectPr>
          <w:pgSz w:w="11910" w:h="16840"/>
          <w:pgMar w:header="0" w:footer="1022" w:top="1100" w:bottom="1220" w:left="640" w:right="0"/>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right="858"/>
        <w:jc w:val="left"/>
        <w:rPr>
          <w:b w:val="0"/>
          <w:bCs w:val="0"/>
        </w:rPr>
      </w:pPr>
      <w:bookmarkStart w:name="31、未分配利润" w:id="313"/>
      <w:bookmarkEnd w:id="313"/>
      <w:r>
        <w:rPr>
          <w:b w:val="0"/>
          <w:bCs w:val="0"/>
        </w:rPr>
      </w:r>
      <w:r>
        <w:rPr>
          <w:rFonts w:ascii="Times New Roman" w:hAnsi="Times New Roman" w:cs="Times New Roman" w:eastAsia="Times New Roman" w:hint="default"/>
        </w:rPr>
        <w:t>31</w:t>
      </w:r>
      <w:r>
        <w:rPr/>
        <w:t>、未分配利润</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726"/>
        <w:gridCol w:w="2924"/>
        <w:gridCol w:w="2919"/>
      </w:tblGrid>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8"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151,440,953.64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66,177,012.06</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调整期初未分配利润合计数（调增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，调减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69,622,065.17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221,063,018.81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66,177,012.06</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174,612,994.49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86,042,223.02</w:t>
            </w:r>
          </w:p>
        </w:tc>
      </w:tr>
      <w:tr>
        <w:trPr>
          <w:trHeight w:val="399"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6,645,976.25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778,281.44</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79,598,921.60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309,431,115.45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151,440,953.64</w:t>
            </w:r>
          </w:p>
        </w:tc>
      </w:tr>
    </w:tbl>
    <w:p>
      <w:pPr>
        <w:pStyle w:val="BodyText"/>
        <w:spacing w:line="240" w:lineRule="auto" w:before="53"/>
        <w:ind w:right="858"/>
        <w:jc w:val="left"/>
      </w:pPr>
      <w:r>
        <w:rPr>
          <w:spacing w:val="-3"/>
        </w:rPr>
        <w:t>调整期初未分配利润明细：</w:t>
      </w:r>
    </w:p>
    <w:p>
      <w:pPr>
        <w:pStyle w:val="BodyText"/>
        <w:spacing w:line="240" w:lineRule="auto" w:before="120"/>
        <w:ind w:right="858"/>
        <w:jc w:val="left"/>
      </w:pPr>
      <w:r>
        <w:rPr>
          <w:rFonts w:ascii="Times New Roman" w:hAnsi="Times New Roman" w:cs="Times New Roman" w:eastAsia="Times New Roman" w:hint="default"/>
          <w:spacing w:val="-3"/>
        </w:rPr>
        <w:t>1)</w:t>
      </w:r>
      <w:r>
        <w:rPr>
          <w:spacing w:val="-3"/>
        </w:rPr>
        <w:t>、由于《企业会计准则》及其相关新规定进行追溯调整，影响期初未分配利润 </w:t>
      </w:r>
      <w:r>
        <w:rPr>
          <w:rFonts w:ascii="Times New Roman" w:hAnsi="Times New Roman" w:cs="Times New Roman" w:eastAsia="Times New Roman" w:hint="default"/>
        </w:rPr>
        <w:t>69,622,065.17 </w:t>
      </w:r>
      <w:r>
        <w:rPr>
          <w:rFonts w:ascii="Times New Roman" w:hAnsi="Times New Roman" w:cs="Times New Roman" w:eastAsia="Times New Roman" w:hint="default"/>
          <w:spacing w:val="23"/>
        </w:rPr>
        <w:t> </w:t>
      </w:r>
      <w:r>
        <w:rPr>
          <w:spacing w:val="-5"/>
        </w:rPr>
        <w:t>元。</w:t>
      </w:r>
      <w:r>
        <w:rPr/>
      </w:r>
    </w:p>
    <w:p>
      <w:pPr>
        <w:pStyle w:val="BodyText"/>
        <w:spacing w:line="240" w:lineRule="auto" w:before="101"/>
        <w:ind w:right="858"/>
        <w:jc w:val="left"/>
      </w:pPr>
      <w:r>
        <w:rPr>
          <w:rFonts w:ascii="Times New Roman" w:hAnsi="Times New Roman" w:cs="Times New Roman" w:eastAsia="Times New Roman" w:hint="default"/>
          <w:spacing w:val="-3"/>
        </w:rPr>
        <w:t>2)</w:t>
      </w:r>
      <w:r>
        <w:rPr>
          <w:spacing w:val="-3"/>
        </w:rPr>
        <w:t>、由于会计政策变更，影响期初未分配利润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2"/>
        </w:rPr>
        <w:t> </w:t>
      </w:r>
      <w:r>
        <w:rPr/>
        <w:t>元。</w:t>
      </w:r>
    </w:p>
    <w:p>
      <w:pPr>
        <w:pStyle w:val="BodyText"/>
        <w:spacing w:line="240" w:lineRule="auto" w:before="101"/>
        <w:ind w:right="858"/>
        <w:jc w:val="left"/>
      </w:pPr>
      <w:r>
        <w:rPr>
          <w:rFonts w:ascii="Times New Roman" w:hAnsi="Times New Roman" w:cs="Times New Roman" w:eastAsia="Times New Roman" w:hint="default"/>
          <w:spacing w:val="-3"/>
        </w:rPr>
        <w:t>3)</w:t>
      </w:r>
      <w:r>
        <w:rPr>
          <w:spacing w:val="-3"/>
        </w:rPr>
        <w:t>、由于重大会计差错更正，影响期初未分配利润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8"/>
        </w:rPr>
        <w:t> </w:t>
      </w:r>
      <w:r>
        <w:rPr/>
        <w:t>元。</w:t>
      </w:r>
    </w:p>
    <w:p>
      <w:pPr>
        <w:pStyle w:val="BodyText"/>
        <w:spacing w:line="240" w:lineRule="auto" w:before="106"/>
        <w:ind w:right="858"/>
        <w:jc w:val="left"/>
      </w:pPr>
      <w:r>
        <w:rPr>
          <w:rFonts w:ascii="Times New Roman" w:hAnsi="Times New Roman" w:cs="Times New Roman" w:eastAsia="Times New Roman" w:hint="default"/>
          <w:spacing w:val="-3"/>
        </w:rPr>
        <w:t>4)</w:t>
      </w:r>
      <w:r>
        <w:rPr>
          <w:spacing w:val="-3"/>
        </w:rPr>
        <w:t>、由于同一控制导致的合并范围变更，影响期初未分配利润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40"/>
        </w:rPr>
        <w:t> </w:t>
      </w:r>
      <w:r>
        <w:rPr/>
        <w:t>元。</w:t>
      </w:r>
    </w:p>
    <w:p>
      <w:pPr>
        <w:pStyle w:val="BodyText"/>
        <w:spacing w:line="240" w:lineRule="auto" w:before="101"/>
        <w:ind w:right="858"/>
        <w:jc w:val="left"/>
      </w:pPr>
      <w:r>
        <w:rPr>
          <w:rFonts w:ascii="Times New Roman" w:hAnsi="Times New Roman" w:cs="Times New Roman" w:eastAsia="Times New Roman" w:hint="default"/>
        </w:rPr>
        <w:t>5)</w:t>
      </w:r>
      <w:r>
        <w:rPr/>
        <w:t>、其他调整合计影响期初未分配利润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5"/>
        </w:rPr>
        <w:t>元。</w:t>
      </w:r>
      <w:r>
        <w:rPr/>
      </w:r>
    </w:p>
    <w:p>
      <w:pPr>
        <w:spacing w:line="240" w:lineRule="auto" w:before="3"/>
        <w:rPr>
          <w:rFonts w:ascii="宋体" w:hAnsi="宋体" w:cs="宋体" w:eastAsia="宋体" w:hint="default"/>
          <w:sz w:val="25"/>
          <w:szCs w:val="25"/>
        </w:rPr>
      </w:pPr>
    </w:p>
    <w:p>
      <w:pPr>
        <w:pStyle w:val="Heading4"/>
        <w:spacing w:line="240" w:lineRule="auto"/>
        <w:ind w:right="858"/>
        <w:jc w:val="left"/>
        <w:rPr>
          <w:b w:val="0"/>
          <w:bCs w:val="0"/>
        </w:rPr>
      </w:pPr>
      <w:bookmarkStart w:name="32、营业收入和营业成本" w:id="314"/>
      <w:bookmarkEnd w:id="314"/>
      <w:r>
        <w:rPr>
          <w:b w:val="0"/>
          <w:bCs w:val="0"/>
        </w:rPr>
      </w:r>
      <w:r>
        <w:rPr>
          <w:rFonts w:ascii="Times New Roman" w:hAnsi="Times New Roman" w:cs="Times New Roman" w:eastAsia="Times New Roman" w:hint="default"/>
        </w:rPr>
        <w:t>32</w:t>
      </w:r>
      <w:r>
        <w:rPr/>
        <w:t>、营业收入和营业成本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1"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1,013,565,798.16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445,169,991.08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928,733,524.63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382,623,418.98</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1,013,565,798.16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445,169,991.08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928,733,524.63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382,623,418.98</w:t>
            </w:r>
          </w:p>
        </w:tc>
      </w:tr>
    </w:tbl>
    <w:p>
      <w:pPr>
        <w:pStyle w:val="BodyText"/>
        <w:spacing w:line="240" w:lineRule="auto" w:before="53"/>
        <w:ind w:right="858"/>
        <w:jc w:val="left"/>
      </w:pPr>
      <w:r>
        <w:rPr/>
        <w:t>是否已执行新收入准则</w:t>
      </w:r>
    </w:p>
    <w:p>
      <w:pPr>
        <w:pStyle w:val="BodyText"/>
        <w:spacing w:line="240" w:lineRule="auto" w:before="115"/>
        <w:ind w:right="85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4"/>
        <w:spacing w:line="240" w:lineRule="auto"/>
        <w:ind w:right="858"/>
        <w:jc w:val="left"/>
        <w:rPr>
          <w:b w:val="0"/>
          <w:bCs w:val="0"/>
        </w:rPr>
      </w:pPr>
      <w:bookmarkStart w:name="33、税金及附加" w:id="315"/>
      <w:bookmarkEnd w:id="315"/>
      <w:r>
        <w:rPr>
          <w:b w:val="0"/>
          <w:bCs w:val="0"/>
        </w:rPr>
      </w:r>
      <w:r>
        <w:rPr>
          <w:rFonts w:ascii="Times New Roman" w:hAnsi="Times New Roman" w:cs="Times New Roman" w:eastAsia="Times New Roman" w:hint="default"/>
        </w:rPr>
        <w:t>33</w:t>
      </w:r>
      <w:r>
        <w:rPr/>
        <w:t>、税金及附加</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528,463.44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739,351.20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474,531.39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653,208.23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1,125,305.46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1,123,238.00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520,665.32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503,854.42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美国销售税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17,126.50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287,614.56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263,937.81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15,595.50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2,930,029.92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3,322,861.91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00" w:bottom="1220" w:left="740" w:right="0"/>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right="858"/>
        <w:jc w:val="left"/>
        <w:rPr>
          <w:b w:val="0"/>
          <w:bCs w:val="0"/>
        </w:rPr>
      </w:pPr>
      <w:bookmarkStart w:name="34、销售费用" w:id="316"/>
      <w:bookmarkEnd w:id="316"/>
      <w:r>
        <w:rPr>
          <w:b w:val="0"/>
          <w:bCs w:val="0"/>
        </w:rPr>
      </w:r>
      <w:r>
        <w:rPr>
          <w:rFonts w:ascii="Times New Roman" w:hAnsi="Times New Roman" w:cs="Times New Roman" w:eastAsia="Times New Roman" w:hint="default"/>
        </w:rPr>
        <w:t>34</w:t>
      </w:r>
      <w:r>
        <w:rPr/>
        <w:t>、销售费用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125,155,245.65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124,716,477.38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27,470,784.96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29,886,526.25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房租及管理费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12,654,538.52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11,993,589.27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3,617,173.56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4,013,508.83</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1,073,241.92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1,416,720.62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办公邮电费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1,685,103.61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1,497,362.23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5,085,342.82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4,379,397.40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176,741,431.04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177,903,581.98</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4"/>
        <w:spacing w:line="240" w:lineRule="auto" w:before="36"/>
        <w:ind w:right="858"/>
        <w:jc w:val="left"/>
        <w:rPr>
          <w:b w:val="0"/>
          <w:bCs w:val="0"/>
        </w:rPr>
      </w:pPr>
      <w:bookmarkStart w:name="35、管理费用" w:id="317"/>
      <w:bookmarkEnd w:id="317"/>
      <w:r>
        <w:rPr>
          <w:b w:val="0"/>
          <w:bCs w:val="0"/>
        </w:rPr>
      </w:r>
      <w:r>
        <w:rPr>
          <w:rFonts w:ascii="Times New Roman" w:hAnsi="Times New Roman" w:cs="Times New Roman" w:eastAsia="Times New Roman" w:hint="default"/>
        </w:rPr>
        <w:t>35</w:t>
      </w:r>
      <w:r>
        <w:rPr/>
        <w:t>、管理费用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100,979,511.90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102,410,571.49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房租及管理费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19,147,670.45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19,505,078.07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咨询审计费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25,428,851.09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8,739,323.06</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4,745,140.10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6,086,577.31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办公邮电费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3,802,801.89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4,103,783.16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股份支付费用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9,924,300.00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5,920,800.00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3,840,035.06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4,231,330.54</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8,824,071.03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10,165,035.77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176,692,381.52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161,162,499.40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6"/>
        <w:ind w:right="858"/>
        <w:jc w:val="left"/>
        <w:rPr>
          <w:b w:val="0"/>
          <w:bCs w:val="0"/>
        </w:rPr>
      </w:pPr>
      <w:bookmarkStart w:name="36、研发费用" w:id="318"/>
      <w:bookmarkEnd w:id="318"/>
      <w:r>
        <w:rPr>
          <w:b w:val="0"/>
          <w:bCs w:val="0"/>
        </w:rPr>
      </w:r>
      <w:r>
        <w:rPr>
          <w:rFonts w:ascii="Times New Roman" w:hAnsi="Times New Roman" w:cs="Times New Roman" w:eastAsia="Times New Roman" w:hint="default"/>
        </w:rPr>
        <w:t>36</w:t>
      </w:r>
      <w:r>
        <w:rPr/>
        <w:t>、研发费用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102,957,158.29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105,194,300.80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7,119,673.07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26,046,928.78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1,541,390.30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1,290,632.54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6,285,443.16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2,733,809.76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117,903,664.82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135,265,671.88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00" w:bottom="1220" w:left="740" w:right="0"/>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right="858"/>
        <w:jc w:val="left"/>
        <w:rPr>
          <w:b w:val="0"/>
          <w:bCs w:val="0"/>
        </w:rPr>
      </w:pPr>
      <w:bookmarkStart w:name="37、财务费用" w:id="319"/>
      <w:bookmarkEnd w:id="319"/>
      <w:r>
        <w:rPr>
          <w:b w:val="0"/>
          <w:bCs w:val="0"/>
        </w:rPr>
      </w:r>
      <w:r>
        <w:rPr>
          <w:rFonts w:ascii="Times New Roman" w:hAnsi="Times New Roman" w:cs="Times New Roman" w:eastAsia="Times New Roman" w:hint="default"/>
        </w:rPr>
        <w:t>37</w:t>
      </w:r>
      <w:r>
        <w:rPr/>
        <w:t>、财务费用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706,287.48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-11,529,646.52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-17,716,806.65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1,404,028.82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184,482.49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456,206.23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393,789.21</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-9,669,411.47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-16,432,247.47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6"/>
        <w:ind w:right="858"/>
        <w:jc w:val="left"/>
        <w:rPr>
          <w:b w:val="0"/>
          <w:bCs w:val="0"/>
        </w:rPr>
      </w:pPr>
      <w:bookmarkStart w:name="38、其他收益" w:id="320"/>
      <w:bookmarkEnd w:id="320"/>
      <w:r>
        <w:rPr>
          <w:b w:val="0"/>
          <w:bCs w:val="0"/>
        </w:rPr>
      </w:r>
      <w:r>
        <w:rPr>
          <w:rFonts w:ascii="Times New Roman" w:hAnsi="Times New Roman" w:cs="Times New Roman" w:eastAsia="Times New Roman" w:hint="default"/>
        </w:rPr>
        <w:t>38</w:t>
      </w:r>
      <w:r>
        <w:rPr/>
        <w:t>、其他收益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77"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附注七</w:t>
            </w:r>
            <w:r>
              <w:rPr>
                <w:rFonts w:ascii="Times New Roman" w:hAnsi="Times New Roman" w:cs="Times New Roman" w:eastAsia="Times New Roman" w:hint="default"/>
                <w:sz w:val="18"/>
                <w:szCs w:val="18"/>
              </w:rPr>
              <w:t>(53))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3,071,486.69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3,257,589.11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个税扣缴手续费返还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174,575.19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641,048.38</w:t>
            </w:r>
          </w:p>
        </w:tc>
      </w:tr>
    </w:tbl>
    <w:p>
      <w:pPr>
        <w:spacing w:line="240" w:lineRule="auto" w:before="3"/>
        <w:rPr>
          <w:rFonts w:ascii="宋体" w:hAnsi="宋体" w:cs="宋体" w:eastAsia="宋体" w:hint="default"/>
          <w:sz w:val="19"/>
          <w:szCs w:val="19"/>
        </w:rPr>
      </w:pPr>
    </w:p>
    <w:p>
      <w:pPr>
        <w:pStyle w:val="Heading4"/>
        <w:spacing w:line="240" w:lineRule="auto" w:before="36"/>
        <w:ind w:right="858"/>
        <w:jc w:val="left"/>
        <w:rPr>
          <w:b w:val="0"/>
          <w:bCs w:val="0"/>
        </w:rPr>
      </w:pPr>
      <w:bookmarkStart w:name="39、投资收益" w:id="321"/>
      <w:bookmarkEnd w:id="321"/>
      <w:r>
        <w:rPr>
          <w:b w:val="0"/>
          <w:bCs w:val="0"/>
        </w:rPr>
      </w:r>
      <w:r>
        <w:rPr>
          <w:rFonts w:ascii="Times New Roman" w:hAnsi="Times New Roman" w:cs="Times New Roman" w:eastAsia="Times New Roman" w:hint="default"/>
        </w:rPr>
        <w:t>39</w:t>
      </w:r>
      <w:r>
        <w:rPr/>
        <w:t>、投资收益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462"/>
        <w:gridCol w:w="3189"/>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-2,667,228.29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-1,083,071.64</w:t>
            </w:r>
          </w:p>
        </w:tc>
      </w:tr>
      <w:tr>
        <w:trPr>
          <w:trHeight w:val="398"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交易性金融资产在持有期间的投资收益</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2,525,000.00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处置交易性金融资产取得的投资收益</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5,732,896.95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5,016,401.34</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可供出售金融资产在持有期间的投资收益</w:t>
            </w:r>
          </w:p>
        </w:tc>
        <w:tc>
          <w:tcPr>
            <w:tcW w:w="3189"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4,059,112.59</w:t>
            </w:r>
          </w:p>
        </w:tc>
      </w:tr>
      <w:tr>
        <w:trPr>
          <w:trHeight w:val="716"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100" w:right="233"/>
              <w:jc w:val="left"/>
              <w:rPr>
                <w:rFonts w:ascii="宋体" w:hAnsi="宋体" w:cs="宋体" w:eastAsia="宋体" w:hint="default"/>
                <w:sz w:val="18"/>
                <w:szCs w:val="18"/>
              </w:rPr>
            </w:pPr>
            <w:r>
              <w:rPr>
                <w:rFonts w:ascii="宋体" w:hAnsi="宋体" w:cs="宋体" w:eastAsia="宋体" w:hint="default"/>
                <w:spacing w:val="-3"/>
                <w:sz w:val="18"/>
                <w:szCs w:val="18"/>
              </w:rPr>
              <w:t>处置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购买日之前持有股权相关的其他综</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合收益转入投资损失</w:t>
            </w:r>
          </w:p>
        </w:tc>
        <w:tc>
          <w:tcPr>
            <w:tcW w:w="3189"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-104,114.49</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5,590,668.66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7,888,327.80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4"/>
        <w:spacing w:line="240" w:lineRule="auto" w:before="36"/>
        <w:ind w:right="858"/>
        <w:jc w:val="left"/>
        <w:rPr>
          <w:b w:val="0"/>
          <w:bCs w:val="0"/>
        </w:rPr>
      </w:pPr>
      <w:bookmarkStart w:name="40、公允价值变动收益" w:id="322"/>
      <w:bookmarkEnd w:id="322"/>
      <w:r>
        <w:rPr>
          <w:b w:val="0"/>
          <w:bCs w:val="0"/>
        </w:rPr>
      </w:r>
      <w:r>
        <w:rPr>
          <w:rFonts w:ascii="Times New Roman" w:hAnsi="Times New Roman" w:cs="Times New Roman" w:eastAsia="Times New Roman" w:hint="default"/>
        </w:rPr>
        <w:t>40</w:t>
      </w:r>
      <w:r>
        <w:rPr/>
        <w:t>、公允价值变动收益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17" w:right="0"/>
              <w:jc w:val="left"/>
              <w:rPr>
                <w:rFonts w:ascii="宋体" w:hAnsi="宋体" w:cs="宋体" w:eastAsia="宋体" w:hint="default"/>
                <w:sz w:val="18"/>
                <w:szCs w:val="18"/>
              </w:rPr>
            </w:pPr>
            <w:r>
              <w:rPr>
                <w:rFonts w:ascii="宋体" w:hAnsi="宋体" w:cs="宋体" w:eastAsia="宋体" w:hint="default"/>
                <w:spacing w:val="-3"/>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1,744,369.44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176,009,629.10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177,753,998.54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00" w:bottom="1220" w:left="740" w:right="0"/>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511.65pt;height:.5pt;mso-position-horizontal-relative:char;mso-position-vertical-relative:line" coordorigin="0,0" coordsize="10233,10">
            <v:group style="position:absolute;left:5;top:5;width:10223;height:2" coordorigin="5,5" coordsize="10223,2">
              <v:shape style="position:absolute;left:5;top:5;width:10223;height:2" coordorigin="5,5" coordsize="10223,0" path="m5,5l10228,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right="858"/>
        <w:jc w:val="left"/>
        <w:rPr>
          <w:b w:val="0"/>
          <w:bCs w:val="0"/>
        </w:rPr>
      </w:pPr>
      <w:bookmarkStart w:name="41、信用减值损失" w:id="323"/>
      <w:bookmarkEnd w:id="323"/>
      <w:r>
        <w:rPr>
          <w:b w:val="0"/>
          <w:bCs w:val="0"/>
        </w:rPr>
      </w:r>
      <w:r>
        <w:rPr>
          <w:rFonts w:ascii="Times New Roman" w:hAnsi="Times New Roman" w:cs="Times New Roman" w:eastAsia="Times New Roman" w:hint="default"/>
        </w:rPr>
        <w:t>41</w:t>
      </w:r>
      <w:r>
        <w:rPr/>
        <w:t>、信用减值损失</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22,354.34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-7,241,001.15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-7,218,646.81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before="36"/>
        <w:ind w:right="858"/>
        <w:jc w:val="left"/>
        <w:rPr>
          <w:b w:val="0"/>
          <w:bCs w:val="0"/>
        </w:rPr>
      </w:pPr>
      <w:bookmarkStart w:name="42、资产减值损失" w:id="324"/>
      <w:bookmarkEnd w:id="324"/>
      <w:r>
        <w:rPr>
          <w:b w:val="0"/>
          <w:bCs w:val="0"/>
        </w:rPr>
      </w:r>
      <w:r>
        <w:rPr>
          <w:rFonts w:ascii="Times New Roman" w:hAnsi="Times New Roman" w:cs="Times New Roman" w:eastAsia="Times New Roman" w:hint="default"/>
        </w:rPr>
        <w:t>42</w:t>
      </w:r>
      <w:r>
        <w:rPr/>
        <w:t>、资产减值损失</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1022" w:top="1100" w:bottom="1220" w:left="740" w:right="0"/>
        </w:sectPr>
      </w:pPr>
    </w:p>
    <w:p>
      <w:pPr>
        <w:pStyle w:val="BodyText"/>
        <w:spacing w:line="240" w:lineRule="auto" w:before="46"/>
        <w:ind w:right="0"/>
        <w:jc w:val="left"/>
      </w:pPr>
      <w:r>
        <w:rPr>
          <w:spacing w:val="-2"/>
        </w:rPr>
        <w:t>是否已执行新收入准则</w:t>
      </w:r>
    </w:p>
    <w:p>
      <w:pPr>
        <w:pStyle w:val="BodyText"/>
        <w:spacing w:line="240" w:lineRule="auto" w:before="11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100" w:bottom="1220" w:left="740" w:right="0"/>
          <w:cols w:num="2" w:equalWidth="0">
            <w:col w:w="1940" w:space="7414"/>
            <w:col w:w="1816"/>
          </w:cols>
        </w:sectPr>
      </w:pPr>
    </w:p>
    <w:p>
      <w:pPr>
        <w:spacing w:line="240" w:lineRule="auto" w:before="10"/>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-5,944,801.98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-3,728.71</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十三、商誉减值损失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-74,521,989.52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-74,521,989.52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-5,948,530.69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6"/>
        <w:ind w:right="858"/>
        <w:jc w:val="left"/>
        <w:rPr>
          <w:b w:val="0"/>
          <w:bCs w:val="0"/>
        </w:rPr>
      </w:pPr>
      <w:bookmarkStart w:name="43、资产处置收益" w:id="325"/>
      <w:bookmarkEnd w:id="325"/>
      <w:r>
        <w:rPr>
          <w:b w:val="0"/>
          <w:bCs w:val="0"/>
        </w:rPr>
      </w:r>
      <w:r>
        <w:rPr>
          <w:rFonts w:ascii="Times New Roman" w:hAnsi="Times New Roman" w:cs="Times New Roman" w:eastAsia="Times New Roman" w:hint="default"/>
        </w:rPr>
        <w:t>43</w:t>
      </w:r>
      <w:r>
        <w:rPr/>
        <w:t>、资产处置收益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77"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-453,619.88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-861,042.09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-9,056.61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长期待摊费用处置损失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-421,752.41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-875,372.29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-870,098.70</w:t>
            </w:r>
          </w:p>
        </w:tc>
      </w:tr>
    </w:tbl>
    <w:p>
      <w:pPr>
        <w:spacing w:line="240" w:lineRule="auto" w:before="3"/>
        <w:rPr>
          <w:rFonts w:ascii="宋体" w:hAnsi="宋体" w:cs="宋体" w:eastAsia="宋体" w:hint="default"/>
          <w:sz w:val="19"/>
          <w:szCs w:val="19"/>
        </w:rPr>
      </w:pPr>
    </w:p>
    <w:p>
      <w:pPr>
        <w:pStyle w:val="Heading4"/>
        <w:spacing w:line="240" w:lineRule="auto" w:before="36"/>
        <w:ind w:right="858"/>
        <w:jc w:val="left"/>
        <w:rPr>
          <w:b w:val="0"/>
          <w:bCs w:val="0"/>
        </w:rPr>
      </w:pPr>
      <w:bookmarkStart w:name="44、营业外收入" w:id="326"/>
      <w:bookmarkEnd w:id="326"/>
      <w:r>
        <w:rPr>
          <w:b w:val="0"/>
          <w:bCs w:val="0"/>
        </w:rPr>
      </w:r>
      <w:r>
        <w:rPr>
          <w:rFonts w:ascii="Times New Roman" w:hAnsi="Times New Roman" w:cs="Times New Roman" w:eastAsia="Times New Roman" w:hint="default"/>
        </w:rPr>
        <w:t>44</w:t>
      </w:r>
      <w:r>
        <w:rPr/>
        <w:t>、营业外收入</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29" w:type="dxa"/>
        <w:tblLayout w:type="fixed"/>
        <w:tblCellMar>
          <w:top w:w="0" w:type="dxa"/>
          <w:left w:w="0" w:type="dxa"/>
          <w:bottom w:w="0" w:type="dxa"/>
          <w:right w:w="0" w:type="dxa"/>
        </w:tblCellMar>
        <w:tblLook w:val="01E0"/>
      </w:tblPr>
      <w:tblGrid>
        <w:gridCol w:w="2391"/>
        <w:gridCol w:w="2396"/>
        <w:gridCol w:w="2391"/>
        <w:gridCol w:w="2391"/>
      </w:tblGrid>
      <w:tr>
        <w:trPr>
          <w:trHeight w:val="71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99" w:right="109" w:hanging="995"/>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826,631.41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1,237,261.84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826,631.41</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43,018.05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451,967.89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43,018.05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869,649.46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1,689,229.73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869,649.46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740" w:right="0"/>
        </w:sect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65"/>
        <w:ind w:left="216" w:right="0"/>
        <w:jc w:val="left"/>
      </w:pPr>
      <w:r>
        <w:rPr>
          <w:spacing w:val="-3"/>
        </w:rPr>
        <w:t>计入当期损益的政府补助：</w:t>
      </w:r>
    </w:p>
    <w:p>
      <w:pPr>
        <w:pStyle w:val="BodyText"/>
        <w:spacing w:line="240" w:lineRule="auto" w:before="115"/>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239"/>
        <w:gridCol w:w="1061"/>
        <w:gridCol w:w="576"/>
        <w:gridCol w:w="2684"/>
        <w:gridCol w:w="936"/>
        <w:gridCol w:w="696"/>
        <w:gridCol w:w="1119"/>
        <w:gridCol w:w="1114"/>
        <w:gridCol w:w="956"/>
      </w:tblGrid>
      <w:tr>
        <w:trPr>
          <w:trHeight w:val="1028" w:hRule="exact"/>
        </w:trPr>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4"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3"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00" w:right="99"/>
              <w:jc w:val="left"/>
              <w:rPr>
                <w:rFonts w:ascii="宋体" w:hAnsi="宋体" w:cs="宋体" w:eastAsia="宋体" w:hint="default"/>
                <w:sz w:val="18"/>
                <w:szCs w:val="18"/>
              </w:rPr>
            </w:pPr>
            <w:r>
              <w:rPr>
                <w:rFonts w:ascii="宋体" w:hAnsi="宋体" w:cs="宋体" w:eastAsia="宋体" w:hint="default"/>
                <w:sz w:val="18"/>
                <w:szCs w:val="18"/>
              </w:rPr>
              <w:t>发放</w:t>
            </w:r>
            <w:r>
              <w:rPr>
                <w:rFonts w:ascii="宋体" w:hAnsi="宋体" w:cs="宋体" w:eastAsia="宋体" w:hint="default"/>
                <w:spacing w:val="-86"/>
                <w:sz w:val="18"/>
                <w:szCs w:val="18"/>
              </w:rPr>
              <w:t> </w:t>
            </w:r>
            <w:r>
              <w:rPr>
                <w:rFonts w:ascii="宋体" w:hAnsi="宋体" w:cs="宋体" w:eastAsia="宋体" w:hint="default"/>
                <w:sz w:val="18"/>
                <w:szCs w:val="18"/>
              </w:rPr>
              <w:t>原因</w:t>
            </w:r>
          </w:p>
        </w:tc>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0" w:right="99"/>
              <w:jc w:val="center"/>
              <w:rPr>
                <w:rFonts w:ascii="宋体" w:hAnsi="宋体" w:cs="宋体" w:eastAsia="宋体" w:hint="default"/>
                <w:sz w:val="18"/>
                <w:szCs w:val="18"/>
              </w:rPr>
            </w:pPr>
            <w:r>
              <w:rPr>
                <w:rFonts w:ascii="宋体" w:hAnsi="宋体" w:cs="宋体" w:eastAsia="宋体" w:hint="default"/>
                <w:spacing w:val="-2"/>
                <w:sz w:val="18"/>
                <w:szCs w:val="18"/>
              </w:rPr>
              <w:t>补贴是否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影响当年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盈亏</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58" w:right="161"/>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特殊</w:t>
            </w:r>
            <w:r>
              <w:rPr>
                <w:rFonts w:ascii="宋体" w:hAnsi="宋体" w:cs="宋体" w:eastAsia="宋体" w:hint="default"/>
                <w:spacing w:val="-86"/>
                <w:sz w:val="18"/>
                <w:szCs w:val="18"/>
              </w:rPr>
              <w:t> </w:t>
            </w:r>
            <w:r>
              <w:rPr>
                <w:rFonts w:ascii="宋体" w:hAnsi="宋体" w:cs="宋体" w:eastAsia="宋体" w:hint="default"/>
                <w:sz w:val="18"/>
                <w:szCs w:val="18"/>
              </w:rPr>
              <w:t>补贴</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466" w:right="99" w:hanging="361"/>
              <w:jc w:val="left"/>
              <w:rPr>
                <w:rFonts w:ascii="宋体" w:hAnsi="宋体" w:cs="宋体" w:eastAsia="宋体" w:hint="default"/>
                <w:sz w:val="18"/>
                <w:szCs w:val="18"/>
              </w:rPr>
            </w:pPr>
            <w:r>
              <w:rPr>
                <w:rFonts w:ascii="宋体" w:hAnsi="宋体" w:cs="宋体" w:eastAsia="宋体" w:hint="default"/>
                <w:spacing w:val="-2"/>
                <w:sz w:val="18"/>
                <w:szCs w:val="18"/>
              </w:rPr>
              <w:t>本期发生金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461" w:right="99" w:hanging="361"/>
              <w:jc w:val="left"/>
              <w:rPr>
                <w:rFonts w:ascii="宋体" w:hAnsi="宋体" w:cs="宋体" w:eastAsia="宋体" w:hint="default"/>
                <w:sz w:val="18"/>
                <w:szCs w:val="18"/>
              </w:rPr>
            </w:pPr>
            <w:r>
              <w:rPr>
                <w:rFonts w:ascii="宋体" w:hAnsi="宋体" w:cs="宋体" w:eastAsia="宋体" w:hint="default"/>
                <w:spacing w:val="-2"/>
                <w:sz w:val="18"/>
                <w:szCs w:val="18"/>
              </w:rPr>
              <w:t>上期发生金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5" w:right="104"/>
              <w:jc w:val="center"/>
              <w:rPr>
                <w:rFonts w:ascii="宋体" w:hAnsi="宋体" w:cs="宋体" w:eastAsia="宋体" w:hint="default"/>
                <w:sz w:val="18"/>
                <w:szCs w:val="18"/>
              </w:rPr>
            </w:pPr>
            <w:r>
              <w:rPr>
                <w:rFonts w:ascii="宋体" w:hAnsi="宋体" w:cs="宋体" w:eastAsia="宋体" w:hint="default"/>
                <w:spacing w:val="-2"/>
                <w:sz w:val="18"/>
                <w:szCs w:val="18"/>
              </w:rPr>
              <w:t>与资产相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w:t>
            </w:r>
            <w:r>
              <w:rPr>
                <w:rFonts w:ascii="宋体" w:hAnsi="宋体" w:cs="宋体" w:eastAsia="宋体" w:hint="default"/>
                <w:w w:val="101"/>
                <w:sz w:val="18"/>
                <w:szCs w:val="18"/>
              </w:rPr>
              <w:t> </w:t>
            </w:r>
            <w:r>
              <w:rPr>
                <w:rFonts w:ascii="宋体" w:hAnsi="宋体" w:cs="宋体" w:eastAsia="宋体" w:hint="default"/>
                <w:sz w:val="18"/>
                <w:szCs w:val="18"/>
              </w:rPr>
              <w:t>益相关</w:t>
            </w:r>
          </w:p>
        </w:tc>
      </w:tr>
      <w:tr>
        <w:trPr>
          <w:trHeight w:val="1027"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219"/>
              <w:jc w:val="left"/>
              <w:rPr>
                <w:rFonts w:ascii="宋体" w:hAnsi="宋体" w:cs="宋体" w:eastAsia="宋体" w:hint="default"/>
                <w:sz w:val="18"/>
                <w:szCs w:val="18"/>
              </w:rPr>
            </w:pPr>
            <w:r>
              <w:rPr>
                <w:rFonts w:ascii="宋体" w:hAnsi="宋体" w:cs="宋体" w:eastAsia="宋体" w:hint="default"/>
                <w:spacing w:val="-2"/>
                <w:sz w:val="18"/>
                <w:szCs w:val="18"/>
              </w:rPr>
              <w:t>出口业务贴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息资金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218"/>
              <w:jc w:val="left"/>
              <w:rPr>
                <w:rFonts w:ascii="宋体" w:hAnsi="宋体" w:cs="宋体" w:eastAsia="宋体" w:hint="default"/>
                <w:sz w:val="18"/>
                <w:szCs w:val="18"/>
              </w:rPr>
            </w:pPr>
            <w:r>
              <w:rPr>
                <w:rFonts w:ascii="宋体" w:hAnsi="宋体" w:cs="宋体" w:eastAsia="宋体" w:hint="default"/>
                <w:sz w:val="18"/>
                <w:szCs w:val="18"/>
              </w:rPr>
              <w:t>北京市商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务委员会</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99"/>
              <w:jc w:val="left"/>
              <w:rPr>
                <w:rFonts w:ascii="宋体" w:hAnsi="宋体" w:cs="宋体" w:eastAsia="宋体" w:hint="default"/>
                <w:sz w:val="18"/>
                <w:szCs w:val="18"/>
              </w:rPr>
            </w:pPr>
            <w:r>
              <w:rPr>
                <w:rFonts w:ascii="宋体" w:hAnsi="宋体" w:cs="宋体" w:eastAsia="宋体" w:hint="default"/>
                <w:spacing w:val="-3"/>
                <w:sz w:val="18"/>
                <w:szCs w:val="18"/>
              </w:rPr>
              <w:t>因从事国家鼓励和扶持特定行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6"/>
                <w:sz w:val="18"/>
                <w:szCs w:val="18"/>
              </w:rPr>
              <w:t>业、产业而获得的补助（按国家</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级政策规定依法取得）</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399,175.00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578,479.00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1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028"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19"/>
              <w:jc w:val="both"/>
              <w:rPr>
                <w:rFonts w:ascii="宋体" w:hAnsi="宋体" w:cs="宋体" w:eastAsia="宋体" w:hint="default"/>
                <w:sz w:val="18"/>
                <w:szCs w:val="18"/>
              </w:rPr>
            </w:pPr>
            <w:r>
              <w:rPr>
                <w:rFonts w:ascii="宋体" w:hAnsi="宋体" w:cs="宋体" w:eastAsia="宋体" w:hint="default"/>
                <w:spacing w:val="-2"/>
                <w:sz w:val="18"/>
                <w:szCs w:val="18"/>
              </w:rPr>
              <w:t>高新技术企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业一次性发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展补贴资金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18"/>
              <w:jc w:val="both"/>
              <w:rPr>
                <w:rFonts w:ascii="宋体" w:hAnsi="宋体" w:cs="宋体" w:eastAsia="宋体" w:hint="default"/>
                <w:sz w:val="18"/>
                <w:szCs w:val="18"/>
              </w:rPr>
            </w:pPr>
            <w:r>
              <w:rPr>
                <w:rFonts w:ascii="宋体" w:hAnsi="宋体" w:cs="宋体" w:eastAsia="宋体" w:hint="default"/>
                <w:sz w:val="18"/>
                <w:szCs w:val="18"/>
              </w:rPr>
              <w:t>广州市天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河区财政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局</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99"/>
              <w:jc w:val="left"/>
              <w:rPr>
                <w:rFonts w:ascii="宋体" w:hAnsi="宋体" w:cs="宋体" w:eastAsia="宋体" w:hint="default"/>
                <w:sz w:val="18"/>
                <w:szCs w:val="18"/>
              </w:rPr>
            </w:pPr>
            <w:r>
              <w:rPr>
                <w:rFonts w:ascii="宋体" w:hAnsi="宋体" w:cs="宋体" w:eastAsia="宋体" w:hint="default"/>
                <w:spacing w:val="-3"/>
                <w:sz w:val="18"/>
                <w:szCs w:val="18"/>
              </w:rPr>
              <w:t>因从事国家鼓励和扶持特定行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6"/>
                <w:sz w:val="18"/>
                <w:szCs w:val="18"/>
              </w:rPr>
              <w:t>业、产业而获得的补助（按国家</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级政策规定依法取得）</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250,000.00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05" w:right="11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710"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427,456.41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408,782.84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1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before="36"/>
        <w:ind w:left="216" w:right="0"/>
        <w:jc w:val="left"/>
        <w:rPr>
          <w:b w:val="0"/>
          <w:bCs w:val="0"/>
        </w:rPr>
      </w:pPr>
      <w:bookmarkStart w:name="45、营业外支出" w:id="327"/>
      <w:bookmarkEnd w:id="327"/>
      <w:r>
        <w:rPr>
          <w:b w:val="0"/>
          <w:bCs w:val="0"/>
        </w:rPr>
      </w:r>
      <w:r>
        <w:rPr>
          <w:rFonts w:ascii="Times New Roman" w:hAnsi="Times New Roman" w:cs="Times New Roman" w:eastAsia="Times New Roman" w:hint="default"/>
        </w:rPr>
        <w:t>45</w:t>
      </w:r>
      <w:r>
        <w:rPr/>
        <w:t>、营业外支出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211" w:type="dxa"/>
        <w:tblLayout w:type="fixed"/>
        <w:tblCellMar>
          <w:top w:w="0" w:type="dxa"/>
          <w:left w:w="0" w:type="dxa"/>
          <w:bottom w:w="0" w:type="dxa"/>
          <w:right w:w="0" w:type="dxa"/>
        </w:tblCellMar>
        <w:tblLook w:val="01E0"/>
      </w:tblPr>
      <w:tblGrid>
        <w:gridCol w:w="2391"/>
        <w:gridCol w:w="2396"/>
        <w:gridCol w:w="2391"/>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04" w:right="104" w:hanging="995"/>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536.01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174,808.67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536.01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68,103.60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2,392,511.10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68,103.60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长期待摊费用报废损失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481,889.00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481,889.00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预计诉讼赔偿款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6,169,643.00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6,169,643.00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45,451.05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47,980.32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45,451.05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6,765,622.66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2,615,300.09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6,765,622.66</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4"/>
        <w:spacing w:line="240" w:lineRule="auto" w:before="36"/>
        <w:ind w:left="216" w:right="0"/>
        <w:jc w:val="left"/>
        <w:rPr>
          <w:b w:val="0"/>
          <w:bCs w:val="0"/>
        </w:rPr>
      </w:pPr>
      <w:bookmarkStart w:name="46、所得税费用" w:id="328"/>
      <w:bookmarkEnd w:id="328"/>
      <w:r>
        <w:rPr>
          <w:b w:val="0"/>
          <w:bCs w:val="0"/>
        </w:rPr>
      </w:r>
      <w:r>
        <w:rPr>
          <w:rFonts w:ascii="Times New Roman" w:hAnsi="Times New Roman" w:cs="Times New Roman" w:eastAsia="Times New Roman" w:hint="default"/>
        </w:rPr>
        <w:t>46</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16" w:right="0"/>
        <w:jc w:val="left"/>
        <w:rPr>
          <w:b w:val="0"/>
          <w:bCs w:val="0"/>
        </w:rPr>
      </w:pPr>
      <w:bookmarkStart w:name="（1）所得税费用表" w:id="329"/>
      <w:bookmarkEnd w:id="32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211"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8,931,006.37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8,993,421.44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10,235,340.19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5,586,226.33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19,166,346.56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14,579,647.77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00" w:bottom="1220" w:left="600" w:right="0"/>
        </w:sect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136" w:right="3662"/>
        <w:jc w:val="left"/>
        <w:rPr>
          <w:b w:val="0"/>
          <w:bCs w:val="0"/>
        </w:rPr>
      </w:pPr>
      <w:bookmarkStart w:name="（2）会计利润与所得税费用调整过程" w:id="330"/>
      <w:bookmarkEnd w:id="33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4782"/>
        <w:gridCol w:w="4787"/>
      </w:tblGrid>
      <w:tr>
        <w:trPr>
          <w:trHeight w:val="399"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201,876,458.51</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50,469,114.63</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-10,037,673.31</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-5,386,852.77</w:t>
            </w:r>
          </w:p>
        </w:tc>
      </w:tr>
      <w:tr>
        <w:trPr>
          <w:trHeight w:val="399"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-982,427.93</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20,571,223.68</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-27,916,127.83</w:t>
            </w:r>
          </w:p>
        </w:tc>
      </w:tr>
      <w:tr>
        <w:trPr>
          <w:trHeight w:val="716"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0" w:right="166"/>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亏损的影响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6,395,878.27</w:t>
            </w:r>
          </w:p>
        </w:tc>
      </w:tr>
      <w:tr>
        <w:trPr>
          <w:trHeight w:val="39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税率变动的影响</w:t>
            </w:r>
          </w:p>
        </w:tc>
        <w:tc>
          <w:tcPr>
            <w:tcW w:w="4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研发加计扣除的影响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-13,946,788.18</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19,166,346.56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line="544" w:lineRule="auto" w:before="36"/>
        <w:ind w:left="136" w:right="9171" w:firstLine="0"/>
        <w:jc w:val="left"/>
        <w:rPr>
          <w:rFonts w:ascii="宋体" w:hAnsi="宋体" w:cs="宋体" w:eastAsia="宋体" w:hint="default"/>
          <w:sz w:val="21"/>
          <w:szCs w:val="21"/>
        </w:rPr>
      </w:pPr>
      <w:bookmarkStart w:name="47、其他综合收益" w:id="331"/>
      <w:bookmarkEnd w:id="331"/>
      <w:r>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、其他综合收益</w:t>
      </w:r>
      <w:r>
        <w:rPr>
          <w:rFonts w:ascii="宋体" w:hAnsi="宋体" w:cs="宋体" w:eastAsia="宋体" w:hint="default"/>
          <w:b/>
          <w:bCs/>
          <w:spacing w:val="-102"/>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29</w:t>
      </w:r>
      <w:r>
        <w:rPr>
          <w:rFonts w:ascii="宋体" w:hAnsi="宋体" w:cs="宋体" w:eastAsia="宋体" w:hint="default"/>
          <w:sz w:val="18"/>
          <w:szCs w:val="18"/>
        </w:rPr>
        <w:t>。</w:t>
      </w:r>
      <w:r>
        <w:rPr>
          <w:rFonts w:ascii="宋体" w:hAnsi="宋体" w:cs="宋体" w:eastAsia="宋体" w:hint="default"/>
          <w:spacing w:val="-86"/>
          <w:sz w:val="18"/>
          <w:szCs w:val="18"/>
        </w:rPr>
        <w:t> </w:t>
      </w:r>
      <w:bookmarkStart w:name="48、现金流量表项目" w:id="332"/>
      <w:bookmarkEnd w:id="332"/>
      <w:r>
        <w:rPr>
          <w:rFonts w:ascii="宋体" w:hAnsi="宋体" w:cs="宋体" w:eastAsia="宋体" w:hint="default"/>
          <w:spacing w:val="-86"/>
          <w:sz w:val="18"/>
          <w:szCs w:val="18"/>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8"/>
        <w:ind w:left="136" w:right="3662"/>
        <w:jc w:val="left"/>
        <w:rPr>
          <w:b w:val="0"/>
          <w:bCs w:val="0"/>
        </w:rPr>
      </w:pPr>
      <w:bookmarkStart w:name="（1）收到的其他与经营活动有关的现金" w:id="333"/>
      <w:bookmarkEnd w:id="33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2,362,831.41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3,910,350.95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13,272,777.13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18,460,530.25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代收集成款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1,490,969.30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1,724,610.10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774,680.84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909,296.12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保证金及押金、备用金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3,666,048.15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1,711,604.44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代扣个税返还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208,425.95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641,048.38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150,450.28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1,705,066.29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21,926,183.06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29,062,506.53</w:t>
            </w:r>
          </w:p>
        </w:tc>
      </w:tr>
    </w:tbl>
    <w:p>
      <w:pPr>
        <w:pStyle w:val="BodyText"/>
        <w:spacing w:line="240" w:lineRule="auto" w:before="53"/>
        <w:ind w:left="136" w:right="3662"/>
        <w:jc w:val="left"/>
      </w:pPr>
      <w:r>
        <w:rPr>
          <w:spacing w:val="-3"/>
        </w:rPr>
        <w:t>收到的其他与经营活动有关的现金说明：无</w:t>
      </w:r>
    </w:p>
    <w:p>
      <w:pPr>
        <w:spacing w:after="0" w:line="240" w:lineRule="auto"/>
        <w:jc w:val="left"/>
        <w:sectPr>
          <w:pgSz w:w="11910" w:h="16840"/>
          <w:pgMar w:header="0" w:footer="1022" w:top="1100" w:bottom="1220" w:left="680" w:right="0"/>
        </w:sect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136" w:right="3662"/>
        <w:jc w:val="left"/>
        <w:rPr>
          <w:b w:val="0"/>
          <w:bCs w:val="0"/>
        </w:rPr>
      </w:pPr>
      <w:bookmarkStart w:name="（2）支付的其他与经营活动有关的现金" w:id="334"/>
      <w:bookmarkEnd w:id="33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日常费用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27,474,300.02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29,325,667.74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市场营销费用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27,201,385.32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28,325,180.58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房租物业及水电暖费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32,766,061.46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36,538,409.50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咨询审计费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13,624,453.67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23,413,508.96</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2,021,006.92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243,059.16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代付集成款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708,573.80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1,757,481.00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单位或个人往来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12,374,728.75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23,972,996.45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1,286,485.22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1,290,452.85</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117,456,995.16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144,866,756.24</w:t>
            </w:r>
          </w:p>
        </w:tc>
      </w:tr>
    </w:tbl>
    <w:p>
      <w:pPr>
        <w:pStyle w:val="BodyText"/>
        <w:spacing w:line="240" w:lineRule="auto" w:before="53"/>
        <w:ind w:left="136" w:right="3662"/>
        <w:jc w:val="left"/>
      </w:pPr>
      <w:r>
        <w:rPr>
          <w:spacing w:val="-3"/>
        </w:rPr>
        <w:t>支付的其他与经营活动有关的现金说明：无</w:t>
      </w:r>
    </w:p>
    <w:p>
      <w:pPr>
        <w:spacing w:line="240" w:lineRule="auto" w:before="8"/>
        <w:rPr>
          <w:rFonts w:ascii="宋体" w:hAnsi="宋体" w:cs="宋体" w:eastAsia="宋体" w:hint="default"/>
          <w:sz w:val="26"/>
          <w:szCs w:val="26"/>
        </w:rPr>
      </w:pPr>
    </w:p>
    <w:p>
      <w:pPr>
        <w:pStyle w:val="Heading4"/>
        <w:spacing w:line="240" w:lineRule="auto"/>
        <w:ind w:left="136" w:right="3662"/>
        <w:jc w:val="left"/>
        <w:rPr>
          <w:b w:val="0"/>
          <w:bCs w:val="0"/>
        </w:rPr>
      </w:pPr>
      <w:bookmarkStart w:name="（3）收到的其他与投资活动有关的现金" w:id="335"/>
      <w:bookmarkEnd w:id="335"/>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859,730,000.00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802,430,000.00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859,730,000.00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802,430,000.00</w:t>
            </w:r>
          </w:p>
        </w:tc>
      </w:tr>
    </w:tbl>
    <w:p>
      <w:pPr>
        <w:pStyle w:val="BodyText"/>
        <w:spacing w:line="240" w:lineRule="auto" w:before="54"/>
        <w:ind w:left="136" w:right="3662"/>
        <w:jc w:val="left"/>
      </w:pPr>
      <w:r>
        <w:rPr>
          <w:spacing w:val="-3"/>
        </w:rPr>
        <w:t>收到的其他与投资活动有关的现金说明：无</w:t>
      </w:r>
    </w:p>
    <w:p>
      <w:pPr>
        <w:spacing w:line="240" w:lineRule="auto" w:before="4"/>
        <w:rPr>
          <w:rFonts w:ascii="宋体" w:hAnsi="宋体" w:cs="宋体" w:eastAsia="宋体" w:hint="default"/>
          <w:sz w:val="26"/>
          <w:szCs w:val="26"/>
        </w:rPr>
      </w:pPr>
    </w:p>
    <w:p>
      <w:pPr>
        <w:pStyle w:val="Heading4"/>
        <w:spacing w:line="240" w:lineRule="auto"/>
        <w:ind w:left="136" w:right="3662"/>
        <w:jc w:val="left"/>
        <w:rPr>
          <w:b w:val="0"/>
          <w:bCs w:val="0"/>
        </w:rPr>
      </w:pPr>
      <w:bookmarkStart w:name="（4）支付的其他与投资活动有关的现金" w:id="336"/>
      <w:bookmarkEnd w:id="336"/>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1,137,950,000.00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781,710,000.00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1,137,950,000.00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781,710,000.00</w:t>
            </w:r>
          </w:p>
        </w:tc>
      </w:tr>
    </w:tbl>
    <w:p>
      <w:pPr>
        <w:pStyle w:val="BodyText"/>
        <w:spacing w:line="240" w:lineRule="auto" w:before="53"/>
        <w:ind w:left="136" w:right="3662"/>
        <w:jc w:val="left"/>
      </w:pPr>
      <w:r>
        <w:rPr>
          <w:spacing w:val="-3"/>
        </w:rPr>
        <w:t>支付的其他与投资活动有关的现金说明：无</w:t>
      </w:r>
    </w:p>
    <w:p>
      <w:pPr>
        <w:spacing w:line="240" w:lineRule="auto" w:before="9"/>
        <w:rPr>
          <w:rFonts w:ascii="宋体" w:hAnsi="宋体" w:cs="宋体" w:eastAsia="宋体" w:hint="default"/>
          <w:sz w:val="26"/>
          <w:szCs w:val="26"/>
        </w:rPr>
      </w:pPr>
    </w:p>
    <w:p>
      <w:pPr>
        <w:pStyle w:val="Heading4"/>
        <w:spacing w:line="240" w:lineRule="auto"/>
        <w:ind w:left="136" w:right="3662"/>
        <w:jc w:val="left"/>
        <w:rPr>
          <w:b w:val="0"/>
          <w:bCs w:val="0"/>
        </w:rPr>
      </w:pPr>
      <w:bookmarkStart w:name="（5）收到的其他与筹资活动有关的现金：无" w:id="337"/>
      <w:bookmarkEnd w:id="337"/>
      <w:r>
        <w:rPr>
          <w:b w:val="0"/>
          <w:bCs w:val="0"/>
        </w:rPr>
      </w:r>
      <w:r>
        <w:rPr/>
        <w:t>（</w:t>
      </w:r>
      <w:r>
        <w:rPr>
          <w:rFonts w:ascii="Times New Roman" w:hAnsi="Times New Roman" w:cs="Times New Roman" w:eastAsia="Times New Roman" w:hint="default"/>
        </w:rPr>
        <w:t>5</w:t>
      </w:r>
      <w:r>
        <w:rPr/>
        <w:t>）收到的其他与筹资活动有关的现金：无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136" w:right="3662"/>
        <w:jc w:val="left"/>
        <w:rPr>
          <w:b w:val="0"/>
          <w:bCs w:val="0"/>
        </w:rPr>
      </w:pPr>
      <w:bookmarkStart w:name="（6）支付的其他与筹资活动有关的现金：无" w:id="338"/>
      <w:bookmarkEnd w:id="338"/>
      <w:r>
        <w:rPr>
          <w:b w:val="0"/>
          <w:bCs w:val="0"/>
        </w:rPr>
      </w:r>
      <w:r>
        <w:rPr/>
        <w:t>（</w:t>
      </w:r>
      <w:r>
        <w:rPr>
          <w:rFonts w:ascii="Times New Roman" w:hAnsi="Times New Roman" w:cs="Times New Roman" w:eastAsia="Times New Roman" w:hint="default"/>
        </w:rPr>
        <w:t>6</w:t>
      </w:r>
      <w:r>
        <w:rPr/>
        <w:t>）支付的其他与筹资活动有关的现金：无</w:t>
      </w:r>
      <w:r>
        <w:rPr>
          <w:b w:val="0"/>
          <w:bCs w:val="0"/>
        </w:rPr>
      </w:r>
    </w:p>
    <w:p>
      <w:pPr>
        <w:spacing w:after="0" w:line="240" w:lineRule="auto"/>
        <w:jc w:val="left"/>
        <w:sectPr>
          <w:pgSz w:w="11910" w:h="16840"/>
          <w:pgMar w:header="0" w:footer="1022" w:top="1100" w:bottom="1220" w:left="680" w:right="0"/>
        </w:sect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216" w:right="0"/>
        <w:jc w:val="left"/>
        <w:rPr>
          <w:b w:val="0"/>
          <w:bCs w:val="0"/>
        </w:rPr>
      </w:pPr>
      <w:bookmarkStart w:name="49、现金流量表补充资料" w:id="339"/>
      <w:bookmarkEnd w:id="339"/>
      <w:r>
        <w:rPr>
          <w:b w:val="0"/>
          <w:bCs w:val="0"/>
        </w:rPr>
      </w:r>
      <w:r>
        <w:rPr>
          <w:rFonts w:ascii="Times New Roman" w:hAnsi="Times New Roman" w:cs="Times New Roman" w:eastAsia="Times New Roman" w:hint="default"/>
        </w:rPr>
        <w:t>49</w:t>
      </w:r>
      <w:r>
        <w:rPr/>
        <w:t>、现金流量表补充资料</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216" w:right="0"/>
        <w:jc w:val="left"/>
        <w:rPr>
          <w:b w:val="0"/>
          <w:bCs w:val="0"/>
        </w:rPr>
      </w:pPr>
      <w:bookmarkStart w:name="（1）现金流量表补充资料" w:id="340"/>
      <w:bookmarkEnd w:id="34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7361"/>
        <w:gridCol w:w="1537"/>
        <w:gridCol w:w="1541"/>
      </w:tblGrid>
      <w:tr>
        <w:trPr>
          <w:trHeight w:val="398"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182,710,111.95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74,350,355.72</w:t>
            </w:r>
          </w:p>
        </w:tc>
      </w:tr>
      <w:tr>
        <w:trPr>
          <w:trHeight w:val="404"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81,740,636.33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5,948,530.69</w:t>
            </w:r>
          </w:p>
        </w:tc>
      </w:tr>
      <w:tr>
        <w:trPr>
          <w:trHeight w:val="398"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固定资产折旧、油气资产折耗、生产性生物资产折旧</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33,891,448.24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36,406,489.74</w:t>
            </w:r>
          </w:p>
        </w:tc>
      </w:tr>
      <w:tr>
        <w:trPr>
          <w:trHeight w:val="403"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9,871,700.38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28,279,594.95</w:t>
            </w:r>
          </w:p>
        </w:tc>
      </w:tr>
      <w:tr>
        <w:trPr>
          <w:trHeight w:val="403"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20,779,920.59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26,164,377.32</w:t>
            </w:r>
          </w:p>
        </w:tc>
      </w:tr>
      <w:tr>
        <w:trPr>
          <w:trHeight w:val="404"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875,372.29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870,098.70</w:t>
            </w:r>
          </w:p>
        </w:tc>
      </w:tr>
      <w:tr>
        <w:trPr>
          <w:trHeight w:val="398"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pacing w:val="-3"/>
                <w:sz w:val="18"/>
                <w:szCs w:val="18"/>
              </w:rPr>
              <w:t>固定资产报废损失（收益以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549,992.60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2,392,511.10</w:t>
            </w:r>
          </w:p>
        </w:tc>
      </w:tr>
      <w:tr>
        <w:trPr>
          <w:trHeight w:val="403"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5"/>
              <w:jc w:val="right"/>
              <w:rPr>
                <w:rFonts w:ascii="Times New Roman" w:hAnsi="Times New Roman" w:cs="Times New Roman" w:eastAsia="Times New Roman" w:hint="default"/>
                <w:sz w:val="20"/>
                <w:szCs w:val="20"/>
              </w:rPr>
            </w:pPr>
            <w:r>
              <w:rPr>
                <w:rFonts w:ascii="Times New Roman"/>
                <w:spacing w:val="-1"/>
                <w:sz w:val="18"/>
              </w:rPr>
              <w:t>-</w:t>
            </w:r>
            <w:r>
              <w:rPr>
                <w:rFonts w:ascii="Times New Roman"/>
                <w:spacing w:val="-1"/>
                <w:sz w:val="20"/>
              </w:rPr>
              <w:t>177,753,998.54</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1,358,711.80</w:t>
            </w:r>
          </w:p>
        </w:tc>
      </w:tr>
      <w:tr>
        <w:trPr>
          <w:trHeight w:val="404"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-5,590,668.66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-7,888,327.80</w:t>
            </w:r>
          </w:p>
        </w:tc>
      </w:tr>
      <w:tr>
        <w:trPr>
          <w:trHeight w:val="398"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-26,898,800.70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8,760,889.47</w:t>
            </w:r>
          </w:p>
        </w:tc>
      </w:tr>
      <w:tr>
        <w:trPr>
          <w:trHeight w:val="403"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37,134,140.89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-3,174,663.14</w:t>
            </w:r>
          </w:p>
        </w:tc>
      </w:tr>
      <w:tr>
        <w:trPr>
          <w:trHeight w:val="403"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-4,437,577.83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-1,777,539.88</w:t>
            </w:r>
          </w:p>
        </w:tc>
      </w:tr>
      <w:tr>
        <w:trPr>
          <w:trHeight w:val="403"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-10,549,429.30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-22,015,563.38</w:t>
            </w:r>
          </w:p>
        </w:tc>
      </w:tr>
      <w:tr>
        <w:trPr>
          <w:trHeight w:val="399"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25"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-4,274,519.82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-27,516,095.37</w:t>
            </w:r>
          </w:p>
        </w:tc>
      </w:tr>
      <w:tr>
        <w:trPr>
          <w:trHeight w:val="403"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8,195,284.32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5,336,300.00</w:t>
            </w:r>
          </w:p>
        </w:tc>
      </w:tr>
      <w:tr>
        <w:trPr>
          <w:trHeight w:val="403"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146,243,612.74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127,495,669.92</w:t>
            </w:r>
          </w:p>
        </w:tc>
      </w:tr>
      <w:tr>
        <w:trPr>
          <w:trHeight w:val="403"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．不涉及现金收支的重大投资和筹资活动：</w:t>
            </w:r>
          </w:p>
        </w:tc>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9"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288,567,656.62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615,424,871.29</w:t>
            </w:r>
          </w:p>
        </w:tc>
      </w:tr>
      <w:tr>
        <w:trPr>
          <w:trHeight w:val="403"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615,424,871.29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750,705,917.52</w:t>
            </w:r>
          </w:p>
        </w:tc>
      </w:tr>
      <w:tr>
        <w:trPr>
          <w:trHeight w:val="403" w:hRule="exact"/>
        </w:trPr>
        <w:tc>
          <w:tcPr>
            <w:tcW w:w="7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-326,857,214.67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-135,281,046.23</w:t>
            </w:r>
          </w:p>
        </w:tc>
      </w:tr>
    </w:tbl>
    <w:p>
      <w:pPr>
        <w:spacing w:line="240" w:lineRule="auto" w:before="3"/>
        <w:rPr>
          <w:rFonts w:ascii="宋体" w:hAnsi="宋体" w:cs="宋体" w:eastAsia="宋体" w:hint="default"/>
          <w:sz w:val="19"/>
          <w:szCs w:val="19"/>
        </w:rPr>
      </w:pPr>
    </w:p>
    <w:p>
      <w:pPr>
        <w:pStyle w:val="Heading4"/>
        <w:spacing w:line="240" w:lineRule="auto" w:before="36"/>
        <w:ind w:left="216" w:right="0"/>
        <w:jc w:val="left"/>
        <w:rPr>
          <w:b w:val="0"/>
          <w:bCs w:val="0"/>
        </w:rPr>
      </w:pPr>
      <w:bookmarkStart w:name="（2）本期支付的取得子公司的现金净额" w:id="341"/>
      <w:bookmarkEnd w:id="341"/>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211" w:type="dxa"/>
        <w:tblLayout w:type="fixed"/>
        <w:tblCellMar>
          <w:top w:w="0" w:type="dxa"/>
          <w:left w:w="0" w:type="dxa"/>
          <w:bottom w:w="0" w:type="dxa"/>
          <w:right w:w="0" w:type="dxa"/>
        </w:tblCellMar>
        <w:tblLook w:val="01E0"/>
      </w:tblPr>
      <w:tblGrid>
        <w:gridCol w:w="4989"/>
        <w:gridCol w:w="4581"/>
      </w:tblGrid>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9"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pacing w:val="-3"/>
                <w:sz w:val="18"/>
                <w:szCs w:val="18"/>
              </w:rPr>
              <w:t>本期发生的企业合并于本期支付的现金或现金等价物</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27,104,100.00</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263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环球通信</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27,104,100.00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取得子公司支付的现金净额</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27,104,100.00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00" w:bottom="1220" w:left="600" w:right="0"/>
        </w:sect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136" w:right="3662"/>
        <w:jc w:val="left"/>
        <w:rPr>
          <w:b w:val="0"/>
          <w:bCs w:val="0"/>
        </w:rPr>
      </w:pPr>
      <w:bookmarkStart w:name="（3）本期收到的处置子公司的现金净额：无" w:id="342"/>
      <w:bookmarkEnd w:id="342"/>
      <w:r>
        <w:rPr>
          <w:b w:val="0"/>
          <w:bCs w:val="0"/>
        </w:rPr>
      </w:r>
      <w:r>
        <w:rPr/>
        <w:t>（</w:t>
      </w:r>
      <w:r>
        <w:rPr>
          <w:rFonts w:ascii="Times New Roman" w:hAnsi="Times New Roman" w:cs="Times New Roman" w:eastAsia="Times New Roman" w:hint="default"/>
        </w:rPr>
        <w:t>3</w:t>
      </w:r>
      <w:r>
        <w:rPr/>
        <w:t>）本期收到的处置子公司的现金净额：无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136" w:right="3662"/>
        <w:jc w:val="left"/>
        <w:rPr>
          <w:b w:val="0"/>
          <w:bCs w:val="0"/>
        </w:rPr>
      </w:pPr>
      <w:bookmarkStart w:name="（4）现金和现金等价物的构成" w:id="343"/>
      <w:bookmarkEnd w:id="343"/>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3327"/>
        <w:gridCol w:w="3059"/>
        <w:gridCol w:w="3183"/>
      </w:tblGrid>
      <w:tr>
        <w:trPr>
          <w:trHeight w:val="39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288,567,656.62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615,424,871.29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50,406.88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30,351.44</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43"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288,517,249.74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615,394,519.85</w:t>
            </w:r>
          </w:p>
        </w:tc>
      </w:tr>
      <w:tr>
        <w:trPr>
          <w:trHeight w:val="39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288,567,656.62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615,424,871.29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6"/>
        <w:ind w:left="136" w:right="3662"/>
        <w:jc w:val="left"/>
        <w:rPr>
          <w:b w:val="0"/>
          <w:bCs w:val="0"/>
        </w:rPr>
      </w:pPr>
      <w:bookmarkStart w:name="50、所有者权益变动表项目注释" w:id="344"/>
      <w:bookmarkEnd w:id="344"/>
      <w:r>
        <w:rPr>
          <w:b w:val="0"/>
          <w:bCs w:val="0"/>
        </w:rPr>
      </w:r>
      <w:r>
        <w:rPr>
          <w:rFonts w:ascii="Times New Roman" w:hAnsi="Times New Roman" w:cs="Times New Roman" w:eastAsia="Times New Roman" w:hint="default"/>
        </w:rPr>
        <w:t>50</w:t>
      </w:r>
      <w:r>
        <w:rPr/>
        <w:t>、所有者权益变动表项目注释</w:t>
      </w:r>
      <w:r>
        <w:rPr>
          <w:b w:val="0"/>
          <w:bCs w:val="0"/>
        </w:rPr>
      </w:r>
    </w:p>
    <w:p>
      <w:pPr>
        <w:spacing w:line="240" w:lineRule="auto" w:before="1"/>
        <w:rPr>
          <w:rFonts w:ascii="宋体" w:hAnsi="宋体" w:cs="宋体" w:eastAsia="宋体" w:hint="default"/>
          <w:b/>
          <w:bCs/>
          <w:sz w:val="27"/>
          <w:szCs w:val="27"/>
        </w:rPr>
      </w:pPr>
    </w:p>
    <w:p>
      <w:pPr>
        <w:pStyle w:val="BodyText"/>
        <w:spacing w:line="333" w:lineRule="auto"/>
        <w:ind w:left="136" w:right="5756"/>
        <w:jc w:val="left"/>
      </w:pPr>
      <w:r>
        <w:rPr>
          <w:spacing w:val="-3"/>
        </w:rPr>
        <w:t>说明对上年期末余额进行调整的</w:t>
      </w:r>
      <w:r>
        <w:rPr>
          <w:rFonts w:ascii="Times New Roman" w:hAnsi="Times New Roman" w:cs="Times New Roman" w:eastAsia="Times New Roman" w:hint="default"/>
          <w:spacing w:val="-3"/>
        </w:rPr>
        <w:t>“</w:t>
      </w:r>
      <w:r>
        <w:rPr>
          <w:spacing w:val="-3"/>
        </w:rPr>
        <w:t>其他</w:t>
      </w:r>
      <w:r>
        <w:rPr>
          <w:rFonts w:ascii="Times New Roman" w:hAnsi="Times New Roman" w:cs="Times New Roman" w:eastAsia="Times New Roman" w:hint="default"/>
          <w:spacing w:val="-3"/>
        </w:rPr>
        <w:t>”</w:t>
      </w:r>
      <w:r>
        <w:rPr>
          <w:spacing w:val="-3"/>
        </w:rPr>
        <w:t>项目名称及调整金额等事项：</w:t>
      </w:r>
      <w:r>
        <w:rPr>
          <w:spacing w:val="-1"/>
        </w:rPr>
        <w:t> </w:t>
      </w:r>
      <w:r>
        <w:rPr>
          <w:spacing w:val="-1"/>
        </w:rPr>
      </w:r>
      <w:r>
        <w:rPr/>
        <w:t>无</w:t>
      </w:r>
    </w:p>
    <w:p>
      <w:pPr>
        <w:spacing w:line="240" w:lineRule="auto" w:before="8"/>
        <w:rPr>
          <w:rFonts w:ascii="宋体" w:hAnsi="宋体" w:cs="宋体" w:eastAsia="宋体" w:hint="default"/>
          <w:sz w:val="21"/>
          <w:szCs w:val="21"/>
        </w:rPr>
      </w:pPr>
    </w:p>
    <w:p>
      <w:pPr>
        <w:pStyle w:val="Heading4"/>
        <w:spacing w:line="240" w:lineRule="auto"/>
        <w:ind w:left="136" w:right="3662"/>
        <w:jc w:val="left"/>
        <w:rPr>
          <w:b w:val="0"/>
          <w:bCs w:val="0"/>
        </w:rPr>
      </w:pPr>
      <w:bookmarkStart w:name="51、所有权或使用权受到限制的资产" w:id="345"/>
      <w:bookmarkEnd w:id="345"/>
      <w:r>
        <w:rPr>
          <w:b w:val="0"/>
          <w:bCs w:val="0"/>
        </w:rPr>
      </w:r>
      <w:r>
        <w:rPr>
          <w:rFonts w:ascii="Times New Roman" w:hAnsi="Times New Roman" w:cs="Times New Roman" w:eastAsia="Times New Roman" w:hint="default"/>
        </w:rPr>
        <w:t>51</w:t>
      </w:r>
      <w:r>
        <w:rPr/>
        <w:t>、所有权或使用权受到限制的资产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3327"/>
        <w:gridCol w:w="2243"/>
        <w:gridCol w:w="4000"/>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4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71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300,075.77</w:t>
            </w: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9"/>
              <w:jc w:val="left"/>
              <w:rPr>
                <w:rFonts w:ascii="宋体" w:hAnsi="宋体" w:cs="宋体" w:eastAsia="宋体" w:hint="default"/>
                <w:sz w:val="18"/>
                <w:szCs w:val="18"/>
              </w:rPr>
            </w:pPr>
            <w:r>
              <w:rPr>
                <w:rFonts w:ascii="宋体" w:hAnsi="宋体" w:cs="宋体" w:eastAsia="宋体" w:hint="default"/>
                <w:spacing w:val="-3"/>
                <w:sz w:val="18"/>
                <w:szCs w:val="18"/>
              </w:rPr>
              <w:t>公司用银行存款向供应商提供的保证金，公司申</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请信用卡，用银行存款提供的保证金</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300,075.77</w:t>
            </w:r>
          </w:p>
        </w:tc>
        <w:tc>
          <w:tcPr>
            <w:tcW w:w="4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left="136" w:right="3662"/>
        <w:jc w:val="left"/>
      </w:pPr>
      <w:r>
        <w:rPr/>
        <w:t>其他说明：无</w:t>
      </w:r>
    </w:p>
    <w:p>
      <w:pPr>
        <w:spacing w:line="240" w:lineRule="auto" w:before="8"/>
        <w:rPr>
          <w:rFonts w:ascii="宋体" w:hAnsi="宋体" w:cs="宋体" w:eastAsia="宋体" w:hint="default"/>
          <w:sz w:val="26"/>
          <w:szCs w:val="26"/>
        </w:rPr>
      </w:pPr>
    </w:p>
    <w:p>
      <w:pPr>
        <w:pStyle w:val="Heading4"/>
        <w:spacing w:line="240" w:lineRule="auto"/>
        <w:ind w:left="136" w:right="3662"/>
        <w:jc w:val="left"/>
        <w:rPr>
          <w:b w:val="0"/>
          <w:bCs w:val="0"/>
        </w:rPr>
      </w:pPr>
      <w:bookmarkStart w:name="52、外币货币性项目" w:id="346"/>
      <w:bookmarkEnd w:id="346"/>
      <w:r>
        <w:rPr>
          <w:b w:val="0"/>
          <w:bCs w:val="0"/>
        </w:rPr>
      </w:r>
      <w:r>
        <w:rPr>
          <w:rFonts w:ascii="Times New Roman" w:hAnsi="Times New Roman" w:cs="Times New Roman" w:eastAsia="Times New Roman" w:hint="default"/>
        </w:rPr>
        <w:t>52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1）外币货币性项目" w:id="347"/>
      <w:bookmarkEnd w:id="34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2"/>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3731"/>
        <w:gridCol w:w="2064"/>
        <w:gridCol w:w="1392"/>
        <w:gridCol w:w="3064"/>
      </w:tblGrid>
      <w:tr>
        <w:trPr>
          <w:trHeight w:val="420" w:hRule="exact"/>
        </w:trPr>
        <w:tc>
          <w:tcPr>
            <w:tcW w:w="373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6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1"/>
              <w:ind w:left="479"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139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1"/>
              <w:ind w:left="326"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306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1"/>
              <w:ind w:left="711"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6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0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42,375,395.56</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4"/>
              <w:ind w:left="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064" w:type="dxa"/>
            <w:tcBorders>
              <w:top w:val="single" w:sz="8" w:space="0" w:color="000000"/>
              <w:left w:val="single" w:sz="10"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2,206,362.46</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6.9762</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15,392,025.79</w:t>
            </w:r>
          </w:p>
        </w:tc>
      </w:tr>
      <w:tr>
        <w:trPr>
          <w:trHeight w:val="408" w:hRule="exact"/>
        </w:trPr>
        <w:tc>
          <w:tcPr>
            <w:tcW w:w="373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547"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064" w:type="dxa"/>
            <w:tcBorders>
              <w:top w:val="single" w:sz="8" w:space="0" w:color="000000"/>
              <w:left w:val="single" w:sz="10"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37,736.85</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7.8155</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294,932.35</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8"/>
              <w:ind w:left="547"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064" w:type="dxa"/>
            <w:tcBorders>
              <w:top w:val="single" w:sz="8" w:space="0" w:color="000000"/>
              <w:left w:val="single" w:sz="10" w:space="0" w:color="000000"/>
              <w:bottom w:val="single" w:sz="8" w:space="0" w:color="000000"/>
              <w:right w:val="single" w:sz="8"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7,326,000.59</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0.8958</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6,562,619.59</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547"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119,136.45</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4.8843</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581,898.16</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547" w:right="0"/>
              <w:jc w:val="left"/>
              <w:rPr>
                <w:rFonts w:ascii="宋体" w:hAnsi="宋体" w:cs="宋体" w:eastAsia="宋体" w:hint="default"/>
                <w:sz w:val="18"/>
                <w:szCs w:val="18"/>
              </w:rPr>
            </w:pPr>
            <w:r>
              <w:rPr>
                <w:rFonts w:ascii="宋体" w:hAnsi="宋体" w:cs="宋体" w:eastAsia="宋体" w:hint="default"/>
                <w:spacing w:val="-3"/>
                <w:sz w:val="18"/>
                <w:szCs w:val="18"/>
              </w:rPr>
              <w:t>加拿大元</w:t>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3,554,582.56</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5.3421</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18,988,935.49</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547" w:right="0"/>
              <w:jc w:val="left"/>
              <w:rPr>
                <w:rFonts w:ascii="宋体" w:hAnsi="宋体" w:cs="宋体" w:eastAsia="宋体" w:hint="default"/>
                <w:sz w:val="18"/>
                <w:szCs w:val="18"/>
              </w:rPr>
            </w:pPr>
            <w:r>
              <w:rPr>
                <w:rFonts w:ascii="宋体" w:hAnsi="宋体" w:cs="宋体" w:eastAsia="宋体" w:hint="default"/>
                <w:spacing w:val="-5"/>
                <w:sz w:val="18"/>
                <w:szCs w:val="18"/>
              </w:rPr>
              <w:t>日元</w:t>
            </w:r>
            <w:r>
              <w:rPr>
                <w:rFonts w:ascii="宋体" w:hAnsi="宋体" w:cs="宋体" w:eastAsia="宋体" w:hint="default"/>
                <w:sz w:val="18"/>
                <w:szCs w:val="18"/>
              </w:rPr>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1,293,778.00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0.0641</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82,931.17</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816"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472,053.01</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472,053.01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00" w:bottom="1220" w:left="680" w:right="0"/>
        </w:sect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4"/>
          <w:szCs w:val="4"/>
        </w:rPr>
      </w:pPr>
    </w:p>
    <w:tbl>
      <w:tblPr>
        <w:tblW w:w="0" w:type="auto"/>
        <w:jc w:val="left"/>
        <w:tblInd w:w="112" w:type="dxa"/>
        <w:tblLayout w:type="fixed"/>
        <w:tblCellMar>
          <w:top w:w="0" w:type="dxa"/>
          <w:left w:w="0" w:type="dxa"/>
          <w:bottom w:w="0" w:type="dxa"/>
          <w:right w:w="0" w:type="dxa"/>
        </w:tblCellMar>
        <w:tblLook w:val="01E0"/>
      </w:tblPr>
      <w:tblGrid>
        <w:gridCol w:w="3731"/>
        <w:gridCol w:w="2064"/>
        <w:gridCol w:w="1392"/>
        <w:gridCol w:w="3064"/>
      </w:tblGrid>
      <w:tr>
        <w:trPr>
          <w:trHeight w:val="420" w:hRule="exact"/>
        </w:trPr>
        <w:tc>
          <w:tcPr>
            <w:tcW w:w="373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6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1"/>
              <w:ind w:left="479"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139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1"/>
              <w:ind w:left="326"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306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1"/>
              <w:ind w:left="711"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408" w:hRule="exact"/>
        </w:trPr>
        <w:tc>
          <w:tcPr>
            <w:tcW w:w="373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64"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1392"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3064"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17,256,248.18</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064" w:type="dxa"/>
            <w:tcBorders>
              <w:top w:val="single" w:sz="8" w:space="0" w:color="000000"/>
              <w:left w:val="single" w:sz="10" w:space="0" w:color="000000"/>
              <w:bottom w:val="single" w:sz="8" w:space="0" w:color="000000"/>
              <w:right w:val="single" w:sz="8"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2,028,660.67</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6.9762</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14,152,342.57</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4"/>
              <w:ind w:left="547"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064" w:type="dxa"/>
            <w:tcBorders>
              <w:top w:val="single" w:sz="8" w:space="0" w:color="000000"/>
              <w:left w:val="single" w:sz="10"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42,532.00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7.8155</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332,408.85</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547"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064" w:type="dxa"/>
            <w:tcBorders>
              <w:top w:val="single" w:sz="8" w:space="0" w:color="000000"/>
              <w:left w:val="single" w:sz="10" w:space="0" w:color="000000"/>
              <w:bottom w:val="single" w:sz="8" w:space="0" w:color="000000"/>
              <w:right w:val="single" w:sz="8"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6,200.00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0.8958</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5,553.96</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547"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40,026.83</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4.8843</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195,503.05</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547" w:right="0"/>
              <w:jc w:val="left"/>
              <w:rPr>
                <w:rFonts w:ascii="宋体" w:hAnsi="宋体" w:cs="宋体" w:eastAsia="宋体" w:hint="default"/>
                <w:sz w:val="18"/>
                <w:szCs w:val="18"/>
              </w:rPr>
            </w:pPr>
            <w:r>
              <w:rPr>
                <w:rFonts w:ascii="宋体" w:hAnsi="宋体" w:cs="宋体" w:eastAsia="宋体" w:hint="default"/>
                <w:spacing w:val="-3"/>
                <w:sz w:val="18"/>
                <w:szCs w:val="18"/>
              </w:rPr>
              <w:t>加拿大元</w:t>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393,301.01</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5.3421</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2,101,053.33</w:t>
            </w:r>
          </w:p>
        </w:tc>
      </w:tr>
      <w:tr>
        <w:trPr>
          <w:trHeight w:val="408"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547" w:right="0"/>
              <w:jc w:val="left"/>
              <w:rPr>
                <w:rFonts w:ascii="宋体" w:hAnsi="宋体" w:cs="宋体" w:eastAsia="宋体" w:hint="default"/>
                <w:sz w:val="18"/>
                <w:szCs w:val="18"/>
              </w:rPr>
            </w:pPr>
            <w:r>
              <w:rPr>
                <w:rFonts w:ascii="宋体" w:hAnsi="宋体" w:cs="宋体" w:eastAsia="宋体" w:hint="default"/>
                <w:spacing w:val="-3"/>
                <w:sz w:val="18"/>
                <w:szCs w:val="18"/>
              </w:rPr>
              <w:t>新西兰元</w:t>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938.51</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4.6973</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4,408.46</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547" w:right="0"/>
              <w:jc w:val="left"/>
              <w:rPr>
                <w:rFonts w:ascii="宋体" w:hAnsi="宋体" w:cs="宋体" w:eastAsia="宋体" w:hint="default"/>
                <w:sz w:val="18"/>
                <w:szCs w:val="18"/>
              </w:rPr>
            </w:pPr>
            <w:r>
              <w:rPr>
                <w:rFonts w:ascii="宋体" w:hAnsi="宋体" w:cs="宋体" w:eastAsia="宋体" w:hint="default"/>
                <w:spacing w:val="-3"/>
                <w:sz w:val="18"/>
                <w:szCs w:val="18"/>
              </w:rPr>
              <w:t>新加坡元</w:t>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5,180.03</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5.1739</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26,800.96</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547" w:right="0"/>
              <w:jc w:val="left"/>
              <w:rPr>
                <w:rFonts w:ascii="宋体" w:hAnsi="宋体" w:cs="宋体" w:eastAsia="宋体" w:hint="default"/>
                <w:sz w:val="18"/>
                <w:szCs w:val="18"/>
              </w:rPr>
            </w:pPr>
            <w:r>
              <w:rPr>
                <w:rFonts w:ascii="宋体" w:hAnsi="宋体" w:cs="宋体" w:eastAsia="宋体" w:hint="default"/>
                <w:spacing w:val="-5"/>
                <w:sz w:val="18"/>
                <w:szCs w:val="18"/>
              </w:rPr>
              <w:t>日元</w:t>
            </w:r>
            <w:r>
              <w:rPr>
                <w:rFonts w:ascii="宋体" w:hAnsi="宋体" w:cs="宋体" w:eastAsia="宋体" w:hint="default"/>
                <w:sz w:val="18"/>
                <w:szCs w:val="18"/>
              </w:rPr>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1,301,374.00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0.0641</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83,418.07</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547"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354,758.93</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354,758.93</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4"/>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064"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1392"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3064" w:type="dxa"/>
            <w:tcBorders>
              <w:top w:val="single" w:sz="8" w:space="0" w:color="000000"/>
              <w:left w:val="single" w:sz="12" w:space="0" w:color="000000"/>
              <w:bottom w:val="single" w:sz="8" w:space="0" w:color="000000"/>
              <w:right w:val="single" w:sz="8" w:space="0" w:color="000000"/>
            </w:tcBorders>
          </w:tcPr>
          <w:p>
            <w:pP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064" w:type="dxa"/>
            <w:tcBorders>
              <w:top w:val="single" w:sz="8" w:space="0" w:color="000000"/>
              <w:left w:val="single" w:sz="10"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c>
          <w:tcPr>
            <w:tcW w:w="3064" w:type="dxa"/>
            <w:tcBorders>
              <w:top w:val="single" w:sz="8" w:space="0" w:color="000000"/>
              <w:left w:val="single" w:sz="8" w:space="0" w:color="000000"/>
              <w:bottom w:val="single" w:sz="8" w:space="0" w:color="000000"/>
              <w:right w:val="single" w:sz="8" w:space="0" w:color="000000"/>
            </w:tcBorders>
          </w:tcPr>
          <w:p>
            <w:pPr/>
          </w:p>
        </w:tc>
      </w:tr>
      <w:tr>
        <w:trPr>
          <w:trHeight w:val="408" w:hRule="exact"/>
        </w:trPr>
        <w:tc>
          <w:tcPr>
            <w:tcW w:w="373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3"/>
              <w:ind w:left="547"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064" w:type="dxa"/>
            <w:tcBorders>
              <w:top w:val="single" w:sz="8" w:space="0" w:color="000000"/>
              <w:left w:val="single" w:sz="10"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c>
          <w:tcPr>
            <w:tcW w:w="3064"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8"/>
              <w:ind w:left="547"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064" w:type="dxa"/>
            <w:tcBorders>
              <w:top w:val="single" w:sz="8" w:space="0" w:color="000000"/>
              <w:left w:val="single" w:sz="10"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c>
          <w:tcPr>
            <w:tcW w:w="3064" w:type="dxa"/>
            <w:tcBorders>
              <w:top w:val="single" w:sz="8" w:space="0" w:color="000000"/>
              <w:left w:val="single" w:sz="8" w:space="0" w:color="000000"/>
              <w:bottom w:val="single" w:sz="8" w:space="0" w:color="000000"/>
              <w:right w:val="single" w:sz="8" w:space="0" w:color="000000"/>
            </w:tcBorders>
          </w:tcPr>
          <w:p>
            <w:pP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4" w:right="0"/>
              <w:jc w:val="left"/>
              <w:rPr>
                <w:rFonts w:ascii="宋体" w:hAnsi="宋体" w:cs="宋体" w:eastAsia="宋体" w:hint="default"/>
                <w:sz w:val="18"/>
                <w:szCs w:val="18"/>
              </w:rPr>
            </w:pPr>
            <w:r>
              <w:rPr>
                <w:rFonts w:ascii="宋体" w:hAnsi="宋体" w:cs="宋体" w:eastAsia="宋体" w:hint="default"/>
                <w:color w:val="0D0D0D"/>
                <w:sz w:val="18"/>
                <w:szCs w:val="18"/>
              </w:rPr>
              <w:t>其他应收款</w:t>
            </w:r>
            <w:r>
              <w:rPr>
                <w:rFonts w:ascii="宋体" w:hAnsi="宋体" w:cs="宋体" w:eastAsia="宋体" w:hint="default"/>
                <w:sz w:val="18"/>
                <w:szCs w:val="18"/>
              </w:rPr>
            </w:r>
          </w:p>
        </w:tc>
        <w:tc>
          <w:tcPr>
            <w:tcW w:w="2064" w:type="dxa"/>
            <w:tcBorders>
              <w:top w:val="single" w:sz="8" w:space="0" w:color="000000"/>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1,568,344.37</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color w:val="0D0D0D"/>
                <w:sz w:val="18"/>
                <w:szCs w:val="18"/>
              </w:rPr>
              <w:t>其中：人民币</w:t>
            </w:r>
            <w:r>
              <w:rPr>
                <w:rFonts w:ascii="宋体" w:hAnsi="宋体" w:cs="宋体" w:eastAsia="宋体" w:hint="default"/>
                <w:sz w:val="18"/>
                <w:szCs w:val="18"/>
              </w:rPr>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7,872.70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7,872.70</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547" w:right="0"/>
              <w:jc w:val="left"/>
              <w:rPr>
                <w:rFonts w:ascii="宋体" w:hAnsi="宋体" w:cs="宋体" w:eastAsia="宋体" w:hint="default"/>
                <w:sz w:val="18"/>
                <w:szCs w:val="18"/>
              </w:rPr>
            </w:pPr>
            <w:r>
              <w:rPr>
                <w:rFonts w:ascii="宋体" w:hAnsi="宋体" w:cs="宋体" w:eastAsia="宋体" w:hint="default"/>
                <w:color w:val="0D0D0D"/>
                <w:spacing w:val="-5"/>
                <w:sz w:val="18"/>
                <w:szCs w:val="18"/>
              </w:rPr>
              <w:t>美元</w:t>
            </w:r>
            <w:r>
              <w:rPr>
                <w:rFonts w:ascii="宋体" w:hAnsi="宋体" w:cs="宋体" w:eastAsia="宋体" w:hint="default"/>
                <w:sz w:val="18"/>
                <w:szCs w:val="18"/>
              </w:rPr>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37,500.00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6.9762</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261,607.50</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547" w:right="0"/>
              <w:jc w:val="left"/>
              <w:rPr>
                <w:rFonts w:ascii="宋体" w:hAnsi="宋体" w:cs="宋体" w:eastAsia="宋体" w:hint="default"/>
                <w:sz w:val="18"/>
                <w:szCs w:val="18"/>
              </w:rPr>
            </w:pPr>
            <w:r>
              <w:rPr>
                <w:rFonts w:ascii="宋体" w:hAnsi="宋体" w:cs="宋体" w:eastAsia="宋体" w:hint="default"/>
                <w:color w:val="0D0D0D"/>
                <w:sz w:val="18"/>
                <w:szCs w:val="18"/>
              </w:rPr>
              <w:t>澳大利亚元</w:t>
            </w:r>
            <w:r>
              <w:rPr>
                <w:rFonts w:ascii="宋体" w:hAnsi="宋体" w:cs="宋体" w:eastAsia="宋体" w:hint="default"/>
                <w:sz w:val="18"/>
                <w:szCs w:val="18"/>
              </w:rPr>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1,000.00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4.8843</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4,884.30</w:t>
            </w:r>
          </w:p>
        </w:tc>
      </w:tr>
      <w:tr>
        <w:trPr>
          <w:trHeight w:val="408"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547" w:right="0"/>
              <w:jc w:val="left"/>
              <w:rPr>
                <w:rFonts w:ascii="宋体" w:hAnsi="宋体" w:cs="宋体" w:eastAsia="宋体" w:hint="default"/>
                <w:sz w:val="18"/>
                <w:szCs w:val="18"/>
              </w:rPr>
            </w:pPr>
            <w:r>
              <w:rPr>
                <w:rFonts w:ascii="宋体" w:hAnsi="宋体" w:cs="宋体" w:eastAsia="宋体" w:hint="default"/>
                <w:color w:val="0D0D0D"/>
                <w:spacing w:val="-5"/>
                <w:sz w:val="18"/>
                <w:szCs w:val="18"/>
              </w:rPr>
              <w:t>港币</w:t>
            </w:r>
            <w:r>
              <w:rPr>
                <w:rFonts w:ascii="宋体" w:hAnsi="宋体" w:cs="宋体" w:eastAsia="宋体" w:hint="default"/>
                <w:sz w:val="18"/>
                <w:szCs w:val="18"/>
              </w:rPr>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1,444,496.39</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0.8958</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1,293,979.87</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color w:val="0D0D0D"/>
                <w:sz w:val="18"/>
                <w:szCs w:val="18"/>
              </w:rPr>
              <w:t>应付账款</w:t>
            </w:r>
            <w:r>
              <w:rPr>
                <w:rFonts w:ascii="宋体" w:hAnsi="宋体" w:cs="宋体" w:eastAsia="宋体" w:hint="default"/>
                <w:sz w:val="18"/>
                <w:szCs w:val="18"/>
              </w:rPr>
            </w:r>
          </w:p>
        </w:tc>
        <w:tc>
          <w:tcPr>
            <w:tcW w:w="2064" w:type="dxa"/>
            <w:tcBorders>
              <w:top w:val="single" w:sz="8" w:space="0" w:color="000000"/>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26,935,208.27</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color w:val="0D0D0D"/>
                <w:sz w:val="18"/>
                <w:szCs w:val="18"/>
              </w:rPr>
              <w:t>其中：人民币</w:t>
            </w:r>
            <w:r>
              <w:rPr>
                <w:rFonts w:ascii="宋体" w:hAnsi="宋体" w:cs="宋体" w:eastAsia="宋体" w:hint="default"/>
                <w:sz w:val="18"/>
                <w:szCs w:val="18"/>
              </w:rPr>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17,258,973.78</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17,258,973.78</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547" w:right="0"/>
              <w:jc w:val="left"/>
              <w:rPr>
                <w:rFonts w:ascii="宋体" w:hAnsi="宋体" w:cs="宋体" w:eastAsia="宋体" w:hint="default"/>
                <w:sz w:val="18"/>
                <w:szCs w:val="18"/>
              </w:rPr>
            </w:pPr>
            <w:r>
              <w:rPr>
                <w:rFonts w:ascii="宋体" w:hAnsi="宋体" w:cs="宋体" w:eastAsia="宋体" w:hint="default"/>
                <w:color w:val="0D0D0D"/>
                <w:spacing w:val="-5"/>
                <w:sz w:val="18"/>
                <w:szCs w:val="18"/>
              </w:rPr>
              <w:t>美元</w:t>
            </w:r>
            <w:r>
              <w:rPr>
                <w:rFonts w:ascii="宋体" w:hAnsi="宋体" w:cs="宋体" w:eastAsia="宋体" w:hint="default"/>
                <w:sz w:val="18"/>
                <w:szCs w:val="18"/>
              </w:rPr>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1,241,810.20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6.9762</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8,663,116.32</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547" w:right="0"/>
              <w:jc w:val="left"/>
              <w:rPr>
                <w:rFonts w:ascii="宋体" w:hAnsi="宋体" w:cs="宋体" w:eastAsia="宋体" w:hint="default"/>
                <w:sz w:val="18"/>
                <w:szCs w:val="18"/>
              </w:rPr>
            </w:pPr>
            <w:r>
              <w:rPr>
                <w:rFonts w:ascii="宋体" w:hAnsi="宋体" w:cs="宋体" w:eastAsia="宋体" w:hint="default"/>
                <w:color w:val="0D0D0D"/>
                <w:sz w:val="18"/>
                <w:szCs w:val="18"/>
              </w:rPr>
              <w:t>澳大利亚元</w:t>
            </w:r>
            <w:r>
              <w:rPr>
                <w:rFonts w:ascii="宋体" w:hAnsi="宋体" w:cs="宋体" w:eastAsia="宋体" w:hint="default"/>
                <w:sz w:val="18"/>
                <w:szCs w:val="18"/>
              </w:rPr>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916.60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4.8843</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4,476.95</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547" w:right="0"/>
              <w:jc w:val="left"/>
              <w:rPr>
                <w:rFonts w:ascii="宋体" w:hAnsi="宋体" w:cs="宋体" w:eastAsia="宋体" w:hint="default"/>
                <w:sz w:val="18"/>
                <w:szCs w:val="18"/>
              </w:rPr>
            </w:pPr>
            <w:r>
              <w:rPr>
                <w:rFonts w:ascii="宋体" w:hAnsi="宋体" w:cs="宋体" w:eastAsia="宋体" w:hint="default"/>
                <w:color w:val="0D0D0D"/>
                <w:spacing w:val="-5"/>
                <w:sz w:val="18"/>
                <w:szCs w:val="18"/>
              </w:rPr>
              <w:t>港币</w:t>
            </w:r>
            <w:r>
              <w:rPr>
                <w:rFonts w:ascii="宋体" w:hAnsi="宋体" w:cs="宋体" w:eastAsia="宋体" w:hint="default"/>
                <w:sz w:val="18"/>
                <w:szCs w:val="18"/>
              </w:rPr>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489,915.95</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0.8958</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438,866.71</w:t>
            </w:r>
          </w:p>
        </w:tc>
      </w:tr>
      <w:tr>
        <w:trPr>
          <w:trHeight w:val="408"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547" w:right="0"/>
              <w:jc w:val="left"/>
              <w:rPr>
                <w:rFonts w:ascii="宋体" w:hAnsi="宋体" w:cs="宋体" w:eastAsia="宋体" w:hint="default"/>
                <w:sz w:val="18"/>
                <w:szCs w:val="18"/>
              </w:rPr>
            </w:pPr>
            <w:r>
              <w:rPr>
                <w:rFonts w:ascii="宋体" w:hAnsi="宋体" w:cs="宋体" w:eastAsia="宋体" w:hint="default"/>
                <w:color w:val="0D0D0D"/>
                <w:spacing w:val="-5"/>
                <w:sz w:val="18"/>
                <w:szCs w:val="18"/>
              </w:rPr>
              <w:t>欧元</w:t>
            </w:r>
            <w:r>
              <w:rPr>
                <w:rFonts w:ascii="宋体" w:hAnsi="宋体" w:cs="宋体" w:eastAsia="宋体" w:hint="default"/>
                <w:sz w:val="18"/>
                <w:szCs w:val="18"/>
              </w:rPr>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65,935.84</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7.8155</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515,321.56</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547" w:right="0"/>
              <w:jc w:val="left"/>
              <w:rPr>
                <w:rFonts w:ascii="宋体" w:hAnsi="宋体" w:cs="宋体" w:eastAsia="宋体" w:hint="default"/>
                <w:sz w:val="18"/>
                <w:szCs w:val="18"/>
              </w:rPr>
            </w:pPr>
            <w:r>
              <w:rPr>
                <w:rFonts w:ascii="宋体" w:hAnsi="宋体" w:cs="宋体" w:eastAsia="宋体" w:hint="default"/>
                <w:color w:val="0D0D0D"/>
                <w:spacing w:val="-5"/>
                <w:sz w:val="18"/>
                <w:szCs w:val="18"/>
              </w:rPr>
              <w:t>日元</w:t>
            </w:r>
            <w:r>
              <w:rPr>
                <w:rFonts w:ascii="宋体" w:hAnsi="宋体" w:cs="宋体" w:eastAsia="宋体" w:hint="default"/>
                <w:sz w:val="18"/>
                <w:szCs w:val="18"/>
              </w:rPr>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849,500.00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0.0641</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54,452.95</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color w:val="0D0D0D"/>
                <w:sz w:val="18"/>
                <w:szCs w:val="18"/>
              </w:rPr>
              <w:t>其他应付款</w:t>
            </w:r>
            <w:r>
              <w:rPr>
                <w:rFonts w:ascii="宋体" w:hAnsi="宋体" w:cs="宋体" w:eastAsia="宋体" w:hint="default"/>
                <w:sz w:val="18"/>
                <w:szCs w:val="18"/>
              </w:rPr>
            </w:r>
          </w:p>
        </w:tc>
        <w:tc>
          <w:tcPr>
            <w:tcW w:w="2064" w:type="dxa"/>
            <w:tcBorders>
              <w:top w:val="single" w:sz="8" w:space="0" w:color="000000"/>
              <w:left w:val="single" w:sz="8" w:space="0" w:color="000000"/>
              <w:bottom w:val="single" w:sz="8" w:space="0" w:color="000000"/>
              <w:right w:val="single" w:sz="8" w:space="0" w:color="000000"/>
            </w:tcBorders>
          </w:tcPr>
          <w:p>
            <w:pPr/>
          </w:p>
        </w:tc>
        <w:tc>
          <w:tcPr>
            <w:tcW w:w="1392" w:type="dxa"/>
            <w:tcBorders>
              <w:top w:val="single" w:sz="8" w:space="0" w:color="000000"/>
              <w:left w:val="single" w:sz="8" w:space="0" w:color="000000"/>
              <w:bottom w:val="single" w:sz="8" w:space="0" w:color="000000"/>
              <w:right w:val="single" w:sz="8" w:space="0" w:color="000000"/>
            </w:tcBorders>
          </w:tcPr>
          <w:p>
            <w:pP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31,959.31</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color w:val="0D0D0D"/>
                <w:sz w:val="18"/>
                <w:szCs w:val="18"/>
              </w:rPr>
              <w:t>其中：美元</w:t>
            </w:r>
            <w:r>
              <w:rPr>
                <w:rFonts w:ascii="宋体" w:hAnsi="宋体" w:cs="宋体" w:eastAsia="宋体" w:hint="default"/>
                <w:sz w:val="18"/>
                <w:szCs w:val="18"/>
              </w:rPr>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2,400.00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6.9762</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16,742.88</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547" w:right="0"/>
              <w:jc w:val="left"/>
              <w:rPr>
                <w:rFonts w:ascii="宋体" w:hAnsi="宋体" w:cs="宋体" w:eastAsia="宋体" w:hint="default"/>
                <w:sz w:val="18"/>
                <w:szCs w:val="18"/>
              </w:rPr>
            </w:pPr>
            <w:r>
              <w:rPr>
                <w:rFonts w:ascii="宋体" w:hAnsi="宋体" w:cs="宋体" w:eastAsia="宋体" w:hint="default"/>
                <w:color w:val="0D0D0D"/>
                <w:spacing w:val="-3"/>
                <w:sz w:val="18"/>
                <w:szCs w:val="18"/>
              </w:rPr>
              <w:t>加拿大元</w:t>
            </w:r>
            <w:r>
              <w:rPr>
                <w:rFonts w:ascii="宋体" w:hAnsi="宋体" w:cs="宋体" w:eastAsia="宋体" w:hint="default"/>
                <w:spacing w:val="-3"/>
                <w:sz w:val="18"/>
                <w:szCs w:val="18"/>
              </w:rPr>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120.00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5.3421</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641.05</w:t>
            </w:r>
          </w:p>
        </w:tc>
      </w:tr>
      <w:tr>
        <w:trPr>
          <w:trHeight w:val="413" w:hRule="exact"/>
        </w:trPr>
        <w:tc>
          <w:tcPr>
            <w:tcW w:w="3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547" w:right="0"/>
              <w:jc w:val="left"/>
              <w:rPr>
                <w:rFonts w:ascii="宋体" w:hAnsi="宋体" w:cs="宋体" w:eastAsia="宋体" w:hint="default"/>
                <w:sz w:val="18"/>
                <w:szCs w:val="18"/>
              </w:rPr>
            </w:pPr>
            <w:r>
              <w:rPr>
                <w:rFonts w:ascii="宋体" w:hAnsi="宋体" w:cs="宋体" w:eastAsia="宋体" w:hint="default"/>
                <w:color w:val="0D0D0D"/>
                <w:spacing w:val="-5"/>
                <w:sz w:val="18"/>
                <w:szCs w:val="18"/>
              </w:rPr>
              <w:t>港币</w:t>
            </w:r>
            <w:r>
              <w:rPr>
                <w:rFonts w:ascii="宋体" w:hAnsi="宋体" w:cs="宋体" w:eastAsia="宋体" w:hint="default"/>
                <w:sz w:val="18"/>
                <w:szCs w:val="18"/>
              </w:rPr>
            </w:r>
          </w:p>
        </w:tc>
        <w:tc>
          <w:tcPr>
            <w:tcW w:w="2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16,270.80</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0.8958</w:t>
            </w:r>
          </w:p>
        </w:tc>
        <w:tc>
          <w:tcPr>
            <w:tcW w:w="30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14,575.38</w:t>
            </w:r>
          </w:p>
        </w:tc>
      </w:tr>
    </w:tbl>
    <w:p>
      <w:pPr>
        <w:pStyle w:val="BodyText"/>
        <w:spacing w:line="240" w:lineRule="auto" w:before="10"/>
        <w:ind w:left="136" w:right="3662"/>
        <w:jc w:val="left"/>
      </w:pPr>
      <w:r>
        <w:rPr/>
        <w:t>其他说明：无</w:t>
      </w:r>
    </w:p>
    <w:p>
      <w:pPr>
        <w:spacing w:after="0" w:line="240" w:lineRule="auto"/>
        <w:jc w:val="left"/>
        <w:sectPr>
          <w:pgSz w:w="11910" w:h="16840"/>
          <w:pgMar w:header="0" w:footer="1022" w:top="1100" w:bottom="1220" w:left="680" w:right="0"/>
        </w:sect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Heading4"/>
        <w:spacing w:line="256" w:lineRule="auto" w:before="35"/>
        <w:ind w:left="216" w:right="0"/>
        <w:jc w:val="left"/>
        <w:rPr>
          <w:b w:val="0"/>
          <w:bCs w:val="0"/>
        </w:rPr>
      </w:pPr>
      <w:bookmarkStart w:name="（2）境外经营实体说明，包括对于重要的境外经营实体，应披露其境外主要经营地、记账" w:id="348"/>
      <w:bookmarkEnd w:id="348"/>
      <w:r>
        <w:rPr>
          <w:b w:val="0"/>
          <w:bCs w:val="0"/>
        </w:rPr>
      </w:r>
      <w:r>
        <w:rPr>
          <w:spacing w:val="-1"/>
        </w:rPr>
        <w:t>（</w:t>
      </w:r>
      <w:r>
        <w:rPr>
          <w:rFonts w:ascii="Times New Roman" w:hAnsi="Times New Roman" w:cs="Times New Roman" w:eastAsia="Times New Roman" w:hint="default"/>
          <w:spacing w:val="-1"/>
        </w:rPr>
        <w:t>2</w:t>
      </w:r>
      <w:r>
        <w:rPr>
          <w:spacing w:val="-1"/>
        </w:rPr>
        <w:t>）境外经营实体说明，包括对于重要的境外经营实体，应披露其境外主要经营地、记账本位币及选择依据，</w:t>
      </w:r>
      <w:r>
        <w:rPr>
          <w:spacing w:val="-58"/>
        </w:rPr>
        <w:t> </w:t>
      </w:r>
      <w:r>
        <w:rPr>
          <w:spacing w:val="-58"/>
        </w:rPr>
      </w:r>
      <w:r>
        <w:rPr/>
        <w:t>记账本位币发生变化的还应披露原因。</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left="216"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97"/>
        <w:ind w:left="398" w:right="0"/>
        <w:jc w:val="left"/>
      </w:pPr>
      <w:r>
        <w:rPr>
          <w:spacing w:val="-3"/>
        </w:rPr>
        <w:t>本集团重要的境外经营实体为</w:t>
      </w:r>
      <w:r>
        <w:rPr>
          <w:rFonts w:ascii="Times New Roman" w:hAnsi="Times New Roman" w:cs="Times New Roman" w:eastAsia="Times New Roman" w:hint="default"/>
          <w:spacing w:val="-3"/>
        </w:rPr>
        <w:t>iTalk  </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
        </w:rPr>
        <w:t>Global</w:t>
      </w:r>
      <w:r>
        <w:rPr>
          <w:spacing w:val="-3"/>
        </w:rPr>
        <w:t>公司，其主要经营地为美国，记账本位币为美元。</w:t>
      </w:r>
    </w:p>
    <w:p>
      <w:pPr>
        <w:spacing w:line="240" w:lineRule="auto" w:before="13"/>
        <w:rPr>
          <w:rFonts w:ascii="宋体" w:hAnsi="宋体" w:cs="宋体" w:eastAsia="宋体" w:hint="default"/>
          <w:sz w:val="25"/>
          <w:szCs w:val="25"/>
        </w:rPr>
      </w:pPr>
    </w:p>
    <w:p>
      <w:pPr>
        <w:pStyle w:val="Heading4"/>
        <w:spacing w:line="240" w:lineRule="auto"/>
        <w:ind w:left="216" w:right="0"/>
        <w:jc w:val="left"/>
        <w:rPr>
          <w:b w:val="0"/>
          <w:bCs w:val="0"/>
        </w:rPr>
      </w:pPr>
      <w:bookmarkStart w:name="53、政府补助" w:id="349"/>
      <w:bookmarkEnd w:id="349"/>
      <w:r>
        <w:rPr>
          <w:b w:val="0"/>
          <w:bCs w:val="0"/>
        </w:rPr>
      </w:r>
      <w:r>
        <w:rPr>
          <w:rFonts w:ascii="Times New Roman" w:hAnsi="Times New Roman" w:cs="Times New Roman" w:eastAsia="Times New Roman" w:hint="default"/>
        </w:rPr>
        <w:t>53</w:t>
      </w:r>
      <w:r>
        <w:rPr/>
        <w:t>、政府补助</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216" w:right="0"/>
        <w:jc w:val="left"/>
        <w:rPr>
          <w:b w:val="0"/>
          <w:bCs w:val="0"/>
        </w:rPr>
      </w:pPr>
      <w:bookmarkStart w:name="（1）政府补助基本情况" w:id="350"/>
      <w:bookmarkEnd w:id="350"/>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857"/>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4763"/>
        <w:gridCol w:w="1364"/>
        <w:gridCol w:w="2156"/>
        <w:gridCol w:w="2156"/>
      </w:tblGrid>
      <w:tr>
        <w:trPr>
          <w:trHeight w:val="401"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15"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63"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403" w:hRule="exact"/>
        </w:trPr>
        <w:tc>
          <w:tcPr>
            <w:tcW w:w="4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云通信项目</w:t>
            </w:r>
            <w:r>
              <w:rPr>
                <w:rFonts w:ascii="Times New Roman" w:hAnsi="Times New Roman" w:cs="Times New Roman" w:eastAsia="Times New Roman" w:hint="default"/>
                <w:sz w:val="18"/>
                <w:szCs w:val="18"/>
              </w:rPr>
              <w:t>(</w:t>
            </w:r>
            <w:r>
              <w:rPr>
                <w:rFonts w:ascii="宋体" w:hAnsi="宋体" w:cs="宋体" w:eastAsia="宋体" w:hint="default"/>
                <w:sz w:val="18"/>
                <w:szCs w:val="18"/>
              </w:rPr>
              <w:t>附注七</w:t>
            </w:r>
            <w:r>
              <w:rPr>
                <w:rFonts w:ascii="Times New Roman" w:hAnsi="Times New Roman" w:cs="Times New Roman" w:eastAsia="Times New Roman" w:hint="default"/>
                <w:sz w:val="18"/>
                <w:szCs w:val="18"/>
              </w:rPr>
              <w:t>(25))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1,146,000.00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1,146,000.00</w:t>
            </w:r>
          </w:p>
        </w:tc>
      </w:tr>
      <w:tr>
        <w:trPr>
          <w:trHeight w:val="403" w:hRule="exact"/>
        </w:trPr>
        <w:tc>
          <w:tcPr>
            <w:tcW w:w="4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移动数据虚拟专用网络服务平台项目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附注七</w:t>
            </w:r>
            <w:r>
              <w:rPr>
                <w:rFonts w:ascii="Times New Roman" w:hAnsi="Times New Roman" w:cs="Times New Roman" w:eastAsia="Times New Roman" w:hint="default"/>
                <w:spacing w:val="-3"/>
                <w:sz w:val="18"/>
                <w:szCs w:val="18"/>
              </w:rPr>
              <w:t>(25))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332,015.67</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332,015.67</w:t>
            </w:r>
          </w:p>
        </w:tc>
      </w:tr>
      <w:tr>
        <w:trPr>
          <w:trHeight w:val="399" w:hRule="exact"/>
        </w:trPr>
        <w:tc>
          <w:tcPr>
            <w:tcW w:w="4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263 </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企业号云呼智能通信平台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附注七</w:t>
            </w:r>
            <w:r>
              <w:rPr>
                <w:rFonts w:ascii="Times New Roman" w:hAnsi="Times New Roman" w:cs="Times New Roman" w:eastAsia="Times New Roman" w:hint="default"/>
                <w:spacing w:val="-3"/>
                <w:sz w:val="18"/>
                <w:szCs w:val="18"/>
              </w:rPr>
              <w:t>(25))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200,000.00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其他收益、递延收益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251,000.01</w:t>
            </w:r>
          </w:p>
        </w:tc>
      </w:tr>
      <w:tr>
        <w:trPr>
          <w:trHeight w:val="403" w:hRule="exact"/>
        </w:trPr>
        <w:tc>
          <w:tcPr>
            <w:tcW w:w="4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软件产品增值税即征即退</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90,366.89</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90,366.89</w:t>
            </w:r>
          </w:p>
        </w:tc>
      </w:tr>
      <w:tr>
        <w:trPr>
          <w:trHeight w:val="403" w:hRule="exact"/>
        </w:trPr>
        <w:tc>
          <w:tcPr>
            <w:tcW w:w="4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增值税进项加计抵减</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715,904.12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715,904.12</w:t>
            </w:r>
          </w:p>
        </w:tc>
      </w:tr>
      <w:tr>
        <w:trPr>
          <w:trHeight w:val="403" w:hRule="exact"/>
        </w:trPr>
        <w:tc>
          <w:tcPr>
            <w:tcW w:w="4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广州市企业研发经费投入后补助</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336,200.00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336,200.00</w:t>
            </w:r>
          </w:p>
        </w:tc>
      </w:tr>
      <w:tr>
        <w:trPr>
          <w:trHeight w:val="399" w:hRule="exact"/>
        </w:trPr>
        <w:tc>
          <w:tcPr>
            <w:tcW w:w="4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高新技术企业认定通过奖励</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200,000.00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4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出口业务贴息资金</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399,175.00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399,175.00</w:t>
            </w:r>
          </w:p>
        </w:tc>
      </w:tr>
      <w:tr>
        <w:trPr>
          <w:trHeight w:val="403" w:hRule="exact"/>
        </w:trPr>
        <w:tc>
          <w:tcPr>
            <w:tcW w:w="4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427,456.41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427,456.41</w:t>
            </w:r>
          </w:p>
        </w:tc>
      </w:tr>
      <w:tr>
        <w:trPr>
          <w:trHeight w:val="403" w:hRule="exact"/>
        </w:trPr>
        <w:tc>
          <w:tcPr>
            <w:tcW w:w="4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二六三 </w:t>
            </w:r>
            <w:r>
              <w:rPr>
                <w:rFonts w:ascii="Times New Roman" w:hAnsi="Times New Roman" w:cs="Times New Roman" w:eastAsia="Times New Roman" w:hint="default"/>
                <w:spacing w:val="-5"/>
                <w:sz w:val="18"/>
                <w:szCs w:val="18"/>
              </w:rPr>
              <w:t>ONET-G</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网平台建设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800,000.00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left="216" w:right="0"/>
        <w:jc w:val="left"/>
        <w:rPr>
          <w:b w:val="0"/>
          <w:bCs w:val="0"/>
        </w:rPr>
      </w:pPr>
      <w:bookmarkStart w:name="（2）政府补助退回情况" w:id="351"/>
      <w:bookmarkEnd w:id="351"/>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16" w:right="873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其他说明：无</w:t>
      </w:r>
    </w:p>
    <w:p>
      <w:pPr>
        <w:spacing w:line="240" w:lineRule="auto" w:before="1"/>
        <w:rPr>
          <w:rFonts w:ascii="宋体" w:hAnsi="宋体" w:cs="宋体" w:eastAsia="宋体" w:hint="default"/>
          <w:sz w:val="21"/>
          <w:szCs w:val="21"/>
        </w:rPr>
      </w:pPr>
    </w:p>
    <w:p>
      <w:pPr>
        <w:pStyle w:val="Heading4"/>
        <w:spacing w:line="240" w:lineRule="auto"/>
        <w:ind w:left="216" w:right="0"/>
        <w:jc w:val="left"/>
        <w:rPr>
          <w:b w:val="0"/>
          <w:bCs w:val="0"/>
        </w:rPr>
      </w:pPr>
      <w:bookmarkStart w:name="54、其他" w:id="352"/>
      <w:bookmarkEnd w:id="352"/>
      <w:r>
        <w:rPr>
          <w:b w:val="0"/>
          <w:bCs w:val="0"/>
        </w:rPr>
      </w:r>
      <w:r>
        <w:rPr>
          <w:rFonts w:ascii="Times New Roman" w:hAnsi="Times New Roman" w:cs="Times New Roman" w:eastAsia="Times New Roman" w:hint="default"/>
        </w:rPr>
        <w:t>54</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left="216" w:right="0"/>
        <w:jc w:val="left"/>
        <w:rPr>
          <w:b w:val="0"/>
          <w:bCs w:val="0"/>
        </w:rPr>
      </w:pPr>
      <w:r>
        <w:rPr/>
        <w:t>基本每股收益和稀释每股收益的计算过程</w:t>
      </w:r>
      <w:r>
        <w:rPr>
          <w:b w:val="0"/>
          <w:bCs w:val="0"/>
        </w:rPr>
      </w:r>
    </w:p>
    <w:p>
      <w:pPr>
        <w:spacing w:line="240" w:lineRule="auto" w:before="7"/>
        <w:rPr>
          <w:rFonts w:ascii="宋体" w:hAnsi="宋体" w:cs="宋体" w:eastAsia="宋体" w:hint="default"/>
          <w:b/>
          <w:bCs/>
          <w:sz w:val="27"/>
          <w:szCs w:val="27"/>
        </w:rPr>
      </w:pPr>
    </w:p>
    <w:p>
      <w:pPr>
        <w:pStyle w:val="BodyText"/>
        <w:spacing w:line="300" w:lineRule="auto"/>
        <w:ind w:left="216" w:right="8737" w:firstLine="120"/>
        <w:jc w:val="left"/>
      </w:pPr>
      <w:r>
        <w:rPr>
          <w:rFonts w:ascii="Times New Roman" w:hAnsi="Times New Roman" w:cs="Times New Roman" w:eastAsia="Times New Roman" w:hint="default"/>
        </w:rPr>
        <w:t>(1)</w:t>
      </w:r>
      <w:r>
        <w:rPr/>
        <w:t>基本每股收益</w:t>
      </w:r>
      <w:r>
        <w:rPr>
          <w:w w:val="101"/>
        </w:rPr>
        <w:t> </w:t>
      </w:r>
      <w:r>
        <w:rPr>
          <w:spacing w:val="-3"/>
        </w:rPr>
        <w:t>分子计算过程如下：</w:t>
      </w:r>
    </w:p>
    <w:tbl>
      <w:tblPr>
        <w:tblW w:w="0" w:type="auto"/>
        <w:jc w:val="left"/>
        <w:tblInd w:w="197" w:type="dxa"/>
        <w:tblLayout w:type="fixed"/>
        <w:tblCellMar>
          <w:top w:w="0" w:type="dxa"/>
          <w:left w:w="0" w:type="dxa"/>
          <w:bottom w:w="0" w:type="dxa"/>
          <w:right w:w="0" w:type="dxa"/>
        </w:tblCellMar>
        <w:tblLook w:val="01E0"/>
      </w:tblPr>
      <w:tblGrid>
        <w:gridCol w:w="6794"/>
        <w:gridCol w:w="1796"/>
        <w:gridCol w:w="1652"/>
      </w:tblGrid>
      <w:tr>
        <w:trPr>
          <w:trHeight w:val="346" w:hRule="exact"/>
        </w:trPr>
        <w:tc>
          <w:tcPr>
            <w:tcW w:w="6794" w:type="dxa"/>
            <w:tcBorders>
              <w:top w:val="single" w:sz="6" w:space="0" w:color="000000"/>
              <w:left w:val="single" w:sz="6" w:space="0" w:color="000000"/>
              <w:bottom w:val="single" w:sz="6" w:space="0" w:color="000000"/>
              <w:right w:val="single" w:sz="6" w:space="0" w:color="000000"/>
            </w:tcBorders>
            <w:shd w:val="clear" w:color="auto" w:fill="BDBDBD"/>
          </w:tcPr>
          <w:p>
            <w:pPr/>
          </w:p>
        </w:tc>
        <w:tc>
          <w:tcPr>
            <w:tcW w:w="179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527"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65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461"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46" w:hRule="exact"/>
        </w:trPr>
        <w:tc>
          <w:tcPr>
            <w:tcW w:w="6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归属于普通股股东的当年净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亏损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利润</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174,612,994.49</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86,042,223.02</w:t>
            </w:r>
          </w:p>
        </w:tc>
      </w:tr>
      <w:tr>
        <w:trPr>
          <w:trHeight w:val="346" w:hRule="exact"/>
        </w:trPr>
        <w:tc>
          <w:tcPr>
            <w:tcW w:w="6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减：当年分配给预计未来可解锁限制性股票的现金股利</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1,140,000.00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50" w:hRule="exact"/>
        </w:trPr>
        <w:tc>
          <w:tcPr>
            <w:tcW w:w="6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用于计算基本每股收益的分子</w:t>
            </w:r>
            <w:r>
              <w:rPr>
                <w:rFonts w:ascii="宋体" w:hAnsi="宋体" w:cs="宋体" w:eastAsia="宋体" w:hint="default"/>
                <w:sz w:val="18"/>
                <w:szCs w:val="18"/>
              </w:rPr>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173,472,994.49</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86,042,223.02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00" w:bottom="1220" w:left="600" w:right="0"/>
        </w:sect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60"/>
        <w:ind w:left="136" w:right="3662"/>
        <w:jc w:val="left"/>
      </w:pPr>
      <w:r>
        <w:rPr>
          <w:spacing w:val="-3"/>
        </w:rPr>
        <w:t>分母计算过程如下：</w:t>
      </w:r>
    </w:p>
    <w:p>
      <w:pPr>
        <w:spacing w:line="240" w:lineRule="auto" w:before="0"/>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6583"/>
        <w:gridCol w:w="1829"/>
        <w:gridCol w:w="1830"/>
      </w:tblGrid>
      <w:tr>
        <w:trPr>
          <w:trHeight w:val="346" w:hRule="exact"/>
        </w:trPr>
        <w:tc>
          <w:tcPr>
            <w:tcW w:w="6583" w:type="dxa"/>
            <w:tcBorders>
              <w:top w:val="single" w:sz="6" w:space="0" w:color="000000"/>
              <w:left w:val="single" w:sz="6" w:space="0" w:color="000000"/>
              <w:bottom w:val="single" w:sz="6" w:space="0" w:color="000000"/>
              <w:right w:val="single" w:sz="6" w:space="0" w:color="000000"/>
            </w:tcBorders>
            <w:shd w:val="clear" w:color="auto" w:fill="BDBDBD"/>
          </w:tcPr>
          <w:p>
            <w:pPr/>
          </w:p>
        </w:tc>
        <w:tc>
          <w:tcPr>
            <w:tcW w:w="182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83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46" w:hRule="exact"/>
        </w:trPr>
        <w:tc>
          <w:tcPr>
            <w:tcW w:w="6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年初已发行的普通股股数</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1,351,466,374</w:t>
            </w:r>
          </w:p>
        </w:tc>
        <w:tc>
          <w:tcPr>
            <w:tcW w:w="183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1,338,546,374</w:t>
            </w:r>
          </w:p>
        </w:tc>
      </w:tr>
      <w:tr>
        <w:trPr>
          <w:trHeight w:val="351" w:hRule="exact"/>
        </w:trPr>
        <w:tc>
          <w:tcPr>
            <w:tcW w:w="6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减：年初已发行的限制性股票股数</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19,380,000</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6,460,000</w:t>
            </w:r>
          </w:p>
        </w:tc>
      </w:tr>
      <w:tr>
        <w:trPr>
          <w:trHeight w:val="346" w:hRule="exact"/>
        </w:trPr>
        <w:tc>
          <w:tcPr>
            <w:tcW w:w="6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加：本年增发的除限制性股票外的普通股加权数</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1,494,525</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46" w:hRule="exact"/>
        </w:trPr>
        <w:tc>
          <w:tcPr>
            <w:tcW w:w="6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加：本年解锁的限制性股票加权数</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1,884,167</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50" w:hRule="exact"/>
        </w:trPr>
        <w:tc>
          <w:tcPr>
            <w:tcW w:w="6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用于计算基本每股收益的分母</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1,335,465,066</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1,332,086,374</w:t>
            </w:r>
          </w:p>
        </w:tc>
      </w:tr>
    </w:tbl>
    <w:p>
      <w:pPr>
        <w:spacing w:line="240" w:lineRule="auto" w:before="1"/>
        <w:rPr>
          <w:rFonts w:ascii="宋体" w:hAnsi="宋体" w:cs="宋体" w:eastAsia="宋体" w:hint="default"/>
          <w:sz w:val="21"/>
          <w:szCs w:val="21"/>
        </w:rPr>
      </w:pPr>
    </w:p>
    <w:p>
      <w:pPr>
        <w:pStyle w:val="BodyText"/>
        <w:spacing w:line="300" w:lineRule="auto" w:before="46"/>
        <w:ind w:left="136" w:right="9171"/>
        <w:jc w:val="left"/>
      </w:pPr>
      <w:r>
        <w:rPr>
          <w:rFonts w:ascii="Times New Roman" w:hAnsi="Times New Roman" w:cs="Times New Roman" w:eastAsia="Times New Roman" w:hint="default"/>
        </w:rPr>
        <w:t>(2)</w:t>
      </w:r>
      <w:r>
        <w:rPr/>
        <w:t>稀释每股收益</w:t>
      </w:r>
      <w:r>
        <w:rPr>
          <w:spacing w:val="-85"/>
        </w:rPr>
        <w:t> </w:t>
      </w:r>
      <w:r>
        <w:rPr>
          <w:spacing w:val="-85"/>
        </w:rPr>
      </w:r>
      <w:r>
        <w:rPr>
          <w:spacing w:val="-3"/>
        </w:rPr>
        <w:t>分子计算过程如下：</w:t>
      </w: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5839"/>
        <w:gridCol w:w="2204"/>
        <w:gridCol w:w="2199"/>
      </w:tblGrid>
      <w:tr>
        <w:trPr>
          <w:trHeight w:val="329" w:hRule="exact"/>
        </w:trPr>
        <w:tc>
          <w:tcPr>
            <w:tcW w:w="5839" w:type="dxa"/>
            <w:tcBorders>
              <w:top w:val="single" w:sz="6" w:space="0" w:color="000000"/>
              <w:left w:val="single" w:sz="6" w:space="0" w:color="000000"/>
              <w:bottom w:val="single" w:sz="6" w:space="0" w:color="000000"/>
              <w:right w:val="single" w:sz="6" w:space="0" w:color="000000"/>
            </w:tcBorders>
            <w:shd w:val="clear" w:color="auto" w:fill="BDBDBD"/>
          </w:tcPr>
          <w:p>
            <w:pPr/>
          </w:p>
        </w:tc>
        <w:tc>
          <w:tcPr>
            <w:tcW w:w="220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3"/>
              <w:ind w:left="4" w:right="0"/>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19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3"/>
              <w:ind w:left="734"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46" w:hRule="exact"/>
        </w:trPr>
        <w:tc>
          <w:tcPr>
            <w:tcW w:w="5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归属于普通股股东的当年净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亏损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利润</w:t>
            </w:r>
          </w:p>
        </w:tc>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61" w:right="0"/>
              <w:jc w:val="left"/>
              <w:rPr>
                <w:rFonts w:ascii="Times New Roman" w:hAnsi="Times New Roman" w:cs="Times New Roman" w:eastAsia="Times New Roman" w:hint="default"/>
                <w:sz w:val="18"/>
                <w:szCs w:val="18"/>
              </w:rPr>
            </w:pPr>
            <w:r>
              <w:rPr>
                <w:rFonts w:ascii="Times New Roman"/>
                <w:spacing w:val="-1"/>
                <w:sz w:val="18"/>
              </w:rPr>
              <w:t>174,612,994.49</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147" w:right="-4"/>
              <w:jc w:val="left"/>
              <w:rPr>
                <w:rFonts w:ascii="Times New Roman" w:hAnsi="Times New Roman" w:cs="Times New Roman" w:eastAsia="Times New Roman" w:hint="default"/>
                <w:sz w:val="18"/>
                <w:szCs w:val="18"/>
              </w:rPr>
            </w:pPr>
            <w:r>
              <w:rPr>
                <w:rFonts w:ascii="Times New Roman"/>
                <w:sz w:val="18"/>
              </w:rPr>
              <w:t>86,042,223.02</w:t>
            </w:r>
          </w:p>
        </w:tc>
      </w:tr>
    </w:tbl>
    <w:p>
      <w:pPr>
        <w:pStyle w:val="BodyText"/>
        <w:spacing w:line="240" w:lineRule="auto" w:before="10"/>
        <w:ind w:left="136" w:right="3662"/>
        <w:jc w:val="left"/>
      </w:pPr>
      <w:r>
        <w:rPr>
          <w:spacing w:val="-3"/>
        </w:rPr>
        <w:t>分母计算过程如下：</w:t>
      </w:r>
    </w:p>
    <w:p>
      <w:pPr>
        <w:spacing w:line="240" w:lineRule="auto" w:before="0"/>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5844"/>
        <w:gridCol w:w="2199"/>
        <w:gridCol w:w="2199"/>
      </w:tblGrid>
      <w:tr>
        <w:trPr>
          <w:trHeight w:val="351" w:hRule="exact"/>
        </w:trPr>
        <w:tc>
          <w:tcPr>
            <w:tcW w:w="5844" w:type="dxa"/>
            <w:tcBorders>
              <w:top w:val="single" w:sz="6" w:space="0" w:color="000000"/>
              <w:left w:val="single" w:sz="6" w:space="0" w:color="000000"/>
              <w:bottom w:val="single" w:sz="6" w:space="0" w:color="000000"/>
              <w:right w:val="single" w:sz="6" w:space="0" w:color="000000"/>
            </w:tcBorders>
            <w:shd w:val="clear" w:color="auto" w:fill="BDBDBD"/>
          </w:tcPr>
          <w:p>
            <w:pPr/>
          </w:p>
        </w:tc>
        <w:tc>
          <w:tcPr>
            <w:tcW w:w="219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19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46" w:hRule="exact"/>
        </w:trPr>
        <w:tc>
          <w:tcPr>
            <w:tcW w:w="584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年初已发行的普通股股数</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1,351,466,374</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1,338,546,374</w:t>
            </w:r>
          </w:p>
        </w:tc>
      </w:tr>
      <w:tr>
        <w:trPr>
          <w:trHeight w:val="346" w:hRule="exact"/>
        </w:trPr>
        <w:tc>
          <w:tcPr>
            <w:tcW w:w="5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减：年初已发行的限制性股票股数</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19,380,000</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6,460,000</w:t>
            </w:r>
          </w:p>
        </w:tc>
      </w:tr>
      <w:tr>
        <w:trPr>
          <w:trHeight w:val="346" w:hRule="exact"/>
        </w:trPr>
        <w:tc>
          <w:tcPr>
            <w:tcW w:w="5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加：本年增发的除限制性股票外的普通股加权数</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1,494,525</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50" w:hRule="exact"/>
        </w:trPr>
        <w:tc>
          <w:tcPr>
            <w:tcW w:w="5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加：本年解锁的限制性股票加权数</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1,884,167</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46" w:hRule="exact"/>
        </w:trPr>
        <w:tc>
          <w:tcPr>
            <w:tcW w:w="5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加：尚未解锁限制性股票增加的普通股股数</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6,301,198</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1,846,481</w:t>
            </w:r>
          </w:p>
        </w:tc>
      </w:tr>
      <w:tr>
        <w:trPr>
          <w:trHeight w:val="346" w:hRule="exact"/>
        </w:trPr>
        <w:tc>
          <w:tcPr>
            <w:tcW w:w="5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加：尚未行权的股票期权增加的普通股股数</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5,596,775</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5,757,506</w:t>
            </w:r>
          </w:p>
        </w:tc>
      </w:tr>
      <w:tr>
        <w:trPr>
          <w:trHeight w:val="350" w:hRule="exact"/>
        </w:trPr>
        <w:tc>
          <w:tcPr>
            <w:tcW w:w="5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用于计算稀释每股收益的分母</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1,347,363,039</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1,339,690,361</w:t>
            </w:r>
          </w:p>
        </w:tc>
      </w:tr>
    </w:tbl>
    <w:p>
      <w:pPr>
        <w:spacing w:line="240" w:lineRule="auto" w:before="1"/>
        <w:rPr>
          <w:rFonts w:ascii="宋体" w:hAnsi="宋体" w:cs="宋体" w:eastAsia="宋体" w:hint="default"/>
          <w:sz w:val="21"/>
          <w:szCs w:val="21"/>
        </w:rPr>
      </w:pPr>
    </w:p>
    <w:p>
      <w:pPr>
        <w:pStyle w:val="BodyText"/>
        <w:spacing w:line="240" w:lineRule="auto" w:before="46"/>
        <w:ind w:left="136" w:right="3662"/>
        <w:jc w:val="left"/>
      </w:pPr>
      <w:r>
        <w:rPr>
          <w:rFonts w:ascii="Times New Roman" w:hAnsi="Times New Roman" w:cs="Times New Roman" w:eastAsia="Times New Roman" w:hint="default"/>
        </w:rPr>
        <w:t>(3)</w:t>
      </w:r>
      <w:r>
        <w:rPr/>
        <w:t>每股收益</w:t>
      </w: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5848"/>
        <w:gridCol w:w="2199"/>
        <w:gridCol w:w="2195"/>
      </w:tblGrid>
      <w:tr>
        <w:trPr>
          <w:trHeight w:val="346" w:hRule="exact"/>
        </w:trPr>
        <w:tc>
          <w:tcPr>
            <w:tcW w:w="5848" w:type="dxa"/>
            <w:tcBorders>
              <w:top w:val="single" w:sz="6" w:space="0" w:color="000000"/>
              <w:left w:val="single" w:sz="6" w:space="0" w:color="000000"/>
              <w:bottom w:val="single" w:sz="6" w:space="0" w:color="000000"/>
              <w:right w:val="single" w:sz="6" w:space="0" w:color="000000"/>
            </w:tcBorders>
            <w:shd w:val="clear" w:color="auto" w:fill="BDBDBD"/>
          </w:tcPr>
          <w:p>
            <w:pPr/>
          </w:p>
        </w:tc>
        <w:tc>
          <w:tcPr>
            <w:tcW w:w="219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本年金额</w:t>
            </w:r>
          </w:p>
        </w:tc>
        <w:tc>
          <w:tcPr>
            <w:tcW w:w="219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730"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46" w:hRule="exact"/>
        </w:trPr>
        <w:tc>
          <w:tcPr>
            <w:tcW w:w="5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0.13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0.06</w:t>
            </w:r>
          </w:p>
        </w:tc>
      </w:tr>
      <w:tr>
        <w:trPr>
          <w:trHeight w:val="350" w:hRule="exact"/>
        </w:trPr>
        <w:tc>
          <w:tcPr>
            <w:tcW w:w="5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0.13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0.06</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240" w:lineRule="auto" w:before="26"/>
        <w:ind w:left="136" w:right="3662"/>
        <w:jc w:val="left"/>
        <w:rPr>
          <w:b w:val="0"/>
          <w:bCs w:val="0"/>
        </w:rPr>
      </w:pPr>
      <w:bookmarkStart w:name="八、合并范围的变更" w:id="353"/>
      <w:bookmarkEnd w:id="353"/>
      <w:r>
        <w:rPr>
          <w:b w:val="0"/>
          <w:bCs w:val="0"/>
        </w:rPr>
      </w: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36" w:right="3662"/>
        <w:jc w:val="left"/>
        <w:rPr>
          <w:b w:val="0"/>
          <w:bCs w:val="0"/>
        </w:rPr>
      </w:pPr>
      <w:bookmarkStart w:name="1、非同一控制下企业合并:无" w:id="354"/>
      <w:bookmarkEnd w:id="354"/>
      <w:r>
        <w:rPr>
          <w:b w:val="0"/>
          <w:bCs w:val="0"/>
        </w:rPr>
      </w:r>
      <w:r>
        <w:rPr>
          <w:rFonts w:ascii="Times New Roman" w:hAnsi="Times New Roman" w:cs="Times New Roman" w:eastAsia="Times New Roman" w:hint="default"/>
        </w:rPr>
        <w:t>1</w:t>
      </w:r>
      <w:r>
        <w:rPr/>
        <w:t>、非同一控制下企业合并</w:t>
      </w:r>
      <w:r>
        <w:rPr>
          <w:rFonts w:ascii="Times New Roman" w:hAnsi="Times New Roman" w:cs="Times New Roman" w:eastAsia="Times New Roman" w:hint="default"/>
        </w:rPr>
        <w:t>:</w:t>
      </w:r>
      <w:r>
        <w:rPr/>
        <w:t>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2、同一控制下企业合并:无" w:id="355"/>
      <w:bookmarkEnd w:id="355"/>
      <w:r>
        <w:rPr>
          <w:b w:val="0"/>
          <w:bCs w:val="0"/>
        </w:rPr>
      </w:r>
      <w:r>
        <w:rPr>
          <w:rFonts w:ascii="Times New Roman" w:hAnsi="Times New Roman" w:cs="Times New Roman" w:eastAsia="Times New Roman" w:hint="default"/>
        </w:rPr>
        <w:t>2</w:t>
      </w:r>
      <w:r>
        <w:rPr/>
        <w:t>、同一控制下企业合并</w:t>
      </w:r>
      <w:r>
        <w:rPr>
          <w:rFonts w:ascii="Times New Roman" w:hAnsi="Times New Roman" w:cs="Times New Roman" w:eastAsia="Times New Roman" w:hint="default"/>
        </w:rPr>
        <w:t>:</w:t>
      </w:r>
      <w:r>
        <w:rPr/>
        <w:t>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3、反向购买:无" w:id="356"/>
      <w:bookmarkEnd w:id="356"/>
      <w:r>
        <w:rPr>
          <w:b w:val="0"/>
          <w:bCs w:val="0"/>
        </w:rPr>
      </w:r>
      <w:r>
        <w:rPr>
          <w:rFonts w:ascii="Times New Roman" w:hAnsi="Times New Roman" w:cs="Times New Roman" w:eastAsia="Times New Roman" w:hint="default"/>
        </w:rPr>
        <w:t>3</w:t>
      </w:r>
      <w:r>
        <w:rPr/>
        <w:t>、反向购买</w:t>
      </w:r>
      <w:r>
        <w:rPr>
          <w:rFonts w:ascii="Times New Roman" w:hAnsi="Times New Roman" w:cs="Times New Roman" w:eastAsia="Times New Roman" w:hint="default"/>
        </w:rPr>
        <w:t>:</w:t>
      </w:r>
      <w:r>
        <w:rPr/>
        <w:t>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136" w:right="3662"/>
        <w:jc w:val="left"/>
        <w:rPr>
          <w:b w:val="0"/>
          <w:bCs w:val="0"/>
        </w:rPr>
      </w:pPr>
      <w:bookmarkStart w:name="4、处置子公司" w:id="357"/>
      <w:bookmarkEnd w:id="357"/>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136" w:right="3662"/>
        <w:jc w:val="left"/>
      </w:pPr>
      <w:r>
        <w:rPr>
          <w:spacing w:val="-3"/>
        </w:rPr>
        <w:t>是否存在单次处置对子公司投资即丧失控制权的情形</w:t>
      </w:r>
    </w:p>
    <w:p>
      <w:pPr>
        <w:pStyle w:val="BodyText"/>
        <w:spacing w:line="343" w:lineRule="auto" w:before="115"/>
        <w:ind w:left="136" w:right="465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是否存在通过多次交易分步处置对子公司投资且在本期丧失控制权的情形</w:t>
      </w:r>
    </w:p>
    <w:p>
      <w:pPr>
        <w:pStyle w:val="BodyText"/>
        <w:spacing w:line="240" w:lineRule="auto" w:before="37"/>
        <w:ind w:left="136" w:right="366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0" w:footer="1022" w:top="1100" w:bottom="1220" w:left="680" w:right="0"/>
        </w:sect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216" w:right="0"/>
        <w:jc w:val="left"/>
        <w:rPr>
          <w:b w:val="0"/>
          <w:bCs w:val="0"/>
        </w:rPr>
      </w:pPr>
      <w:bookmarkStart w:name="5、其他原因的合并范围变动" w:id="358"/>
      <w:bookmarkEnd w:id="358"/>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216" w:right="0"/>
        <w:jc w:val="left"/>
      </w:pPr>
      <w:r>
        <w:rPr>
          <w:spacing w:val="-3"/>
        </w:rPr>
        <w:t>说明其他原因导致的合并范围变动（如，新设子公司、清算子公司等）及其相关情况：</w:t>
      </w:r>
      <w:r>
        <w:rPr>
          <w:spacing w:val="20"/>
        </w:rPr>
        <w:t> </w:t>
      </w:r>
      <w:r>
        <w:rPr>
          <w:spacing w:val="20"/>
        </w:rPr>
      </w:r>
      <w:r>
        <w:rPr>
          <w:spacing w:val="-3"/>
        </w:rPr>
        <w:t>展动科技</w:t>
      </w:r>
      <w:r>
        <w:rPr>
          <w:rFonts w:ascii="Times New Roman" w:hAnsi="Times New Roman" w:cs="Times New Roman" w:eastAsia="Times New Roman" w:hint="default"/>
          <w:spacing w:val="-3"/>
        </w:rPr>
        <w:t>(</w:t>
      </w:r>
      <w:r>
        <w:rPr>
          <w:spacing w:val="-3"/>
        </w:rPr>
        <w:t>北京</w:t>
      </w:r>
      <w:r>
        <w:rPr>
          <w:rFonts w:ascii="Times New Roman" w:hAnsi="Times New Roman" w:cs="Times New Roman" w:eastAsia="Times New Roman" w:hint="default"/>
          <w:spacing w:val="-3"/>
        </w:rPr>
        <w:t>)</w:t>
      </w:r>
      <w:r>
        <w:rPr>
          <w:spacing w:val="-3"/>
        </w:rPr>
        <w:t>有限公司已于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月被北京展视互动科技有限公司吸收合并。</w:t>
      </w:r>
    </w:p>
    <w:p>
      <w:pPr>
        <w:spacing w:line="240" w:lineRule="auto" w:before="7"/>
        <w:rPr>
          <w:rFonts w:ascii="宋体" w:hAnsi="宋体" w:cs="宋体" w:eastAsia="宋体" w:hint="default"/>
          <w:sz w:val="18"/>
          <w:szCs w:val="18"/>
        </w:rPr>
      </w:pPr>
    </w:p>
    <w:p>
      <w:pPr>
        <w:spacing w:line="484" w:lineRule="auto" w:before="0"/>
        <w:ind w:left="216" w:right="8417" w:firstLine="0"/>
        <w:jc w:val="left"/>
        <w:rPr>
          <w:rFonts w:ascii="宋体" w:hAnsi="宋体" w:cs="宋体" w:eastAsia="宋体" w:hint="default"/>
          <w:sz w:val="21"/>
          <w:szCs w:val="21"/>
        </w:rPr>
      </w:pPr>
      <w:bookmarkStart w:name="6、其他:无" w:id="359"/>
      <w:bookmarkEnd w:id="35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无</w:t>
      </w:r>
      <w:r>
        <w:rPr>
          <w:rFonts w:ascii="宋体" w:hAnsi="宋体" w:cs="宋体" w:eastAsia="宋体" w:hint="default"/>
          <w:b/>
          <w:bCs/>
          <w:w w:val="100"/>
          <w:sz w:val="21"/>
          <w:szCs w:val="21"/>
        </w:rPr>
        <w:t> </w:t>
      </w:r>
      <w:bookmarkStart w:name="九、在其他主体中的权益" w:id="360"/>
      <w:bookmarkEnd w:id="360"/>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361"/>
      <w:bookmarkEnd w:id="36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6"/>
        <w:ind w:left="216" w:right="0"/>
        <w:jc w:val="left"/>
        <w:rPr>
          <w:b w:val="0"/>
          <w:bCs w:val="0"/>
        </w:rPr>
      </w:pPr>
      <w:bookmarkStart w:name="（1）企业集团的构成" w:id="362"/>
      <w:bookmarkEnd w:id="36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4581"/>
        <w:gridCol w:w="730"/>
        <w:gridCol w:w="893"/>
        <w:gridCol w:w="1537"/>
        <w:gridCol w:w="859"/>
        <w:gridCol w:w="864"/>
        <w:gridCol w:w="975"/>
      </w:tblGrid>
      <w:tr>
        <w:trPr>
          <w:trHeight w:val="403" w:hRule="exact"/>
        </w:trPr>
        <w:tc>
          <w:tcPr>
            <w:tcW w:w="4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182" w:right="171"/>
              <w:jc w:val="both"/>
              <w:rPr>
                <w:rFonts w:ascii="宋体" w:hAnsi="宋体" w:cs="宋体" w:eastAsia="宋体" w:hint="default"/>
                <w:sz w:val="18"/>
                <w:szCs w:val="18"/>
              </w:rPr>
            </w:pPr>
            <w:r>
              <w:rPr>
                <w:rFonts w:ascii="宋体" w:hAnsi="宋体" w:cs="宋体" w:eastAsia="宋体" w:hint="default"/>
                <w:sz w:val="18"/>
                <w:szCs w:val="18"/>
              </w:rPr>
              <w:t>主要</w:t>
            </w:r>
            <w:r>
              <w:rPr>
                <w:rFonts w:ascii="宋体" w:hAnsi="宋体" w:cs="宋体" w:eastAsia="宋体" w:hint="default"/>
                <w:spacing w:val="-86"/>
                <w:sz w:val="18"/>
                <w:szCs w:val="18"/>
              </w:rPr>
              <w:t> </w:t>
            </w:r>
            <w:r>
              <w:rPr>
                <w:rFonts w:ascii="宋体" w:hAnsi="宋体" w:cs="宋体" w:eastAsia="宋体" w:hint="default"/>
                <w:sz w:val="18"/>
                <w:szCs w:val="18"/>
              </w:rPr>
              <w:t>经营</w:t>
            </w:r>
            <w:r>
              <w:rPr>
                <w:rFonts w:ascii="宋体" w:hAnsi="宋体" w:cs="宋体" w:eastAsia="宋体" w:hint="default"/>
                <w:spacing w:val="-86"/>
                <w:sz w:val="18"/>
                <w:szCs w:val="18"/>
              </w:rPr>
              <w:t> </w:t>
            </w:r>
            <w:r>
              <w:rPr>
                <w:rFonts w:ascii="宋体" w:hAnsi="宋体" w:cs="宋体" w:eastAsia="宋体" w:hint="default"/>
                <w:sz w:val="18"/>
                <w:szCs w:val="18"/>
              </w:rPr>
              <w:t>地</w:t>
            </w:r>
          </w:p>
        </w:tc>
        <w:tc>
          <w:tcPr>
            <w:tcW w:w="8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9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7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625" w:hRule="exact"/>
        </w:trPr>
        <w:tc>
          <w:tcPr>
            <w:tcW w:w="4581"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c>
          <w:tcPr>
            <w:tcW w:w="1537" w:type="dxa"/>
            <w:vMerge/>
            <w:tcBorders>
              <w:left w:val="single" w:sz="4" w:space="0" w:color="000000"/>
              <w:bottom w:val="single" w:sz="4" w:space="0" w:color="000000"/>
              <w:right w:val="single" w:sz="4" w:space="0" w:color="000000"/>
            </w:tcBorders>
            <w:shd w:val="clear" w:color="auto" w:fill="D2D2D2"/>
          </w:tcPr>
          <w:p>
            <w:pP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直接</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97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北京二六三企业通信有限公司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100.00%</w:t>
            </w:r>
          </w:p>
        </w:tc>
        <w:tc>
          <w:tcPr>
            <w:tcW w:w="86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6"/>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上海二六三通信有限公司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增值通信、</w:t>
            </w:r>
            <w:r>
              <w:rPr>
                <w:rFonts w:ascii="Times New Roman" w:hAnsi="Times New Roman" w:cs="Times New Roman" w:eastAsia="Times New Roman" w:hint="default"/>
                <w:sz w:val="18"/>
                <w:szCs w:val="18"/>
              </w:rPr>
              <w:t>VPN</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100.00%</w:t>
            </w:r>
          </w:p>
        </w:tc>
        <w:tc>
          <w:tcPr>
            <w:tcW w:w="86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6"/>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1"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3"/>
              <w:ind w:left="105" w:right="436"/>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二六三增值通信香港有限公司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英文名：</w:t>
            </w: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6"/>
                <w:sz w:val="18"/>
                <w:szCs w:val="18"/>
              </w:rPr>
              <w:t>Value</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Added Communication Hong Kong</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Co.,Limited)</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VPN</w:t>
            </w:r>
          </w:p>
        </w:tc>
        <w:tc>
          <w:tcPr>
            <w:tcW w:w="85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北京二六三网络科技有限公司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VOIP</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IPTV</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100.00%</w:t>
            </w:r>
          </w:p>
        </w:tc>
        <w:tc>
          <w:tcPr>
            <w:tcW w:w="86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6"/>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二六三软件技术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有限公司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 </w:t>
            </w:r>
            <w:r>
              <w:rPr>
                <w:rFonts w:ascii="宋体" w:hAnsi="宋体" w:cs="宋体" w:eastAsia="宋体" w:hint="default"/>
                <w:sz w:val="18"/>
                <w:szCs w:val="18"/>
              </w:rPr>
              <w:t>业务</w:t>
            </w:r>
          </w:p>
        </w:tc>
        <w:tc>
          <w:tcPr>
            <w:tcW w:w="85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100.00%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6"/>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Global Communications,</w:t>
            </w:r>
            <w:r>
              <w:rPr>
                <w:rFonts w:ascii="Times New Roman"/>
                <w:spacing w:val="1"/>
                <w:sz w:val="18"/>
              </w:rPr>
              <w:t> </w:t>
            </w:r>
            <w:r>
              <w:rPr>
                <w:rFonts w:ascii="Times New Roman"/>
                <w:spacing w:val="-4"/>
                <w:sz w:val="18"/>
              </w:rPr>
              <w:t>Inc.</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pacing w:val="-3"/>
                <w:sz w:val="18"/>
              </w:rPr>
              <w:t>VOIP</w:t>
            </w:r>
          </w:p>
        </w:tc>
        <w:tc>
          <w:tcPr>
            <w:tcW w:w="85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13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r>
      <w:tr>
        <w:trPr>
          <w:trHeight w:val="710"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pacing w:val="-3"/>
                <w:sz w:val="18"/>
              </w:rPr>
              <w:t>iTalkBB </w:t>
            </w:r>
            <w:r>
              <w:rPr>
                <w:rFonts w:ascii="Times New Roman"/>
                <w:sz w:val="18"/>
              </w:rPr>
              <w:t>Canada</w:t>
            </w:r>
            <w:r>
              <w:rPr>
                <w:rFonts w:ascii="Times New Roman"/>
                <w:spacing w:val="16"/>
                <w:sz w:val="18"/>
              </w:rPr>
              <w:t> </w:t>
            </w:r>
            <w:r>
              <w:rPr>
                <w:rFonts w:ascii="Times New Roman"/>
                <w:spacing w:val="-4"/>
                <w:sz w:val="18"/>
              </w:rPr>
              <w:t>Inc.</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49"/>
              <w:jc w:val="left"/>
              <w:rPr>
                <w:rFonts w:ascii="宋体" w:hAnsi="宋体" w:cs="宋体" w:eastAsia="宋体" w:hint="default"/>
                <w:sz w:val="18"/>
                <w:szCs w:val="18"/>
              </w:rPr>
            </w:pPr>
            <w:r>
              <w:rPr>
                <w:rFonts w:ascii="宋体" w:hAnsi="宋体" w:cs="宋体" w:eastAsia="宋体" w:hint="default"/>
                <w:sz w:val="18"/>
                <w:szCs w:val="18"/>
              </w:rPr>
              <w:t>加拿</w:t>
            </w:r>
            <w:r>
              <w:rPr>
                <w:rFonts w:ascii="宋体" w:hAnsi="宋体" w:cs="宋体" w:eastAsia="宋体" w:hint="default"/>
                <w:spacing w:val="-86"/>
                <w:sz w:val="18"/>
                <w:szCs w:val="18"/>
              </w:rPr>
              <w:t> </w:t>
            </w:r>
            <w:r>
              <w:rPr>
                <w:rFonts w:ascii="宋体" w:hAnsi="宋体" w:cs="宋体" w:eastAsia="宋体" w:hint="default"/>
                <w:sz w:val="18"/>
                <w:szCs w:val="18"/>
              </w:rPr>
              <w:t>大</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VOIP</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经营推广</w:t>
            </w:r>
          </w:p>
        </w:tc>
        <w:tc>
          <w:tcPr>
            <w:tcW w:w="85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13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r>
      <w:tr>
        <w:trPr>
          <w:trHeight w:val="715"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pacing w:val="-3"/>
                <w:sz w:val="18"/>
              </w:rPr>
              <w:t>iTalkBB </w:t>
            </w:r>
            <w:r>
              <w:rPr>
                <w:rFonts w:ascii="Times New Roman"/>
                <w:sz w:val="18"/>
              </w:rPr>
              <w:t>Australia Pty</w:t>
            </w:r>
            <w:r>
              <w:rPr>
                <w:rFonts w:ascii="Times New Roman"/>
                <w:spacing w:val="-11"/>
                <w:sz w:val="18"/>
              </w:rPr>
              <w:t> </w:t>
            </w:r>
            <w:r>
              <w:rPr>
                <w:rFonts w:ascii="Times New Roman"/>
                <w:sz w:val="18"/>
              </w:rPr>
              <w:t>Ltd.</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49"/>
              <w:jc w:val="left"/>
              <w:rPr>
                <w:rFonts w:ascii="宋体" w:hAnsi="宋体" w:cs="宋体" w:eastAsia="宋体" w:hint="default"/>
                <w:sz w:val="18"/>
                <w:szCs w:val="18"/>
              </w:rPr>
            </w:pPr>
            <w:r>
              <w:rPr>
                <w:rFonts w:ascii="宋体" w:hAnsi="宋体" w:cs="宋体" w:eastAsia="宋体" w:hint="default"/>
                <w:sz w:val="18"/>
                <w:szCs w:val="18"/>
              </w:rPr>
              <w:t>澳大</w:t>
            </w:r>
            <w:r>
              <w:rPr>
                <w:rFonts w:ascii="宋体" w:hAnsi="宋体" w:cs="宋体" w:eastAsia="宋体" w:hint="default"/>
                <w:spacing w:val="-86"/>
                <w:sz w:val="18"/>
                <w:szCs w:val="18"/>
              </w:rPr>
              <w:t> </w:t>
            </w:r>
            <w:r>
              <w:rPr>
                <w:rFonts w:ascii="宋体" w:hAnsi="宋体" w:cs="宋体" w:eastAsia="宋体" w:hint="default"/>
                <w:sz w:val="18"/>
                <w:szCs w:val="18"/>
              </w:rPr>
              <w:t>利亚</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237"/>
              <w:jc w:val="left"/>
              <w:rPr>
                <w:rFonts w:ascii="宋体" w:hAnsi="宋体" w:cs="宋体" w:eastAsia="宋体" w:hint="default"/>
                <w:sz w:val="18"/>
                <w:szCs w:val="18"/>
              </w:rPr>
            </w:pPr>
            <w:r>
              <w:rPr>
                <w:rFonts w:ascii="宋体" w:hAnsi="宋体" w:cs="宋体" w:eastAsia="宋体" w:hint="default"/>
                <w:sz w:val="18"/>
                <w:szCs w:val="18"/>
              </w:rPr>
              <w:t>澳大利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亚</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VOIP</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经营推广</w:t>
            </w:r>
          </w:p>
        </w:tc>
        <w:tc>
          <w:tcPr>
            <w:tcW w:w="85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13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r>
      <w:tr>
        <w:trPr>
          <w:trHeight w:val="716"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Freedom Enterprise,</w:t>
            </w:r>
            <w:r>
              <w:rPr>
                <w:rFonts w:ascii="Times New Roman"/>
                <w:spacing w:val="-11"/>
                <w:sz w:val="18"/>
              </w:rPr>
              <w:t> </w:t>
            </w:r>
            <w:r>
              <w:rPr>
                <w:rFonts w:ascii="Times New Roman"/>
                <w:sz w:val="18"/>
              </w:rPr>
              <w:t>L.L.C</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85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0" w:right="13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r>
      <w:tr>
        <w:trPr>
          <w:trHeight w:val="715"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Digital </w:t>
            </w:r>
            <w:r>
              <w:rPr>
                <w:rFonts w:ascii="Times New Roman"/>
                <w:spacing w:val="-3"/>
                <w:sz w:val="18"/>
              </w:rPr>
              <w:t>Technology </w:t>
            </w:r>
            <w:r>
              <w:rPr>
                <w:rFonts w:ascii="Times New Roman"/>
                <w:sz w:val="18"/>
              </w:rPr>
              <w:t>Marketing and Information,</w:t>
            </w:r>
            <w:r>
              <w:rPr>
                <w:rFonts w:ascii="Times New Roman"/>
                <w:spacing w:val="-4"/>
                <w:sz w:val="18"/>
              </w:rPr>
              <w:t> </w:t>
            </w:r>
            <w:r>
              <w:rPr>
                <w:rFonts w:ascii="Times New Roman"/>
                <w:sz w:val="18"/>
              </w:rPr>
              <w:t>Inc.</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VOIP</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经营推广</w:t>
            </w:r>
          </w:p>
        </w:tc>
        <w:tc>
          <w:tcPr>
            <w:tcW w:w="85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13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r>
      <w:tr>
        <w:trPr>
          <w:trHeight w:val="711"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pacing w:val="-3"/>
                <w:sz w:val="18"/>
              </w:rPr>
              <w:t>iTalkBB </w:t>
            </w:r>
            <w:r>
              <w:rPr>
                <w:rFonts w:ascii="Times New Roman"/>
                <w:sz w:val="18"/>
              </w:rPr>
              <w:t>Singapore Pte,</w:t>
            </w:r>
            <w:r>
              <w:rPr>
                <w:rFonts w:ascii="Times New Roman"/>
                <w:spacing w:val="11"/>
                <w:sz w:val="18"/>
              </w:rPr>
              <w:t> </w:t>
            </w:r>
            <w:r>
              <w:rPr>
                <w:rFonts w:ascii="Times New Roman"/>
                <w:spacing w:val="-3"/>
                <w:sz w:val="18"/>
              </w:rPr>
              <w:t>Ltd.</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49"/>
              <w:jc w:val="left"/>
              <w:rPr>
                <w:rFonts w:ascii="宋体" w:hAnsi="宋体" w:cs="宋体" w:eastAsia="宋体" w:hint="default"/>
                <w:sz w:val="18"/>
                <w:szCs w:val="18"/>
              </w:rPr>
            </w:pPr>
            <w:r>
              <w:rPr>
                <w:rFonts w:ascii="宋体" w:hAnsi="宋体" w:cs="宋体" w:eastAsia="宋体" w:hint="default"/>
                <w:sz w:val="18"/>
                <w:szCs w:val="18"/>
              </w:rPr>
              <w:t>新加</w:t>
            </w:r>
            <w:r>
              <w:rPr>
                <w:rFonts w:ascii="宋体" w:hAnsi="宋体" w:cs="宋体" w:eastAsia="宋体" w:hint="default"/>
                <w:spacing w:val="-86"/>
                <w:sz w:val="18"/>
                <w:szCs w:val="18"/>
              </w:rPr>
              <w:t> </w:t>
            </w:r>
            <w:r>
              <w:rPr>
                <w:rFonts w:ascii="宋体" w:hAnsi="宋体" w:cs="宋体" w:eastAsia="宋体" w:hint="default"/>
                <w:sz w:val="18"/>
                <w:szCs w:val="18"/>
              </w:rPr>
              <w:t>坡</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pacing w:val="-3"/>
                <w:sz w:val="18"/>
              </w:rPr>
              <w:t>VOIP</w:t>
            </w:r>
          </w:p>
        </w:tc>
        <w:tc>
          <w:tcPr>
            <w:tcW w:w="85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13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r>
      <w:tr>
        <w:trPr>
          <w:trHeight w:val="715"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Mobile</w:t>
            </w:r>
            <w:r>
              <w:rPr>
                <w:rFonts w:ascii="Times New Roman"/>
                <w:spacing w:val="-6"/>
                <w:sz w:val="18"/>
              </w:rPr>
              <w:t> </w:t>
            </w:r>
            <w:r>
              <w:rPr>
                <w:rFonts w:ascii="Times New Roman"/>
                <w:sz w:val="18"/>
              </w:rPr>
              <w:t>Corporation</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1" w:right="161"/>
              <w:jc w:val="left"/>
              <w:rPr>
                <w:rFonts w:ascii="宋体" w:hAnsi="宋体" w:cs="宋体" w:eastAsia="宋体" w:hint="default"/>
                <w:sz w:val="18"/>
                <w:szCs w:val="18"/>
              </w:rPr>
            </w:pPr>
            <w:r>
              <w:rPr>
                <w:rFonts w:ascii="宋体" w:hAnsi="宋体" w:cs="宋体" w:eastAsia="宋体" w:hint="default"/>
                <w:spacing w:val="-3"/>
                <w:sz w:val="18"/>
                <w:szCs w:val="18"/>
              </w:rPr>
              <w:t>海外移动虚拟网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络运营业务</w:t>
            </w:r>
          </w:p>
        </w:tc>
        <w:tc>
          <w:tcPr>
            <w:tcW w:w="85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5" w:right="99"/>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北京爱涛视讯科技有限公司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原名为：北京首都在线网络</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3"/>
                <w:sz w:val="18"/>
                <w:szCs w:val="18"/>
              </w:rPr>
              <w:t>技术有限公司</w:t>
            </w:r>
            <w:r>
              <w:rPr>
                <w:rFonts w:ascii="Times New Roman" w:hAnsi="Times New Roman" w:cs="Times New Roman" w:eastAsia="Times New Roman" w:hint="default"/>
                <w:spacing w:val="-3"/>
                <w:sz w:val="18"/>
                <w:szCs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85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13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r>
      <w:tr>
        <w:trPr>
          <w:trHeight w:val="716"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4"/>
              <w:ind w:left="105" w:right="114"/>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爱涛网络电视香港有限公司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英文名：</w:t>
            </w:r>
            <w:r>
              <w:rPr>
                <w:rFonts w:ascii="Times New Roman" w:hAnsi="Times New Roman" w:cs="Times New Roman" w:eastAsia="Times New Roman" w:hint="default"/>
                <w:spacing w:val="-3"/>
                <w:sz w:val="18"/>
                <w:szCs w:val="18"/>
              </w:rPr>
              <w:t>iTalkTV Hongkong</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13"/>
                <w:sz w:val="18"/>
                <w:szCs w:val="18"/>
              </w:rPr>
            </w:r>
            <w:r>
              <w:rPr>
                <w:rFonts w:ascii="Times New Roman" w:hAnsi="Times New Roman" w:cs="Times New Roman" w:eastAsia="Times New Roman" w:hint="default"/>
                <w:sz w:val="18"/>
                <w:szCs w:val="18"/>
              </w:rPr>
              <w:t>Limited)</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pacing w:val="-3"/>
                <w:sz w:val="18"/>
              </w:rPr>
              <w:t>IPTV</w:t>
            </w:r>
          </w:p>
        </w:tc>
        <w:tc>
          <w:tcPr>
            <w:tcW w:w="85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0" w:right="13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r>
    </w:tbl>
    <w:p>
      <w:pPr>
        <w:spacing w:after="0" w:line="316" w:lineRule="auto"/>
        <w:jc w:val="left"/>
        <w:rPr>
          <w:rFonts w:ascii="宋体" w:hAnsi="宋体" w:cs="宋体" w:eastAsia="宋体" w:hint="default"/>
          <w:sz w:val="18"/>
          <w:szCs w:val="18"/>
        </w:rPr>
        <w:sectPr>
          <w:pgSz w:w="11910" w:h="16840"/>
          <w:pgMar w:header="0" w:footer="1022" w:top="1100" w:bottom="1220" w:left="600" w:right="0"/>
        </w:sect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3"/>
          <w:szCs w:val="3"/>
        </w:rPr>
      </w:pPr>
    </w:p>
    <w:tbl>
      <w:tblPr>
        <w:tblW w:w="0" w:type="auto"/>
        <w:jc w:val="left"/>
        <w:tblInd w:w="101" w:type="dxa"/>
        <w:tblLayout w:type="fixed"/>
        <w:tblCellMar>
          <w:top w:w="0" w:type="dxa"/>
          <w:left w:w="0" w:type="dxa"/>
          <w:bottom w:w="0" w:type="dxa"/>
          <w:right w:w="0" w:type="dxa"/>
        </w:tblCellMar>
        <w:tblLook w:val="01E0"/>
      </w:tblPr>
      <w:tblGrid>
        <w:gridCol w:w="4581"/>
        <w:gridCol w:w="730"/>
        <w:gridCol w:w="893"/>
        <w:gridCol w:w="1537"/>
        <w:gridCol w:w="859"/>
        <w:gridCol w:w="864"/>
        <w:gridCol w:w="975"/>
      </w:tblGrid>
      <w:tr>
        <w:trPr>
          <w:trHeight w:val="398" w:hRule="exact"/>
        </w:trPr>
        <w:tc>
          <w:tcPr>
            <w:tcW w:w="4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82" w:right="171"/>
              <w:jc w:val="both"/>
              <w:rPr>
                <w:rFonts w:ascii="宋体" w:hAnsi="宋体" w:cs="宋体" w:eastAsia="宋体" w:hint="default"/>
                <w:sz w:val="18"/>
                <w:szCs w:val="18"/>
              </w:rPr>
            </w:pPr>
            <w:r>
              <w:rPr>
                <w:rFonts w:ascii="宋体" w:hAnsi="宋体" w:cs="宋体" w:eastAsia="宋体" w:hint="default"/>
                <w:sz w:val="18"/>
                <w:szCs w:val="18"/>
              </w:rPr>
              <w:t>主要</w:t>
            </w:r>
            <w:r>
              <w:rPr>
                <w:rFonts w:ascii="宋体" w:hAnsi="宋体" w:cs="宋体" w:eastAsia="宋体" w:hint="default"/>
                <w:spacing w:val="-86"/>
                <w:sz w:val="18"/>
                <w:szCs w:val="18"/>
              </w:rPr>
              <w:t> </w:t>
            </w:r>
            <w:r>
              <w:rPr>
                <w:rFonts w:ascii="宋体" w:hAnsi="宋体" w:cs="宋体" w:eastAsia="宋体" w:hint="default"/>
                <w:sz w:val="18"/>
                <w:szCs w:val="18"/>
              </w:rPr>
              <w:t>经营</w:t>
            </w:r>
            <w:r>
              <w:rPr>
                <w:rFonts w:ascii="宋体" w:hAnsi="宋体" w:cs="宋体" w:eastAsia="宋体" w:hint="default"/>
                <w:spacing w:val="-86"/>
                <w:sz w:val="18"/>
                <w:szCs w:val="18"/>
              </w:rPr>
              <w:t> </w:t>
            </w:r>
            <w:r>
              <w:rPr>
                <w:rFonts w:ascii="宋体" w:hAnsi="宋体" w:cs="宋体" w:eastAsia="宋体" w:hint="default"/>
                <w:sz w:val="18"/>
                <w:szCs w:val="18"/>
              </w:rPr>
              <w:t>地</w:t>
            </w:r>
          </w:p>
        </w:tc>
        <w:tc>
          <w:tcPr>
            <w:tcW w:w="8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9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7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624" w:hRule="exact"/>
        </w:trPr>
        <w:tc>
          <w:tcPr>
            <w:tcW w:w="4581"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c>
          <w:tcPr>
            <w:tcW w:w="1537" w:type="dxa"/>
            <w:vMerge/>
            <w:tcBorders>
              <w:left w:val="single" w:sz="4" w:space="0" w:color="000000"/>
              <w:bottom w:val="single" w:sz="4" w:space="0" w:color="000000"/>
              <w:right w:val="single" w:sz="4" w:space="0" w:color="000000"/>
            </w:tcBorders>
            <w:shd w:val="clear" w:color="auto" w:fill="D2D2D2"/>
          </w:tcPr>
          <w:p>
            <w:pP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直接</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975"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8"/>
              <w:ind w:left="105" w:right="374"/>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二六三香港控股有限公司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英文名：</w:t>
            </w:r>
            <w:r>
              <w:rPr>
                <w:rFonts w:ascii="Times New Roman" w:hAnsi="Times New Roman" w:cs="Times New Roman" w:eastAsia="Times New Roman" w:hint="default"/>
                <w:spacing w:val="-3"/>
                <w:sz w:val="18"/>
                <w:szCs w:val="18"/>
              </w:rPr>
              <w:t>NET263 </w:t>
            </w:r>
            <w:r>
              <w:rPr>
                <w:rFonts w:ascii="Times New Roman" w:hAnsi="Times New Roman" w:cs="Times New Roman" w:eastAsia="Times New Roman" w:hint="default"/>
                <w:sz w:val="18"/>
                <w:szCs w:val="18"/>
              </w:rPr>
              <w:t>Holdings</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pacing w:val="-22"/>
                <w:sz w:val="18"/>
                <w:szCs w:val="18"/>
              </w:rPr>
            </w:r>
            <w:r>
              <w:rPr>
                <w:rFonts w:ascii="Times New Roman" w:hAnsi="Times New Roman" w:cs="Times New Roman" w:eastAsia="Times New Roman" w:hint="default"/>
                <w:sz w:val="18"/>
                <w:szCs w:val="18"/>
              </w:rPr>
              <w:t>Limited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86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United </w:t>
            </w:r>
            <w:r>
              <w:rPr>
                <w:rFonts w:ascii="Times New Roman"/>
                <w:spacing w:val="-5"/>
                <w:sz w:val="18"/>
              </w:rPr>
              <w:t>Wise </w:t>
            </w:r>
            <w:r>
              <w:rPr>
                <w:rFonts w:ascii="Times New Roman"/>
                <w:sz w:val="18"/>
              </w:rPr>
              <w:t>Services</w:t>
            </w:r>
            <w:r>
              <w:rPr>
                <w:rFonts w:ascii="Times New Roman"/>
                <w:spacing w:val="6"/>
                <w:sz w:val="18"/>
              </w:rPr>
              <w:t> </w:t>
            </w:r>
            <w:r>
              <w:rPr>
                <w:rFonts w:ascii="Times New Roman"/>
                <w:sz w:val="18"/>
              </w:rPr>
              <w:t>Limited</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237"/>
              <w:jc w:val="both"/>
              <w:rPr>
                <w:rFonts w:ascii="宋体" w:hAnsi="宋体" w:cs="宋体" w:eastAsia="宋体" w:hint="default"/>
                <w:sz w:val="18"/>
                <w:szCs w:val="18"/>
              </w:rPr>
            </w:pPr>
            <w:r>
              <w:rPr>
                <w:rFonts w:ascii="宋体" w:hAnsi="宋体" w:cs="宋体" w:eastAsia="宋体" w:hint="default"/>
                <w:sz w:val="18"/>
                <w:szCs w:val="18"/>
              </w:rPr>
              <w:t>英属维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尔京群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岛</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1"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85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6"/>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105" w:right="99"/>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广州二六三通信有限公司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原名为：广州二六三移动通信</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移动通信业务</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86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398"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二六三移动通信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香港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有限公司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移动通信业务</w:t>
            </w:r>
          </w:p>
        </w:tc>
        <w:tc>
          <w:tcPr>
            <w:tcW w:w="85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6"/>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展动科技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直播业务</w:t>
            </w:r>
          </w:p>
        </w:tc>
        <w:tc>
          <w:tcPr>
            <w:tcW w:w="85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0" w:right="13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r>
      <w:tr>
        <w:trPr>
          <w:trHeight w:val="716"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北京展视互动科技有限公司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直播业务</w:t>
            </w:r>
          </w:p>
        </w:tc>
        <w:tc>
          <w:tcPr>
            <w:tcW w:w="85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0" w:right="13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r>
      <w:tr>
        <w:trPr>
          <w:trHeight w:val="715"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pacing w:val="-3"/>
                <w:sz w:val="18"/>
              </w:rPr>
              <w:t>iTalkBB </w:t>
            </w:r>
            <w:r>
              <w:rPr>
                <w:rFonts w:ascii="Times New Roman"/>
                <w:sz w:val="18"/>
              </w:rPr>
              <w:t>Media</w:t>
            </w:r>
            <w:r>
              <w:rPr>
                <w:rFonts w:ascii="Times New Roman"/>
                <w:spacing w:val="13"/>
                <w:sz w:val="18"/>
              </w:rPr>
              <w:t> </w:t>
            </w:r>
            <w:r>
              <w:rPr>
                <w:rFonts w:ascii="Times New Roman"/>
                <w:spacing w:val="-4"/>
                <w:sz w:val="18"/>
              </w:rPr>
              <w:t>Inc.</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广告业务</w:t>
            </w:r>
          </w:p>
        </w:tc>
        <w:tc>
          <w:tcPr>
            <w:tcW w:w="85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13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r>
      <w:tr>
        <w:trPr>
          <w:trHeight w:val="711"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Media</w:t>
            </w:r>
            <w:r>
              <w:rPr>
                <w:rFonts w:ascii="Times New Roman"/>
                <w:spacing w:val="-5"/>
                <w:sz w:val="18"/>
              </w:rPr>
              <w:t> </w:t>
            </w:r>
            <w:r>
              <w:rPr>
                <w:rFonts w:ascii="Times New Roman"/>
                <w:sz w:val="18"/>
              </w:rPr>
              <w:t>Corporation</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49"/>
              <w:jc w:val="left"/>
              <w:rPr>
                <w:rFonts w:ascii="宋体" w:hAnsi="宋体" w:cs="宋体" w:eastAsia="宋体" w:hint="default"/>
                <w:sz w:val="18"/>
                <w:szCs w:val="18"/>
              </w:rPr>
            </w:pPr>
            <w:r>
              <w:rPr>
                <w:rFonts w:ascii="宋体" w:hAnsi="宋体" w:cs="宋体" w:eastAsia="宋体" w:hint="default"/>
                <w:sz w:val="18"/>
                <w:szCs w:val="18"/>
              </w:rPr>
              <w:t>加拿</w:t>
            </w:r>
            <w:r>
              <w:rPr>
                <w:rFonts w:ascii="宋体" w:hAnsi="宋体" w:cs="宋体" w:eastAsia="宋体" w:hint="default"/>
                <w:spacing w:val="-86"/>
                <w:sz w:val="18"/>
                <w:szCs w:val="18"/>
              </w:rPr>
              <w:t> </w:t>
            </w:r>
            <w:r>
              <w:rPr>
                <w:rFonts w:ascii="宋体" w:hAnsi="宋体" w:cs="宋体" w:eastAsia="宋体" w:hint="default"/>
                <w:sz w:val="18"/>
                <w:szCs w:val="18"/>
              </w:rPr>
              <w:t>大</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广告业务</w:t>
            </w:r>
          </w:p>
        </w:tc>
        <w:tc>
          <w:tcPr>
            <w:tcW w:w="85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13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r>
      <w:tr>
        <w:trPr>
          <w:trHeight w:val="715"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上海奈盛通信科技有限公司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IDC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业务</w:t>
            </w:r>
          </w:p>
        </w:tc>
        <w:tc>
          <w:tcPr>
            <w:tcW w:w="85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13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r>
      <w:tr>
        <w:trPr>
          <w:trHeight w:val="716"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深圳市日升科技有限公司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增值通信、</w:t>
            </w:r>
            <w:r>
              <w:rPr>
                <w:rFonts w:ascii="Times New Roman" w:hAnsi="Times New Roman" w:cs="Times New Roman" w:eastAsia="Times New Roman" w:hint="default"/>
                <w:sz w:val="18"/>
                <w:szCs w:val="18"/>
              </w:rPr>
              <w:t>VPN</w:t>
            </w:r>
          </w:p>
        </w:tc>
        <w:tc>
          <w:tcPr>
            <w:tcW w:w="85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13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r>
      <w:tr>
        <w:trPr>
          <w:trHeight w:val="1027"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105" w:right="59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环球通信有限公司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英文名：</w:t>
            </w: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Communications </w:t>
            </w:r>
            <w:r>
              <w:rPr>
                <w:rFonts w:ascii="Times New Roman" w:hAnsi="Times New Roman" w:cs="Times New Roman" w:eastAsia="Times New Roman" w:hint="default"/>
                <w:spacing w:val="-3"/>
                <w:sz w:val="18"/>
                <w:szCs w:val="18"/>
              </w:rPr>
              <w:t>Limited</w:t>
            </w:r>
            <w:r>
              <w:rPr>
                <w:rFonts w:ascii="宋体" w:hAnsi="宋体" w:cs="宋体" w:eastAsia="宋体" w:hint="default"/>
                <w:spacing w:val="-3"/>
                <w:sz w:val="18"/>
                <w:szCs w:val="18"/>
              </w:rPr>
              <w:t>，原名：</w:t>
            </w:r>
            <w:r>
              <w:rPr>
                <w:rFonts w:ascii="Times New Roman" w:hAnsi="Times New Roman" w:cs="Times New Roman" w:eastAsia="Times New Roman" w:hint="default"/>
                <w:spacing w:val="-3"/>
                <w:sz w:val="18"/>
                <w:szCs w:val="18"/>
              </w:rPr>
              <w:t>I-Access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Network</w:t>
            </w:r>
          </w:p>
          <w:p>
            <w:pPr>
              <w:pStyle w:val="TableParagraph"/>
              <w:spacing w:line="240" w:lineRule="auto" w:before="64"/>
              <w:ind w:left="105" w:right="0"/>
              <w:jc w:val="left"/>
              <w:rPr>
                <w:rFonts w:ascii="Times New Roman" w:hAnsi="Times New Roman" w:cs="Times New Roman" w:eastAsia="Times New Roman" w:hint="default"/>
                <w:sz w:val="18"/>
                <w:szCs w:val="18"/>
              </w:rPr>
            </w:pPr>
            <w:r>
              <w:rPr>
                <w:rFonts w:ascii="Times New Roman"/>
                <w:sz w:val="18"/>
              </w:rPr>
              <w:t>Limited)</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增值通信、</w:t>
            </w:r>
            <w:r>
              <w:rPr>
                <w:rFonts w:ascii="Times New Roman" w:hAnsi="Times New Roman" w:cs="Times New Roman" w:eastAsia="Times New Roman" w:hint="default"/>
                <w:sz w:val="18"/>
                <w:szCs w:val="18"/>
              </w:rPr>
              <w:t>VPN</w:t>
            </w:r>
          </w:p>
        </w:tc>
        <w:tc>
          <w:tcPr>
            <w:tcW w:w="85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100" w:right="137"/>
              <w:jc w:val="left"/>
              <w:rPr>
                <w:rFonts w:ascii="宋体" w:hAnsi="宋体" w:cs="宋体" w:eastAsia="宋体" w:hint="default"/>
                <w:sz w:val="18"/>
                <w:szCs w:val="18"/>
              </w:rPr>
            </w:pPr>
            <w:r>
              <w:rPr>
                <w:rFonts w:ascii="宋体" w:hAnsi="宋体" w:cs="宋体" w:eastAsia="宋体" w:hint="default"/>
                <w:sz w:val="18"/>
                <w:szCs w:val="18"/>
              </w:rPr>
              <w:t>非同一控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制下收购</w:t>
            </w:r>
          </w:p>
        </w:tc>
      </w:tr>
      <w:tr>
        <w:trPr>
          <w:trHeight w:val="398" w:hRule="exact"/>
        </w:trPr>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3"/>
                <w:sz w:val="18"/>
              </w:rPr>
              <w:t>iTalkBB </w:t>
            </w:r>
            <w:r>
              <w:rPr>
                <w:rFonts w:ascii="Times New Roman"/>
                <w:spacing w:val="-8"/>
                <w:sz w:val="18"/>
              </w:rPr>
              <w:t>VIP,</w:t>
            </w:r>
            <w:r>
              <w:rPr>
                <w:rFonts w:ascii="Times New Roman"/>
                <w:spacing w:val="22"/>
                <w:sz w:val="18"/>
              </w:rPr>
              <w:t> </w:t>
            </w:r>
            <w:r>
              <w:rPr>
                <w:rFonts w:ascii="Times New Roman"/>
                <w:spacing w:val="-4"/>
                <w:sz w:val="18"/>
              </w:rPr>
              <w:t>Inc.</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85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6"/>
              <w:jc w:val="center"/>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240" w:lineRule="auto" w:before="54"/>
        <w:ind w:left="216" w:right="0"/>
        <w:jc w:val="left"/>
      </w:pPr>
      <w:r>
        <w:rPr/>
        <w:t>其他说明：无</w:t>
      </w:r>
    </w:p>
    <w:p>
      <w:pPr>
        <w:spacing w:after="0" w:line="240" w:lineRule="auto"/>
        <w:jc w:val="left"/>
        <w:sectPr>
          <w:pgSz w:w="11910" w:h="16840"/>
          <w:pgMar w:header="0" w:footer="1022" w:top="1100" w:bottom="1220" w:left="600" w:right="0"/>
        </w:sectPr>
      </w:pPr>
    </w:p>
    <w:p>
      <w:pPr>
        <w:spacing w:line="240" w:lineRule="auto" w:before="3"/>
        <w:rPr>
          <w:rFonts w:ascii="宋体" w:hAnsi="宋体" w:cs="宋体" w:eastAsia="宋体" w:hint="default"/>
          <w:sz w:val="24"/>
          <w:szCs w:val="24"/>
        </w:rPr>
      </w:pPr>
    </w:p>
    <w:p>
      <w:pPr>
        <w:pStyle w:val="Heading4"/>
        <w:spacing w:line="240" w:lineRule="auto"/>
        <w:ind w:left="220" w:right="-3"/>
        <w:jc w:val="left"/>
        <w:rPr>
          <w:b w:val="0"/>
          <w:bCs w:val="0"/>
        </w:rPr>
      </w:pPr>
      <w:r>
        <w:rPr/>
        <w:pict>
          <v:group style="position:absolute;margin-left:52.584pt;margin-top:-1.416343pt;width:737pt;height:.1pt;mso-position-horizontal-relative:page;mso-position-vertical-relative:paragraph;z-index:2752" coordorigin="1052,-28" coordsize="14740,2">
            <v:shape style="position:absolute;left:1052;top:-28;width:14740;height:2" coordorigin="1052,-28" coordsize="14740,0" path="m1052,-28l15791,-28e" filled="false" stroked="true" strokeweight=".48pt" strokecolor="#000000">
              <v:path arrowok="t"/>
            </v:shape>
            <w10:wrap type="none"/>
          </v:group>
        </w:pict>
      </w:r>
      <w:bookmarkStart w:name="（2）重要的非全资子公司" w:id="363"/>
      <w:bookmarkEnd w:id="363"/>
      <w:r>
        <w:rPr>
          <w:b w:val="0"/>
          <w:bCs w:val="0"/>
        </w:rPr>
      </w:r>
      <w:r>
        <w:rPr>
          <w:spacing w:val="-1"/>
        </w:rPr>
        <w:t>（</w:t>
      </w:r>
      <w:r>
        <w:rPr>
          <w:rFonts w:ascii="Times New Roman" w:hAnsi="Times New Roman" w:cs="Times New Roman" w:eastAsia="Times New Roman" w:hint="default"/>
          <w:spacing w:val="-1"/>
        </w:rPr>
        <w:t>2</w:t>
      </w:r>
      <w:r>
        <w:rPr>
          <w:spacing w:val="-1"/>
        </w:rPr>
        <w:t>）重要的非全资子公司</w:t>
      </w:r>
      <w:r>
        <w:rPr>
          <w:b w:val="0"/>
          <w:bCs w:val="0"/>
          <w:spacing w:val="-1"/>
        </w:rPr>
      </w:r>
    </w:p>
    <w:p>
      <w:pPr>
        <w:pStyle w:val="BodyText"/>
        <w:spacing w:line="240" w:lineRule="auto" w:before="16"/>
        <w:ind w:left="220" w:right="0"/>
        <w:jc w:val="left"/>
      </w:pPr>
      <w:r>
        <w:rPr/>
        <w:br w:type="column"/>
      </w:r>
      <w:r>
        <w:rPr/>
        <w:t>二六三网络通信股份有限公司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p>
      <w:pPr>
        <w:spacing w:after="0" w:line="240" w:lineRule="auto"/>
        <w:jc w:val="left"/>
        <w:sectPr>
          <w:headerReference w:type="default" r:id="rId47"/>
          <w:footerReference w:type="default" r:id="rId48"/>
          <w:pgSz w:w="16840" w:h="11910" w:orient="landscape"/>
          <w:pgMar w:header="0" w:footer="0" w:top="840" w:bottom="0" w:left="860" w:right="740"/>
          <w:cols w:num="2" w:equalWidth="0">
            <w:col w:w="2650" w:space="7980"/>
            <w:col w:w="4610"/>
          </w:cols>
        </w:sectPr>
      </w:pPr>
    </w:p>
    <w:p>
      <w:pPr>
        <w:spacing w:line="240" w:lineRule="auto" w:before="2"/>
        <w:rPr>
          <w:rFonts w:ascii="宋体" w:hAnsi="宋体" w:cs="宋体" w:eastAsia="宋体" w:hint="default"/>
          <w:sz w:val="23"/>
          <w:szCs w:val="23"/>
        </w:rPr>
      </w:pPr>
    </w:p>
    <w:p>
      <w:pPr>
        <w:pStyle w:val="BodyText"/>
        <w:spacing w:line="240" w:lineRule="auto" w:before="46"/>
        <w:ind w:left="0" w:right="328"/>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984"/>
        <w:gridCol w:w="2977"/>
        <w:gridCol w:w="2982"/>
        <w:gridCol w:w="2977"/>
        <w:gridCol w:w="2977"/>
      </w:tblGrid>
      <w:tr>
        <w:trPr>
          <w:trHeight w:val="763" w:hRule="exact"/>
        </w:trPr>
        <w:tc>
          <w:tcPr>
            <w:tcW w:w="2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6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2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pacing w:val="-3"/>
                <w:sz w:val="18"/>
                <w:szCs w:val="18"/>
              </w:rPr>
              <w:t>本期归属于少数股东的损益</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pacing w:val="-3"/>
                <w:sz w:val="18"/>
                <w:szCs w:val="18"/>
              </w:rPr>
              <w:t>本期向少数股东宣告分派的股利</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4"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上海奈盛</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49.00%</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34" w:right="0"/>
              <w:jc w:val="left"/>
              <w:rPr>
                <w:rFonts w:ascii="Times New Roman" w:hAnsi="Times New Roman" w:cs="Times New Roman" w:eastAsia="Times New Roman" w:hint="default"/>
                <w:sz w:val="18"/>
                <w:szCs w:val="18"/>
              </w:rPr>
            </w:pPr>
            <w:r>
              <w:rPr>
                <w:rFonts w:ascii="Times New Roman"/>
                <w:sz w:val="18"/>
              </w:rPr>
              <w:t>8,097,117.46</w:t>
            </w:r>
          </w:p>
        </w:tc>
        <w:tc>
          <w:tcPr>
            <w:tcW w:w="2977"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29" w:right="0"/>
              <w:jc w:val="left"/>
              <w:rPr>
                <w:rFonts w:ascii="Times New Roman" w:hAnsi="Times New Roman" w:cs="Times New Roman" w:eastAsia="Times New Roman" w:hint="default"/>
                <w:sz w:val="18"/>
                <w:szCs w:val="18"/>
              </w:rPr>
            </w:pPr>
            <w:r>
              <w:rPr>
                <w:rFonts w:ascii="Times New Roman"/>
                <w:sz w:val="18"/>
              </w:rPr>
              <w:t>86,195,532.04</w:t>
            </w:r>
          </w:p>
        </w:tc>
      </w:tr>
    </w:tbl>
    <w:p>
      <w:pPr>
        <w:pStyle w:val="BodyText"/>
        <w:spacing w:line="357" w:lineRule="auto" w:before="53"/>
        <w:ind w:left="220" w:right="9533"/>
        <w:jc w:val="left"/>
      </w:pPr>
      <w:r>
        <w:rPr>
          <w:spacing w:val="-3"/>
        </w:rPr>
        <w:t>子公司少数股东的持股比例不同于表决权比例的说明：无</w:t>
      </w:r>
      <w:r>
        <w:rPr>
          <w:spacing w:val="-15"/>
        </w:rPr>
        <w:t> </w:t>
      </w:r>
      <w:r>
        <w:rPr>
          <w:spacing w:val="-15"/>
        </w:rPr>
      </w:r>
      <w:r>
        <w:rPr/>
        <w:t>其他说明：无</w:t>
      </w:r>
    </w:p>
    <w:p>
      <w:pPr>
        <w:spacing w:line="240" w:lineRule="auto" w:before="12"/>
        <w:rPr>
          <w:rFonts w:ascii="宋体" w:hAnsi="宋体" w:cs="宋体" w:eastAsia="宋体" w:hint="default"/>
          <w:sz w:val="19"/>
          <w:szCs w:val="19"/>
        </w:rPr>
      </w:pPr>
    </w:p>
    <w:p>
      <w:pPr>
        <w:pStyle w:val="Heading4"/>
        <w:spacing w:line="240" w:lineRule="auto"/>
        <w:ind w:left="220" w:right="11058"/>
        <w:jc w:val="left"/>
        <w:rPr>
          <w:b w:val="0"/>
          <w:bCs w:val="0"/>
        </w:rPr>
      </w:pPr>
      <w:bookmarkStart w:name="（3）重要非全资子公司的主要财务信息" w:id="364"/>
      <w:bookmarkEnd w:id="36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328"/>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770"/>
        <w:gridCol w:w="1253"/>
        <w:gridCol w:w="1340"/>
        <w:gridCol w:w="1344"/>
        <w:gridCol w:w="1162"/>
        <w:gridCol w:w="773"/>
        <w:gridCol w:w="1162"/>
        <w:gridCol w:w="1248"/>
        <w:gridCol w:w="1335"/>
        <w:gridCol w:w="1344"/>
        <w:gridCol w:w="1248"/>
        <w:gridCol w:w="773"/>
        <w:gridCol w:w="1253"/>
      </w:tblGrid>
      <w:tr>
        <w:trPr>
          <w:trHeight w:val="404" w:hRule="exact"/>
        </w:trPr>
        <w:tc>
          <w:tcPr>
            <w:tcW w:w="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99" w:right="103"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703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20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70" w:type="dxa"/>
            <w:vMerge/>
            <w:tcBorders>
              <w:left w:val="single" w:sz="4" w:space="0" w:color="000000"/>
              <w:bottom w:val="single" w:sz="4" w:space="0" w:color="000000"/>
              <w:right w:val="single" w:sz="4" w:space="0" w:color="000000"/>
            </w:tcBorders>
            <w:shd w:val="clear" w:color="auto" w:fill="D2D2D2"/>
          </w:tcPr>
          <w:p>
            <w:pP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6" w:right="108"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01" w:right="10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711"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3" w:right="113"/>
              <w:jc w:val="left"/>
              <w:rPr>
                <w:rFonts w:ascii="宋体" w:hAnsi="宋体" w:cs="宋体" w:eastAsia="宋体" w:hint="default"/>
                <w:sz w:val="18"/>
                <w:szCs w:val="18"/>
              </w:rPr>
            </w:pPr>
            <w:r>
              <w:rPr>
                <w:rFonts w:ascii="宋体" w:hAnsi="宋体" w:cs="宋体" w:eastAsia="宋体" w:hint="default"/>
                <w:sz w:val="18"/>
                <w:szCs w:val="18"/>
              </w:rPr>
              <w:t>上海奈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盛</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45,903,565.19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138,803,595.54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184,707,160.73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8,787,944.02</w:t>
            </w:r>
          </w:p>
        </w:tc>
        <w:tc>
          <w:tcPr>
            <w:tcW w:w="77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8,787,944.02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57,026,742.51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114,494,513.68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171,521,256.19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12,136,736.63</w:t>
            </w:r>
          </w:p>
        </w:tc>
        <w:tc>
          <w:tcPr>
            <w:tcW w:w="77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12,136,736.63</w:t>
            </w:r>
          </w:p>
        </w:tc>
      </w:tr>
    </w:tbl>
    <w:p>
      <w:pPr>
        <w:pStyle w:val="BodyText"/>
        <w:spacing w:line="240" w:lineRule="auto" w:before="53"/>
        <w:ind w:left="0" w:right="328"/>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375"/>
        <w:gridCol w:w="1541"/>
        <w:gridCol w:w="1536"/>
        <w:gridCol w:w="1599"/>
        <w:gridCol w:w="2040"/>
        <w:gridCol w:w="1536"/>
        <w:gridCol w:w="1618"/>
        <w:gridCol w:w="1613"/>
        <w:gridCol w:w="2036"/>
      </w:tblGrid>
      <w:tr>
        <w:trPr>
          <w:trHeight w:val="403" w:hRule="exact"/>
        </w:trPr>
        <w:tc>
          <w:tcPr>
            <w:tcW w:w="13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71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80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1375" w:type="dxa"/>
            <w:vMerge/>
            <w:tcBorders>
              <w:left w:val="single" w:sz="4" w:space="0" w:color="000000"/>
              <w:bottom w:val="single" w:sz="4" w:space="0" w:color="000000"/>
              <w:right w:val="single" w:sz="4" w:space="0" w:color="000000"/>
            </w:tcBorders>
            <w:shd w:val="clear" w:color="auto" w:fill="D2D2D2"/>
          </w:tcPr>
          <w:p>
            <w:pP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5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92"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3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59"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92"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398" w:hRule="exact"/>
        </w:trPr>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上海奈盛</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9" w:right="0"/>
              <w:jc w:val="left"/>
              <w:rPr>
                <w:rFonts w:ascii="Times New Roman" w:hAnsi="Times New Roman" w:cs="Times New Roman" w:eastAsia="Times New Roman" w:hint="default"/>
                <w:sz w:val="18"/>
                <w:szCs w:val="18"/>
              </w:rPr>
            </w:pPr>
            <w:r>
              <w:rPr>
                <w:rFonts w:ascii="Times New Roman"/>
                <w:sz w:val="18"/>
              </w:rPr>
              <w:t>62,469,121.04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9" w:right="0"/>
              <w:jc w:val="left"/>
              <w:rPr>
                <w:rFonts w:ascii="Times New Roman" w:hAnsi="Times New Roman" w:cs="Times New Roman" w:eastAsia="Times New Roman" w:hint="default"/>
                <w:sz w:val="18"/>
                <w:szCs w:val="18"/>
              </w:rPr>
            </w:pPr>
            <w:r>
              <w:rPr>
                <w:rFonts w:ascii="Times New Roman"/>
                <w:sz w:val="18"/>
              </w:rPr>
              <w:t>16,534,697.15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6" w:right="0"/>
              <w:jc w:val="left"/>
              <w:rPr>
                <w:rFonts w:ascii="Times New Roman" w:hAnsi="Times New Roman" w:cs="Times New Roman" w:eastAsia="Times New Roman" w:hint="default"/>
                <w:sz w:val="18"/>
                <w:szCs w:val="18"/>
              </w:rPr>
            </w:pPr>
            <w:r>
              <w:rPr>
                <w:rFonts w:ascii="Times New Roman"/>
                <w:sz w:val="18"/>
              </w:rPr>
              <w:t>16,534,697.15</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22" w:right="0"/>
              <w:jc w:val="left"/>
              <w:rPr>
                <w:rFonts w:ascii="Times New Roman" w:hAnsi="Times New Roman" w:cs="Times New Roman" w:eastAsia="Times New Roman" w:hint="default"/>
                <w:sz w:val="18"/>
                <w:szCs w:val="18"/>
              </w:rPr>
            </w:pPr>
            <w:r>
              <w:rPr>
                <w:rFonts w:ascii="Times New Roman"/>
                <w:sz w:val="18"/>
              </w:rPr>
              <w:t>-6,160,237.50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9" w:right="0"/>
              <w:jc w:val="left"/>
              <w:rPr>
                <w:rFonts w:ascii="Times New Roman" w:hAnsi="Times New Roman" w:cs="Times New Roman" w:eastAsia="Times New Roman" w:hint="default"/>
                <w:sz w:val="18"/>
                <w:szCs w:val="18"/>
              </w:rPr>
            </w:pPr>
            <w:r>
              <w:rPr>
                <w:rFonts w:ascii="Times New Roman"/>
                <w:sz w:val="18"/>
              </w:rPr>
              <w:t>13,892,007.18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8" w:right="0"/>
              <w:jc w:val="left"/>
              <w:rPr>
                <w:rFonts w:ascii="Times New Roman" w:hAnsi="Times New Roman" w:cs="Times New Roman" w:eastAsia="Times New Roman" w:hint="default"/>
                <w:sz w:val="18"/>
                <w:szCs w:val="18"/>
              </w:rPr>
            </w:pPr>
            <w:r>
              <w:rPr>
                <w:rFonts w:ascii="Times New Roman"/>
                <w:sz w:val="18"/>
              </w:rPr>
              <w:t>-23,860,953.65</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3" w:right="0"/>
              <w:jc w:val="left"/>
              <w:rPr>
                <w:rFonts w:ascii="Times New Roman" w:hAnsi="Times New Roman" w:cs="Times New Roman" w:eastAsia="Times New Roman" w:hint="default"/>
                <w:sz w:val="18"/>
                <w:szCs w:val="18"/>
              </w:rPr>
            </w:pPr>
            <w:r>
              <w:rPr>
                <w:rFonts w:ascii="Times New Roman"/>
                <w:sz w:val="18"/>
              </w:rPr>
              <w:t>-23,860,953.65</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9" w:right="0"/>
              <w:jc w:val="left"/>
              <w:rPr>
                <w:rFonts w:ascii="Times New Roman" w:hAnsi="Times New Roman" w:cs="Times New Roman" w:eastAsia="Times New Roman" w:hint="default"/>
                <w:sz w:val="18"/>
                <w:szCs w:val="18"/>
              </w:rPr>
            </w:pPr>
            <w:r>
              <w:rPr>
                <w:rFonts w:ascii="Times New Roman"/>
                <w:sz w:val="18"/>
              </w:rPr>
              <w:t>7,565,711.31</w:t>
            </w:r>
          </w:p>
        </w:tc>
      </w:tr>
    </w:tbl>
    <w:p>
      <w:pPr>
        <w:pStyle w:val="BodyText"/>
        <w:spacing w:line="240" w:lineRule="auto" w:before="53"/>
        <w:ind w:left="220" w:right="11058"/>
        <w:jc w:val="left"/>
      </w:pPr>
      <w:r>
        <w:rPr/>
        <w:t>其他说明：无</w:t>
      </w:r>
    </w:p>
    <w:p>
      <w:pPr>
        <w:spacing w:line="240" w:lineRule="auto" w:before="9"/>
        <w:rPr>
          <w:rFonts w:ascii="宋体" w:hAnsi="宋体" w:cs="宋体" w:eastAsia="宋体" w:hint="default"/>
          <w:sz w:val="26"/>
          <w:szCs w:val="26"/>
        </w:rPr>
      </w:pPr>
    </w:p>
    <w:p>
      <w:pPr>
        <w:pStyle w:val="Heading4"/>
        <w:spacing w:line="240" w:lineRule="auto"/>
        <w:ind w:left="220" w:right="0"/>
        <w:jc w:val="left"/>
        <w:rPr>
          <w:b w:val="0"/>
          <w:bCs w:val="0"/>
        </w:rPr>
      </w:pPr>
      <w:bookmarkStart w:name="（4）使用企业集团资产和清偿企业集团债务的重大限制" w:id="365"/>
      <w:bookmarkEnd w:id="365"/>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20" w:right="11058"/>
        <w:jc w:val="left"/>
      </w:pPr>
      <w:r>
        <w:rPr>
          <w:w w:val="101"/>
        </w:rPr>
        <w:t>无</w:t>
      </w:r>
      <w:r>
        <w:rPr/>
      </w:r>
    </w:p>
    <w:p>
      <w:pPr>
        <w:spacing w:line="240" w:lineRule="auto" w:before="11"/>
        <w:rPr>
          <w:rFonts w:ascii="宋体" w:hAnsi="宋体" w:cs="宋体" w:eastAsia="宋体" w:hint="default"/>
          <w:sz w:val="25"/>
          <w:szCs w:val="25"/>
        </w:rPr>
      </w:pPr>
    </w:p>
    <w:p>
      <w:pPr>
        <w:pStyle w:val="BodyText"/>
        <w:spacing w:line="240" w:lineRule="auto" w:before="78"/>
        <w:ind w:left="7410" w:right="7518"/>
        <w:jc w:val="center"/>
        <w:rPr>
          <w:rFonts w:ascii="Times New Roman" w:hAnsi="Times New Roman" w:cs="Times New Roman" w:eastAsia="Times New Roman" w:hint="default"/>
        </w:rPr>
      </w:pPr>
      <w:r>
        <w:rPr>
          <w:rFonts w:ascii="Times New Roman"/>
        </w:rPr>
        <w:t>160</w: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spacing w:line="371" w:lineRule="exact"/>
        <w:ind w:left="1092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5" name="image1.jpeg" descr=""/>
            <wp:cNvGraphicFramePr>
              <a:graphicFrameLocks noChangeAspect="1"/>
            </wp:cNvGraphicFramePr>
            <a:graphic>
              <a:graphicData uri="http://schemas.openxmlformats.org/drawingml/2006/picture">
                <pic:pic>
                  <pic:nvPicPr>
                    <pic:cNvPr id="16" name="image1.jpeg"/>
                    <pic:cNvPicPr/>
                  </pic:nvPicPr>
                  <pic:blipFill>
                    <a:blip r:embed="rId23"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100" w:bottom="1220" w:left="860" w:right="740"/>
        </w:sect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Times New Roman" w:hAnsi="Times New Roman" w:cs="Times New Roman" w:eastAsia="Times New Roman" w:hint="default"/>
          <w:sz w:val="2"/>
          <w:szCs w:val="2"/>
        </w:rPr>
      </w:r>
    </w:p>
    <w:p>
      <w:pPr>
        <w:pStyle w:val="Heading4"/>
        <w:spacing w:line="240" w:lineRule="auto" w:before="35"/>
        <w:ind w:left="136" w:right="3662"/>
        <w:jc w:val="left"/>
        <w:rPr>
          <w:b w:val="0"/>
          <w:bCs w:val="0"/>
        </w:rPr>
      </w:pPr>
      <w:bookmarkStart w:name="（5）向纳入合并财务报表范围的结构化主体提供的财务支持或其他支持:无" w:id="366"/>
      <w:bookmarkEnd w:id="366"/>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rFonts w:ascii="Times New Roman" w:hAnsi="Times New Roman" w:cs="Times New Roman" w:eastAsia="Times New Roman" w:hint="default"/>
        </w:rPr>
        <w:t>:</w:t>
      </w:r>
      <w:r>
        <w:rPr/>
        <w:t>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136" w:right="3662"/>
        <w:jc w:val="left"/>
        <w:rPr>
          <w:b w:val="0"/>
          <w:bCs w:val="0"/>
        </w:rPr>
      </w:pPr>
      <w:bookmarkStart w:name="2、在子公司的所有者权益份额发生变化且仍控制子公司的交易" w:id="367"/>
      <w:bookmarkEnd w:id="367"/>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1）在子公司所有者权益份额发生变化的情况说明:无" w:id="368"/>
      <w:bookmarkEnd w:id="368"/>
      <w:r>
        <w:rPr>
          <w:b w:val="0"/>
          <w:bCs w:val="0"/>
        </w:rPr>
      </w:r>
      <w:r>
        <w:rPr/>
        <w:t>（</w:t>
      </w:r>
      <w:r>
        <w:rPr>
          <w:rFonts w:ascii="Times New Roman" w:hAnsi="Times New Roman" w:cs="Times New Roman" w:eastAsia="Times New Roman" w:hint="default"/>
        </w:rPr>
        <w:t>1</w:t>
      </w:r>
      <w:r>
        <w:rPr/>
        <w:t>）在子公司所有者权益份额发生变化的情况说明</w:t>
      </w:r>
      <w:r>
        <w:rPr>
          <w:rFonts w:ascii="Times New Roman" w:hAnsi="Times New Roman" w:cs="Times New Roman" w:eastAsia="Times New Roman" w:hint="default"/>
        </w:rPr>
        <w:t>:</w:t>
      </w:r>
      <w:r>
        <w:rPr/>
        <w:t>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2）交易对于少数股东权益及归属于母公司所有者权益的影响:无" w:id="369"/>
      <w:bookmarkEnd w:id="369"/>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rFonts w:ascii="Times New Roman" w:hAnsi="Times New Roman" w:cs="Times New Roman" w:eastAsia="Times New Roman" w:hint="default"/>
        </w:rPr>
        <w:t>:</w:t>
      </w:r>
      <w:r>
        <w:rPr/>
        <w:t>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3、在合营安排或联营企业中的权益" w:id="370"/>
      <w:bookmarkEnd w:id="37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1）重要的合营企业或联营企业:无" w:id="371"/>
      <w:bookmarkEnd w:id="371"/>
      <w:r>
        <w:rPr>
          <w:b w:val="0"/>
          <w:bCs w:val="0"/>
        </w:rPr>
      </w:r>
      <w:r>
        <w:rPr/>
        <w:t>（</w:t>
      </w:r>
      <w:r>
        <w:rPr>
          <w:rFonts w:ascii="Times New Roman" w:hAnsi="Times New Roman" w:cs="Times New Roman" w:eastAsia="Times New Roman" w:hint="default"/>
        </w:rPr>
        <w:t>1</w:t>
      </w:r>
      <w:r>
        <w:rPr/>
        <w:t>）重要的合营企业或联营企业</w:t>
      </w:r>
      <w:r>
        <w:rPr>
          <w:rFonts w:ascii="Times New Roman" w:hAnsi="Times New Roman" w:cs="Times New Roman" w:eastAsia="Times New Roman" w:hint="default"/>
        </w:rPr>
        <w:t>:</w:t>
      </w:r>
      <w:r>
        <w:rPr/>
        <w:t>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136" w:right="3662"/>
        <w:jc w:val="left"/>
        <w:rPr>
          <w:b w:val="0"/>
          <w:bCs w:val="0"/>
        </w:rPr>
      </w:pPr>
      <w:bookmarkStart w:name="（2）重要合营企业的主要财务信息:无" w:id="372"/>
      <w:bookmarkEnd w:id="372"/>
      <w:r>
        <w:rPr>
          <w:b w:val="0"/>
          <w:bCs w:val="0"/>
        </w:rPr>
      </w:r>
      <w:r>
        <w:rPr/>
        <w:t>（</w:t>
      </w:r>
      <w:r>
        <w:rPr>
          <w:rFonts w:ascii="Times New Roman" w:hAnsi="Times New Roman" w:cs="Times New Roman" w:eastAsia="Times New Roman" w:hint="default"/>
        </w:rPr>
        <w:t>2</w:t>
      </w:r>
      <w:r>
        <w:rPr/>
        <w:t>）重要合营企业的主要财务信息</w:t>
      </w:r>
      <w:r>
        <w:rPr>
          <w:rFonts w:ascii="Times New Roman" w:hAnsi="Times New Roman" w:cs="Times New Roman" w:eastAsia="Times New Roman" w:hint="default"/>
        </w:rPr>
        <w:t>:</w:t>
      </w:r>
      <w:r>
        <w:rPr/>
        <w:t>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3）重要联营企业的主要财务信息:无" w:id="373"/>
      <w:bookmarkEnd w:id="373"/>
      <w:r>
        <w:rPr>
          <w:b w:val="0"/>
          <w:bCs w:val="0"/>
        </w:rPr>
      </w:r>
      <w:r>
        <w:rPr/>
        <w:t>（</w:t>
      </w:r>
      <w:r>
        <w:rPr>
          <w:rFonts w:ascii="Times New Roman" w:hAnsi="Times New Roman" w:cs="Times New Roman" w:eastAsia="Times New Roman" w:hint="default"/>
        </w:rPr>
        <w:t>3</w:t>
      </w:r>
      <w:r>
        <w:rPr/>
        <w:t>）重要联营企业的主要财务信息</w:t>
      </w:r>
      <w:r>
        <w:rPr>
          <w:rFonts w:ascii="Times New Roman" w:hAnsi="Times New Roman" w:cs="Times New Roman" w:eastAsia="Times New Roman" w:hint="default"/>
        </w:rPr>
        <w:t>:</w:t>
      </w:r>
      <w:r>
        <w:rPr/>
        <w:t>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4）不重要的合营企业和联营企业的汇总财务信息" w:id="374"/>
      <w:bookmarkEnd w:id="374"/>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3327"/>
        <w:gridCol w:w="3059"/>
        <w:gridCol w:w="3188"/>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8"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35,930,426.95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22,597,655.24</w:t>
            </w:r>
          </w:p>
        </w:tc>
      </w:tr>
      <w:tr>
        <w:trPr>
          <w:trHeight w:val="399"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-2,667,228.29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-1,083,071.64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-2,667,228.29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-1,083,071.64</w:t>
            </w:r>
          </w:p>
        </w:tc>
      </w:tr>
    </w:tbl>
    <w:p>
      <w:pPr>
        <w:pStyle w:val="BodyText"/>
        <w:spacing w:line="240" w:lineRule="auto" w:before="53"/>
        <w:ind w:left="136" w:right="3662"/>
        <w:jc w:val="left"/>
      </w:pPr>
      <w:r>
        <w:rPr/>
        <w:t>其他说明</w:t>
      </w:r>
    </w:p>
    <w:p>
      <w:pPr>
        <w:pStyle w:val="BodyText"/>
        <w:spacing w:line="300" w:lineRule="auto" w:before="115"/>
        <w:ind w:left="136" w:right="851" w:firstLine="240"/>
        <w:jc w:val="left"/>
      </w:pPr>
      <w:r>
        <w:rPr>
          <w:spacing w:val="-3"/>
        </w:rPr>
        <w:t>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日及</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日，本集团的联营企业均为非上市公司，本集团于联营公司的权益无论个别或合计均不会</w:t>
      </w:r>
      <w:r>
        <w:rPr>
          <w:w w:val="101"/>
        </w:rPr>
        <w:t> </w:t>
      </w:r>
      <w:r>
        <w:rPr>
          <w:spacing w:val="-3"/>
        </w:rPr>
        <w:t>对本集团本年度的财务状况或经营业绩构成重大影响。</w:t>
      </w:r>
    </w:p>
    <w:p>
      <w:pPr>
        <w:spacing w:line="240" w:lineRule="auto" w:before="7"/>
        <w:rPr>
          <w:rFonts w:ascii="宋体" w:hAnsi="宋体" w:cs="宋体" w:eastAsia="宋体" w:hint="default"/>
          <w:sz w:val="23"/>
          <w:szCs w:val="23"/>
        </w:rPr>
      </w:pPr>
    </w:p>
    <w:p>
      <w:pPr>
        <w:pStyle w:val="Heading4"/>
        <w:spacing w:line="240" w:lineRule="auto"/>
        <w:ind w:left="136" w:right="3662"/>
        <w:jc w:val="left"/>
        <w:rPr>
          <w:b w:val="0"/>
          <w:bCs w:val="0"/>
        </w:rPr>
      </w:pPr>
      <w:bookmarkStart w:name="（5）合营企业或联营企业向本公司转移资金的能力存在重大限制的说明:无" w:id="375"/>
      <w:bookmarkEnd w:id="375"/>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rFonts w:ascii="Times New Roman" w:hAnsi="Times New Roman" w:cs="Times New Roman" w:eastAsia="Times New Roman" w:hint="default"/>
        </w:rPr>
        <w:t>:</w:t>
      </w:r>
      <w:r>
        <w:rPr/>
        <w:t>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136" w:right="3662"/>
        <w:jc w:val="left"/>
        <w:rPr>
          <w:b w:val="0"/>
          <w:bCs w:val="0"/>
        </w:rPr>
      </w:pPr>
      <w:bookmarkStart w:name="（6）合营企业或联营企业发生的超额亏损:无" w:id="376"/>
      <w:bookmarkEnd w:id="376"/>
      <w:r>
        <w:rPr>
          <w:b w:val="0"/>
          <w:bCs w:val="0"/>
        </w:rPr>
      </w:r>
      <w:r>
        <w:rPr/>
        <w:t>（</w:t>
      </w:r>
      <w:r>
        <w:rPr>
          <w:rFonts w:ascii="Times New Roman" w:hAnsi="Times New Roman" w:cs="Times New Roman" w:eastAsia="Times New Roman" w:hint="default"/>
        </w:rPr>
        <w:t>6</w:t>
      </w:r>
      <w:r>
        <w:rPr/>
        <w:t>）合营企业或联营企业发生的超额亏损</w:t>
      </w:r>
      <w:r>
        <w:rPr>
          <w:rFonts w:ascii="Times New Roman" w:hAnsi="Times New Roman" w:cs="Times New Roman" w:eastAsia="Times New Roman" w:hint="default"/>
        </w:rPr>
        <w:t>:</w:t>
      </w:r>
      <w:r>
        <w:rPr/>
        <w:t>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7）与合营企业投资相关的未确认承诺:无" w:id="377"/>
      <w:bookmarkEnd w:id="377"/>
      <w:r>
        <w:rPr>
          <w:b w:val="0"/>
          <w:bCs w:val="0"/>
        </w:rPr>
      </w:r>
      <w:r>
        <w:rPr/>
        <w:t>（</w:t>
      </w:r>
      <w:r>
        <w:rPr>
          <w:rFonts w:ascii="Times New Roman" w:hAnsi="Times New Roman" w:cs="Times New Roman" w:eastAsia="Times New Roman" w:hint="default"/>
        </w:rPr>
        <w:t>7</w:t>
      </w:r>
      <w:r>
        <w:rPr/>
        <w:t>）与合营企业投资相关的未确认承诺</w:t>
      </w:r>
      <w:r>
        <w:rPr>
          <w:rFonts w:ascii="Times New Roman" w:hAnsi="Times New Roman" w:cs="Times New Roman" w:eastAsia="Times New Roman" w:hint="default"/>
        </w:rPr>
        <w:t>:</w:t>
      </w:r>
      <w:r>
        <w:rPr/>
        <w:t>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136" w:right="3662"/>
        <w:jc w:val="left"/>
        <w:rPr>
          <w:b w:val="0"/>
          <w:bCs w:val="0"/>
        </w:rPr>
      </w:pPr>
      <w:bookmarkStart w:name="（8）与合营企业或联营企业投资相关的或有负债:无" w:id="378"/>
      <w:bookmarkEnd w:id="378"/>
      <w:r>
        <w:rPr>
          <w:b w:val="0"/>
          <w:bCs w:val="0"/>
        </w:rPr>
      </w:r>
      <w:r>
        <w:rPr/>
        <w:t>（</w:t>
      </w:r>
      <w:r>
        <w:rPr>
          <w:rFonts w:ascii="Times New Roman" w:hAnsi="Times New Roman" w:cs="Times New Roman" w:eastAsia="Times New Roman" w:hint="default"/>
        </w:rPr>
        <w:t>8</w:t>
      </w:r>
      <w:r>
        <w:rPr/>
        <w:t>）与合营企业或联营企业投资相关的或有负债</w:t>
      </w:r>
      <w:r>
        <w:rPr>
          <w:rFonts w:ascii="Times New Roman" w:hAnsi="Times New Roman" w:cs="Times New Roman" w:eastAsia="Times New Roman" w:hint="default"/>
        </w:rPr>
        <w:t>:</w:t>
      </w:r>
      <w:r>
        <w:rPr/>
        <w:t>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4、重要的共同经营:无" w:id="379"/>
      <w:bookmarkEnd w:id="379"/>
      <w:r>
        <w:rPr>
          <w:b w:val="0"/>
          <w:bCs w:val="0"/>
        </w:rPr>
      </w:r>
      <w:r>
        <w:rPr>
          <w:rFonts w:ascii="Times New Roman" w:hAnsi="Times New Roman" w:cs="Times New Roman" w:eastAsia="Times New Roman" w:hint="default"/>
        </w:rPr>
        <w:t>4</w:t>
      </w:r>
      <w:r>
        <w:rPr/>
        <w:t>、重要的共同经营</w:t>
      </w:r>
      <w:r>
        <w:rPr>
          <w:rFonts w:ascii="Times New Roman" w:hAnsi="Times New Roman" w:cs="Times New Roman" w:eastAsia="Times New Roman" w:hint="default"/>
        </w:rPr>
        <w:t>:</w:t>
      </w:r>
      <w:r>
        <w:rPr/>
        <w:t>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5、在未纳入合并财务报表范围的结构化主体中的权益:无" w:id="380"/>
      <w:bookmarkEnd w:id="380"/>
      <w:r>
        <w:rPr>
          <w:b w:val="0"/>
          <w:bCs w:val="0"/>
        </w:rPr>
      </w:r>
      <w:r>
        <w:rPr>
          <w:rFonts w:ascii="Times New Roman" w:hAnsi="Times New Roman" w:cs="Times New Roman" w:eastAsia="Times New Roman" w:hint="default"/>
        </w:rPr>
        <w:t>5</w:t>
      </w:r>
      <w:r>
        <w:rPr/>
        <w:t>、在未纳入合并财务报表范围的结构化主体中的权益</w:t>
      </w:r>
      <w:r>
        <w:rPr>
          <w:rFonts w:ascii="Times New Roman" w:hAnsi="Times New Roman" w:cs="Times New Roman" w:eastAsia="Times New Roman" w:hint="default"/>
        </w:rPr>
        <w:t>:</w:t>
      </w:r>
      <w:r>
        <w:rPr/>
        <w:t>无</w:t>
      </w:r>
      <w:r>
        <w:rPr>
          <w:b w:val="0"/>
          <w:bCs w:val="0"/>
        </w:rPr>
      </w:r>
    </w:p>
    <w:p>
      <w:pPr>
        <w:spacing w:after="0" w:line="240" w:lineRule="auto"/>
        <w:jc w:val="left"/>
        <w:sectPr>
          <w:footerReference w:type="default" r:id="rId49"/>
          <w:pgSz w:w="11910" w:h="16840"/>
          <w:pgMar w:footer="1022" w:header="0" w:top="1100" w:bottom="1220" w:left="680" w:right="0"/>
          <w:pgNumType w:start="161"/>
        </w:sect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136" w:right="3662"/>
        <w:jc w:val="left"/>
        <w:rPr>
          <w:b w:val="0"/>
          <w:bCs w:val="0"/>
        </w:rPr>
      </w:pPr>
      <w:bookmarkStart w:name="6、其他:无" w:id="381"/>
      <w:bookmarkEnd w:id="381"/>
      <w:r>
        <w:rPr>
          <w:b w:val="0"/>
          <w:bCs w:val="0"/>
        </w:rPr>
      </w:r>
      <w:r>
        <w:rPr>
          <w:rFonts w:ascii="Times New Roman" w:hAnsi="Times New Roman" w:cs="Times New Roman" w:eastAsia="Times New Roman" w:hint="default"/>
        </w:rPr>
        <w:t>6</w:t>
      </w:r>
      <w:r>
        <w:rPr/>
        <w:t>、其他</w:t>
      </w:r>
      <w:r>
        <w:rPr>
          <w:rFonts w:ascii="Times New Roman" w:hAnsi="Times New Roman" w:cs="Times New Roman" w:eastAsia="Times New Roman" w:hint="default"/>
        </w:rPr>
        <w:t>:</w:t>
      </w:r>
      <w:r>
        <w:rPr/>
        <w:t>无</w:t>
      </w:r>
      <w:r>
        <w:rPr>
          <w:b w:val="0"/>
          <w:bCs w:val="0"/>
        </w:rPr>
      </w:r>
    </w:p>
    <w:p>
      <w:pPr>
        <w:spacing w:line="240" w:lineRule="auto" w:before="1"/>
        <w:rPr>
          <w:rFonts w:ascii="宋体" w:hAnsi="宋体" w:cs="宋体" w:eastAsia="宋体" w:hint="default"/>
          <w:b/>
          <w:bCs/>
          <w:sz w:val="22"/>
          <w:szCs w:val="22"/>
        </w:rPr>
      </w:pPr>
    </w:p>
    <w:p>
      <w:pPr>
        <w:pStyle w:val="Heading2"/>
        <w:spacing w:line="240" w:lineRule="auto"/>
        <w:ind w:left="136" w:right="3662"/>
        <w:jc w:val="left"/>
        <w:rPr>
          <w:b w:val="0"/>
          <w:bCs w:val="0"/>
        </w:rPr>
      </w:pPr>
      <w:bookmarkStart w:name="十、与金融工具相关的风险" w:id="382"/>
      <w:bookmarkEnd w:id="382"/>
      <w:r>
        <w:rPr>
          <w:b w:val="0"/>
          <w:bCs w:val="0"/>
        </w:rPr>
      </w:r>
      <w:r>
        <w:rPr/>
        <w:t>十、与金融工具相关的风险</w:t>
      </w:r>
      <w:r>
        <w:rPr>
          <w:b w:val="0"/>
          <w:bCs w:val="0"/>
        </w:rPr>
      </w:r>
    </w:p>
    <w:p>
      <w:pPr>
        <w:spacing w:line="240" w:lineRule="auto" w:before="3"/>
        <w:rPr>
          <w:rFonts w:ascii="宋体" w:hAnsi="宋体" w:cs="宋体" w:eastAsia="宋体" w:hint="default"/>
          <w:b/>
          <w:bCs/>
          <w:sz w:val="27"/>
          <w:szCs w:val="27"/>
        </w:rPr>
      </w:pPr>
    </w:p>
    <w:p>
      <w:pPr>
        <w:pStyle w:val="BodyText"/>
        <w:spacing w:line="316" w:lineRule="auto"/>
        <w:ind w:left="136" w:right="826" w:firstLine="360"/>
        <w:jc w:val="both"/>
      </w:pPr>
      <w:r>
        <w:rPr>
          <w:spacing w:val="-3"/>
        </w:rPr>
        <w:t>本集团的主要金融工具包括货币资金、交易性金融资产、应收账款、其他应收款、其他权益工具投资、其他非流动金融资产、</w:t>
      </w:r>
      <w:r>
        <w:rPr>
          <w:w w:val="101"/>
        </w:rPr>
        <w:t> </w:t>
      </w:r>
      <w:r>
        <w:rPr>
          <w:spacing w:val="-4"/>
        </w:rPr>
        <w:t>应付账款、其他应付款等，各项金融工具的详细情况说明见附注七。与这些金融工具有关的风险，以及本集团为降低这些风险所采</w:t>
      </w:r>
      <w:r>
        <w:rPr>
          <w:spacing w:val="4"/>
        </w:rPr>
        <w:t> </w:t>
      </w:r>
      <w:r>
        <w:rPr>
          <w:spacing w:val="4"/>
        </w:rPr>
      </w:r>
      <w:r>
        <w:rPr>
          <w:spacing w:val="-3"/>
        </w:rPr>
        <w:t>取的风险管理政策如下所述。本集团管理层对这些风险敞口进行管理和监控以确保将上述风险控制在限定的范围之内。</w:t>
      </w:r>
    </w:p>
    <w:p>
      <w:pPr>
        <w:pStyle w:val="BodyText"/>
        <w:spacing w:line="300" w:lineRule="auto" w:before="19"/>
        <w:ind w:left="496" w:right="851"/>
        <w:jc w:val="left"/>
      </w:pPr>
      <w:r>
        <w:rPr>
          <w:rFonts w:ascii="Times New Roman" w:hAnsi="Times New Roman" w:cs="Times New Roman" w:eastAsia="Times New Roman" w:hint="default"/>
        </w:rPr>
        <w:t>1.</w:t>
      </w:r>
      <w:r>
        <w:rPr/>
        <w:t>风险管理目标和政策</w:t>
      </w:r>
      <w:r>
        <w:rPr>
          <w:spacing w:val="-85"/>
        </w:rPr>
        <w:t> </w:t>
      </w:r>
      <w:r>
        <w:rPr>
          <w:spacing w:val="-85"/>
        </w:rPr>
      </w:r>
      <w:r>
        <w:rPr>
          <w:spacing w:val="-4"/>
        </w:rPr>
        <w:t>本集团从事风险管理的目标是在风险和收益之间取得适当的平衡，将风险对本集团经营业绩的负面影响降低到最低水平，使股</w:t>
      </w:r>
    </w:p>
    <w:p>
      <w:pPr>
        <w:pStyle w:val="BodyText"/>
        <w:spacing w:line="319" w:lineRule="auto" w:before="31"/>
        <w:ind w:left="136" w:right="851"/>
        <w:jc w:val="left"/>
      </w:pPr>
      <w:r>
        <w:rPr>
          <w:spacing w:val="-4"/>
        </w:rPr>
        <w:t>东的利益最大化。基于该风险管理目标，本集团风险管理的基本策略是确定和分析本集团所面临的各种风险，建立适当的风险承受</w:t>
      </w:r>
      <w:r>
        <w:rPr>
          <w:spacing w:val="4"/>
        </w:rPr>
        <w:t> </w:t>
      </w:r>
      <w:r>
        <w:rPr>
          <w:spacing w:val="4"/>
        </w:rPr>
      </w:r>
      <w:r>
        <w:rPr>
          <w:spacing w:val="-3"/>
        </w:rPr>
        <w:t>底线和进行风险管理，并及时可靠地对各种风险进行监督，将风险控制在限定的范围之内。</w:t>
      </w:r>
    </w:p>
    <w:p>
      <w:pPr>
        <w:pStyle w:val="BodyText"/>
        <w:spacing w:line="240" w:lineRule="auto" w:before="17"/>
        <w:ind w:left="496" w:right="3662"/>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1.1</w:t>
      </w:r>
      <w:r>
        <w:rPr>
          <w:u w:val="single" w:color="000000"/>
        </w:rPr>
        <w:t>市场风险</w:t>
      </w:r>
      <w:r>
        <w:rPr/>
      </w:r>
    </w:p>
    <w:p>
      <w:pPr>
        <w:pStyle w:val="BodyText"/>
        <w:spacing w:line="300" w:lineRule="auto" w:before="63"/>
        <w:ind w:left="496" w:right="851"/>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1.1.1</w:t>
      </w:r>
      <w:r>
        <w:rPr>
          <w:u w:val="single" w:color="000000"/>
        </w:rPr>
        <w:t>外汇风险</w:t>
      </w:r>
      <w:r>
        <w:rPr>
          <w:spacing w:val="-87"/>
          <w:u w:val="single" w:color="000000"/>
        </w:rPr>
        <w:t> </w:t>
      </w:r>
      <w:r>
        <w:rPr>
          <w:spacing w:val="-87"/>
        </w:rPr>
      </w:r>
      <w:r>
        <w:rPr>
          <w:spacing w:val="-87"/>
        </w:rPr>
      </w:r>
      <w:r>
        <w:rPr>
          <w:spacing w:val="-4"/>
        </w:rPr>
        <w:t>外汇风险是由以非记账本位币计量的货币性项目产生的。本集团承受外汇风险主要与美元有关。于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日，除下表所</w:t>
      </w:r>
    </w:p>
    <w:p>
      <w:pPr>
        <w:pStyle w:val="BodyText"/>
        <w:spacing w:line="319" w:lineRule="auto" w:before="13"/>
        <w:ind w:left="136" w:right="851"/>
        <w:jc w:val="left"/>
      </w:pPr>
      <w:r>
        <w:rPr>
          <w:spacing w:val="-4"/>
        </w:rPr>
        <w:t>述资产及负债为美元余额外，集团其他主要资产及负债均为记账本位币余额。该等外币余额的资产和负债产生的外汇风险可能对本</w:t>
      </w:r>
      <w:r>
        <w:rPr>
          <w:spacing w:val="3"/>
        </w:rPr>
        <w:t> </w:t>
      </w:r>
      <w:r>
        <w:rPr>
          <w:spacing w:val="3"/>
        </w:rPr>
      </w:r>
      <w:r>
        <w:rPr>
          <w:spacing w:val="-3"/>
        </w:rPr>
        <w:t>集团的经营业绩产生影响。</w:t>
      </w:r>
    </w:p>
    <w:tbl>
      <w:tblPr>
        <w:tblW w:w="0" w:type="auto"/>
        <w:jc w:val="left"/>
        <w:tblInd w:w="117" w:type="dxa"/>
        <w:tblLayout w:type="fixed"/>
        <w:tblCellMar>
          <w:top w:w="0" w:type="dxa"/>
          <w:left w:w="0" w:type="dxa"/>
          <w:bottom w:w="0" w:type="dxa"/>
          <w:right w:w="0" w:type="dxa"/>
        </w:tblCellMar>
        <w:tblLook w:val="01E0"/>
      </w:tblPr>
      <w:tblGrid>
        <w:gridCol w:w="3179"/>
        <w:gridCol w:w="3529"/>
        <w:gridCol w:w="3534"/>
      </w:tblGrid>
      <w:tr>
        <w:trPr>
          <w:trHeight w:val="329" w:hRule="exact"/>
        </w:trPr>
        <w:tc>
          <w:tcPr>
            <w:tcW w:w="317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36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2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369"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53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364"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7" w:hRule="exact"/>
        </w:trPr>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36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5"/>
              <w:jc w:val="right"/>
              <w:rPr>
                <w:rFonts w:ascii="Times New Roman" w:hAnsi="Times New Roman" w:cs="Times New Roman" w:eastAsia="Times New Roman" w:hint="default"/>
                <w:sz w:val="18"/>
                <w:szCs w:val="18"/>
              </w:rPr>
            </w:pPr>
            <w:r>
              <w:rPr>
                <w:rFonts w:ascii="Times New Roman"/>
                <w:spacing w:val="-1"/>
                <w:sz w:val="18"/>
              </w:rPr>
              <w:t>15,392,025.79</w:t>
            </w:r>
          </w:p>
        </w:tc>
        <w:tc>
          <w:tcPr>
            <w:tcW w:w="3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spacing w:val="-1"/>
                <w:sz w:val="18"/>
              </w:rPr>
              <w:t>68,025,821.18</w:t>
            </w:r>
          </w:p>
        </w:tc>
      </w:tr>
      <w:tr>
        <w:trPr>
          <w:trHeight w:val="346" w:hRule="exact"/>
        </w:trPr>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14,152,342.56</w:t>
            </w:r>
          </w:p>
        </w:tc>
        <w:tc>
          <w:tcPr>
            <w:tcW w:w="3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4,591,250.40</w:t>
            </w:r>
          </w:p>
        </w:tc>
      </w:tr>
      <w:tr>
        <w:trPr>
          <w:trHeight w:val="346" w:hRule="exact"/>
        </w:trPr>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8,663,116.32</w:t>
            </w:r>
          </w:p>
        </w:tc>
        <w:tc>
          <w:tcPr>
            <w:tcW w:w="3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2,490,143.90</w:t>
            </w:r>
          </w:p>
        </w:tc>
      </w:tr>
    </w:tbl>
    <w:p>
      <w:pPr>
        <w:pStyle w:val="BodyText"/>
        <w:spacing w:line="316" w:lineRule="auto" w:before="17"/>
        <w:ind w:left="496" w:right="3662"/>
        <w:jc w:val="left"/>
      </w:pPr>
      <w:r>
        <w:rPr>
          <w:w w:val="101"/>
        </w:rPr>
      </w:r>
      <w:r>
        <w:rPr>
          <w:spacing w:val="-3"/>
          <w:u w:val="single" w:color="000000"/>
        </w:rPr>
        <w:t>外汇风险敏感性分析</w:t>
      </w:r>
      <w:r>
        <w:rPr>
          <w:spacing w:val="-62"/>
          <w:u w:val="single" w:color="000000"/>
        </w:rPr>
        <w:t> </w:t>
      </w:r>
      <w:r>
        <w:rPr>
          <w:spacing w:val="-62"/>
        </w:rPr>
      </w:r>
      <w:r>
        <w:rPr>
          <w:spacing w:val="-62"/>
        </w:rPr>
      </w:r>
      <w:r>
        <w:rPr>
          <w:spacing w:val="-3"/>
        </w:rPr>
        <w:t>在其他变量不变的情况下，汇率可能发生的合理变动对当期损益和股东权益的影响如下：</w:t>
      </w:r>
    </w:p>
    <w:tbl>
      <w:tblPr>
        <w:tblW w:w="0" w:type="auto"/>
        <w:jc w:val="left"/>
        <w:tblInd w:w="112" w:type="dxa"/>
        <w:tblLayout w:type="fixed"/>
        <w:tblCellMar>
          <w:top w:w="0" w:type="dxa"/>
          <w:left w:w="0" w:type="dxa"/>
          <w:bottom w:w="0" w:type="dxa"/>
          <w:right w:w="0" w:type="dxa"/>
        </w:tblCellMar>
        <w:tblLook w:val="01E0"/>
      </w:tblPr>
      <w:tblGrid>
        <w:gridCol w:w="806"/>
        <w:gridCol w:w="1931"/>
        <w:gridCol w:w="1781"/>
        <w:gridCol w:w="1974"/>
        <w:gridCol w:w="1781"/>
        <w:gridCol w:w="1979"/>
      </w:tblGrid>
      <w:tr>
        <w:trPr>
          <w:trHeight w:val="427" w:hRule="exact"/>
        </w:trPr>
        <w:tc>
          <w:tcPr>
            <w:tcW w:w="806" w:type="dxa"/>
            <w:vMerge w:val="restart"/>
            <w:tcBorders>
              <w:top w:val="single" w:sz="8" w:space="0" w:color="000000"/>
              <w:left w:val="single" w:sz="8" w:space="0" w:color="000000"/>
              <w:right w:val="single" w:sz="8" w:space="0" w:color="000000"/>
            </w:tcBorders>
            <w:shd w:val="clear" w:color="auto" w:fill="BDBDBD"/>
          </w:tcPr>
          <w:p>
            <w:pPr>
              <w:pStyle w:val="TableParagraph"/>
              <w:spacing w:line="240" w:lineRule="auto" w:before="73"/>
              <w:ind w:left="21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31" w:type="dxa"/>
            <w:vMerge w:val="restart"/>
            <w:tcBorders>
              <w:top w:val="single" w:sz="8" w:space="0" w:color="000000"/>
              <w:left w:val="single" w:sz="8" w:space="0" w:color="000000"/>
              <w:right w:val="single" w:sz="8" w:space="0" w:color="000000"/>
            </w:tcBorders>
            <w:shd w:val="clear" w:color="auto" w:fill="BDBDBD"/>
          </w:tcPr>
          <w:p>
            <w:pPr>
              <w:pStyle w:val="TableParagraph"/>
              <w:spacing w:line="240" w:lineRule="auto" w:before="73"/>
              <w:ind w:left="595"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3755" w:type="dxa"/>
            <w:gridSpan w:val="2"/>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760" w:type="dxa"/>
            <w:gridSpan w:val="2"/>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3"/>
              <w:ind w:right="3"/>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504" w:hRule="exact"/>
        </w:trPr>
        <w:tc>
          <w:tcPr>
            <w:tcW w:w="806" w:type="dxa"/>
            <w:vMerge/>
            <w:tcBorders>
              <w:left w:val="single" w:sz="8" w:space="0" w:color="000000"/>
              <w:bottom w:val="single" w:sz="8" w:space="0" w:color="000000"/>
              <w:right w:val="single" w:sz="8" w:space="0" w:color="000000"/>
            </w:tcBorders>
            <w:shd w:val="clear" w:color="auto" w:fill="BDBDBD"/>
          </w:tcPr>
          <w:p>
            <w:pPr/>
          </w:p>
        </w:tc>
        <w:tc>
          <w:tcPr>
            <w:tcW w:w="1931" w:type="dxa"/>
            <w:vMerge/>
            <w:tcBorders>
              <w:left w:val="single" w:sz="8" w:space="0" w:color="000000"/>
              <w:bottom w:val="single" w:sz="8" w:space="0" w:color="000000"/>
              <w:right w:val="single" w:sz="8" w:space="0" w:color="000000"/>
            </w:tcBorders>
            <w:shd w:val="clear" w:color="auto" w:fill="BDBDBD"/>
          </w:tcPr>
          <w:p>
            <w:pPr/>
          </w:p>
        </w:tc>
        <w:tc>
          <w:tcPr>
            <w:tcW w:w="1781"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3"/>
              <w:ind w:right="65"/>
              <w:jc w:val="right"/>
              <w:rPr>
                <w:rFonts w:ascii="宋体" w:hAnsi="宋体" w:cs="宋体" w:eastAsia="宋体" w:hint="default"/>
                <w:sz w:val="18"/>
                <w:szCs w:val="18"/>
              </w:rPr>
            </w:pPr>
            <w:r>
              <w:rPr>
                <w:rFonts w:ascii="宋体" w:hAnsi="宋体" w:cs="宋体" w:eastAsia="宋体" w:hint="default"/>
                <w:spacing w:val="-3"/>
                <w:sz w:val="18"/>
                <w:szCs w:val="18"/>
              </w:rPr>
              <w:t>对净利润的影响</w:t>
            </w:r>
          </w:p>
        </w:tc>
        <w:tc>
          <w:tcPr>
            <w:tcW w:w="1974"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3"/>
              <w:ind w:right="70"/>
              <w:jc w:val="right"/>
              <w:rPr>
                <w:rFonts w:ascii="宋体" w:hAnsi="宋体" w:cs="宋体" w:eastAsia="宋体" w:hint="default"/>
                <w:sz w:val="18"/>
                <w:szCs w:val="18"/>
              </w:rPr>
            </w:pPr>
            <w:r>
              <w:rPr>
                <w:rFonts w:ascii="宋体" w:hAnsi="宋体" w:cs="宋体" w:eastAsia="宋体" w:hint="default"/>
                <w:spacing w:val="-2"/>
                <w:sz w:val="18"/>
                <w:szCs w:val="18"/>
              </w:rPr>
              <w:t>对股东权益的影响</w:t>
            </w:r>
          </w:p>
        </w:tc>
        <w:tc>
          <w:tcPr>
            <w:tcW w:w="1781"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3"/>
              <w:ind w:right="65"/>
              <w:jc w:val="right"/>
              <w:rPr>
                <w:rFonts w:ascii="宋体" w:hAnsi="宋体" w:cs="宋体" w:eastAsia="宋体" w:hint="default"/>
                <w:sz w:val="18"/>
                <w:szCs w:val="18"/>
              </w:rPr>
            </w:pPr>
            <w:r>
              <w:rPr>
                <w:rFonts w:ascii="宋体" w:hAnsi="宋体" w:cs="宋体" w:eastAsia="宋体" w:hint="default"/>
                <w:spacing w:val="-3"/>
                <w:sz w:val="18"/>
                <w:szCs w:val="18"/>
              </w:rPr>
              <w:t>对净利润的影响</w:t>
            </w:r>
          </w:p>
        </w:tc>
        <w:tc>
          <w:tcPr>
            <w:tcW w:w="1979"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3"/>
              <w:ind w:right="75"/>
              <w:jc w:val="right"/>
              <w:rPr>
                <w:rFonts w:ascii="宋体" w:hAnsi="宋体" w:cs="宋体" w:eastAsia="宋体" w:hint="default"/>
                <w:sz w:val="18"/>
                <w:szCs w:val="18"/>
              </w:rPr>
            </w:pPr>
            <w:r>
              <w:rPr>
                <w:rFonts w:ascii="宋体" w:hAnsi="宋体" w:cs="宋体" w:eastAsia="宋体" w:hint="default"/>
                <w:spacing w:val="-2"/>
                <w:sz w:val="18"/>
                <w:szCs w:val="18"/>
              </w:rPr>
              <w:t>对股东权益的影响</w:t>
            </w:r>
          </w:p>
        </w:tc>
      </w:tr>
      <w:tr>
        <w:trPr>
          <w:trHeight w:val="461" w:hRule="exact"/>
        </w:trPr>
        <w:tc>
          <w:tcPr>
            <w:tcW w:w="8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9" w:right="0"/>
              <w:jc w:val="left"/>
              <w:rPr>
                <w:rFonts w:ascii="宋体" w:hAnsi="宋体" w:cs="宋体" w:eastAsia="宋体" w:hint="default"/>
                <w:sz w:val="18"/>
                <w:szCs w:val="18"/>
              </w:rPr>
            </w:pPr>
            <w:r>
              <w:rPr>
                <w:rFonts w:ascii="宋体" w:hAnsi="宋体" w:cs="宋体" w:eastAsia="宋体" w:hint="default"/>
                <w:sz w:val="18"/>
                <w:szCs w:val="18"/>
              </w:rPr>
              <w:t>对人民币升值</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783,046.95</w:t>
            </w:r>
          </w:p>
        </w:tc>
        <w:tc>
          <w:tcPr>
            <w:tcW w:w="1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783,046.95</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2,629,759.79</w:t>
            </w:r>
          </w:p>
        </w:tc>
        <w:tc>
          <w:tcPr>
            <w:tcW w:w="1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2,629,759.79</w:t>
            </w:r>
          </w:p>
        </w:tc>
      </w:tr>
      <w:tr>
        <w:trPr>
          <w:trHeight w:val="461" w:hRule="exact"/>
        </w:trPr>
        <w:tc>
          <w:tcPr>
            <w:tcW w:w="8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对人民币贬值</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-783,046.95</w:t>
            </w:r>
          </w:p>
        </w:tc>
        <w:tc>
          <w:tcPr>
            <w:tcW w:w="1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-783,046.95</w:t>
            </w:r>
          </w:p>
        </w:tc>
        <w:tc>
          <w:tcPr>
            <w:tcW w:w="17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-2,629,759.79</w:t>
            </w:r>
          </w:p>
        </w:tc>
        <w:tc>
          <w:tcPr>
            <w:tcW w:w="1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-2,629,759.79</w:t>
            </w:r>
          </w:p>
        </w:tc>
      </w:tr>
    </w:tbl>
    <w:p>
      <w:pPr>
        <w:pStyle w:val="BodyText"/>
        <w:spacing w:line="309" w:lineRule="auto" w:before="19"/>
        <w:ind w:left="496" w:right="6040"/>
        <w:jc w:val="left"/>
      </w:pPr>
      <w:r>
        <w:rPr>
          <w:rFonts w:ascii="Times New Roman" w:hAnsi="Times New Roman" w:cs="Times New Roman" w:eastAsia="Times New Roman" w:hint="default"/>
          <w:w w:val="101"/>
        </w:rPr>
      </w:r>
      <w:r>
        <w:rPr>
          <w:rFonts w:ascii="Times New Roman" w:hAnsi="Times New Roman" w:cs="Times New Roman" w:eastAsia="Times New Roman" w:hint="default"/>
          <w:spacing w:val="-3"/>
          <w:u w:val="single" w:color="000000"/>
        </w:rPr>
        <w:t>1.1.2</w:t>
      </w:r>
      <w:r>
        <w:rPr>
          <w:spacing w:val="-3"/>
          <w:u w:val="single" w:color="000000"/>
        </w:rPr>
        <w:t>利率风险</w:t>
      </w:r>
      <w:r>
        <w:rPr>
          <w:rFonts w:ascii="Times New Roman" w:hAnsi="Times New Roman" w:cs="Times New Roman" w:eastAsia="Times New Roman" w:hint="default"/>
          <w:spacing w:val="-3"/>
          <w:u w:val="single" w:color="000000"/>
        </w:rPr>
        <w:t>-</w:t>
      </w:r>
      <w:r>
        <w:rPr>
          <w:spacing w:val="-3"/>
          <w:u w:val="single" w:color="000000"/>
        </w:rPr>
        <w:t>现金流量变动风险</w:t>
      </w:r>
      <w:r>
        <w:rPr>
          <w:spacing w:val="-37"/>
          <w:u w:val="single" w:color="000000"/>
        </w:rPr>
        <w:t> </w:t>
      </w:r>
      <w:r>
        <w:rPr>
          <w:spacing w:val="-37"/>
        </w:rPr>
      </w:r>
      <w:r>
        <w:rPr>
          <w:spacing w:val="-37"/>
        </w:rPr>
      </w:r>
      <w:r>
        <w:rPr>
          <w:spacing w:val="-3"/>
        </w:rPr>
        <w:t>因本公司无浮动利率银行借款，因此不受利率变动的影响。</w:t>
      </w:r>
      <w:r>
        <w:rPr>
          <w:spacing w:val="-10"/>
        </w:rPr>
        <w:t> </w:t>
      </w:r>
      <w:r>
        <w:rPr>
          <w:spacing w:val="-10"/>
        </w:rPr>
      </w:r>
      <w:r>
        <w:rPr>
          <w:rFonts w:ascii="Times New Roman" w:hAnsi="Times New Roman" w:cs="Times New Roman" w:eastAsia="Times New Roman" w:hint="default"/>
          <w:spacing w:val="-10"/>
        </w:rPr>
      </w:r>
      <w:r>
        <w:rPr>
          <w:rFonts w:ascii="Times New Roman" w:hAnsi="Times New Roman" w:cs="Times New Roman" w:eastAsia="Times New Roman" w:hint="default"/>
          <w:spacing w:val="-3"/>
          <w:u w:val="single" w:color="000000"/>
        </w:rPr>
        <w:t>1.1.3</w:t>
      </w:r>
      <w:r>
        <w:rPr>
          <w:spacing w:val="-3"/>
          <w:u w:val="single" w:color="000000"/>
        </w:rPr>
        <w:t>利率风险</w:t>
      </w:r>
      <w:r>
        <w:rPr>
          <w:rFonts w:ascii="Times New Roman" w:hAnsi="Times New Roman" w:cs="Times New Roman" w:eastAsia="Times New Roman" w:hint="default"/>
          <w:spacing w:val="-3"/>
          <w:u w:val="single" w:color="000000"/>
        </w:rPr>
        <w:t>-</w:t>
      </w:r>
      <w:r>
        <w:rPr>
          <w:spacing w:val="-3"/>
          <w:u w:val="single" w:color="000000"/>
        </w:rPr>
        <w:t>公允价值变动风险</w:t>
      </w:r>
      <w:r>
        <w:rPr>
          <w:spacing w:val="-3"/>
        </w:rPr>
      </w:r>
    </w:p>
    <w:p>
      <w:pPr>
        <w:pStyle w:val="BodyText"/>
        <w:spacing w:line="309" w:lineRule="auto" w:before="5"/>
        <w:ind w:left="136" w:right="863" w:firstLine="360"/>
        <w:jc w:val="both"/>
      </w:pPr>
      <w:r>
        <w:rPr>
          <w:spacing w:val="-4"/>
        </w:rPr>
        <w:t>本集团因利率变动引起金融工具公允价值变动的风险主要与固定利率的交易性金融资产</w:t>
      </w:r>
      <w:r>
        <w:rPr>
          <w:rFonts w:ascii="Times New Roman" w:hAnsi="Times New Roman" w:cs="Times New Roman" w:eastAsia="Times New Roman" w:hint="default"/>
          <w:spacing w:val="-4"/>
        </w:rPr>
        <w:t>(</w:t>
      </w:r>
      <w:r>
        <w:rPr>
          <w:spacing w:val="-4"/>
        </w:rPr>
        <w:t>详见附注七、</w:t>
      </w:r>
      <w:r>
        <w:rPr>
          <w:rFonts w:ascii="Times New Roman" w:hAnsi="Times New Roman" w:cs="Times New Roman" w:eastAsia="Times New Roman" w:hint="default"/>
          <w:spacing w:val="-4"/>
        </w:rPr>
        <w:t>2)</w:t>
      </w:r>
      <w:r>
        <w:rPr>
          <w:spacing w:val="-4"/>
        </w:rPr>
        <w:t>有关。对于固定利率的</w:t>
      </w:r>
      <w:r>
        <w:rPr>
          <w:w w:val="101"/>
        </w:rPr>
        <w:t> </w:t>
      </w:r>
      <w:r>
        <w:rPr>
          <w:spacing w:val="-4"/>
        </w:rPr>
        <w:t>交易性金融资产，本集团的目标是维持适当的固定和浮动利率工具组合以管理利率风险，并适当运用利率掉期等衍生工具对利率风</w:t>
      </w:r>
      <w:r>
        <w:rPr>
          <w:spacing w:val="3"/>
        </w:rPr>
        <w:t> </w:t>
      </w:r>
      <w:r>
        <w:rPr>
          <w:spacing w:val="3"/>
        </w:rPr>
      </w:r>
      <w:r>
        <w:rPr/>
        <w:t>险进行管理。</w:t>
      </w:r>
    </w:p>
    <w:p>
      <w:pPr>
        <w:pStyle w:val="BodyText"/>
        <w:spacing w:line="240" w:lineRule="auto" w:before="24"/>
        <w:ind w:left="496" w:right="3662"/>
        <w:jc w:val="left"/>
      </w:pPr>
      <w:r>
        <w:rPr>
          <w:spacing w:val="-3"/>
        </w:rPr>
        <w:t>在其他变量不变的情况下，利率可能发生的合理变动对当期损益和股东权益的影响如下：</w:t>
      </w:r>
    </w:p>
    <w:p>
      <w:pPr>
        <w:spacing w:line="240" w:lineRule="auto" w:before="0"/>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2651"/>
        <w:gridCol w:w="1714"/>
        <w:gridCol w:w="3520"/>
        <w:gridCol w:w="2367"/>
      </w:tblGrid>
      <w:tr>
        <w:trPr>
          <w:trHeight w:val="812" w:hRule="exact"/>
        </w:trPr>
        <w:tc>
          <w:tcPr>
            <w:tcW w:w="2651"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4"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利率变动</w:t>
            </w:r>
          </w:p>
        </w:tc>
        <w:tc>
          <w:tcPr>
            <w:tcW w:w="3520"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本年发生额对净利润的影响</w:t>
            </w:r>
          </w:p>
        </w:tc>
        <w:tc>
          <w:tcPr>
            <w:tcW w:w="2367"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504" w:hRule="exact"/>
        </w:trPr>
        <w:tc>
          <w:tcPr>
            <w:tcW w:w="26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36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7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369"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65,413.85</w:t>
            </w:r>
          </w:p>
        </w:tc>
        <w:tc>
          <w:tcPr>
            <w:tcW w:w="2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65,413.85</w:t>
            </w:r>
          </w:p>
        </w:tc>
      </w:tr>
      <w:tr>
        <w:trPr>
          <w:trHeight w:val="499" w:hRule="exact"/>
        </w:trPr>
        <w:tc>
          <w:tcPr>
            <w:tcW w:w="26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7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369" w:right="0"/>
              <w:jc w:val="left"/>
              <w:rPr>
                <w:rFonts w:ascii="宋体" w:hAnsi="宋体" w:cs="宋体" w:eastAsia="宋体" w:hint="default"/>
                <w:sz w:val="18"/>
                <w:szCs w:val="18"/>
              </w:rPr>
            </w:pPr>
            <w:r>
              <w:rPr>
                <w:rFonts w:ascii="宋体" w:hAnsi="宋体" w:cs="宋体" w:eastAsia="宋体" w:hint="default"/>
                <w:sz w:val="18"/>
                <w:szCs w:val="18"/>
              </w:rPr>
              <w:t>降低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-65,413.85</w:t>
            </w:r>
          </w:p>
        </w:tc>
        <w:tc>
          <w:tcPr>
            <w:tcW w:w="2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-65,413.85</w:t>
            </w:r>
          </w:p>
        </w:tc>
      </w:tr>
    </w:tbl>
    <w:p>
      <w:pPr>
        <w:spacing w:line="240" w:lineRule="auto" w:before="2"/>
        <w:rPr>
          <w:rFonts w:ascii="宋体" w:hAnsi="宋体" w:cs="宋体" w:eastAsia="宋体" w:hint="default"/>
          <w:sz w:val="21"/>
          <w:szCs w:val="21"/>
        </w:rPr>
      </w:pPr>
    </w:p>
    <w:p>
      <w:pPr>
        <w:pStyle w:val="BodyText"/>
        <w:spacing w:line="300" w:lineRule="auto" w:before="46"/>
        <w:ind w:left="496" w:right="851"/>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1.1.4. </w:t>
      </w:r>
      <w:r>
        <w:rPr>
          <w:spacing w:val="-3"/>
          <w:u w:val="single" w:color="000000"/>
        </w:rPr>
        <w:t>其他价格风险</w:t>
      </w:r>
      <w:r>
        <w:rPr>
          <w:spacing w:val="-45"/>
          <w:u w:val="single" w:color="000000"/>
        </w:rPr>
        <w:t> </w:t>
      </w:r>
      <w:r>
        <w:rPr>
          <w:spacing w:val="-45"/>
        </w:rPr>
      </w:r>
      <w:r>
        <w:rPr>
          <w:spacing w:val="-45"/>
        </w:rPr>
      </w:r>
      <w:r>
        <w:rPr>
          <w:spacing w:val="-4"/>
        </w:rPr>
        <w:t>本集团的价格风险主要产生于交易性权益工具投资和其他权益工具投资。本集团采取持有多种权益证券组合的方式降低权益工</w:t>
      </w:r>
    </w:p>
    <w:p>
      <w:pPr>
        <w:pStyle w:val="BodyText"/>
        <w:spacing w:line="240" w:lineRule="auto" w:before="31"/>
        <w:ind w:left="136" w:right="3662"/>
        <w:jc w:val="left"/>
      </w:pPr>
      <w:r>
        <w:rPr>
          <w:spacing w:val="-3"/>
        </w:rPr>
        <w:t>具投资的价格风险。</w:t>
      </w:r>
    </w:p>
    <w:p>
      <w:pPr>
        <w:spacing w:after="0" w:line="240" w:lineRule="auto"/>
        <w:jc w:val="left"/>
        <w:sectPr>
          <w:pgSz w:w="11910" w:h="16840"/>
          <w:pgMar w:header="0" w:footer="1022" w:top="1100" w:bottom="1220" w:left="680" w:right="0"/>
        </w:sect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BodyText"/>
        <w:spacing w:line="316" w:lineRule="auto" w:before="60"/>
        <w:ind w:left="496" w:right="5756"/>
        <w:jc w:val="left"/>
      </w:pPr>
      <w:r>
        <w:rPr/>
        <w:pict>
          <v:group style="position:absolute;margin-left:58.824001pt;margin-top:15.191716pt;width:98.95pt;height:.1pt;mso-position-horizontal-relative:page;mso-position-vertical-relative:paragraph;z-index:-944776" coordorigin="1176,304" coordsize="1979,2">
            <v:shape style="position:absolute;left:1176;top:304;width:1979;height:2" coordorigin="1176,304" coordsize="1979,0" path="m1176,304l3155,304e" filled="false" stroked="true" strokeweight=".48pt" strokecolor="#000000">
              <v:path arrowok="t"/>
            </v:shape>
            <w10:wrap type="none"/>
          </v:group>
        </w:pict>
      </w:r>
      <w:r>
        <w:rPr>
          <w:spacing w:val="-3"/>
        </w:rPr>
        <w:t>其他价格风险敏感性分析</w:t>
      </w:r>
      <w:r>
        <w:rPr>
          <w:spacing w:val="-56"/>
        </w:rPr>
        <w:t> </w:t>
      </w:r>
      <w:r>
        <w:rPr>
          <w:spacing w:val="-56"/>
        </w:rPr>
      </w:r>
      <w:r>
        <w:rPr>
          <w:spacing w:val="-3"/>
        </w:rPr>
        <w:t>本集团因持有以公允价值计量的金融资产而面临价格风险。</w:t>
      </w:r>
    </w:p>
    <w:p>
      <w:pPr>
        <w:pStyle w:val="BodyText"/>
        <w:spacing w:line="300" w:lineRule="auto" w:before="19"/>
        <w:ind w:left="136" w:right="851" w:firstLine="360"/>
        <w:jc w:val="left"/>
      </w:pPr>
      <w:r>
        <w:rPr>
          <w:spacing w:val="-1"/>
        </w:rPr>
        <w:t>下表说明了，在所有其他变量保持不变，公允价值发生的</w:t>
      </w:r>
      <w:r>
        <w:rPr>
          <w:rFonts w:ascii="Times New Roman" w:hAnsi="Times New Roman" w:cs="Times New Roman" w:eastAsia="Times New Roman" w:hint="default"/>
          <w:spacing w:val="-1"/>
        </w:rPr>
        <w:t>5%</w:t>
      </w:r>
      <w:r>
        <w:rPr>
          <w:spacing w:val="-1"/>
        </w:rPr>
        <w:t>的变动对当期损益或其他综合收益的税后净额和所有者权益的税</w:t>
      </w:r>
      <w:r>
        <w:rPr>
          <w:w w:val="101"/>
        </w:rPr>
        <w:t> </w:t>
      </w:r>
      <w:r>
        <w:rPr/>
        <w:t>前影响如下：</w:t>
      </w:r>
    </w:p>
    <w:p>
      <w:pPr>
        <w:spacing w:line="240" w:lineRule="auto" w:before="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837"/>
        <w:gridCol w:w="1882"/>
        <w:gridCol w:w="2550"/>
        <w:gridCol w:w="1974"/>
      </w:tblGrid>
      <w:tr>
        <w:trPr>
          <w:trHeight w:val="653" w:hRule="exact"/>
        </w:trPr>
        <w:tc>
          <w:tcPr>
            <w:tcW w:w="383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6"/>
              <w:ind w:left="36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8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6"/>
              <w:ind w:left="75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55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6"/>
              <w:ind w:left="369" w:right="0"/>
              <w:jc w:val="left"/>
              <w:rPr>
                <w:rFonts w:ascii="宋体" w:hAnsi="宋体" w:cs="宋体" w:eastAsia="宋体" w:hint="default"/>
                <w:sz w:val="18"/>
                <w:szCs w:val="18"/>
              </w:rPr>
            </w:pPr>
            <w:r>
              <w:rPr>
                <w:rFonts w:ascii="宋体" w:hAnsi="宋体" w:cs="宋体" w:eastAsia="宋体" w:hint="default"/>
                <w:spacing w:val="-3"/>
                <w:sz w:val="18"/>
                <w:szCs w:val="18"/>
              </w:rPr>
              <w:t>对其他综合收益的税后净额</w:t>
            </w:r>
          </w:p>
          <w:p>
            <w:pPr>
              <w:pStyle w:val="TableParagraph"/>
              <w:spacing w:line="240" w:lineRule="auto" w:before="76"/>
              <w:ind w:left="7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净利润的影响</w:t>
            </w:r>
          </w:p>
        </w:tc>
        <w:tc>
          <w:tcPr>
            <w:tcW w:w="197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6"/>
              <w:ind w:right="75"/>
              <w:jc w:val="right"/>
              <w:rPr>
                <w:rFonts w:ascii="宋体" w:hAnsi="宋体" w:cs="宋体" w:eastAsia="宋体" w:hint="default"/>
                <w:sz w:val="18"/>
                <w:szCs w:val="18"/>
              </w:rPr>
            </w:pPr>
            <w:r>
              <w:rPr>
                <w:rFonts w:ascii="宋体" w:hAnsi="宋体" w:cs="宋体" w:eastAsia="宋体" w:hint="default"/>
                <w:spacing w:val="-2"/>
                <w:sz w:val="18"/>
                <w:szCs w:val="18"/>
              </w:rPr>
              <w:t>对股东权益的影响</w:t>
            </w:r>
          </w:p>
        </w:tc>
      </w:tr>
      <w:tr>
        <w:trPr>
          <w:trHeight w:val="346"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13,955,888.10</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489,336.83</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489,336.83</w:t>
            </w:r>
          </w:p>
        </w:tc>
      </w:tr>
      <w:tr>
        <w:trPr>
          <w:trHeight w:val="350"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406,952,801.34</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20,347,640.07</w:t>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20,347,640.07</w:t>
            </w:r>
          </w:p>
        </w:tc>
      </w:tr>
    </w:tbl>
    <w:p>
      <w:pPr>
        <w:pStyle w:val="BodyText"/>
        <w:spacing w:line="240" w:lineRule="auto" w:before="10"/>
        <w:ind w:left="496" w:right="3662"/>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1.2</w:t>
      </w:r>
      <w:r>
        <w:rPr>
          <w:u w:val="single" w:color="000000"/>
        </w:rPr>
        <w:t>信用风险</w:t>
      </w:r>
      <w:r>
        <w:rPr/>
      </w:r>
    </w:p>
    <w:p>
      <w:pPr>
        <w:pStyle w:val="BodyText"/>
        <w:spacing w:line="309" w:lineRule="auto" w:before="63"/>
        <w:ind w:left="136" w:right="863" w:firstLine="360"/>
        <w:jc w:val="both"/>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日，可能引起本集团财务损失的最大信用风险敞口主要来自于合同另一方未能履行义务而导致本集团金融资产产</w:t>
      </w:r>
      <w:r>
        <w:rPr>
          <w:w w:val="101"/>
        </w:rPr>
        <w:t> </w:t>
      </w:r>
      <w:r>
        <w:rPr>
          <w:spacing w:val="-4"/>
        </w:rPr>
        <w:t>生的损失，具体包括合并资产负债表中已确认的应收账款、其他应收款的账面金额；于资产负债表日，本集团该类金融资产的账面</w:t>
      </w:r>
      <w:r>
        <w:rPr>
          <w:spacing w:val="3"/>
        </w:rPr>
        <w:t> </w:t>
      </w:r>
      <w:r>
        <w:rPr>
          <w:spacing w:val="3"/>
        </w:rPr>
      </w:r>
      <w:r>
        <w:rPr>
          <w:spacing w:val="-3"/>
        </w:rPr>
        <w:t>价值已代表其最大信用风险敞口。</w:t>
      </w:r>
    </w:p>
    <w:p>
      <w:pPr>
        <w:pStyle w:val="BodyText"/>
        <w:spacing w:line="316" w:lineRule="auto" w:before="24"/>
        <w:ind w:left="136" w:right="860" w:firstLine="360"/>
        <w:jc w:val="both"/>
      </w:pPr>
      <w:r>
        <w:rPr>
          <w:spacing w:val="-4"/>
        </w:rPr>
        <w:t>为降低信用风险，本集团由专门人员负责确定信用额度、进行信用审批，并执行其他监控程序以确保采取必要的措施回收逾期</w:t>
      </w:r>
      <w:r>
        <w:rPr>
          <w:w w:val="101"/>
        </w:rPr>
        <w:t> </w:t>
      </w:r>
      <w:r>
        <w:rPr>
          <w:spacing w:val="-4"/>
        </w:rPr>
        <w:t>债务。此外，本集团于每个资产负债表日审核金融资产的回收情况，以确保对相关金融资产计提了充分的信用损失准备。因此，本</w:t>
      </w:r>
      <w:r>
        <w:rPr>
          <w:spacing w:val="8"/>
        </w:rPr>
        <w:t> </w:t>
      </w:r>
      <w:r>
        <w:rPr>
          <w:spacing w:val="8"/>
        </w:rPr>
      </w:r>
      <w:r>
        <w:rPr>
          <w:spacing w:val="-3"/>
        </w:rPr>
        <w:t>集团管理层认为本集团所承担的信用风险已经大为降低。</w:t>
      </w:r>
    </w:p>
    <w:p>
      <w:pPr>
        <w:pStyle w:val="BodyText"/>
        <w:spacing w:line="316" w:lineRule="auto" w:before="19"/>
        <w:ind w:left="496" w:right="851"/>
        <w:jc w:val="left"/>
      </w:pPr>
      <w:r>
        <w:rPr>
          <w:spacing w:val="-3"/>
        </w:rPr>
        <w:t>本集团的货币资金存放在信用评级较高的银行，故货币资金只具有较低的信用风险。</w:t>
      </w:r>
      <w:r>
        <w:rPr>
          <w:spacing w:val="20"/>
        </w:rPr>
        <w:t> </w:t>
      </w:r>
      <w:r>
        <w:rPr>
          <w:spacing w:val="20"/>
        </w:rPr>
      </w:r>
      <w:r>
        <w:rPr/>
        <w:t>本集团的风险敞口分布在多个合同方和多个客户，因此本集团没有重大的信用集中风险。于</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3"/>
        </w:rPr>
        <w:t> </w:t>
      </w:r>
      <w:r>
        <w:rPr>
          <w:spacing w:val="-3"/>
        </w:rPr>
        <w:t>日，本集团对前</w:t>
      </w:r>
    </w:p>
    <w:p>
      <w:pPr>
        <w:pStyle w:val="BodyText"/>
        <w:spacing w:line="248" w:lineRule="exact"/>
        <w:ind w:left="136" w:right="0"/>
        <w:jc w:val="left"/>
        <w:rPr>
          <w:rFonts w:ascii="Times New Roman" w:hAnsi="Times New Roman" w:cs="Times New Roman" w:eastAsia="Times New Roman" w:hint="default"/>
        </w:rPr>
      </w:pPr>
      <w:r>
        <w:rPr>
          <w:spacing w:val="-3"/>
        </w:rPr>
        <w:t>五大客户的应收账款余额为人民币</w:t>
      </w:r>
      <w:r>
        <w:rPr>
          <w:rFonts w:ascii="Times New Roman" w:hAnsi="Times New Roman" w:cs="Times New Roman" w:eastAsia="Times New Roman" w:hint="default"/>
          <w:spacing w:val="-3"/>
        </w:rPr>
        <w:t>63,851,615.74</w:t>
      </w:r>
      <w:r>
        <w:rPr>
          <w:spacing w:val="-3"/>
        </w:rPr>
        <w:t>元（</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      </w:t>
      </w:r>
      <w:r>
        <w:rPr>
          <w:rFonts w:ascii="Times New Roman" w:hAnsi="Times New Roman" w:cs="Times New Roman" w:eastAsia="Times New Roman" w:hint="default"/>
          <w:spacing w:val="-2"/>
        </w:rPr>
        <w:t> </w:t>
      </w:r>
      <w:r>
        <w:rPr>
          <w:spacing w:val="-4"/>
        </w:rPr>
        <w:t>月</w:t>
      </w:r>
      <w:r>
        <w:rPr>
          <w:rFonts w:ascii="Times New Roman" w:hAnsi="Times New Roman" w:cs="Times New Roman" w:eastAsia="Times New Roman" w:hint="default"/>
          <w:spacing w:val="-4"/>
        </w:rPr>
        <w:t>31</w:t>
      </w:r>
      <w:r>
        <w:rPr>
          <w:spacing w:val="-4"/>
        </w:rPr>
        <w:t>日：人民币</w:t>
      </w:r>
      <w:r>
        <w:rPr>
          <w:rFonts w:ascii="Times New Roman" w:hAnsi="Times New Roman" w:cs="Times New Roman" w:eastAsia="Times New Roman" w:hint="default"/>
          <w:spacing w:val="-4"/>
        </w:rPr>
        <w:t>54,119,535.36</w:t>
      </w:r>
      <w:r>
        <w:rPr>
          <w:spacing w:val="-4"/>
        </w:rPr>
        <w:t>元），占本集团应收账款余额的</w:t>
      </w:r>
      <w:r>
        <w:rPr>
          <w:rFonts w:ascii="Times New Roman" w:hAnsi="Times New Roman" w:cs="Times New Roman" w:eastAsia="Times New Roman" w:hint="default"/>
          <w:spacing w:val="-4"/>
        </w:rPr>
        <w:t>41.20%</w:t>
      </w:r>
    </w:p>
    <w:p>
      <w:pPr>
        <w:pStyle w:val="BodyText"/>
        <w:spacing w:line="300" w:lineRule="auto" w:before="63"/>
        <w:ind w:left="496" w:right="851" w:hanging="360"/>
        <w:jc w:val="left"/>
      </w:pP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 </w:t>
      </w:r>
      <w:r>
        <w:rPr>
          <w:spacing w:val="-3"/>
        </w:rPr>
        <w:t>月</w:t>
      </w:r>
      <w:r>
        <w:rPr>
          <w:rFonts w:ascii="Times New Roman" w:hAnsi="Times New Roman" w:cs="Times New Roman" w:eastAsia="Times New Roman" w:hint="default"/>
          <w:spacing w:val="-3"/>
        </w:rPr>
        <w:t>31</w:t>
      </w:r>
      <w:r>
        <w:rPr>
          <w:spacing w:val="-3"/>
        </w:rPr>
        <w:t>日：</w:t>
      </w:r>
      <w:r>
        <w:rPr>
          <w:rFonts w:ascii="Times New Roman" w:hAnsi="Times New Roman" w:cs="Times New Roman" w:eastAsia="Times New Roman" w:hint="default"/>
          <w:spacing w:val="-3"/>
        </w:rPr>
        <w:t>37.35%</w:t>
      </w:r>
      <w:r>
        <w:rPr>
          <w:spacing w:val="-3"/>
        </w:rPr>
        <w:t>）。除此之外，本集团无其他重大信用风险敞口集中于单一金融资产或有类似特征的金融资产组合。</w:t>
      </w:r>
      <w:r>
        <w:rPr>
          <w:spacing w:val="-23"/>
        </w:rPr>
        <w:t> </w:t>
      </w:r>
      <w:r>
        <w:rPr>
          <w:spacing w:val="-23"/>
        </w:rPr>
      </w:r>
      <w:r>
        <w:rPr>
          <w:rFonts w:ascii="Times New Roman" w:hAnsi="Times New Roman" w:cs="Times New Roman" w:eastAsia="Times New Roman" w:hint="default"/>
          <w:spacing w:val="-23"/>
        </w:rPr>
      </w:r>
      <w:r>
        <w:rPr>
          <w:rFonts w:ascii="Times New Roman" w:hAnsi="Times New Roman" w:cs="Times New Roman" w:eastAsia="Times New Roman" w:hint="default"/>
          <w:u w:val="single" w:color="000000"/>
        </w:rPr>
        <w:t>1.3</w:t>
      </w:r>
      <w:r>
        <w:rPr>
          <w:u w:val="single" w:color="000000"/>
        </w:rPr>
        <w:t>流动风险</w:t>
      </w:r>
      <w:r>
        <w:rPr>
          <w:w w:val="101"/>
        </w:rPr>
      </w:r>
      <w:r>
        <w:rPr>
          <w:w w:val="101"/>
        </w:rPr>
        <w:t> </w:t>
      </w:r>
      <w:r>
        <w:rPr>
          <w:spacing w:val="-4"/>
        </w:rPr>
        <w:t>管理流动风险时，本集团保持管理层认为充分的现金及现金等价物并对其进行监控，以满足本集团经营需要，并降低现金流量</w:t>
      </w:r>
    </w:p>
    <w:p>
      <w:pPr>
        <w:pStyle w:val="BodyText"/>
        <w:spacing w:line="240" w:lineRule="auto" w:before="31"/>
        <w:ind w:left="136" w:right="3662"/>
        <w:jc w:val="left"/>
      </w:pPr>
      <w:r>
        <w:rPr/>
        <w:t>波动的影响。</w:t>
      </w:r>
    </w:p>
    <w:p>
      <w:pPr>
        <w:pStyle w:val="BodyText"/>
        <w:spacing w:line="240" w:lineRule="auto" w:before="76"/>
        <w:ind w:left="496" w:right="3662"/>
        <w:jc w:val="left"/>
      </w:pPr>
      <w:r>
        <w:rPr>
          <w:spacing w:val="-3"/>
        </w:rPr>
        <w:t>本集团持有的金融负债按未折现剩余合同义务的到期期限分析如下：</w:t>
      </w:r>
    </w:p>
    <w:p>
      <w:pPr>
        <w:spacing w:line="240" w:lineRule="auto" w:before="0"/>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661"/>
        <w:gridCol w:w="2871"/>
        <w:gridCol w:w="1906"/>
        <w:gridCol w:w="1906"/>
        <w:gridCol w:w="1907"/>
      </w:tblGrid>
      <w:tr>
        <w:trPr>
          <w:trHeight w:val="427" w:hRule="exact"/>
        </w:trPr>
        <w:tc>
          <w:tcPr>
            <w:tcW w:w="1661" w:type="dxa"/>
            <w:vMerge w:val="restart"/>
            <w:tcBorders>
              <w:top w:val="single" w:sz="8" w:space="0" w:color="000000"/>
              <w:left w:val="single" w:sz="8" w:space="0" w:color="000000"/>
              <w:right w:val="single" w:sz="8" w:space="0" w:color="000000"/>
            </w:tcBorders>
            <w:shd w:val="clear" w:color="auto" w:fill="BDBDBD"/>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591" w:type="dxa"/>
            <w:gridSpan w:val="4"/>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28" w:hRule="exact"/>
        </w:trPr>
        <w:tc>
          <w:tcPr>
            <w:tcW w:w="1661" w:type="dxa"/>
            <w:vMerge/>
            <w:tcBorders>
              <w:left w:val="single" w:sz="8" w:space="0" w:color="000000"/>
              <w:bottom w:val="single" w:sz="8" w:space="0" w:color="000000"/>
              <w:right w:val="single" w:sz="8" w:space="0" w:color="000000"/>
            </w:tcBorders>
            <w:shd w:val="clear" w:color="auto" w:fill="BDBDBD"/>
          </w:tcPr>
          <w:p>
            <w:pPr/>
          </w:p>
        </w:tc>
        <w:tc>
          <w:tcPr>
            <w:tcW w:w="2871"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3"/>
              <w:ind w:left="12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06"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3"/>
              <w:ind w:left="7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06"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3"/>
              <w:ind w:left="7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07"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3"/>
              <w:ind w:left="7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r>
      <w:tr>
        <w:trPr>
          <w:trHeight w:val="408" w:hRule="exact"/>
        </w:trPr>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2"/>
                <w:sz w:val="18"/>
              </w:rPr>
              <w:t>78,773,618.66</w:t>
            </w:r>
          </w:p>
        </w:tc>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13" w:hRule="exact"/>
        </w:trPr>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145,180,404.80</w:t>
            </w:r>
          </w:p>
        </w:tc>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13" w:hRule="exact"/>
        </w:trPr>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223,954,023.46</w:t>
            </w:r>
          </w:p>
        </w:tc>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13" w:hRule="exact"/>
        </w:trPr>
        <w:tc>
          <w:tcPr>
            <w:tcW w:w="1661" w:type="dxa"/>
            <w:vMerge w:val="restart"/>
            <w:tcBorders>
              <w:top w:val="single" w:sz="8" w:space="0" w:color="000000"/>
              <w:left w:val="single" w:sz="8" w:space="0" w:color="000000"/>
              <w:right w:val="single" w:sz="8" w:space="0" w:color="000000"/>
            </w:tcBorders>
            <w:shd w:val="clear" w:color="auto" w:fill="BDBDBD"/>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591" w:type="dxa"/>
            <w:gridSpan w:val="4"/>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13" w:hRule="exact"/>
        </w:trPr>
        <w:tc>
          <w:tcPr>
            <w:tcW w:w="1661" w:type="dxa"/>
            <w:vMerge/>
            <w:tcBorders>
              <w:left w:val="single" w:sz="8" w:space="0" w:color="000000"/>
              <w:bottom w:val="single" w:sz="8" w:space="0" w:color="000000"/>
              <w:right w:val="single" w:sz="8" w:space="0" w:color="000000"/>
            </w:tcBorders>
            <w:shd w:val="clear" w:color="auto" w:fill="BDBDBD"/>
          </w:tcPr>
          <w:p>
            <w:pPr/>
          </w:p>
        </w:tc>
        <w:tc>
          <w:tcPr>
            <w:tcW w:w="2871"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58"/>
              <w:ind w:left="12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06"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58"/>
              <w:ind w:left="7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06"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58"/>
              <w:ind w:left="7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07"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58"/>
              <w:ind w:left="7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r>
      <w:tr>
        <w:trPr>
          <w:trHeight w:val="413" w:hRule="exact"/>
        </w:trPr>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2"/>
                <w:sz w:val="18"/>
              </w:rPr>
              <w:t>80,058,709.02</w:t>
            </w:r>
          </w:p>
        </w:tc>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08" w:hRule="exact"/>
        </w:trPr>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pacing w:val="-1"/>
                <w:sz w:val="18"/>
              </w:rPr>
              <w:t>181,835,463.95</w:t>
            </w:r>
          </w:p>
        </w:tc>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13" w:hRule="exact"/>
        </w:trPr>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8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261,894,172.97</w:t>
            </w:r>
          </w:p>
        </w:tc>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00" w:bottom="1220" w:left="680" w:right="0"/>
        </w:sect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Heading2"/>
        <w:spacing w:line="240" w:lineRule="auto" w:before="5"/>
        <w:ind w:left="236" w:right="5618"/>
        <w:jc w:val="left"/>
        <w:rPr>
          <w:b w:val="0"/>
          <w:bCs w:val="0"/>
        </w:rPr>
      </w:pPr>
      <w:bookmarkStart w:name="十一、公允价值的披露" w:id="383"/>
      <w:bookmarkEnd w:id="383"/>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236" w:right="5618"/>
        <w:jc w:val="left"/>
        <w:rPr>
          <w:b w:val="0"/>
          <w:bCs w:val="0"/>
        </w:rPr>
      </w:pPr>
      <w:bookmarkStart w:name="1、以公允价值计量的资产和负债的期末公允价值" w:id="384"/>
      <w:bookmarkEnd w:id="384"/>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1"/>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625"/>
        <w:gridCol w:w="1700"/>
        <w:gridCol w:w="1887"/>
        <w:gridCol w:w="1887"/>
        <w:gridCol w:w="1340"/>
      </w:tblGrid>
      <w:tr>
        <w:trPr>
          <w:trHeight w:val="404" w:hRule="exact"/>
        </w:trPr>
        <w:tc>
          <w:tcPr>
            <w:tcW w:w="36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81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3625" w:type="dxa"/>
            <w:vMerge/>
            <w:tcBorders>
              <w:left w:val="single" w:sz="4" w:space="0" w:color="000000"/>
              <w:bottom w:val="single" w:sz="4" w:space="0" w:color="000000"/>
              <w:right w:val="single" w:sz="4" w:space="0" w:color="000000"/>
            </w:tcBorders>
            <w:shd w:val="clear" w:color="auto" w:fill="D2D2D2"/>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62" w:right="123" w:hanging="543"/>
              <w:jc w:val="left"/>
              <w:rPr>
                <w:rFonts w:ascii="宋体" w:hAnsi="宋体" w:cs="宋体" w:eastAsia="宋体" w:hint="default"/>
                <w:sz w:val="18"/>
                <w:szCs w:val="18"/>
              </w:rPr>
            </w:pPr>
            <w:r>
              <w:rPr>
                <w:rFonts w:ascii="宋体" w:hAnsi="宋体" w:cs="宋体" w:eastAsia="宋体" w:hint="default"/>
                <w:spacing w:val="-2"/>
                <w:sz w:val="18"/>
                <w:szCs w:val="18"/>
              </w:rPr>
              <w:t>第一层次公允价值</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计量</w:t>
            </w:r>
          </w:p>
        </w:tc>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49" w:right="122" w:hanging="720"/>
              <w:jc w:val="left"/>
              <w:rPr>
                <w:rFonts w:ascii="宋体" w:hAnsi="宋体" w:cs="宋体" w:eastAsia="宋体" w:hint="default"/>
                <w:sz w:val="18"/>
                <w:szCs w:val="18"/>
              </w:rPr>
            </w:pPr>
            <w:r>
              <w:rPr>
                <w:rFonts w:ascii="宋体" w:hAnsi="宋体" w:cs="宋体" w:eastAsia="宋体" w:hint="default"/>
                <w:spacing w:val="-3"/>
                <w:sz w:val="18"/>
                <w:szCs w:val="18"/>
              </w:rPr>
              <w:t>第二层次公允价值计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45" w:right="128" w:hanging="721"/>
              <w:jc w:val="left"/>
              <w:rPr>
                <w:rFonts w:ascii="宋体" w:hAnsi="宋体" w:cs="宋体" w:eastAsia="宋体" w:hint="default"/>
                <w:sz w:val="18"/>
                <w:szCs w:val="18"/>
              </w:rPr>
            </w:pPr>
            <w:r>
              <w:rPr>
                <w:rFonts w:ascii="宋体" w:hAnsi="宋体" w:cs="宋体" w:eastAsia="宋体" w:hint="default"/>
                <w:spacing w:val="-3"/>
                <w:sz w:val="18"/>
                <w:szCs w:val="18"/>
              </w:rPr>
              <w:t>第三层次公允价值计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8"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一、持续的公允价值计量</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402,244,369.44</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406,952,801.34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809,197,170.78</w:t>
            </w:r>
          </w:p>
        </w:tc>
      </w:tr>
      <w:tr>
        <w:trPr>
          <w:trHeight w:val="715"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2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以公允价值计量且其变动计入当期损益的</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金融资产</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402,244,369.44</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406,952,801.34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809,197,170.78</w:t>
            </w:r>
          </w:p>
        </w:tc>
      </w:tr>
      <w:tr>
        <w:trPr>
          <w:trHeight w:val="403"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（二）其他权益工具投资</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13,955,888.10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5" w:right="0"/>
              <w:jc w:val="center"/>
              <w:rPr>
                <w:rFonts w:ascii="Times New Roman" w:hAnsi="Times New Roman" w:cs="Times New Roman" w:eastAsia="Times New Roman" w:hint="default"/>
                <w:sz w:val="18"/>
                <w:szCs w:val="18"/>
              </w:rPr>
            </w:pPr>
            <w:r>
              <w:rPr>
                <w:rFonts w:ascii="Times New Roman"/>
                <w:sz w:val="18"/>
              </w:rPr>
              <w:t>13,955,888.10</w:t>
            </w:r>
          </w:p>
        </w:tc>
      </w:tr>
      <w:tr>
        <w:trPr>
          <w:trHeight w:val="401" w:hRule="exact"/>
        </w:trPr>
        <w:tc>
          <w:tcPr>
            <w:tcW w:w="3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二、非持续的公允价值计量</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6"/>
        <w:rPr>
          <w:rFonts w:ascii="宋体" w:hAnsi="宋体" w:cs="宋体" w:eastAsia="宋体" w:hint="default"/>
          <w:b/>
          <w:bCs/>
          <w:sz w:val="19"/>
          <w:szCs w:val="19"/>
        </w:rPr>
      </w:pPr>
    </w:p>
    <w:p>
      <w:pPr>
        <w:pStyle w:val="Heading4"/>
        <w:spacing w:line="240" w:lineRule="auto" w:before="36"/>
        <w:ind w:left="236" w:right="176"/>
        <w:jc w:val="left"/>
        <w:rPr>
          <w:b w:val="0"/>
          <w:bCs w:val="0"/>
        </w:rPr>
      </w:pPr>
      <w:bookmarkStart w:name="2、持续和非持续第一层次公允价值计量项目市价的确定依据:无" w:id="385"/>
      <w:bookmarkEnd w:id="385"/>
      <w:r>
        <w:rPr>
          <w:b w:val="0"/>
          <w:bCs w:val="0"/>
        </w:rPr>
      </w:r>
      <w:r>
        <w:rPr>
          <w:rFonts w:ascii="Times New Roman" w:hAnsi="Times New Roman" w:cs="Times New Roman" w:eastAsia="Times New Roman" w:hint="default"/>
        </w:rPr>
        <w:t>2</w:t>
      </w:r>
      <w:r>
        <w:rPr/>
        <w:t>、持续和非持续第一层次公允价值计量项目市价的确定依据</w:t>
      </w:r>
      <w:r>
        <w:rPr>
          <w:rFonts w:ascii="Times New Roman" w:hAnsi="Times New Roman" w:cs="Times New Roman" w:eastAsia="Times New Roman" w:hint="default"/>
        </w:rPr>
        <w:t>:</w:t>
      </w:r>
      <w:r>
        <w:rPr/>
        <w:t>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236" w:right="176"/>
        <w:jc w:val="left"/>
        <w:rPr>
          <w:b w:val="0"/>
          <w:bCs w:val="0"/>
        </w:rPr>
      </w:pPr>
      <w:bookmarkStart w:name="3、持续和非持续第二层次公允价值计量项目，采用的估值技术和重要参数的定性及定量信" w:id="386"/>
      <w:bookmarkEnd w:id="386"/>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1"/>
        <w:rPr>
          <w:rFonts w:ascii="宋体" w:hAnsi="宋体" w:cs="宋体" w:eastAsia="宋体" w:hint="default"/>
          <w:b/>
          <w:bCs/>
          <w:sz w:val="25"/>
          <w:szCs w:val="25"/>
        </w:rPr>
      </w:pPr>
    </w:p>
    <w:tbl>
      <w:tblPr>
        <w:tblW w:w="0" w:type="auto"/>
        <w:jc w:val="left"/>
        <w:tblInd w:w="212" w:type="dxa"/>
        <w:tblLayout w:type="fixed"/>
        <w:tblCellMar>
          <w:top w:w="0" w:type="dxa"/>
          <w:left w:w="0" w:type="dxa"/>
          <w:bottom w:w="0" w:type="dxa"/>
          <w:right w:w="0" w:type="dxa"/>
        </w:tblCellMar>
        <w:tblLook w:val="01E0"/>
      </w:tblPr>
      <w:tblGrid>
        <w:gridCol w:w="2382"/>
        <w:gridCol w:w="2521"/>
        <w:gridCol w:w="2151"/>
        <w:gridCol w:w="3198"/>
      </w:tblGrid>
      <w:tr>
        <w:trPr>
          <w:trHeight w:val="428" w:hRule="exact"/>
        </w:trPr>
        <w:tc>
          <w:tcPr>
            <w:tcW w:w="2382" w:type="dxa"/>
            <w:vMerge w:val="restart"/>
            <w:tcBorders>
              <w:top w:val="single" w:sz="8" w:space="0" w:color="000000"/>
              <w:left w:val="single" w:sz="8" w:space="0" w:color="000000"/>
              <w:right w:val="single" w:sz="8" w:space="0" w:color="000000"/>
            </w:tcBorders>
            <w:shd w:val="clear" w:color="auto" w:fill="BDBDBD"/>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金融资产</w:t>
            </w:r>
          </w:p>
        </w:tc>
        <w:tc>
          <w:tcPr>
            <w:tcW w:w="2521"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公允价值</w:t>
            </w:r>
          </w:p>
        </w:tc>
        <w:tc>
          <w:tcPr>
            <w:tcW w:w="2151" w:type="dxa"/>
            <w:vMerge w:val="restart"/>
            <w:tcBorders>
              <w:top w:val="single" w:sz="8" w:space="0" w:color="000000"/>
              <w:left w:val="single" w:sz="8" w:space="0" w:color="000000"/>
              <w:right w:val="single" w:sz="8" w:space="0" w:color="000000"/>
            </w:tcBorders>
            <w:shd w:val="clear" w:color="auto" w:fill="BDBDBD"/>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left="700" w:right="0"/>
              <w:jc w:val="left"/>
              <w:rPr>
                <w:rFonts w:ascii="宋体" w:hAnsi="宋体" w:cs="宋体" w:eastAsia="宋体" w:hint="default"/>
                <w:sz w:val="18"/>
                <w:szCs w:val="18"/>
              </w:rPr>
            </w:pPr>
            <w:r>
              <w:rPr>
                <w:rFonts w:ascii="宋体" w:hAnsi="宋体" w:cs="宋体" w:eastAsia="宋体" w:hint="default"/>
                <w:sz w:val="18"/>
                <w:szCs w:val="18"/>
              </w:rPr>
              <w:t>估值技术</w:t>
            </w:r>
          </w:p>
        </w:tc>
        <w:tc>
          <w:tcPr>
            <w:tcW w:w="3198" w:type="dxa"/>
            <w:vMerge w:val="restart"/>
            <w:tcBorders>
              <w:top w:val="single" w:sz="8" w:space="0" w:color="000000"/>
              <w:left w:val="single" w:sz="8" w:space="0" w:color="000000"/>
              <w:right w:val="single" w:sz="8" w:space="0" w:color="000000"/>
            </w:tcBorders>
            <w:shd w:val="clear" w:color="auto" w:fill="BDBDBD"/>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主要输入值</w:t>
            </w:r>
          </w:p>
        </w:tc>
      </w:tr>
      <w:tr>
        <w:trPr>
          <w:trHeight w:val="422" w:hRule="exact"/>
        </w:trPr>
        <w:tc>
          <w:tcPr>
            <w:tcW w:w="2382" w:type="dxa"/>
            <w:vMerge/>
            <w:tcBorders>
              <w:left w:val="single" w:sz="8" w:space="0" w:color="000000"/>
              <w:bottom w:val="single" w:sz="8" w:space="0" w:color="000000"/>
              <w:right w:val="single" w:sz="8" w:space="0" w:color="000000"/>
            </w:tcBorders>
            <w:shd w:val="clear" w:color="auto" w:fill="BDBDBD"/>
          </w:tcPr>
          <w:p>
            <w:pPr/>
          </w:p>
        </w:tc>
        <w:tc>
          <w:tcPr>
            <w:tcW w:w="2521"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51" w:type="dxa"/>
            <w:vMerge/>
            <w:tcBorders>
              <w:left w:val="single" w:sz="8" w:space="0" w:color="000000"/>
              <w:bottom w:val="single" w:sz="8" w:space="0" w:color="000000"/>
              <w:right w:val="single" w:sz="8" w:space="0" w:color="000000"/>
            </w:tcBorders>
            <w:shd w:val="clear" w:color="auto" w:fill="BDBDBD"/>
          </w:tcPr>
          <w:p>
            <w:pPr/>
          </w:p>
        </w:tc>
        <w:tc>
          <w:tcPr>
            <w:tcW w:w="3198" w:type="dxa"/>
            <w:vMerge/>
            <w:tcBorders>
              <w:left w:val="single" w:sz="8" w:space="0" w:color="000000"/>
              <w:bottom w:val="single" w:sz="8" w:space="0" w:color="000000"/>
              <w:right w:val="single" w:sz="8" w:space="0" w:color="000000"/>
            </w:tcBorders>
            <w:shd w:val="clear" w:color="auto" w:fill="BDBDBD"/>
          </w:tcPr>
          <w:p>
            <w:pPr/>
          </w:p>
        </w:tc>
      </w:tr>
      <w:tr>
        <w:trPr>
          <w:trHeight w:val="463" w:hRule="exact"/>
        </w:trPr>
        <w:tc>
          <w:tcPr>
            <w:tcW w:w="2382"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521"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3"/>
              <w:ind w:left="1373" w:right="0"/>
              <w:jc w:val="left"/>
              <w:rPr>
                <w:rFonts w:ascii="Times New Roman" w:hAnsi="Times New Roman" w:cs="Times New Roman" w:eastAsia="Times New Roman" w:hint="default"/>
                <w:sz w:val="18"/>
                <w:szCs w:val="18"/>
              </w:rPr>
            </w:pPr>
            <w:r>
              <w:rPr>
                <w:rFonts w:ascii="Times New Roman"/>
                <w:sz w:val="18"/>
              </w:rPr>
              <w:t>402,244,369.44</w:t>
            </w:r>
          </w:p>
        </w:tc>
        <w:tc>
          <w:tcPr>
            <w:tcW w:w="2151"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pacing w:val="-3"/>
                <w:sz w:val="18"/>
                <w:szCs w:val="18"/>
              </w:rPr>
              <w:t>现金流量折现法</w:t>
            </w:r>
          </w:p>
        </w:tc>
        <w:tc>
          <w:tcPr>
            <w:tcW w:w="319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合同挂钩标的观察值；</w:t>
            </w:r>
          </w:p>
        </w:tc>
      </w:tr>
      <w:tr>
        <w:trPr>
          <w:trHeight w:val="512" w:hRule="exact"/>
        </w:trPr>
        <w:tc>
          <w:tcPr>
            <w:tcW w:w="2382" w:type="dxa"/>
            <w:vMerge/>
            <w:tcBorders>
              <w:left w:val="single" w:sz="8" w:space="0" w:color="000000"/>
              <w:bottom w:val="single" w:sz="8" w:space="0" w:color="000000"/>
              <w:right w:val="single" w:sz="8" w:space="0" w:color="000000"/>
            </w:tcBorders>
          </w:tcPr>
          <w:p>
            <w:pPr/>
          </w:p>
        </w:tc>
        <w:tc>
          <w:tcPr>
            <w:tcW w:w="2521" w:type="dxa"/>
            <w:vMerge/>
            <w:tcBorders>
              <w:left w:val="single" w:sz="8" w:space="0" w:color="000000"/>
              <w:bottom w:val="single" w:sz="8" w:space="0" w:color="000000"/>
              <w:right w:val="single" w:sz="8" w:space="0" w:color="000000"/>
            </w:tcBorders>
          </w:tcPr>
          <w:p>
            <w:pPr/>
          </w:p>
        </w:tc>
        <w:tc>
          <w:tcPr>
            <w:tcW w:w="2151" w:type="dxa"/>
            <w:vMerge/>
            <w:tcBorders>
              <w:left w:val="single" w:sz="8" w:space="0" w:color="000000"/>
              <w:bottom w:val="single" w:sz="8" w:space="0" w:color="000000"/>
              <w:right w:val="single" w:sz="8" w:space="0" w:color="000000"/>
            </w:tcBorders>
          </w:tcPr>
          <w:p>
            <w:pPr/>
          </w:p>
        </w:tc>
        <w:tc>
          <w:tcPr>
            <w:tcW w:w="319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合同约定的预期收益率</w:t>
            </w:r>
          </w:p>
        </w:tc>
      </w:tr>
    </w:tbl>
    <w:p>
      <w:pPr>
        <w:spacing w:line="240" w:lineRule="auto" w:before="3"/>
        <w:rPr>
          <w:rFonts w:ascii="宋体" w:hAnsi="宋体" w:cs="宋体" w:eastAsia="宋体" w:hint="default"/>
          <w:b/>
          <w:bCs/>
          <w:sz w:val="19"/>
          <w:szCs w:val="19"/>
        </w:rPr>
      </w:pPr>
    </w:p>
    <w:p>
      <w:pPr>
        <w:pStyle w:val="Heading4"/>
        <w:spacing w:line="240" w:lineRule="auto" w:before="36"/>
        <w:ind w:left="327" w:right="176"/>
        <w:jc w:val="left"/>
        <w:rPr>
          <w:b w:val="0"/>
          <w:bCs w:val="0"/>
        </w:rPr>
      </w:pPr>
      <w:bookmarkStart w:name="4、持续和非持续第三层次公允价值计量项目，采用的估值技术和重要参数的定性及定量信" w:id="387"/>
      <w:bookmarkEnd w:id="387"/>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5"/>
          <w:szCs w:val="25"/>
        </w:rPr>
      </w:pPr>
    </w:p>
    <w:tbl>
      <w:tblPr>
        <w:tblW w:w="0" w:type="auto"/>
        <w:jc w:val="left"/>
        <w:tblInd w:w="102" w:type="dxa"/>
        <w:tblLayout w:type="fixed"/>
        <w:tblCellMar>
          <w:top w:w="0" w:type="dxa"/>
          <w:left w:w="0" w:type="dxa"/>
          <w:bottom w:w="0" w:type="dxa"/>
          <w:right w:w="0" w:type="dxa"/>
        </w:tblCellMar>
        <w:tblLook w:val="01E0"/>
      </w:tblPr>
      <w:tblGrid>
        <w:gridCol w:w="1661"/>
        <w:gridCol w:w="1450"/>
        <w:gridCol w:w="2819"/>
        <w:gridCol w:w="4552"/>
      </w:tblGrid>
      <w:tr>
        <w:trPr>
          <w:trHeight w:val="350" w:hRule="exact"/>
        </w:trPr>
        <w:tc>
          <w:tcPr>
            <w:tcW w:w="1661" w:type="dxa"/>
            <w:vMerge w:val="restart"/>
            <w:tcBorders>
              <w:top w:val="single" w:sz="8" w:space="0" w:color="000000"/>
              <w:left w:val="single" w:sz="8" w:space="0" w:color="000000"/>
              <w:right w:val="single" w:sz="8" w:space="0" w:color="000000"/>
            </w:tcBorders>
            <w:shd w:val="clear" w:color="auto" w:fill="BDBDBD"/>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450"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25"/>
              <w:ind w:left="355"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2819" w:type="dxa"/>
            <w:vMerge w:val="restart"/>
            <w:tcBorders>
              <w:top w:val="single" w:sz="8" w:space="0" w:color="000000"/>
              <w:left w:val="single" w:sz="8" w:space="0" w:color="000000"/>
              <w:right w:val="single" w:sz="8" w:space="0" w:color="000000"/>
            </w:tcBorders>
            <w:shd w:val="clear" w:color="auto" w:fill="BDBDBD"/>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估值技术</w:t>
            </w:r>
          </w:p>
        </w:tc>
        <w:tc>
          <w:tcPr>
            <w:tcW w:w="4552" w:type="dxa"/>
            <w:vMerge w:val="restart"/>
            <w:tcBorders>
              <w:top w:val="single" w:sz="8" w:space="0" w:color="000000"/>
              <w:left w:val="single" w:sz="8" w:space="0" w:color="000000"/>
              <w:right w:val="single" w:sz="8" w:space="0" w:color="000000"/>
            </w:tcBorders>
            <w:shd w:val="clear" w:color="auto" w:fill="BDBDBD"/>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主要输入值</w:t>
            </w:r>
          </w:p>
        </w:tc>
      </w:tr>
      <w:tr>
        <w:trPr>
          <w:trHeight w:val="346" w:hRule="exact"/>
        </w:trPr>
        <w:tc>
          <w:tcPr>
            <w:tcW w:w="1661" w:type="dxa"/>
            <w:vMerge/>
            <w:tcBorders>
              <w:left w:val="single" w:sz="8" w:space="0" w:color="000000"/>
              <w:bottom w:val="single" w:sz="8" w:space="0" w:color="000000"/>
              <w:right w:val="single" w:sz="8" w:space="0" w:color="000000"/>
            </w:tcBorders>
            <w:shd w:val="clear" w:color="auto" w:fill="BDBDBD"/>
          </w:tcPr>
          <w:p>
            <w:pPr/>
          </w:p>
        </w:tc>
        <w:tc>
          <w:tcPr>
            <w:tcW w:w="1450"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29"/>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2819" w:type="dxa"/>
            <w:vMerge/>
            <w:tcBorders>
              <w:left w:val="single" w:sz="8" w:space="0" w:color="000000"/>
              <w:bottom w:val="single" w:sz="8" w:space="0" w:color="000000"/>
              <w:right w:val="single" w:sz="8" w:space="0" w:color="000000"/>
            </w:tcBorders>
            <w:shd w:val="clear" w:color="auto" w:fill="BDBDBD"/>
          </w:tcPr>
          <w:p>
            <w:pPr/>
          </w:p>
        </w:tc>
        <w:tc>
          <w:tcPr>
            <w:tcW w:w="4552" w:type="dxa"/>
            <w:vMerge/>
            <w:tcBorders>
              <w:left w:val="single" w:sz="8" w:space="0" w:color="000000"/>
              <w:bottom w:val="single" w:sz="8" w:space="0" w:color="000000"/>
              <w:right w:val="single" w:sz="8" w:space="0" w:color="000000"/>
            </w:tcBorders>
            <w:shd w:val="clear" w:color="auto" w:fill="BDBDBD"/>
          </w:tcPr>
          <w:p>
            <w:pPr/>
          </w:p>
        </w:tc>
      </w:tr>
      <w:tr>
        <w:trPr>
          <w:trHeight w:val="276" w:hRule="exact"/>
        </w:trPr>
        <w:tc>
          <w:tcPr>
            <w:tcW w:w="1661" w:type="dxa"/>
            <w:vMerge w:val="restart"/>
            <w:tcBorders>
              <w:top w:val="single" w:sz="8" w:space="0" w:color="000000"/>
              <w:left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450" w:type="dxa"/>
            <w:vMerge w:val="restart"/>
            <w:tcBorders>
              <w:top w:val="single" w:sz="8" w:space="0" w:color="000000"/>
              <w:left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13,048,982.10</w:t>
            </w:r>
          </w:p>
        </w:tc>
        <w:tc>
          <w:tcPr>
            <w:tcW w:w="2819" w:type="dxa"/>
            <w:vMerge w:val="restart"/>
            <w:tcBorders>
              <w:top w:val="single" w:sz="8" w:space="0" w:color="000000"/>
              <w:left w:val="single" w:sz="8" w:space="0" w:color="000000"/>
              <w:right w:val="single" w:sz="8"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市场法</w:t>
            </w:r>
          </w:p>
        </w:tc>
        <w:tc>
          <w:tcPr>
            <w:tcW w:w="4552" w:type="dxa"/>
            <w:tcBorders>
              <w:top w:val="single" w:sz="8" w:space="0" w:color="000000"/>
              <w:left w:val="single" w:sz="8" w:space="0" w:color="000000"/>
              <w:bottom w:val="nil" w:sz="6" w:space="0" w:color="auto"/>
              <w:right w:val="single" w:sz="8" w:space="0" w:color="000000"/>
            </w:tcBorders>
          </w:tcPr>
          <w:p>
            <w:pPr>
              <w:pStyle w:val="TableParagraph"/>
              <w:spacing w:line="222"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4"/>
                <w:sz w:val="18"/>
                <w:szCs w:val="18"/>
              </w:rPr>
              <w:t> </w:t>
            </w:r>
            <w:r>
              <w:rPr>
                <w:rFonts w:ascii="宋体" w:hAnsi="宋体" w:cs="宋体" w:eastAsia="宋体" w:hint="default"/>
                <w:spacing w:val="-3"/>
                <w:sz w:val="18"/>
                <w:szCs w:val="18"/>
              </w:rPr>
              <w:t>可比公司企业价值比率；</w:t>
            </w:r>
          </w:p>
        </w:tc>
      </w:tr>
      <w:tr>
        <w:trPr>
          <w:trHeight w:val="320" w:hRule="exact"/>
        </w:trPr>
        <w:tc>
          <w:tcPr>
            <w:tcW w:w="1661" w:type="dxa"/>
            <w:vMerge/>
            <w:tcBorders>
              <w:left w:val="single" w:sz="8" w:space="0" w:color="000000"/>
              <w:right w:val="single" w:sz="8" w:space="0" w:color="000000"/>
            </w:tcBorders>
          </w:tcPr>
          <w:p>
            <w:pPr/>
          </w:p>
        </w:tc>
        <w:tc>
          <w:tcPr>
            <w:tcW w:w="1450" w:type="dxa"/>
            <w:vMerge/>
            <w:tcBorders>
              <w:left w:val="single" w:sz="8" w:space="0" w:color="000000"/>
              <w:bottom w:val="single" w:sz="8" w:space="0" w:color="000000"/>
              <w:right w:val="single" w:sz="8" w:space="0" w:color="000000"/>
            </w:tcBorders>
          </w:tcPr>
          <w:p>
            <w:pPr/>
          </w:p>
        </w:tc>
        <w:tc>
          <w:tcPr>
            <w:tcW w:w="2819" w:type="dxa"/>
            <w:vMerge/>
            <w:tcBorders>
              <w:left w:val="single" w:sz="8" w:space="0" w:color="000000"/>
              <w:bottom w:val="single" w:sz="8" w:space="0" w:color="000000"/>
              <w:right w:val="single" w:sz="8" w:space="0" w:color="000000"/>
            </w:tcBorders>
          </w:tcPr>
          <w:p>
            <w:pPr/>
          </w:p>
        </w:tc>
        <w:tc>
          <w:tcPr>
            <w:tcW w:w="4552" w:type="dxa"/>
            <w:tcBorders>
              <w:top w:val="nil" w:sz="6" w:space="0" w:color="auto"/>
              <w:left w:val="single" w:sz="8" w:space="0" w:color="000000"/>
              <w:bottom w:val="single" w:sz="8" w:space="0" w:color="000000"/>
              <w:right w:val="single" w:sz="8" w:space="0" w:color="000000"/>
            </w:tcBorders>
          </w:tcPr>
          <w:p>
            <w:pPr>
              <w:pStyle w:val="TableParagraph"/>
              <w:spacing w:line="248"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流动性折扣</w:t>
            </w:r>
          </w:p>
        </w:tc>
      </w:tr>
      <w:tr>
        <w:trPr>
          <w:trHeight w:val="293" w:hRule="exact"/>
        </w:trPr>
        <w:tc>
          <w:tcPr>
            <w:tcW w:w="1661" w:type="dxa"/>
            <w:vMerge/>
            <w:tcBorders>
              <w:left w:val="single" w:sz="8" w:space="0" w:color="000000"/>
              <w:bottom w:val="single" w:sz="8" w:space="0" w:color="000000"/>
              <w:right w:val="single" w:sz="8" w:space="0" w:color="000000"/>
            </w:tcBorders>
          </w:tcPr>
          <w:p>
            <w:pP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3"/>
              <w:jc w:val="right"/>
              <w:rPr>
                <w:rFonts w:ascii="Times New Roman" w:hAnsi="Times New Roman" w:cs="Times New Roman" w:eastAsia="Times New Roman" w:hint="default"/>
                <w:sz w:val="18"/>
                <w:szCs w:val="18"/>
              </w:rPr>
            </w:pPr>
            <w:r>
              <w:rPr>
                <w:rFonts w:ascii="Times New Roman"/>
                <w:spacing w:val="-2"/>
                <w:sz w:val="18"/>
              </w:rPr>
              <w:t>906,906.00</w:t>
            </w:r>
          </w:p>
        </w:tc>
        <w:tc>
          <w:tcPr>
            <w:tcW w:w="2819"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市场法</w:t>
            </w:r>
          </w:p>
        </w:tc>
        <w:tc>
          <w:tcPr>
            <w:tcW w:w="455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最近一次股权交易价格</w:t>
            </w:r>
          </w:p>
        </w:tc>
      </w:tr>
      <w:tr>
        <w:trPr>
          <w:trHeight w:val="280" w:hRule="exact"/>
        </w:trPr>
        <w:tc>
          <w:tcPr>
            <w:tcW w:w="1661"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left="9"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1450"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143,987,601..34</w:t>
            </w:r>
          </w:p>
        </w:tc>
        <w:tc>
          <w:tcPr>
            <w:tcW w:w="2819" w:type="dxa"/>
            <w:vMerge w:val="restart"/>
            <w:tcBorders>
              <w:top w:val="single" w:sz="8" w:space="0" w:color="000000"/>
              <w:left w:val="single" w:sz="8" w:space="0" w:color="000000"/>
              <w:right w:val="single" w:sz="8"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市场法</w:t>
            </w:r>
          </w:p>
        </w:tc>
        <w:tc>
          <w:tcPr>
            <w:tcW w:w="4552" w:type="dxa"/>
            <w:tcBorders>
              <w:top w:val="single" w:sz="8" w:space="0" w:color="000000"/>
              <w:left w:val="single" w:sz="8" w:space="0" w:color="000000"/>
              <w:bottom w:val="nil" w:sz="6" w:space="0" w:color="auto"/>
              <w:right w:val="single" w:sz="8" w:space="0" w:color="000000"/>
            </w:tcBorders>
          </w:tcPr>
          <w:p>
            <w:pPr>
              <w:pStyle w:val="TableParagraph"/>
              <w:spacing w:line="221"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4"/>
                <w:sz w:val="18"/>
                <w:szCs w:val="18"/>
              </w:rPr>
              <w:t> </w:t>
            </w:r>
            <w:r>
              <w:rPr>
                <w:rFonts w:ascii="宋体" w:hAnsi="宋体" w:cs="宋体" w:eastAsia="宋体" w:hint="default"/>
                <w:spacing w:val="-3"/>
                <w:sz w:val="18"/>
                <w:szCs w:val="18"/>
              </w:rPr>
              <w:t>可比公司企业价值比率；</w:t>
            </w:r>
          </w:p>
        </w:tc>
      </w:tr>
      <w:tr>
        <w:trPr>
          <w:trHeight w:val="329" w:hRule="exact"/>
        </w:trPr>
        <w:tc>
          <w:tcPr>
            <w:tcW w:w="1661" w:type="dxa"/>
            <w:vMerge/>
            <w:tcBorders>
              <w:left w:val="single" w:sz="8" w:space="0" w:color="000000"/>
              <w:right w:val="single" w:sz="8" w:space="0" w:color="000000"/>
            </w:tcBorders>
          </w:tcPr>
          <w:p>
            <w:pPr/>
          </w:p>
        </w:tc>
        <w:tc>
          <w:tcPr>
            <w:tcW w:w="1450" w:type="dxa"/>
            <w:vMerge/>
            <w:tcBorders>
              <w:left w:val="single" w:sz="8" w:space="0" w:color="000000"/>
              <w:bottom w:val="single" w:sz="8" w:space="0" w:color="000000"/>
              <w:right w:val="single" w:sz="8" w:space="0" w:color="000000"/>
            </w:tcBorders>
          </w:tcPr>
          <w:p>
            <w:pPr/>
          </w:p>
        </w:tc>
        <w:tc>
          <w:tcPr>
            <w:tcW w:w="2819" w:type="dxa"/>
            <w:vMerge/>
            <w:tcBorders>
              <w:left w:val="single" w:sz="8" w:space="0" w:color="000000"/>
              <w:bottom w:val="single" w:sz="8" w:space="0" w:color="000000"/>
              <w:right w:val="single" w:sz="8" w:space="0" w:color="000000"/>
            </w:tcBorders>
          </w:tcPr>
          <w:p>
            <w:pPr/>
          </w:p>
        </w:tc>
        <w:tc>
          <w:tcPr>
            <w:tcW w:w="455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流动性折扣</w:t>
            </w:r>
          </w:p>
        </w:tc>
      </w:tr>
      <w:tr>
        <w:trPr>
          <w:trHeight w:val="288" w:hRule="exact"/>
        </w:trPr>
        <w:tc>
          <w:tcPr>
            <w:tcW w:w="1661" w:type="dxa"/>
            <w:vMerge/>
            <w:tcBorders>
              <w:left w:val="single" w:sz="8" w:space="0" w:color="000000"/>
              <w:right w:val="single" w:sz="8" w:space="0" w:color="000000"/>
            </w:tcBorders>
          </w:tcPr>
          <w:p>
            <w:pP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3"/>
              <w:jc w:val="right"/>
              <w:rPr>
                <w:rFonts w:ascii="Times New Roman" w:hAnsi="Times New Roman" w:cs="Times New Roman" w:eastAsia="Times New Roman" w:hint="default"/>
                <w:sz w:val="18"/>
                <w:szCs w:val="18"/>
              </w:rPr>
            </w:pPr>
            <w:r>
              <w:rPr>
                <w:rFonts w:ascii="Times New Roman"/>
                <w:spacing w:val="-2"/>
                <w:sz w:val="18"/>
              </w:rPr>
              <w:t>38,852,000.00</w:t>
            </w:r>
          </w:p>
        </w:tc>
        <w:tc>
          <w:tcPr>
            <w:tcW w:w="2819"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市场法</w:t>
            </w:r>
          </w:p>
        </w:tc>
        <w:tc>
          <w:tcPr>
            <w:tcW w:w="455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最近一次股权交易价格</w:t>
            </w:r>
          </w:p>
        </w:tc>
      </w:tr>
      <w:tr>
        <w:trPr>
          <w:trHeight w:val="490" w:hRule="exact"/>
        </w:trPr>
        <w:tc>
          <w:tcPr>
            <w:tcW w:w="1661" w:type="dxa"/>
            <w:vMerge/>
            <w:tcBorders>
              <w:left w:val="single" w:sz="8" w:space="0" w:color="000000"/>
              <w:right w:val="single" w:sz="8" w:space="0" w:color="000000"/>
            </w:tcBorders>
          </w:tcPr>
          <w:p>
            <w:pP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25,193,500.00</w:t>
            </w:r>
          </w:p>
        </w:tc>
        <w:tc>
          <w:tcPr>
            <w:tcW w:w="2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3"/>
                <w:sz w:val="18"/>
                <w:szCs w:val="18"/>
              </w:rPr>
              <w:t>现金流量折现法</w:t>
            </w:r>
          </w:p>
        </w:tc>
        <w:tc>
          <w:tcPr>
            <w:tcW w:w="4552"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长期税前营业利润</w:t>
            </w:r>
            <w:r>
              <w:rPr>
                <w:rFonts w:ascii="Times New Roman" w:hAnsi="Times New Roman" w:cs="Times New Roman" w:eastAsia="Times New Roman" w:hint="default"/>
                <w:sz w:val="18"/>
                <w:szCs w:val="18"/>
              </w:rPr>
              <w:t>;</w:t>
            </w:r>
          </w:p>
          <w:p>
            <w:pPr>
              <w:pStyle w:val="TableParagraph"/>
              <w:spacing w:line="242"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加权平均资本成本</w:t>
            </w:r>
          </w:p>
        </w:tc>
      </w:tr>
      <w:tr>
        <w:trPr>
          <w:trHeight w:val="319" w:hRule="exact"/>
        </w:trPr>
        <w:tc>
          <w:tcPr>
            <w:tcW w:w="1661" w:type="dxa"/>
            <w:vMerge/>
            <w:tcBorders>
              <w:left w:val="single" w:sz="8" w:space="0" w:color="000000"/>
              <w:right w:val="single" w:sz="8" w:space="0" w:color="000000"/>
            </w:tcBorders>
          </w:tcPr>
          <w:p>
            <w:pPr/>
          </w:p>
        </w:tc>
        <w:tc>
          <w:tcPr>
            <w:tcW w:w="1450"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198,919,700.00</w:t>
            </w:r>
          </w:p>
        </w:tc>
        <w:tc>
          <w:tcPr>
            <w:tcW w:w="2819" w:type="dxa"/>
            <w:vMerge w:val="restart"/>
            <w:tcBorders>
              <w:top w:val="single" w:sz="8" w:space="0" w:color="000000"/>
              <w:left w:val="single" w:sz="8" w:space="0" w:color="000000"/>
              <w:right w:val="single" w:sz="8" w:space="0" w:color="000000"/>
            </w:tcBorders>
          </w:tcPr>
          <w:p>
            <w:pPr>
              <w:pStyle w:val="TableParagraph"/>
              <w:spacing w:line="240" w:lineRule="auto" w:before="34"/>
              <w:ind w:right="3"/>
              <w:jc w:val="center"/>
              <w:rPr>
                <w:rFonts w:ascii="宋体" w:hAnsi="宋体" w:cs="宋体" w:eastAsia="宋体" w:hint="default"/>
                <w:sz w:val="18"/>
                <w:szCs w:val="18"/>
              </w:rPr>
            </w:pPr>
            <w:r>
              <w:rPr>
                <w:rFonts w:ascii="宋体" w:hAnsi="宋体" w:cs="宋体" w:eastAsia="宋体" w:hint="default"/>
                <w:sz w:val="18"/>
                <w:szCs w:val="18"/>
              </w:rPr>
              <w:t>限售期股票的评估模型</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36"/>
                <w:sz w:val="18"/>
                <w:szCs w:val="18"/>
              </w:rPr>
              <w:t> </w:t>
            </w:r>
            <w:r>
              <w:rPr>
                <w:rFonts w:ascii="Times New Roman" w:hAnsi="Times New Roman" w:cs="Times New Roman" w:eastAsia="Times New Roman" w:hint="default"/>
                <w:spacing w:val="-5"/>
                <w:sz w:val="18"/>
                <w:szCs w:val="18"/>
              </w:rPr>
              <w:t>AAP</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的限售折扣模型）</w:t>
            </w:r>
          </w:p>
        </w:tc>
        <w:tc>
          <w:tcPr>
            <w:tcW w:w="455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估值日在证券交易所上市交易的同一股票的公允价值；</w:t>
            </w:r>
          </w:p>
        </w:tc>
      </w:tr>
      <w:tr>
        <w:trPr>
          <w:trHeight w:val="305" w:hRule="exact"/>
        </w:trPr>
        <w:tc>
          <w:tcPr>
            <w:tcW w:w="1661" w:type="dxa"/>
            <w:vMerge/>
            <w:tcBorders>
              <w:left w:val="single" w:sz="8" w:space="0" w:color="000000"/>
              <w:bottom w:val="single" w:sz="8" w:space="0" w:color="000000"/>
              <w:right w:val="single" w:sz="8" w:space="0" w:color="000000"/>
            </w:tcBorders>
          </w:tcPr>
          <w:p>
            <w:pPr/>
          </w:p>
        </w:tc>
        <w:tc>
          <w:tcPr>
            <w:tcW w:w="1450" w:type="dxa"/>
            <w:vMerge/>
            <w:tcBorders>
              <w:left w:val="single" w:sz="8" w:space="0" w:color="000000"/>
              <w:bottom w:val="single" w:sz="8" w:space="0" w:color="000000"/>
              <w:right w:val="single" w:sz="8" w:space="0" w:color="000000"/>
            </w:tcBorders>
          </w:tcPr>
          <w:p>
            <w:pPr/>
          </w:p>
        </w:tc>
        <w:tc>
          <w:tcPr>
            <w:tcW w:w="2819" w:type="dxa"/>
            <w:vMerge/>
            <w:tcBorders>
              <w:left w:val="single" w:sz="8" w:space="0" w:color="000000"/>
              <w:bottom w:val="single" w:sz="8" w:space="0" w:color="000000"/>
              <w:right w:val="single" w:sz="8" w:space="0" w:color="000000"/>
            </w:tcBorders>
          </w:tcPr>
          <w:p>
            <w:pPr/>
          </w:p>
        </w:tc>
        <w:tc>
          <w:tcPr>
            <w:tcW w:w="455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流动性折扣</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6"/>
        <w:ind w:left="236" w:right="176"/>
        <w:jc w:val="left"/>
        <w:rPr>
          <w:b w:val="0"/>
          <w:bCs w:val="0"/>
        </w:rPr>
      </w:pPr>
      <w:bookmarkStart w:name="5、 持续的第三层次公允价值计量项目，期初与期末账面价值间的调节信息及不可观察参" w:id="388"/>
      <w:bookmarkEnd w:id="388"/>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5"/>
          <w:szCs w:val="25"/>
        </w:rPr>
      </w:pPr>
    </w:p>
    <w:tbl>
      <w:tblPr>
        <w:tblW w:w="0" w:type="auto"/>
        <w:jc w:val="left"/>
        <w:tblInd w:w="212" w:type="dxa"/>
        <w:tblLayout w:type="fixed"/>
        <w:tblCellMar>
          <w:top w:w="0" w:type="dxa"/>
          <w:left w:w="0" w:type="dxa"/>
          <w:bottom w:w="0" w:type="dxa"/>
          <w:right w:w="0" w:type="dxa"/>
        </w:tblCellMar>
        <w:tblLook w:val="01E0"/>
      </w:tblPr>
      <w:tblGrid>
        <w:gridCol w:w="1253"/>
        <w:gridCol w:w="1282"/>
        <w:gridCol w:w="864"/>
        <w:gridCol w:w="2531"/>
        <w:gridCol w:w="1868"/>
        <w:gridCol w:w="1037"/>
        <w:gridCol w:w="1417"/>
      </w:tblGrid>
      <w:tr>
        <w:trPr>
          <w:trHeight w:val="456" w:hRule="exact"/>
        </w:trPr>
        <w:tc>
          <w:tcPr>
            <w:tcW w:w="1253"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82"/>
              <w:ind w:left="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282"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8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864"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106"/>
              <w:ind w:left="62" w:right="0"/>
              <w:jc w:val="left"/>
              <w:rPr>
                <w:rFonts w:ascii="宋体" w:hAnsi="宋体" w:cs="宋体" w:eastAsia="宋体" w:hint="default"/>
                <w:sz w:val="18"/>
                <w:szCs w:val="18"/>
              </w:rPr>
            </w:pPr>
            <w:r>
              <w:rPr>
                <w:rFonts w:ascii="宋体" w:hAnsi="宋体" w:cs="宋体" w:eastAsia="宋体" w:hint="default"/>
                <w:sz w:val="18"/>
                <w:szCs w:val="18"/>
              </w:rPr>
              <w:t>转入第三</w:t>
            </w:r>
          </w:p>
        </w:tc>
        <w:tc>
          <w:tcPr>
            <w:tcW w:w="2531"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68"/>
              <w:ind w:left="446" w:right="0"/>
              <w:jc w:val="left"/>
              <w:rPr>
                <w:rFonts w:ascii="宋体" w:hAnsi="宋体" w:cs="宋体" w:eastAsia="宋体" w:hint="default"/>
                <w:sz w:val="18"/>
                <w:szCs w:val="18"/>
              </w:rPr>
            </w:pPr>
            <w:r>
              <w:rPr>
                <w:rFonts w:ascii="宋体" w:hAnsi="宋体" w:cs="宋体" w:eastAsia="宋体" w:hint="default"/>
                <w:spacing w:val="-3"/>
                <w:sz w:val="18"/>
                <w:szCs w:val="18"/>
              </w:rPr>
              <w:t>当期利得或损失总额</w:t>
            </w:r>
          </w:p>
        </w:tc>
        <w:tc>
          <w:tcPr>
            <w:tcW w:w="1868"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购买、发行、出售和结</w:t>
            </w:r>
          </w:p>
        </w:tc>
        <w:tc>
          <w:tcPr>
            <w:tcW w:w="1037"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106"/>
              <w:ind w:left="57" w:right="0"/>
              <w:jc w:val="left"/>
              <w:rPr>
                <w:rFonts w:ascii="宋体" w:hAnsi="宋体" w:cs="宋体" w:eastAsia="宋体" w:hint="default"/>
                <w:sz w:val="18"/>
                <w:szCs w:val="18"/>
              </w:rPr>
            </w:pPr>
            <w:r>
              <w:rPr>
                <w:rFonts w:ascii="宋体" w:hAnsi="宋体" w:cs="宋体" w:eastAsia="宋体" w:hint="default"/>
                <w:sz w:val="18"/>
                <w:szCs w:val="18"/>
              </w:rPr>
              <w:t>汇率变动影</w:t>
            </w:r>
          </w:p>
        </w:tc>
        <w:tc>
          <w:tcPr>
            <w:tcW w:w="1417"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106"/>
              <w:ind w:left="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z w:val="18"/>
                <w:szCs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0" w:footer="1022" w:top="1100" w:bottom="1220" w:left="580" w:right="0"/>
        </w:sect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3"/>
          <w:szCs w:val="3"/>
        </w:rPr>
      </w:pPr>
    </w:p>
    <w:tbl>
      <w:tblPr>
        <w:tblW w:w="0" w:type="auto"/>
        <w:jc w:val="left"/>
        <w:tblInd w:w="112" w:type="dxa"/>
        <w:tblLayout w:type="fixed"/>
        <w:tblCellMar>
          <w:top w:w="0" w:type="dxa"/>
          <w:left w:w="0" w:type="dxa"/>
          <w:bottom w:w="0" w:type="dxa"/>
          <w:right w:w="0" w:type="dxa"/>
        </w:tblCellMar>
        <w:tblLook w:val="01E0"/>
      </w:tblPr>
      <w:tblGrid>
        <w:gridCol w:w="1253"/>
        <w:gridCol w:w="1282"/>
        <w:gridCol w:w="864"/>
        <w:gridCol w:w="1373"/>
        <w:gridCol w:w="1157"/>
        <w:gridCol w:w="1133"/>
        <w:gridCol w:w="370"/>
        <w:gridCol w:w="365"/>
        <w:gridCol w:w="1037"/>
        <w:gridCol w:w="1417"/>
      </w:tblGrid>
      <w:tr>
        <w:trPr>
          <w:trHeight w:val="451" w:hRule="exact"/>
        </w:trPr>
        <w:tc>
          <w:tcPr>
            <w:tcW w:w="1253" w:type="dxa"/>
            <w:vMerge w:val="restart"/>
            <w:tcBorders>
              <w:top w:val="single" w:sz="8" w:space="0" w:color="000000"/>
              <w:left w:val="single" w:sz="8" w:space="0" w:color="000000"/>
              <w:right w:val="single" w:sz="8" w:space="0" w:color="000000"/>
            </w:tcBorders>
            <w:shd w:val="clear" w:color="auto" w:fill="BDBDBD"/>
          </w:tcPr>
          <w:p>
            <w:pPr/>
          </w:p>
        </w:tc>
        <w:tc>
          <w:tcPr>
            <w:tcW w:w="1282" w:type="dxa"/>
            <w:vMerge w:val="restart"/>
            <w:tcBorders>
              <w:top w:val="single" w:sz="8" w:space="0" w:color="000000"/>
              <w:left w:val="single" w:sz="8" w:space="0" w:color="000000"/>
              <w:right w:val="single" w:sz="8" w:space="0" w:color="000000"/>
            </w:tcBorders>
            <w:shd w:val="clear" w:color="auto" w:fill="BDBDBD"/>
          </w:tcPr>
          <w:p>
            <w:pPr/>
          </w:p>
        </w:tc>
        <w:tc>
          <w:tcPr>
            <w:tcW w:w="864" w:type="dxa"/>
            <w:vMerge w:val="restart"/>
            <w:tcBorders>
              <w:top w:val="single" w:sz="8" w:space="0" w:color="000000"/>
              <w:left w:val="single" w:sz="8" w:space="0" w:color="000000"/>
              <w:right w:val="single" w:sz="8" w:space="0" w:color="000000"/>
            </w:tcBorders>
            <w:shd w:val="clear" w:color="auto" w:fill="BDBDBD"/>
          </w:tcPr>
          <w:p>
            <w:pPr>
              <w:pStyle w:val="TableParagraph"/>
              <w:spacing w:line="240" w:lineRule="auto" w:before="29"/>
              <w:ind w:left="244" w:right="0"/>
              <w:jc w:val="left"/>
              <w:rPr>
                <w:rFonts w:ascii="宋体" w:hAnsi="宋体" w:cs="宋体" w:eastAsia="宋体" w:hint="default"/>
                <w:sz w:val="18"/>
                <w:szCs w:val="18"/>
              </w:rPr>
            </w:pPr>
            <w:r>
              <w:rPr>
                <w:rFonts w:ascii="宋体" w:hAnsi="宋体" w:cs="宋体" w:eastAsia="宋体" w:hint="default"/>
                <w:sz w:val="18"/>
                <w:szCs w:val="18"/>
              </w:rPr>
              <w:t>层次</w:t>
            </w:r>
          </w:p>
        </w:tc>
        <w:tc>
          <w:tcPr>
            <w:tcW w:w="2531" w:type="dxa"/>
            <w:gridSpan w:val="2"/>
            <w:tcBorders>
              <w:top w:val="single" w:sz="8" w:space="0" w:color="000000"/>
              <w:left w:val="single" w:sz="8" w:space="0" w:color="000000"/>
              <w:bottom w:val="single" w:sz="8" w:space="0" w:color="000000"/>
              <w:right w:val="single" w:sz="8" w:space="0" w:color="000000"/>
            </w:tcBorders>
            <w:shd w:val="clear" w:color="auto" w:fill="BDBDBD"/>
          </w:tcPr>
          <w:p>
            <w:pPr/>
          </w:p>
        </w:tc>
        <w:tc>
          <w:tcPr>
            <w:tcW w:w="1868" w:type="dxa"/>
            <w:gridSpan w:val="3"/>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29"/>
              <w:ind w:left="4" w:right="0"/>
              <w:jc w:val="center"/>
              <w:rPr>
                <w:rFonts w:ascii="宋体" w:hAnsi="宋体" w:cs="宋体" w:eastAsia="宋体" w:hint="default"/>
                <w:sz w:val="18"/>
                <w:szCs w:val="18"/>
              </w:rPr>
            </w:pPr>
            <w:r>
              <w:rPr>
                <w:rFonts w:ascii="宋体" w:hAnsi="宋体" w:cs="宋体" w:eastAsia="宋体" w:hint="default"/>
                <w:w w:val="101"/>
                <w:sz w:val="18"/>
                <w:szCs w:val="18"/>
              </w:rPr>
              <w:t>算</w:t>
            </w:r>
            <w:r>
              <w:rPr>
                <w:rFonts w:ascii="宋体" w:hAnsi="宋体" w:cs="宋体" w:eastAsia="宋体" w:hint="default"/>
                <w:sz w:val="18"/>
                <w:szCs w:val="18"/>
              </w:rPr>
            </w:r>
          </w:p>
        </w:tc>
        <w:tc>
          <w:tcPr>
            <w:tcW w:w="1037" w:type="dxa"/>
            <w:vMerge w:val="restart"/>
            <w:tcBorders>
              <w:top w:val="single" w:sz="8" w:space="0" w:color="000000"/>
              <w:left w:val="single" w:sz="8" w:space="0" w:color="000000"/>
              <w:right w:val="single" w:sz="8" w:space="0" w:color="000000"/>
            </w:tcBorders>
            <w:shd w:val="clear" w:color="auto" w:fill="BDBDBD"/>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w w:val="101"/>
                <w:sz w:val="18"/>
                <w:szCs w:val="18"/>
              </w:rPr>
              <w:t>响</w:t>
            </w:r>
            <w:r>
              <w:rPr>
                <w:rFonts w:ascii="宋体" w:hAnsi="宋体" w:cs="宋体" w:eastAsia="宋体" w:hint="default"/>
                <w:sz w:val="18"/>
                <w:szCs w:val="18"/>
              </w:rPr>
            </w:r>
          </w:p>
        </w:tc>
        <w:tc>
          <w:tcPr>
            <w:tcW w:w="1417" w:type="dxa"/>
            <w:vMerge w:val="restart"/>
            <w:tcBorders>
              <w:top w:val="single" w:sz="8" w:space="0" w:color="000000"/>
              <w:left w:val="single" w:sz="8" w:space="0" w:color="000000"/>
              <w:right w:val="single" w:sz="8" w:space="0" w:color="000000"/>
            </w:tcBorders>
            <w:shd w:val="clear" w:color="auto" w:fill="BDBDBD"/>
          </w:tcPr>
          <w:p>
            <w:pPr>
              <w:pStyle w:val="TableParagraph"/>
              <w:spacing w:line="240" w:lineRule="auto" w:before="29"/>
              <w:ind w:left="4" w:right="0"/>
              <w:jc w:val="center"/>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739" w:hRule="exact"/>
        </w:trPr>
        <w:tc>
          <w:tcPr>
            <w:tcW w:w="1253" w:type="dxa"/>
            <w:vMerge/>
            <w:tcBorders>
              <w:left w:val="single" w:sz="8" w:space="0" w:color="000000"/>
              <w:bottom w:val="single" w:sz="8" w:space="0" w:color="000000"/>
              <w:right w:val="single" w:sz="8" w:space="0" w:color="000000"/>
            </w:tcBorders>
            <w:shd w:val="clear" w:color="auto" w:fill="BDBDBD"/>
          </w:tcPr>
          <w:p>
            <w:pPr/>
          </w:p>
        </w:tc>
        <w:tc>
          <w:tcPr>
            <w:tcW w:w="1282" w:type="dxa"/>
            <w:vMerge/>
            <w:tcBorders>
              <w:left w:val="single" w:sz="8" w:space="0" w:color="000000"/>
              <w:bottom w:val="single" w:sz="8" w:space="0" w:color="000000"/>
              <w:right w:val="single" w:sz="8" w:space="0" w:color="000000"/>
            </w:tcBorders>
            <w:shd w:val="clear" w:color="auto" w:fill="BDBDBD"/>
          </w:tcPr>
          <w:p>
            <w:pPr/>
          </w:p>
        </w:tc>
        <w:tc>
          <w:tcPr>
            <w:tcW w:w="864" w:type="dxa"/>
            <w:vMerge/>
            <w:tcBorders>
              <w:left w:val="single" w:sz="8" w:space="0" w:color="000000"/>
              <w:bottom w:val="single" w:sz="8" w:space="0" w:color="000000"/>
              <w:right w:val="single" w:sz="8" w:space="0" w:color="000000"/>
            </w:tcBorders>
            <w:shd w:val="clear" w:color="auto" w:fill="BDBDBD"/>
          </w:tcPr>
          <w:p>
            <w:pPr/>
          </w:p>
        </w:tc>
        <w:tc>
          <w:tcPr>
            <w:tcW w:w="1373"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316" w:lineRule="auto" w:before="73"/>
              <w:ind w:left="586" w:right="41" w:hanging="539"/>
              <w:jc w:val="left"/>
              <w:rPr>
                <w:rFonts w:ascii="宋体" w:hAnsi="宋体" w:cs="宋体" w:eastAsia="宋体" w:hint="default"/>
                <w:sz w:val="18"/>
                <w:szCs w:val="18"/>
              </w:rPr>
            </w:pPr>
            <w:r>
              <w:rPr>
                <w:rFonts w:ascii="宋体" w:hAnsi="宋体" w:cs="宋体" w:eastAsia="宋体" w:hint="default"/>
                <w:spacing w:val="-3"/>
                <w:sz w:val="18"/>
                <w:szCs w:val="18"/>
              </w:rPr>
              <w:t>计入其他综合收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w:t>
            </w:r>
          </w:p>
        </w:tc>
        <w:tc>
          <w:tcPr>
            <w:tcW w:w="1157"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3"/>
              <w:ind w:right="22"/>
              <w:jc w:val="right"/>
              <w:rPr>
                <w:rFonts w:ascii="宋体" w:hAnsi="宋体" w:cs="宋体" w:eastAsia="宋体" w:hint="default"/>
                <w:sz w:val="18"/>
                <w:szCs w:val="18"/>
              </w:rPr>
            </w:pPr>
            <w:r>
              <w:rPr>
                <w:rFonts w:ascii="宋体" w:hAnsi="宋体" w:cs="宋体" w:eastAsia="宋体" w:hint="default"/>
                <w:spacing w:val="-2"/>
                <w:sz w:val="18"/>
                <w:szCs w:val="18"/>
              </w:rPr>
              <w:t>当期转入损益</w:t>
            </w:r>
          </w:p>
        </w:tc>
        <w:tc>
          <w:tcPr>
            <w:tcW w:w="1133"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370"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316" w:lineRule="auto" w:before="73"/>
              <w:ind w:left="81" w:right="86"/>
              <w:jc w:val="left"/>
              <w:rPr>
                <w:rFonts w:ascii="宋体" w:hAnsi="宋体" w:cs="宋体" w:eastAsia="宋体" w:hint="default"/>
                <w:sz w:val="18"/>
                <w:szCs w:val="18"/>
              </w:rPr>
            </w:pPr>
            <w:r>
              <w:rPr>
                <w:rFonts w:ascii="宋体" w:hAnsi="宋体" w:cs="宋体" w:eastAsia="宋体" w:hint="default"/>
                <w:sz w:val="18"/>
                <w:szCs w:val="18"/>
              </w:rPr>
              <w:t>出</w:t>
            </w:r>
            <w:r>
              <w:rPr>
                <w:rFonts w:ascii="宋体" w:hAnsi="宋体" w:cs="宋体" w:eastAsia="宋体" w:hint="default"/>
                <w:spacing w:val="-88"/>
                <w:sz w:val="18"/>
                <w:szCs w:val="18"/>
              </w:rPr>
              <w:t> </w:t>
            </w:r>
            <w:r>
              <w:rPr>
                <w:rFonts w:ascii="宋体" w:hAnsi="宋体" w:cs="宋体" w:eastAsia="宋体" w:hint="default"/>
                <w:sz w:val="18"/>
                <w:szCs w:val="18"/>
              </w:rPr>
              <w:t>售</w:t>
            </w:r>
          </w:p>
        </w:tc>
        <w:tc>
          <w:tcPr>
            <w:tcW w:w="365"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316" w:lineRule="auto" w:before="73"/>
              <w:ind w:left="81" w:right="79"/>
              <w:jc w:val="left"/>
              <w:rPr>
                <w:rFonts w:ascii="宋体" w:hAnsi="宋体" w:cs="宋体" w:eastAsia="宋体" w:hint="default"/>
                <w:sz w:val="18"/>
                <w:szCs w:val="18"/>
              </w:rPr>
            </w:pPr>
            <w:r>
              <w:rPr>
                <w:rFonts w:ascii="宋体" w:hAnsi="宋体" w:cs="宋体" w:eastAsia="宋体" w:hint="default"/>
                <w:sz w:val="18"/>
                <w:szCs w:val="18"/>
              </w:rPr>
              <w:t>结</w:t>
            </w:r>
            <w:r>
              <w:rPr>
                <w:rFonts w:ascii="宋体" w:hAnsi="宋体" w:cs="宋体" w:eastAsia="宋体" w:hint="default"/>
                <w:spacing w:val="-88"/>
                <w:sz w:val="18"/>
                <w:szCs w:val="18"/>
              </w:rPr>
              <w:t> </w:t>
            </w:r>
            <w:r>
              <w:rPr>
                <w:rFonts w:ascii="宋体" w:hAnsi="宋体" w:cs="宋体" w:eastAsia="宋体" w:hint="default"/>
                <w:sz w:val="18"/>
                <w:szCs w:val="18"/>
              </w:rPr>
              <w:t>算</w:t>
            </w:r>
          </w:p>
        </w:tc>
        <w:tc>
          <w:tcPr>
            <w:tcW w:w="1037" w:type="dxa"/>
            <w:vMerge/>
            <w:tcBorders>
              <w:left w:val="single" w:sz="8" w:space="0" w:color="000000"/>
              <w:bottom w:val="single" w:sz="8" w:space="0" w:color="000000"/>
              <w:right w:val="single" w:sz="8" w:space="0" w:color="000000"/>
            </w:tcBorders>
            <w:shd w:val="clear" w:color="auto" w:fill="BDBDBD"/>
          </w:tcPr>
          <w:p>
            <w:pPr/>
          </w:p>
        </w:tc>
        <w:tc>
          <w:tcPr>
            <w:tcW w:w="1417" w:type="dxa"/>
            <w:vMerge/>
            <w:tcBorders>
              <w:left w:val="single" w:sz="8" w:space="0" w:color="000000"/>
              <w:bottom w:val="single" w:sz="8" w:space="0" w:color="000000"/>
              <w:right w:val="single" w:sz="8" w:space="0" w:color="000000"/>
            </w:tcBorders>
            <w:shd w:val="clear" w:color="auto" w:fill="BDBDBD"/>
          </w:tcPr>
          <w:p>
            <w:pPr/>
          </w:p>
        </w:tc>
      </w:tr>
      <w:tr>
        <w:trPr>
          <w:trHeight w:val="725" w:hRule="exact"/>
        </w:trPr>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9"/>
              <w:ind w:left="4" w:right="1"/>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60"/>
                <w:sz w:val="18"/>
                <w:szCs w:val="18"/>
              </w:rPr>
              <w:t> </w:t>
            </w:r>
            <w:r>
              <w:rPr>
                <w:rFonts w:ascii="宋体" w:hAnsi="宋体" w:cs="宋体" w:eastAsia="宋体" w:hint="default"/>
                <w:sz w:val="18"/>
                <w:szCs w:val="18"/>
              </w:rPr>
              <w:t>他</w:t>
            </w:r>
            <w:r>
              <w:rPr>
                <w:rFonts w:ascii="宋体" w:hAnsi="宋体" w:cs="宋体" w:eastAsia="宋体" w:hint="default"/>
                <w:spacing w:val="-65"/>
                <w:sz w:val="18"/>
                <w:szCs w:val="18"/>
              </w:rPr>
              <w:t> </w:t>
            </w:r>
            <w:r>
              <w:rPr>
                <w:rFonts w:ascii="宋体" w:hAnsi="宋体" w:cs="宋体" w:eastAsia="宋体" w:hint="default"/>
                <w:sz w:val="18"/>
                <w:szCs w:val="18"/>
              </w:rPr>
              <w:t>权</w:t>
            </w:r>
            <w:r>
              <w:rPr>
                <w:rFonts w:ascii="宋体" w:hAnsi="宋体" w:cs="宋体" w:eastAsia="宋体" w:hint="default"/>
                <w:spacing w:val="-60"/>
                <w:sz w:val="18"/>
                <w:szCs w:val="18"/>
              </w:rPr>
              <w:t> </w:t>
            </w:r>
            <w:r>
              <w:rPr>
                <w:rFonts w:ascii="宋体" w:hAnsi="宋体" w:cs="宋体" w:eastAsia="宋体" w:hint="default"/>
                <w:sz w:val="18"/>
                <w:szCs w:val="18"/>
              </w:rPr>
              <w:t>益</w:t>
            </w:r>
            <w:r>
              <w:rPr>
                <w:rFonts w:ascii="宋体" w:hAnsi="宋体" w:cs="宋体" w:eastAsia="宋体" w:hint="default"/>
                <w:spacing w:val="-65"/>
                <w:sz w:val="18"/>
                <w:szCs w:val="18"/>
              </w:rPr>
              <w:t> </w:t>
            </w:r>
            <w:r>
              <w:rPr>
                <w:rFonts w:ascii="宋体" w:hAnsi="宋体" w:cs="宋体" w:eastAsia="宋体" w:hint="default"/>
                <w:sz w:val="18"/>
                <w:szCs w:val="18"/>
              </w:rPr>
              <w:t>工</w:t>
            </w:r>
            <w:r>
              <w:rPr>
                <w:rFonts w:ascii="宋体" w:hAnsi="宋体" w:cs="宋体" w:eastAsia="宋体" w:hint="default"/>
                <w:spacing w:val="-60"/>
                <w:sz w:val="18"/>
                <w:szCs w:val="18"/>
              </w:rPr>
              <w:t> </w:t>
            </w:r>
            <w:r>
              <w:rPr>
                <w:rFonts w:ascii="宋体" w:hAnsi="宋体" w:cs="宋体" w:eastAsia="宋体" w:hint="default"/>
                <w:sz w:val="18"/>
                <w:szCs w:val="18"/>
              </w:rPr>
              <w:t>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w:t>
            </w:r>
          </w:p>
        </w:tc>
        <w:tc>
          <w:tcPr>
            <w:tcW w:w="12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31,571,406.32</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-17,841,574.72</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3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226,056.50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13,955,888.10</w:t>
            </w:r>
          </w:p>
        </w:tc>
      </w:tr>
      <w:tr>
        <w:trPr>
          <w:trHeight w:val="725" w:hRule="exact"/>
        </w:trPr>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53"/>
              <w:ind w:left="4" w:right="1"/>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60"/>
                <w:sz w:val="18"/>
                <w:szCs w:val="18"/>
              </w:rPr>
              <w:t> </w:t>
            </w:r>
            <w:r>
              <w:rPr>
                <w:rFonts w:ascii="宋体" w:hAnsi="宋体" w:cs="宋体" w:eastAsia="宋体" w:hint="default"/>
                <w:sz w:val="18"/>
                <w:szCs w:val="18"/>
              </w:rPr>
              <w:t>他</w:t>
            </w:r>
            <w:r>
              <w:rPr>
                <w:rFonts w:ascii="宋体" w:hAnsi="宋体" w:cs="宋体" w:eastAsia="宋体" w:hint="default"/>
                <w:spacing w:val="-65"/>
                <w:sz w:val="18"/>
                <w:szCs w:val="18"/>
              </w:rPr>
              <w:t> </w:t>
            </w:r>
            <w:r>
              <w:rPr>
                <w:rFonts w:ascii="宋体" w:hAnsi="宋体" w:cs="宋体" w:eastAsia="宋体" w:hint="default"/>
                <w:sz w:val="18"/>
                <w:szCs w:val="18"/>
              </w:rPr>
              <w:t>非</w:t>
            </w:r>
            <w:r>
              <w:rPr>
                <w:rFonts w:ascii="宋体" w:hAnsi="宋体" w:cs="宋体" w:eastAsia="宋体" w:hint="default"/>
                <w:spacing w:val="-60"/>
                <w:sz w:val="18"/>
                <w:szCs w:val="18"/>
              </w:rPr>
              <w:t> </w:t>
            </w:r>
            <w:r>
              <w:rPr>
                <w:rFonts w:ascii="宋体" w:hAnsi="宋体" w:cs="宋体" w:eastAsia="宋体" w:hint="default"/>
                <w:sz w:val="18"/>
                <w:szCs w:val="18"/>
              </w:rPr>
              <w:t>流</w:t>
            </w:r>
            <w:r>
              <w:rPr>
                <w:rFonts w:ascii="宋体" w:hAnsi="宋体" w:cs="宋体" w:eastAsia="宋体" w:hint="default"/>
                <w:spacing w:val="-65"/>
                <w:sz w:val="18"/>
                <w:szCs w:val="18"/>
              </w:rPr>
              <w:t> </w:t>
            </w:r>
            <w:r>
              <w:rPr>
                <w:rFonts w:ascii="宋体" w:hAnsi="宋体" w:cs="宋体" w:eastAsia="宋体" w:hint="default"/>
                <w:sz w:val="18"/>
                <w:szCs w:val="18"/>
              </w:rPr>
              <w:t>动</w:t>
            </w:r>
            <w:r>
              <w:rPr>
                <w:rFonts w:ascii="宋体" w:hAnsi="宋体" w:cs="宋体" w:eastAsia="宋体" w:hint="default"/>
                <w:spacing w:val="-60"/>
                <w:sz w:val="18"/>
                <w:szCs w:val="18"/>
              </w:rPr>
              <w:t> </w:t>
            </w:r>
            <w:r>
              <w:rPr>
                <w:rFonts w:ascii="宋体" w:hAnsi="宋体" w:cs="宋体" w:eastAsia="宋体" w:hint="default"/>
                <w:sz w:val="18"/>
                <w:szCs w:val="18"/>
              </w:rPr>
              <w:t>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融资产</w:t>
            </w:r>
          </w:p>
        </w:tc>
        <w:tc>
          <w:tcPr>
            <w:tcW w:w="12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190,349,359.20</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176,009,629.10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40,000,000.00</w:t>
            </w:r>
          </w:p>
        </w:tc>
        <w:tc>
          <w:tcPr>
            <w:tcW w:w="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3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593,813.04</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406,952,801.34</w:t>
            </w:r>
          </w:p>
        </w:tc>
      </w:tr>
      <w:tr>
        <w:trPr>
          <w:trHeight w:val="413" w:hRule="exact"/>
        </w:trPr>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221,920,765.52</w:t>
            </w:r>
          </w:p>
        </w:tc>
        <w:tc>
          <w:tcPr>
            <w:tcW w:w="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-17,841,574.22</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176,009,629.10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40,000,000.00</w:t>
            </w:r>
          </w:p>
        </w:tc>
        <w:tc>
          <w:tcPr>
            <w:tcW w:w="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3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819,869.54</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420,908,689.44</w:t>
            </w:r>
          </w:p>
        </w:tc>
      </w:tr>
    </w:tbl>
    <w:p>
      <w:pPr>
        <w:spacing w:line="240" w:lineRule="auto" w:before="3"/>
        <w:rPr>
          <w:rFonts w:ascii="宋体" w:hAnsi="宋体" w:cs="宋体" w:eastAsia="宋体" w:hint="default"/>
          <w:b/>
          <w:bCs/>
          <w:sz w:val="19"/>
          <w:szCs w:val="19"/>
        </w:rPr>
      </w:pPr>
    </w:p>
    <w:p>
      <w:pPr>
        <w:pStyle w:val="Heading4"/>
        <w:spacing w:line="240" w:lineRule="auto" w:before="36"/>
        <w:ind w:left="136" w:right="851"/>
        <w:jc w:val="left"/>
        <w:rPr>
          <w:b w:val="0"/>
          <w:bCs w:val="0"/>
        </w:rPr>
      </w:pPr>
      <w:bookmarkStart w:name="6、持续的公允价值计量项目，本期内发生各层级之间转换的，转换的原因及确定转换时点" w:id="389"/>
      <w:bookmarkEnd w:id="389"/>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rFonts w:ascii="Times New Roman" w:hAnsi="Times New Roman" w:cs="Times New Roman" w:eastAsia="Times New Roman" w:hint="default"/>
        </w:rPr>
        <w:t>:</w:t>
      </w:r>
      <w:r>
        <w:rPr/>
        <w:t>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136" w:right="3662"/>
        <w:jc w:val="left"/>
        <w:rPr>
          <w:b w:val="0"/>
          <w:bCs w:val="0"/>
        </w:rPr>
      </w:pPr>
      <w:bookmarkStart w:name="7、本期内发生的估值技术变更及变更原因:无" w:id="390"/>
      <w:bookmarkEnd w:id="390"/>
      <w:r>
        <w:rPr>
          <w:b w:val="0"/>
          <w:bCs w:val="0"/>
        </w:rPr>
      </w:r>
      <w:r>
        <w:rPr>
          <w:rFonts w:ascii="Times New Roman" w:hAnsi="Times New Roman" w:cs="Times New Roman" w:eastAsia="Times New Roman" w:hint="default"/>
        </w:rPr>
        <w:t>7</w:t>
      </w:r>
      <w:r>
        <w:rPr/>
        <w:t>、本期内发生的估值技术变更及变更原因</w:t>
      </w:r>
      <w:r>
        <w:rPr>
          <w:rFonts w:ascii="Times New Roman" w:hAnsi="Times New Roman" w:cs="Times New Roman" w:eastAsia="Times New Roman" w:hint="default"/>
        </w:rPr>
        <w:t>:</w:t>
      </w:r>
      <w:r>
        <w:rPr/>
        <w:t>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8、不以公允价值计量的金融资产和金融负债的公允价值情况" w:id="391"/>
      <w:bookmarkEnd w:id="391"/>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47" w:right="851"/>
        <w:jc w:val="left"/>
      </w:pPr>
      <w:r>
        <w:rPr>
          <w:spacing w:val="-3"/>
        </w:rPr>
        <w:t>本集团管理层认为，财务报表中的按摊余成本计量的金融资产及金融负债的账面价值接近该等资产及负债的公允价值。</w:t>
      </w:r>
    </w:p>
    <w:p>
      <w:pPr>
        <w:spacing w:line="240" w:lineRule="auto" w:before="0"/>
        <w:rPr>
          <w:rFonts w:ascii="宋体" w:hAnsi="宋体" w:cs="宋体" w:eastAsia="宋体" w:hint="default"/>
          <w:sz w:val="18"/>
          <w:szCs w:val="18"/>
        </w:rPr>
      </w:pPr>
    </w:p>
    <w:p>
      <w:pPr>
        <w:spacing w:line="484" w:lineRule="auto" w:before="118"/>
        <w:ind w:left="136" w:right="8417" w:firstLine="0"/>
        <w:jc w:val="left"/>
        <w:rPr>
          <w:rFonts w:ascii="宋体" w:hAnsi="宋体" w:cs="宋体" w:eastAsia="宋体" w:hint="default"/>
          <w:sz w:val="21"/>
          <w:szCs w:val="21"/>
        </w:rPr>
      </w:pPr>
      <w:bookmarkStart w:name="9、其他:无" w:id="392"/>
      <w:bookmarkEnd w:id="39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无</w:t>
      </w:r>
      <w:r>
        <w:rPr>
          <w:rFonts w:ascii="宋体" w:hAnsi="宋体" w:cs="宋体" w:eastAsia="宋体" w:hint="default"/>
          <w:b/>
          <w:bCs/>
          <w:w w:val="100"/>
          <w:sz w:val="21"/>
          <w:szCs w:val="21"/>
        </w:rPr>
        <w:t> </w:t>
      </w:r>
      <w:bookmarkStart w:name="十二、关联方及关联交易" w:id="393"/>
      <w:bookmarkEnd w:id="393"/>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394"/>
      <w:bookmarkEnd w:id="39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0"/>
        <w:rPr>
          <w:rFonts w:ascii="宋体" w:hAnsi="宋体" w:cs="宋体" w:eastAsia="宋体" w:hint="default"/>
          <w:b/>
          <w:bCs/>
          <w:sz w:val="7"/>
          <w:szCs w:val="7"/>
        </w:rPr>
      </w:pPr>
    </w:p>
    <w:tbl>
      <w:tblPr>
        <w:tblW w:w="0" w:type="auto"/>
        <w:jc w:val="left"/>
        <w:tblInd w:w="112" w:type="dxa"/>
        <w:tblLayout w:type="fixed"/>
        <w:tblCellMar>
          <w:top w:w="0" w:type="dxa"/>
          <w:left w:w="0" w:type="dxa"/>
          <w:bottom w:w="0" w:type="dxa"/>
          <w:right w:w="0" w:type="dxa"/>
        </w:tblCellMar>
        <w:tblLook w:val="01E0"/>
      </w:tblPr>
      <w:tblGrid>
        <w:gridCol w:w="1080"/>
        <w:gridCol w:w="1906"/>
        <w:gridCol w:w="1618"/>
        <w:gridCol w:w="2569"/>
        <w:gridCol w:w="1767"/>
      </w:tblGrid>
      <w:tr>
        <w:trPr>
          <w:trHeight w:val="428" w:hRule="exact"/>
        </w:trPr>
        <w:tc>
          <w:tcPr>
            <w:tcW w:w="1080" w:type="dxa"/>
            <w:vMerge w:val="restart"/>
            <w:tcBorders>
              <w:top w:val="single" w:sz="8" w:space="0" w:color="000000"/>
              <w:left w:val="single" w:sz="8" w:space="0" w:color="000000"/>
              <w:right w:val="single" w:sz="8" w:space="0" w:color="000000"/>
            </w:tcBorders>
            <w:shd w:val="clear" w:color="auto" w:fill="BDBDBD"/>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3524" w:type="dxa"/>
            <w:gridSpan w:val="2"/>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sz w:val="18"/>
                <w:szCs w:val="18"/>
              </w:rPr>
              <w:t>年末账面</w:t>
            </w:r>
          </w:p>
        </w:tc>
        <w:tc>
          <w:tcPr>
            <w:tcW w:w="4336" w:type="dxa"/>
            <w:gridSpan w:val="2"/>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年初账面</w:t>
            </w:r>
          </w:p>
        </w:tc>
      </w:tr>
      <w:tr>
        <w:trPr>
          <w:trHeight w:val="427" w:hRule="exact"/>
        </w:trPr>
        <w:tc>
          <w:tcPr>
            <w:tcW w:w="1080" w:type="dxa"/>
            <w:vMerge/>
            <w:tcBorders>
              <w:left w:val="single" w:sz="8" w:space="0" w:color="000000"/>
              <w:bottom w:val="single" w:sz="8" w:space="0" w:color="000000"/>
              <w:right w:val="single" w:sz="8" w:space="0" w:color="000000"/>
            </w:tcBorders>
            <w:shd w:val="clear" w:color="auto" w:fill="BDBDBD"/>
          </w:tcPr>
          <w:p>
            <w:pPr/>
          </w:p>
        </w:tc>
        <w:tc>
          <w:tcPr>
            <w:tcW w:w="1906"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68"/>
              <w:ind w:left="76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18"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68"/>
              <w:ind w:left="43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569"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6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767"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68"/>
              <w:ind w:left="514" w:right="0"/>
              <w:jc w:val="left"/>
              <w:rPr>
                <w:rFonts w:ascii="宋体" w:hAnsi="宋体" w:cs="宋体" w:eastAsia="宋体" w:hint="default"/>
                <w:sz w:val="18"/>
                <w:szCs w:val="18"/>
              </w:rPr>
            </w:pPr>
            <w:r>
              <w:rPr>
                <w:rFonts w:ascii="宋体" w:hAnsi="宋体" w:cs="宋体" w:eastAsia="宋体" w:hint="default"/>
                <w:sz w:val="18"/>
                <w:szCs w:val="18"/>
              </w:rPr>
              <w:t>持股比例</w:t>
            </w:r>
          </w:p>
        </w:tc>
      </w:tr>
      <w:tr>
        <w:trPr>
          <w:trHeight w:val="427" w:hRule="exact"/>
        </w:trPr>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758" w:right="0"/>
              <w:jc w:val="left"/>
              <w:rPr>
                <w:rFonts w:ascii="Times New Roman" w:hAnsi="Times New Roman" w:cs="Times New Roman" w:eastAsia="Times New Roman" w:hint="default"/>
                <w:sz w:val="18"/>
                <w:szCs w:val="18"/>
              </w:rPr>
            </w:pPr>
            <w:r>
              <w:rPr>
                <w:rFonts w:ascii="Times New Roman"/>
                <w:sz w:val="18"/>
              </w:rPr>
              <w:t>229,140,264.00</w:t>
            </w:r>
          </w:p>
        </w:tc>
        <w:tc>
          <w:tcPr>
            <w:tcW w:w="16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1037" w:right="0"/>
              <w:jc w:val="left"/>
              <w:rPr>
                <w:rFonts w:ascii="Times New Roman" w:hAnsi="Times New Roman" w:cs="Times New Roman" w:eastAsia="Times New Roman" w:hint="default"/>
                <w:sz w:val="18"/>
                <w:szCs w:val="18"/>
              </w:rPr>
            </w:pPr>
            <w:r>
              <w:rPr>
                <w:rFonts w:ascii="Times New Roman"/>
                <w:sz w:val="18"/>
              </w:rPr>
              <w:t>16.92%</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1416" w:right="0"/>
              <w:jc w:val="left"/>
              <w:rPr>
                <w:rFonts w:ascii="Times New Roman" w:hAnsi="Times New Roman" w:cs="Times New Roman" w:eastAsia="Times New Roman" w:hint="default"/>
                <w:sz w:val="18"/>
                <w:szCs w:val="18"/>
              </w:rPr>
            </w:pPr>
            <w:r>
              <w:rPr>
                <w:rFonts w:ascii="Times New Roman"/>
                <w:sz w:val="18"/>
              </w:rPr>
              <w:t>136,894,273.00</w:t>
            </w:r>
          </w:p>
        </w:tc>
        <w:tc>
          <w:tcPr>
            <w:tcW w:w="17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3"/>
              <w:jc w:val="right"/>
              <w:rPr>
                <w:rFonts w:ascii="Times New Roman" w:hAnsi="Times New Roman" w:cs="Times New Roman" w:eastAsia="Times New Roman" w:hint="default"/>
                <w:sz w:val="18"/>
                <w:szCs w:val="18"/>
              </w:rPr>
            </w:pPr>
            <w:r>
              <w:rPr>
                <w:rFonts w:ascii="Times New Roman"/>
                <w:spacing w:val="-1"/>
                <w:sz w:val="18"/>
              </w:rPr>
              <w:t>17.22%</w:t>
            </w:r>
          </w:p>
        </w:tc>
      </w:tr>
    </w:tbl>
    <w:p>
      <w:pPr>
        <w:spacing w:line="240" w:lineRule="auto" w:before="5"/>
        <w:rPr>
          <w:rFonts w:ascii="宋体" w:hAnsi="宋体" w:cs="宋体" w:eastAsia="宋体" w:hint="default"/>
          <w:b/>
          <w:bCs/>
          <w:sz w:val="24"/>
          <w:szCs w:val="24"/>
        </w:rPr>
      </w:pPr>
    </w:p>
    <w:p>
      <w:pPr>
        <w:pStyle w:val="BodyText"/>
        <w:spacing w:line="357" w:lineRule="auto" w:before="46"/>
        <w:ind w:left="136" w:right="8417"/>
        <w:jc w:val="left"/>
      </w:pPr>
      <w:r>
        <w:rPr>
          <w:spacing w:val="-3"/>
        </w:rPr>
        <w:t>本企业最终控制方是李小龙。</w:t>
      </w:r>
      <w:r>
        <w:rPr>
          <w:spacing w:val="-50"/>
        </w:rPr>
        <w:t> </w:t>
      </w:r>
      <w:r>
        <w:rPr>
          <w:spacing w:val="-50"/>
        </w:rPr>
      </w:r>
      <w:r>
        <w:rPr/>
        <w:t>其他说明：无</w:t>
      </w:r>
    </w:p>
    <w:p>
      <w:pPr>
        <w:spacing w:line="240" w:lineRule="auto" w:before="12"/>
        <w:rPr>
          <w:rFonts w:ascii="宋体" w:hAnsi="宋体" w:cs="宋体" w:eastAsia="宋体" w:hint="default"/>
          <w:sz w:val="19"/>
          <w:szCs w:val="19"/>
        </w:rPr>
      </w:pPr>
    </w:p>
    <w:p>
      <w:pPr>
        <w:pStyle w:val="Heading4"/>
        <w:spacing w:line="240" w:lineRule="auto"/>
        <w:ind w:left="136" w:right="3662"/>
        <w:jc w:val="left"/>
        <w:rPr>
          <w:b w:val="0"/>
          <w:bCs w:val="0"/>
        </w:rPr>
      </w:pPr>
      <w:bookmarkStart w:name="2、本企业的子公司情况" w:id="395"/>
      <w:bookmarkEnd w:id="395"/>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136" w:right="3662"/>
        <w:jc w:val="left"/>
      </w:pPr>
      <w:r>
        <w:rPr>
          <w:spacing w:val="-3"/>
        </w:rPr>
        <w:t>本企业子公司的情况详见附注九、</w:t>
      </w:r>
      <w:r>
        <w:rPr>
          <w:rFonts w:ascii="Times New Roman" w:hAnsi="Times New Roman" w:cs="Times New Roman" w:eastAsia="Times New Roman" w:hint="default"/>
          <w:spacing w:val="-3"/>
        </w:rPr>
        <w:t>1.</w:t>
      </w:r>
      <w:r>
        <w:rPr>
          <w:spacing w:val="-3"/>
        </w:rPr>
        <w:t>在子公司中的权益。</w:t>
      </w:r>
    </w:p>
    <w:p>
      <w:pPr>
        <w:spacing w:after="0" w:line="240" w:lineRule="auto"/>
        <w:jc w:val="left"/>
        <w:sectPr>
          <w:pgSz w:w="11910" w:h="16840"/>
          <w:pgMar w:header="0" w:footer="1022" w:top="1100" w:bottom="1220" w:left="680" w:right="0"/>
        </w:sect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136" w:right="3662"/>
        <w:jc w:val="left"/>
        <w:rPr>
          <w:b w:val="0"/>
          <w:bCs w:val="0"/>
        </w:rPr>
      </w:pPr>
      <w:bookmarkStart w:name="3、本企业合营和联营企业情况" w:id="396"/>
      <w:bookmarkEnd w:id="396"/>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43" w:lineRule="auto"/>
        <w:ind w:left="136" w:right="851"/>
        <w:jc w:val="left"/>
      </w:pPr>
      <w:r>
        <w:rPr>
          <w:spacing w:val="-3"/>
        </w:rPr>
        <w:t>本企业重要的合营或联营企业详见附注七 </w:t>
      </w:r>
      <w:r>
        <w:rPr>
          <w:rFonts w:ascii="Times New Roman" w:hAnsi="Times New Roman" w:cs="Times New Roman" w:eastAsia="Times New Roman" w:hint="default"/>
          <w:spacing w:val="-3"/>
        </w:rPr>
        <w:t>8.</w:t>
      </w:r>
      <w:r>
        <w:rPr>
          <w:spacing w:val="-3"/>
        </w:rPr>
        <w:t>长期股权投资。</w:t>
      </w:r>
      <w:r>
        <w:rPr>
          <w:spacing w:val="-50"/>
        </w:rPr>
        <w:t> </w:t>
      </w:r>
      <w:r>
        <w:rPr>
          <w:spacing w:val="-50"/>
        </w:rPr>
      </w:r>
      <w:r>
        <w:rPr>
          <w:spacing w:val="-3"/>
        </w:rPr>
        <w:t>本期与本公司发生关联方交易，或前期与本公司发生关联方交易形成余额的其他合营或联营企业情况如下：</w:t>
      </w:r>
    </w:p>
    <w:tbl>
      <w:tblPr>
        <w:tblW w:w="0" w:type="auto"/>
        <w:jc w:val="left"/>
        <w:tblInd w:w="131" w:type="dxa"/>
        <w:tblLayout w:type="fixed"/>
        <w:tblCellMar>
          <w:top w:w="0" w:type="dxa"/>
          <w:left w:w="0" w:type="dxa"/>
          <w:bottom w:w="0" w:type="dxa"/>
          <w:right w:w="0" w:type="dxa"/>
        </w:tblCellMar>
        <w:tblLook w:val="01E0"/>
      </w:tblPr>
      <w:tblGrid>
        <w:gridCol w:w="4782"/>
        <w:gridCol w:w="4787"/>
      </w:tblGrid>
      <w:tr>
        <w:trPr>
          <w:trHeight w:val="404"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74" w:right="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北京企飞力网络科技有限公司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pacing w:val="-3"/>
                <w:sz w:val="18"/>
                <w:szCs w:val="18"/>
              </w:rPr>
              <w:t>本公司之子公司企业通信公司投资之联营公司</w:t>
            </w:r>
          </w:p>
        </w:tc>
      </w:tr>
      <w:tr>
        <w:trPr>
          <w:trHeight w:val="398"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北京创新为营网络通信科技有限公司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pacing w:val="-3"/>
                <w:sz w:val="18"/>
                <w:szCs w:val="18"/>
              </w:rPr>
              <w:t>本公司之子公司企业通信公司投资之联营公司</w:t>
            </w:r>
          </w:p>
        </w:tc>
      </w:tr>
    </w:tbl>
    <w:p>
      <w:pPr>
        <w:spacing w:line="240" w:lineRule="auto" w:before="12"/>
        <w:rPr>
          <w:rFonts w:ascii="宋体" w:hAnsi="宋体" w:cs="宋体" w:eastAsia="宋体" w:hint="default"/>
          <w:sz w:val="20"/>
          <w:szCs w:val="20"/>
        </w:rPr>
      </w:pPr>
    </w:p>
    <w:p>
      <w:pPr>
        <w:pStyle w:val="Heading4"/>
        <w:spacing w:line="240" w:lineRule="auto" w:before="36"/>
        <w:ind w:left="136" w:right="3662"/>
        <w:jc w:val="left"/>
        <w:rPr>
          <w:b w:val="0"/>
          <w:bCs w:val="0"/>
        </w:rPr>
      </w:pPr>
      <w:bookmarkStart w:name="4、其他关联方情况:无" w:id="397"/>
      <w:bookmarkEnd w:id="397"/>
      <w:r>
        <w:rPr>
          <w:b w:val="0"/>
          <w:bCs w:val="0"/>
        </w:rPr>
      </w:r>
      <w:r>
        <w:rPr>
          <w:rFonts w:ascii="Times New Roman" w:hAnsi="Times New Roman" w:cs="Times New Roman" w:eastAsia="Times New Roman" w:hint="default"/>
        </w:rPr>
        <w:t>4</w:t>
      </w:r>
      <w:r>
        <w:rPr/>
        <w:t>、其他关联方情况</w:t>
      </w:r>
      <w:r>
        <w:rPr>
          <w:rFonts w:ascii="Times New Roman" w:hAnsi="Times New Roman" w:cs="Times New Roman" w:eastAsia="Times New Roman" w:hint="default"/>
        </w:rPr>
        <w:t>:</w:t>
      </w:r>
      <w:r>
        <w:rPr/>
        <w:t>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5、关联交易情况" w:id="398"/>
      <w:bookmarkEnd w:id="39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136" w:right="3662"/>
        <w:jc w:val="left"/>
        <w:rPr>
          <w:b w:val="0"/>
          <w:bCs w:val="0"/>
        </w:rPr>
      </w:pPr>
      <w:bookmarkStart w:name="（1）购销商品、提供和接受劳务的关联交易" w:id="399"/>
      <w:bookmarkEnd w:id="39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136" w:right="3662"/>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1541"/>
        <w:gridCol w:w="1455"/>
        <w:gridCol w:w="1455"/>
        <w:gridCol w:w="1705"/>
        <w:gridCol w:w="1709"/>
        <w:gridCol w:w="1709"/>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创新为营</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1,594,565.87</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427,828.12</w:t>
            </w:r>
          </w:p>
        </w:tc>
      </w:tr>
      <w:tr>
        <w:trPr>
          <w:trHeight w:val="40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企飞力</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0"/>
                <w:sz w:val="18"/>
                <w:szCs w:val="18"/>
              </w:rPr>
              <w:t> </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z w:val="18"/>
                <w:szCs w:val="18"/>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1,632,311.44</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1,073,980.48</w:t>
            </w:r>
          </w:p>
        </w:tc>
      </w:tr>
    </w:tbl>
    <w:p>
      <w:pPr>
        <w:pStyle w:val="BodyText"/>
        <w:spacing w:line="240" w:lineRule="auto" w:before="53"/>
        <w:ind w:left="136" w:right="3662"/>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2396"/>
        <w:gridCol w:w="2261"/>
        <w:gridCol w:w="2262"/>
        <w:gridCol w:w="2651"/>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6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企飞力</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12,354,557.51</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13,449,328.17</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创新为营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10,219,902.56</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11,154,990.29</w:t>
            </w:r>
          </w:p>
        </w:tc>
      </w:tr>
    </w:tbl>
    <w:p>
      <w:pPr>
        <w:pStyle w:val="BodyText"/>
        <w:spacing w:line="240" w:lineRule="auto" w:before="53"/>
        <w:ind w:left="136" w:right="3662"/>
        <w:jc w:val="left"/>
      </w:pPr>
      <w:r>
        <w:rPr>
          <w:spacing w:val="-3"/>
        </w:rPr>
        <w:t>购销商品、提供和接受劳务的关联交易说明</w:t>
      </w:r>
    </w:p>
    <w:p>
      <w:pPr>
        <w:pStyle w:val="BodyText"/>
        <w:spacing w:line="240" w:lineRule="auto" w:before="110"/>
        <w:ind w:left="347" w:right="851"/>
        <w:jc w:val="left"/>
      </w:pPr>
      <w:r>
        <w:rPr/>
        <w:t>注</w:t>
      </w:r>
      <w:r>
        <w:rPr>
          <w:rFonts w:ascii="Times New Roman" w:hAnsi="Times New Roman" w:cs="Times New Roman" w:eastAsia="Times New Roman" w:hint="default"/>
        </w:rPr>
        <w:t>1</w:t>
      </w:r>
      <w:r>
        <w:rPr/>
        <w:t>：  </w:t>
      </w:r>
      <w:r>
        <w:rPr>
          <w:spacing w:val="36"/>
        </w:rPr>
        <w:t> </w:t>
      </w:r>
      <w:r>
        <w:rPr>
          <w:spacing w:val="-3"/>
        </w:rPr>
        <w:t>创新为营、企飞力为本公司之子公司企业通信提供邮箱、会议代理服务，企业通信向其支付代理费。</w:t>
      </w:r>
    </w:p>
    <w:p>
      <w:pPr>
        <w:spacing w:line="240" w:lineRule="auto" w:before="0"/>
        <w:rPr>
          <w:rFonts w:ascii="宋体" w:hAnsi="宋体" w:cs="宋体" w:eastAsia="宋体" w:hint="default"/>
          <w:sz w:val="26"/>
          <w:szCs w:val="26"/>
        </w:rPr>
      </w:pPr>
    </w:p>
    <w:p>
      <w:pPr>
        <w:pStyle w:val="Heading4"/>
        <w:spacing w:line="240" w:lineRule="auto"/>
        <w:ind w:left="136" w:right="3662"/>
        <w:jc w:val="left"/>
        <w:rPr>
          <w:b w:val="0"/>
          <w:bCs w:val="0"/>
        </w:rPr>
      </w:pPr>
      <w:bookmarkStart w:name="（2）关联受托管理/承包及委托管理/出包情况:无" w:id="400"/>
      <w:bookmarkEnd w:id="400"/>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rFonts w:ascii="Times New Roman" w:hAnsi="Times New Roman" w:cs="Times New Roman" w:eastAsia="Times New Roman" w:hint="default"/>
        </w:rPr>
        <w:t>:</w:t>
      </w:r>
      <w:r>
        <w:rPr/>
        <w:t>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3）关联租赁情况:无" w:id="401"/>
      <w:bookmarkEnd w:id="401"/>
      <w:r>
        <w:rPr>
          <w:b w:val="0"/>
          <w:bCs w:val="0"/>
        </w:rPr>
      </w:r>
      <w:r>
        <w:rPr/>
        <w:t>（</w:t>
      </w:r>
      <w:r>
        <w:rPr>
          <w:rFonts w:ascii="Times New Roman" w:hAnsi="Times New Roman" w:cs="Times New Roman" w:eastAsia="Times New Roman" w:hint="default"/>
        </w:rPr>
        <w:t>3</w:t>
      </w:r>
      <w:r>
        <w:rPr/>
        <w:t>）关联租赁情况</w:t>
      </w:r>
      <w:r>
        <w:rPr>
          <w:rFonts w:ascii="Times New Roman" w:hAnsi="Times New Roman" w:cs="Times New Roman" w:eastAsia="Times New Roman" w:hint="default"/>
        </w:rPr>
        <w:t>:</w:t>
      </w:r>
      <w:r>
        <w:rPr/>
        <w:t>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136" w:right="3662"/>
        <w:jc w:val="left"/>
        <w:rPr>
          <w:b w:val="0"/>
          <w:bCs w:val="0"/>
        </w:rPr>
      </w:pPr>
      <w:bookmarkStart w:name="（4）关联担保情况:无" w:id="402"/>
      <w:bookmarkEnd w:id="402"/>
      <w:r>
        <w:rPr>
          <w:b w:val="0"/>
          <w:bCs w:val="0"/>
        </w:rPr>
      </w:r>
      <w:r>
        <w:rPr/>
        <w:t>（</w:t>
      </w:r>
      <w:r>
        <w:rPr>
          <w:rFonts w:ascii="Times New Roman" w:hAnsi="Times New Roman" w:cs="Times New Roman" w:eastAsia="Times New Roman" w:hint="default"/>
        </w:rPr>
        <w:t>4</w:t>
      </w:r>
      <w:r>
        <w:rPr/>
        <w:t>）关联担保情况</w:t>
      </w:r>
      <w:r>
        <w:rPr>
          <w:rFonts w:ascii="Times New Roman" w:hAnsi="Times New Roman" w:cs="Times New Roman" w:eastAsia="Times New Roman" w:hint="default"/>
        </w:rPr>
        <w:t>:</w:t>
      </w:r>
      <w:r>
        <w:rPr/>
        <w:t>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5）关联方资金拆借:无" w:id="403"/>
      <w:bookmarkEnd w:id="403"/>
      <w:r>
        <w:rPr>
          <w:b w:val="0"/>
          <w:bCs w:val="0"/>
        </w:rPr>
      </w:r>
      <w:r>
        <w:rPr/>
        <w:t>（</w:t>
      </w:r>
      <w:r>
        <w:rPr>
          <w:rFonts w:ascii="Times New Roman" w:hAnsi="Times New Roman" w:cs="Times New Roman" w:eastAsia="Times New Roman" w:hint="default"/>
        </w:rPr>
        <w:t>5</w:t>
      </w:r>
      <w:r>
        <w:rPr/>
        <w:t>）关联方资金拆借</w:t>
      </w:r>
      <w:r>
        <w:rPr>
          <w:rFonts w:ascii="Times New Roman" w:hAnsi="Times New Roman" w:cs="Times New Roman" w:eastAsia="Times New Roman" w:hint="default"/>
        </w:rPr>
        <w:t>:</w:t>
      </w:r>
      <w:r>
        <w:rPr/>
        <w:t>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6）关联方资产转让、债务重组情况:无" w:id="404"/>
      <w:bookmarkEnd w:id="404"/>
      <w:r>
        <w:rPr>
          <w:b w:val="0"/>
          <w:bCs w:val="0"/>
        </w:rPr>
      </w:r>
      <w:r>
        <w:rPr/>
        <w:t>（</w:t>
      </w:r>
      <w:r>
        <w:rPr>
          <w:rFonts w:ascii="Times New Roman" w:hAnsi="Times New Roman" w:cs="Times New Roman" w:eastAsia="Times New Roman" w:hint="default"/>
        </w:rPr>
        <w:t>6</w:t>
      </w:r>
      <w:r>
        <w:rPr/>
        <w:t>）关联方资产转让、债务重组情况</w:t>
      </w:r>
      <w:r>
        <w:rPr>
          <w:rFonts w:ascii="Times New Roman" w:hAnsi="Times New Roman" w:cs="Times New Roman" w:eastAsia="Times New Roman" w:hint="default"/>
        </w:rPr>
        <w:t>:</w:t>
      </w:r>
      <w:r>
        <w:rPr/>
        <w:t>无</w:t>
      </w:r>
      <w:r>
        <w:rPr>
          <w:b w:val="0"/>
          <w:bCs w:val="0"/>
        </w:rPr>
      </w:r>
    </w:p>
    <w:p>
      <w:pPr>
        <w:spacing w:after="0" w:line="240" w:lineRule="auto"/>
        <w:jc w:val="left"/>
        <w:sectPr>
          <w:pgSz w:w="11910" w:h="16840"/>
          <w:pgMar w:header="0" w:footer="1022" w:top="1100" w:bottom="1220" w:left="680" w:right="0"/>
        </w:sect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136" w:right="3662"/>
        <w:jc w:val="left"/>
        <w:rPr>
          <w:b w:val="0"/>
          <w:bCs w:val="0"/>
        </w:rPr>
      </w:pPr>
      <w:bookmarkStart w:name="（7）关键管理人员报酬" w:id="405"/>
      <w:bookmarkEnd w:id="405"/>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55" w:right="0"/>
              <w:jc w:val="left"/>
              <w:rPr>
                <w:rFonts w:ascii="Times New Roman" w:hAnsi="Times New Roman" w:cs="Times New Roman" w:eastAsia="Times New Roman" w:hint="default"/>
                <w:sz w:val="18"/>
                <w:szCs w:val="18"/>
              </w:rPr>
            </w:pPr>
            <w:r>
              <w:rPr>
                <w:rFonts w:ascii="Times New Roman"/>
                <w:sz w:val="18"/>
              </w:rPr>
              <w:t>11,059,100.00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40" w:right="0"/>
              <w:jc w:val="left"/>
              <w:rPr>
                <w:rFonts w:ascii="Times New Roman" w:hAnsi="Times New Roman" w:cs="Times New Roman" w:eastAsia="Times New Roman" w:hint="default"/>
                <w:sz w:val="18"/>
                <w:szCs w:val="18"/>
              </w:rPr>
            </w:pPr>
            <w:r>
              <w:rPr>
                <w:rFonts w:ascii="Times New Roman"/>
                <w:sz w:val="18"/>
              </w:rPr>
              <w:t>10,839,321.00</w:t>
            </w:r>
          </w:p>
        </w:tc>
      </w:tr>
    </w:tbl>
    <w:p>
      <w:pPr>
        <w:spacing w:line="240" w:lineRule="auto" w:before="11"/>
        <w:rPr>
          <w:rFonts w:ascii="宋体" w:hAnsi="宋体" w:cs="宋体" w:eastAsia="宋体" w:hint="default"/>
          <w:sz w:val="18"/>
          <w:szCs w:val="18"/>
        </w:rPr>
      </w:pPr>
    </w:p>
    <w:p>
      <w:pPr>
        <w:pStyle w:val="Heading4"/>
        <w:spacing w:line="240" w:lineRule="auto" w:before="36"/>
        <w:ind w:left="136" w:right="3662"/>
        <w:jc w:val="left"/>
        <w:rPr>
          <w:b w:val="0"/>
          <w:bCs w:val="0"/>
        </w:rPr>
      </w:pPr>
      <w:bookmarkStart w:name="（8）其他关联交易:无" w:id="406"/>
      <w:bookmarkEnd w:id="406"/>
      <w:r>
        <w:rPr>
          <w:b w:val="0"/>
          <w:bCs w:val="0"/>
        </w:rPr>
      </w:r>
      <w:r>
        <w:rPr/>
        <w:t>（</w:t>
      </w:r>
      <w:r>
        <w:rPr>
          <w:rFonts w:ascii="Times New Roman" w:hAnsi="Times New Roman" w:cs="Times New Roman" w:eastAsia="Times New Roman" w:hint="default"/>
        </w:rPr>
        <w:t>8</w:t>
      </w:r>
      <w:r>
        <w:rPr/>
        <w:t>）其他关联交易</w:t>
      </w:r>
      <w:r>
        <w:rPr>
          <w:rFonts w:ascii="Times New Roman" w:hAnsi="Times New Roman" w:cs="Times New Roman" w:eastAsia="Times New Roman" w:hint="default"/>
        </w:rPr>
        <w:t>:</w:t>
      </w:r>
      <w:r>
        <w:rPr/>
        <w:t>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6、关联方应收应付款项" w:id="407"/>
      <w:bookmarkEnd w:id="40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1）应收项目" w:id="408"/>
      <w:bookmarkEnd w:id="40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1594"/>
        <w:gridCol w:w="1599"/>
        <w:gridCol w:w="1594"/>
        <w:gridCol w:w="1594"/>
        <w:gridCol w:w="1594"/>
        <w:gridCol w:w="1594"/>
      </w:tblGrid>
      <w:tr>
        <w:trPr>
          <w:trHeight w:val="403"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企飞力</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25,454.51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创新为营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94.95</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136" w:right="3662"/>
        <w:jc w:val="left"/>
        <w:rPr>
          <w:b w:val="0"/>
          <w:bCs w:val="0"/>
        </w:rPr>
      </w:pPr>
      <w:bookmarkStart w:name="（2）应付项目" w:id="409"/>
      <w:bookmarkEnd w:id="40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企飞力</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16,091,098.16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17,717,571.72</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创新为营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11,600,727.32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12,096,372.07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创新为营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2,999.68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2,999.68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企飞力</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25,000.00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创新为营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24,000.00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136" w:right="3662"/>
        <w:jc w:val="left"/>
        <w:rPr>
          <w:rFonts w:ascii="Times New Roman" w:hAnsi="Times New Roman" w:cs="Times New Roman" w:eastAsia="Times New Roman" w:hint="default"/>
          <w:b w:val="0"/>
          <w:bCs w:val="0"/>
        </w:rPr>
      </w:pPr>
      <w:bookmarkStart w:name="7、关联方承诺:" w:id="410"/>
      <w:bookmarkEnd w:id="410"/>
      <w:r>
        <w:rPr>
          <w:b w:val="0"/>
          <w:bCs w:val="0"/>
        </w:rPr>
      </w:r>
      <w:r>
        <w:rPr>
          <w:rFonts w:ascii="Times New Roman" w:hAnsi="Times New Roman" w:cs="Times New Roman" w:eastAsia="Times New Roman" w:hint="default"/>
        </w:rPr>
        <w:t>7</w:t>
      </w:r>
      <w:r>
        <w:rPr/>
        <w:t>、关联方承诺</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40" w:lineRule="auto" w:before="2"/>
        <w:rPr>
          <w:rFonts w:ascii="Times New Roman" w:hAnsi="Times New Roman" w:cs="Times New Roman" w:eastAsia="Times New Roman" w:hint="default"/>
          <w:b/>
          <w:bCs/>
          <w:sz w:val="28"/>
          <w:szCs w:val="28"/>
        </w:rPr>
      </w:pPr>
    </w:p>
    <w:p>
      <w:pPr>
        <w:pStyle w:val="Heading4"/>
        <w:spacing w:line="240" w:lineRule="auto"/>
        <w:ind w:left="558" w:right="3662"/>
        <w:jc w:val="left"/>
        <w:rPr>
          <w:b w:val="0"/>
          <w:bCs w:val="0"/>
        </w:rPr>
      </w:pPr>
      <w:bookmarkStart w:name="对联营企业认缴出资" w:id="411"/>
      <w:bookmarkEnd w:id="411"/>
      <w:r>
        <w:rPr>
          <w:b w:val="0"/>
          <w:bCs w:val="0"/>
        </w:rPr>
      </w:r>
      <w:r>
        <w:rPr/>
        <w:t>对联营企业认缴出资</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496" w:right="3662"/>
        <w:jc w:val="left"/>
      </w:pPr>
      <w:bookmarkStart w:name="对联营企业的认缴出资承诺事项见附注十四1、(3)。" w:id="412"/>
      <w:bookmarkEnd w:id="412"/>
      <w:r>
        <w:rPr/>
      </w:r>
      <w:r>
        <w:rPr>
          <w:spacing w:val="-3"/>
        </w:rPr>
        <w:t>对联营企业的认缴出资承诺事项见附注十四</w:t>
      </w:r>
      <w:r>
        <w:rPr>
          <w:spacing w:val="30"/>
        </w:rPr>
        <w:t> </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(3)</w:t>
      </w:r>
      <w:r>
        <w:rPr>
          <w:spacing w:val="-3"/>
        </w:rPr>
        <w:t>。</w:t>
      </w:r>
    </w:p>
    <w:p>
      <w:pPr>
        <w:spacing w:line="240" w:lineRule="auto" w:before="13"/>
        <w:rPr>
          <w:rFonts w:ascii="宋体" w:hAnsi="宋体" w:cs="宋体" w:eastAsia="宋体" w:hint="default"/>
          <w:sz w:val="25"/>
          <w:szCs w:val="25"/>
        </w:rPr>
      </w:pPr>
    </w:p>
    <w:p>
      <w:pPr>
        <w:pStyle w:val="Heading4"/>
        <w:spacing w:line="240" w:lineRule="auto"/>
        <w:ind w:left="136" w:right="3662"/>
        <w:jc w:val="left"/>
        <w:rPr>
          <w:b w:val="0"/>
          <w:bCs w:val="0"/>
        </w:rPr>
      </w:pPr>
      <w:bookmarkStart w:name="8、其他:无" w:id="413"/>
      <w:bookmarkEnd w:id="413"/>
      <w:r>
        <w:rPr>
          <w:b w:val="0"/>
          <w:bCs w:val="0"/>
        </w:rPr>
      </w:r>
      <w:r>
        <w:rPr>
          <w:rFonts w:ascii="Times New Roman" w:hAnsi="Times New Roman" w:cs="Times New Roman" w:eastAsia="Times New Roman" w:hint="default"/>
        </w:rPr>
        <w:t>8</w:t>
      </w:r>
      <w:r>
        <w:rPr/>
        <w:t>、其他</w:t>
      </w:r>
      <w:r>
        <w:rPr>
          <w:rFonts w:ascii="Times New Roman" w:hAnsi="Times New Roman" w:cs="Times New Roman" w:eastAsia="Times New Roman" w:hint="default"/>
        </w:rPr>
        <w:t>:</w:t>
      </w:r>
      <w:r>
        <w:rPr/>
        <w:t>无</w:t>
      </w:r>
      <w:r>
        <w:rPr>
          <w:b w:val="0"/>
          <w:bCs w:val="0"/>
        </w:rPr>
      </w:r>
    </w:p>
    <w:p>
      <w:pPr>
        <w:spacing w:after="0" w:line="240" w:lineRule="auto"/>
        <w:jc w:val="left"/>
        <w:sectPr>
          <w:pgSz w:w="11910" w:h="16840"/>
          <w:pgMar w:header="0" w:footer="1022" w:top="1100" w:bottom="1220" w:left="680" w:right="0"/>
        </w:sect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Heading2"/>
        <w:spacing w:line="240" w:lineRule="auto" w:before="5"/>
        <w:ind w:left="136" w:right="3662"/>
        <w:jc w:val="left"/>
        <w:rPr>
          <w:b w:val="0"/>
          <w:bCs w:val="0"/>
        </w:rPr>
      </w:pPr>
      <w:bookmarkStart w:name="十三、股份支付" w:id="414"/>
      <w:bookmarkEnd w:id="414"/>
      <w:r>
        <w:rPr>
          <w:b w:val="0"/>
          <w:bCs w:val="0"/>
        </w:rPr>
      </w:r>
      <w:r>
        <w:rPr/>
        <w:t>十三、股份支付</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36" w:right="3662"/>
        <w:jc w:val="left"/>
        <w:rPr>
          <w:b w:val="0"/>
          <w:bCs w:val="0"/>
        </w:rPr>
      </w:pPr>
      <w:bookmarkStart w:name="1、股份支付总体情况" w:id="415"/>
      <w:bookmarkEnd w:id="415"/>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136" w:right="366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5455"/>
        <w:gridCol w:w="4740"/>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公司本期授予的各项权益工具总额</w:t>
            </w:r>
          </w:p>
        </w:tc>
        <w:tc>
          <w:tcPr>
            <w:tcW w:w="4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公司本期行权的各项权益工具总额</w:t>
            </w:r>
          </w:p>
        </w:tc>
        <w:tc>
          <w:tcPr>
            <w:tcW w:w="4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8,830,067.27</w:t>
            </w:r>
          </w:p>
        </w:tc>
      </w:tr>
      <w:tr>
        <w:trPr>
          <w:trHeight w:val="40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公司本期失效的各项权益工具总额</w:t>
            </w:r>
          </w:p>
        </w:tc>
        <w:tc>
          <w:tcPr>
            <w:tcW w:w="4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160,239.00</w:t>
            </w:r>
          </w:p>
        </w:tc>
      </w:tr>
      <w:tr>
        <w:trPr>
          <w:trHeight w:val="1027"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pacing w:val="-3"/>
                <w:sz w:val="18"/>
                <w:szCs w:val="18"/>
              </w:rPr>
              <w:t>公司期末发行在外的股票期权行权价格的范围和合同剩余期限</w:t>
            </w:r>
          </w:p>
        </w:tc>
        <w:tc>
          <w:tcPr>
            <w:tcW w:w="4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、行权价格 </w:t>
            </w:r>
            <w:r>
              <w:rPr>
                <w:rFonts w:ascii="Times New Roman" w:hAnsi="Times New Roman" w:cs="Times New Roman" w:eastAsia="Times New Roman" w:hint="default"/>
                <w:sz w:val="18"/>
                <w:szCs w:val="18"/>
              </w:rPr>
              <w:t>4.44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股，其中：剩余期限为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行权价格 </w:t>
            </w:r>
            <w:r>
              <w:rPr>
                <w:rFonts w:ascii="Times New Roman" w:hAnsi="Times New Roman" w:cs="Times New Roman" w:eastAsia="Times New Roman" w:hint="default"/>
                <w:sz w:val="18"/>
                <w:szCs w:val="18"/>
              </w:rPr>
              <w:t>2.94  </w:t>
            </w:r>
            <w:r>
              <w:rPr>
                <w:rFonts w:ascii="宋体" w:hAnsi="宋体" w:cs="宋体" w:eastAsia="宋体" w:hint="default"/>
                <w:spacing w:val="-8"/>
                <w:sz w:val="18"/>
                <w:szCs w:val="18"/>
              </w:rPr>
              <w:t>元</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股，其中：</w:t>
            </w:r>
            <w:r>
              <w:rPr>
                <w:rFonts w:ascii="Times New Roman" w:hAnsi="Times New Roman" w:cs="Times New Roman" w:eastAsia="Times New Roman" w:hint="default"/>
                <w:spacing w:val="-8"/>
                <w:sz w:val="18"/>
                <w:szCs w:val="18"/>
              </w:rPr>
              <w:t>50%</w:t>
            </w:r>
            <w:r>
              <w:rPr>
                <w:rFonts w:ascii="宋体" w:hAnsi="宋体" w:cs="宋体" w:eastAsia="宋体" w:hint="default"/>
                <w:spacing w:val="-8"/>
                <w:sz w:val="18"/>
                <w:szCs w:val="18"/>
              </w:rPr>
              <w:t>期权剩余期限为 </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期权剩余期限为 </w:t>
            </w:r>
            <w:r>
              <w:rPr>
                <w:rFonts w:ascii="Times New Roman" w:hAnsi="Times New Roman" w:cs="Times New Roman" w:eastAsia="Times New Roman" w:hint="default"/>
                <w:spacing w:val="-3"/>
                <w:sz w:val="18"/>
                <w:szCs w:val="18"/>
              </w:rPr>
              <w:t>12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w:t>
            </w:r>
          </w:p>
        </w:tc>
      </w:tr>
    </w:tbl>
    <w:p>
      <w:pPr>
        <w:pStyle w:val="BodyText"/>
        <w:spacing w:line="240" w:lineRule="auto" w:before="53"/>
        <w:ind w:left="136" w:right="3662"/>
        <w:jc w:val="left"/>
      </w:pPr>
      <w:r>
        <w:rPr/>
        <w:t>其他说明：无</w:t>
      </w:r>
    </w:p>
    <w:p>
      <w:pPr>
        <w:spacing w:line="240" w:lineRule="auto" w:before="9"/>
        <w:rPr>
          <w:rFonts w:ascii="宋体" w:hAnsi="宋体" w:cs="宋体" w:eastAsia="宋体" w:hint="default"/>
          <w:sz w:val="26"/>
          <w:szCs w:val="26"/>
        </w:rPr>
      </w:pPr>
    </w:p>
    <w:p>
      <w:pPr>
        <w:pStyle w:val="Heading4"/>
        <w:spacing w:line="240" w:lineRule="auto"/>
        <w:ind w:left="136" w:right="3662"/>
        <w:jc w:val="left"/>
        <w:rPr>
          <w:b w:val="0"/>
          <w:bCs w:val="0"/>
        </w:rPr>
      </w:pPr>
      <w:bookmarkStart w:name="2、以权益结算的股份支付情况" w:id="416"/>
      <w:bookmarkEnd w:id="41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136" w:right="366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1"/>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5440"/>
        <w:gridCol w:w="4768"/>
      </w:tblGrid>
      <w:tr>
        <w:trPr>
          <w:trHeight w:val="404" w:hRule="exact"/>
        </w:trPr>
        <w:tc>
          <w:tcPr>
            <w:tcW w:w="5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授予日权益工具公允价值的确定方法</w:t>
            </w:r>
          </w:p>
        </w:tc>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hAnsi="宋体" w:cs="宋体" w:eastAsia="宋体" w:hint="default"/>
                <w:spacing w:val="-3"/>
                <w:sz w:val="18"/>
                <w:szCs w:val="18"/>
              </w:rPr>
              <w:t>本公司采用布莱克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斯科尔期权定价模型（</w:t>
            </w:r>
            <w:r>
              <w:rPr>
                <w:rFonts w:ascii="Times New Roman" w:hAnsi="Times New Roman" w:cs="Times New Roman" w:eastAsia="Times New Roman" w:hint="default"/>
                <w:spacing w:val="-3"/>
                <w:sz w:val="18"/>
                <w:szCs w:val="18"/>
              </w:rPr>
              <w:t>B-S  </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模型）确定</w:t>
            </w:r>
          </w:p>
        </w:tc>
      </w:tr>
      <w:tr>
        <w:trPr>
          <w:trHeight w:val="715" w:hRule="exact"/>
        </w:trPr>
        <w:tc>
          <w:tcPr>
            <w:tcW w:w="5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可行权权益工具数量的确定依据</w:t>
            </w:r>
          </w:p>
        </w:tc>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0" w:right="228"/>
              <w:jc w:val="left"/>
              <w:rPr>
                <w:rFonts w:ascii="宋体" w:hAnsi="宋体" w:cs="宋体" w:eastAsia="宋体" w:hint="default"/>
                <w:sz w:val="18"/>
                <w:szCs w:val="18"/>
              </w:rPr>
            </w:pPr>
            <w:r>
              <w:rPr>
                <w:rFonts w:ascii="宋体" w:hAnsi="宋体" w:cs="宋体" w:eastAsia="宋体" w:hint="default"/>
                <w:spacing w:val="-3"/>
                <w:sz w:val="18"/>
                <w:szCs w:val="18"/>
              </w:rPr>
              <w:t>本公司采用获授限制性股票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期权额度基数与解锁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可行权</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安排中相应每期解锁比例确定</w:t>
            </w:r>
          </w:p>
        </w:tc>
      </w:tr>
      <w:tr>
        <w:trPr>
          <w:trHeight w:val="401" w:hRule="exact"/>
        </w:trPr>
        <w:tc>
          <w:tcPr>
            <w:tcW w:w="5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本期估计与上期估计有重大差异的原因</w:t>
            </w:r>
          </w:p>
        </w:tc>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1" w:hRule="exact"/>
        </w:trPr>
        <w:tc>
          <w:tcPr>
            <w:tcW w:w="5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pacing w:val="-3"/>
                <w:sz w:val="18"/>
                <w:szCs w:val="18"/>
              </w:rPr>
              <w:t>以权益结算的股份支付计入资本公积的累计金额</w:t>
            </w:r>
          </w:p>
        </w:tc>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5"/>
              <w:jc w:val="right"/>
              <w:rPr>
                <w:rFonts w:ascii="Times New Roman" w:hAnsi="Times New Roman" w:cs="Times New Roman" w:eastAsia="Times New Roman" w:hint="default"/>
                <w:sz w:val="18"/>
                <w:szCs w:val="18"/>
              </w:rPr>
            </w:pPr>
            <w:r>
              <w:rPr>
                <w:rFonts w:ascii="Times New Roman"/>
                <w:spacing w:val="-1"/>
                <w:sz w:val="18"/>
              </w:rPr>
              <w:t>28,151,090.64</w:t>
            </w:r>
          </w:p>
        </w:tc>
      </w:tr>
      <w:tr>
        <w:trPr>
          <w:trHeight w:val="404" w:hRule="exact"/>
        </w:trPr>
        <w:tc>
          <w:tcPr>
            <w:tcW w:w="5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本期以权益结算的股份支付确认的费用总额</w:t>
            </w:r>
          </w:p>
        </w:tc>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9,924,300.00</w:t>
            </w:r>
          </w:p>
        </w:tc>
      </w:tr>
    </w:tbl>
    <w:p>
      <w:pPr>
        <w:pStyle w:val="BodyText"/>
        <w:spacing w:line="240" w:lineRule="auto" w:before="53"/>
        <w:ind w:left="136" w:right="3662"/>
        <w:jc w:val="left"/>
      </w:pPr>
      <w:r>
        <w:rPr/>
        <w:t>其他说明：无</w:t>
      </w:r>
    </w:p>
    <w:p>
      <w:pPr>
        <w:pStyle w:val="Heading6"/>
        <w:spacing w:line="240" w:lineRule="auto" w:before="115"/>
        <w:ind w:left="496" w:right="3662"/>
        <w:jc w:val="left"/>
        <w:rPr>
          <w:b w:val="0"/>
          <w:bCs w:val="0"/>
        </w:rPr>
      </w:pPr>
      <w:r>
        <w:rPr>
          <w:rFonts w:ascii="Times New Roman" w:hAnsi="Times New Roman" w:cs="Times New Roman" w:eastAsia="Times New Roman" w:hint="default"/>
        </w:rPr>
        <w:t>1</w:t>
      </w:r>
      <w:r>
        <w:rPr/>
        <w:t>、总体情况</w:t>
      </w:r>
      <w:r>
        <w:rPr>
          <w:b w:val="0"/>
          <w:bCs w:val="0"/>
        </w:rPr>
      </w:r>
    </w:p>
    <w:p>
      <w:pPr>
        <w:pStyle w:val="BodyText"/>
        <w:spacing w:line="300" w:lineRule="auto" w:before="63"/>
        <w:ind w:left="496" w:right="851"/>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1.1</w:t>
      </w:r>
      <w:r>
        <w:rPr>
          <w:rFonts w:ascii="Times New Roman" w:hAnsi="Times New Roman" w:cs="Times New Roman" w:eastAsia="Times New Roman" w:hint="default"/>
          <w:spacing w:val="22"/>
          <w:u w:val="single" w:color="000000"/>
        </w:rPr>
        <w:t> </w:t>
      </w:r>
      <w:r>
        <w:rPr>
          <w:u w:val="single" w:color="000000"/>
        </w:rPr>
        <w:t>限制性股票</w:t>
      </w:r>
      <w:r>
        <w:rPr>
          <w:spacing w:val="-84"/>
          <w:u w:val="single" w:color="000000"/>
        </w:rPr>
        <w:t> </w:t>
      </w:r>
      <w:r>
        <w:rPr>
          <w:spacing w:val="-84"/>
        </w:rPr>
      </w:r>
      <w:r>
        <w:rPr>
          <w:spacing w:val="-84"/>
        </w:rPr>
      </w:r>
      <w:r>
        <w:rPr>
          <w:spacing w:val="-3"/>
        </w:rPr>
        <w:t>根据公司</w:t>
      </w:r>
      <w:r>
        <w:rPr>
          <w:rFonts w:ascii="Times New Roman" w:hAnsi="Times New Roman" w:cs="Times New Roman" w:eastAsia="Times New Roman" w:hint="default"/>
          <w:spacing w:val="-3"/>
        </w:rPr>
        <w:t>2017</w:t>
      </w:r>
      <w:r>
        <w:rPr>
          <w:spacing w:val="-3"/>
        </w:rPr>
        <w:t>年第五届董事会第二十九次会议、第五届监事会第十九次会议及</w:t>
      </w:r>
      <w:r>
        <w:rPr>
          <w:rFonts w:ascii="Times New Roman" w:hAnsi="Times New Roman" w:cs="Times New Roman" w:eastAsia="Times New Roman" w:hint="default"/>
          <w:spacing w:val="-3"/>
        </w:rPr>
        <w:t>2017</w:t>
      </w:r>
      <w:r>
        <w:rPr>
          <w:spacing w:val="-3"/>
        </w:rPr>
        <w:t>年第三次临时股东大会审议通过的《</w:t>
      </w:r>
      <w:r>
        <w:rPr>
          <w:rFonts w:ascii="Times New Roman" w:hAnsi="Times New Roman" w:cs="Times New Roman" w:eastAsia="Times New Roman" w:hint="default"/>
          <w:spacing w:val="-3"/>
        </w:rPr>
        <w:t>2017</w:t>
      </w:r>
      <w:r>
        <w:rPr>
          <w:spacing w:val="-3"/>
        </w:rPr>
        <w:t>年</w:t>
      </w:r>
    </w:p>
    <w:p>
      <w:pPr>
        <w:pStyle w:val="BodyText"/>
        <w:spacing w:line="240" w:lineRule="auto" w:before="13"/>
        <w:ind w:left="136" w:right="851"/>
        <w:jc w:val="left"/>
        <w:rPr>
          <w:rFonts w:ascii="Times New Roman" w:hAnsi="Times New Roman" w:cs="Times New Roman" w:eastAsia="Times New Roman" w:hint="default"/>
        </w:rPr>
      </w:pPr>
      <w:r>
        <w:rPr>
          <w:spacing w:val="-3"/>
        </w:rPr>
        <w:t>限制性股票激励计划</w:t>
      </w:r>
      <w:r>
        <w:rPr>
          <w:rFonts w:ascii="Times New Roman" w:hAnsi="Times New Roman" w:cs="Times New Roman" w:eastAsia="Times New Roman" w:hint="default"/>
          <w:spacing w:val="-3"/>
        </w:rPr>
        <w:t>(</w:t>
      </w:r>
      <w:r>
        <w:rPr>
          <w:spacing w:val="-3"/>
        </w:rPr>
        <w:t>草案</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“2017</w:t>
      </w:r>
      <w:r>
        <w:rPr>
          <w:spacing w:val="-3"/>
        </w:rPr>
        <w:t>年度激励计划</w:t>
      </w:r>
      <w:r>
        <w:rPr>
          <w:rFonts w:ascii="Times New Roman" w:hAnsi="Times New Roman" w:cs="Times New Roman" w:eastAsia="Times New Roman" w:hint="default"/>
          <w:spacing w:val="-3"/>
        </w:rPr>
        <w:t>”)</w:t>
      </w:r>
      <w:r>
        <w:rPr>
          <w:spacing w:val="-3"/>
        </w:rPr>
        <w:t>及其摘要等议案审议，公司以每股人民币</w:t>
      </w:r>
      <w:r>
        <w:rPr>
          <w:rFonts w:ascii="Times New Roman" w:hAnsi="Times New Roman" w:cs="Times New Roman" w:eastAsia="Times New Roman" w:hint="default"/>
          <w:spacing w:val="-3"/>
        </w:rPr>
        <w:t>4.20</w:t>
      </w:r>
      <w:r>
        <w:rPr>
          <w:spacing w:val="-3"/>
        </w:rPr>
        <w:t>元向</w:t>
      </w:r>
      <w:r>
        <w:rPr>
          <w:rFonts w:ascii="Times New Roman" w:hAnsi="Times New Roman" w:cs="Times New Roman" w:eastAsia="Times New Roman" w:hint="default"/>
          <w:spacing w:val="-3"/>
        </w:rPr>
        <w:t>9</w:t>
      </w:r>
      <w:r>
        <w:rPr>
          <w:spacing w:val="-3"/>
        </w:rPr>
        <w:t>名激励对象授予</w:t>
      </w:r>
      <w:r>
        <w:rPr>
          <w:rFonts w:ascii="Times New Roman" w:hAnsi="Times New Roman" w:cs="Times New Roman" w:eastAsia="Times New Roman" w:hint="default"/>
          <w:spacing w:val="-3"/>
        </w:rPr>
        <w:t>380</w:t>
      </w:r>
    </w:p>
    <w:p>
      <w:pPr>
        <w:pStyle w:val="BodyText"/>
        <w:spacing w:line="316" w:lineRule="auto" w:before="63"/>
        <w:ind w:left="496" w:right="851" w:hanging="360"/>
        <w:jc w:val="left"/>
      </w:pPr>
      <w:r>
        <w:rPr/>
        <w:t>万股限制性股票。</w:t>
      </w:r>
      <w:r>
        <w:rPr>
          <w:spacing w:val="-86"/>
        </w:rPr>
        <w:t> </w:t>
      </w:r>
      <w:r>
        <w:rPr>
          <w:spacing w:val="-86"/>
        </w:rPr>
      </w:r>
      <w:r>
        <w:rPr/>
        <w:t>根据公司</w:t>
      </w:r>
      <w:r>
        <w:rPr>
          <w:rFonts w:ascii="Times New Roman" w:hAnsi="Times New Roman" w:cs="Times New Roman" w:eastAsia="Times New Roman" w:hint="default"/>
        </w:rPr>
        <w:t>2018</w:t>
      </w:r>
      <w:r>
        <w:rPr/>
        <w:t>年第六届董事会第三次会议及</w:t>
      </w:r>
      <w:r>
        <w:rPr>
          <w:rFonts w:ascii="Times New Roman" w:hAnsi="Times New Roman" w:cs="Times New Roman" w:eastAsia="Times New Roman" w:hint="default"/>
        </w:rPr>
        <w:t>2018</w:t>
      </w:r>
      <w:r>
        <w:rPr/>
        <w:t>年第四次临时股东大会审议通过的《</w:t>
      </w:r>
      <w:r>
        <w:rPr>
          <w:rFonts w:ascii="Times New Roman" w:hAnsi="Times New Roman" w:cs="Times New Roman" w:eastAsia="Times New Roman" w:hint="default"/>
        </w:rPr>
        <w:t>2018</w:t>
      </w:r>
      <w:r>
        <w:rPr/>
        <w:t>年限制性股票与股票期权激励计划</w:t>
      </w:r>
    </w:p>
    <w:p>
      <w:pPr>
        <w:pStyle w:val="BodyText"/>
        <w:spacing w:line="248" w:lineRule="exact"/>
        <w:ind w:left="136" w:right="851"/>
        <w:jc w:val="left"/>
      </w:pPr>
      <w:r>
        <w:rPr>
          <w:rFonts w:ascii="Times New Roman" w:hAnsi="Times New Roman" w:cs="Times New Roman" w:eastAsia="Times New Roman" w:hint="default"/>
          <w:spacing w:val="-3"/>
        </w:rPr>
        <w:t>(</w:t>
      </w:r>
      <w:r>
        <w:rPr>
          <w:spacing w:val="-3"/>
        </w:rPr>
        <w:t>草案</w:t>
      </w:r>
      <w:r>
        <w:rPr>
          <w:rFonts w:ascii="Times New Roman" w:hAnsi="Times New Roman" w:cs="Times New Roman" w:eastAsia="Times New Roman" w:hint="default"/>
          <w:spacing w:val="-3"/>
        </w:rPr>
        <w:t>)</w:t>
      </w:r>
      <w:r>
        <w:rPr>
          <w:spacing w:val="-3"/>
        </w:rPr>
        <w:t>》等议案</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“2018</w:t>
      </w:r>
      <w:r>
        <w:rPr>
          <w:spacing w:val="-3"/>
        </w:rPr>
        <w:t>年度激励计划</w:t>
      </w:r>
      <w:r>
        <w:rPr>
          <w:rFonts w:ascii="Times New Roman" w:hAnsi="Times New Roman" w:cs="Times New Roman" w:eastAsia="Times New Roman" w:hint="default"/>
          <w:spacing w:val="-3"/>
        </w:rPr>
        <w:t>”)</w:t>
      </w:r>
      <w:r>
        <w:rPr>
          <w:spacing w:val="-3"/>
        </w:rPr>
        <w:t>，公司以每股人民币</w:t>
      </w:r>
      <w:r>
        <w:rPr>
          <w:rFonts w:ascii="Times New Roman" w:hAnsi="Times New Roman" w:cs="Times New Roman" w:eastAsia="Times New Roman" w:hint="default"/>
          <w:spacing w:val="-3"/>
        </w:rPr>
        <w:t>2.55</w:t>
      </w:r>
      <w:r>
        <w:rPr>
          <w:spacing w:val="-3"/>
        </w:rPr>
        <w:t>元向</w:t>
      </w:r>
      <w:r>
        <w:rPr>
          <w:rFonts w:ascii="Times New Roman" w:hAnsi="Times New Roman" w:cs="Times New Roman" w:eastAsia="Times New Roman" w:hint="default"/>
          <w:spacing w:val="-3"/>
        </w:rPr>
        <w:t>9</w:t>
      </w:r>
      <w:r>
        <w:rPr>
          <w:spacing w:val="-3"/>
        </w:rPr>
        <w:t>名激励对象授予</w:t>
      </w:r>
      <w:r>
        <w:rPr>
          <w:rFonts w:ascii="Times New Roman" w:hAnsi="Times New Roman" w:cs="Times New Roman" w:eastAsia="Times New Roman" w:hint="default"/>
          <w:spacing w:val="-3"/>
        </w:rPr>
        <w:t>760</w:t>
      </w:r>
      <w:r>
        <w:rPr>
          <w:spacing w:val="-3"/>
        </w:rPr>
        <w:t>万股限制性股票。</w:t>
      </w:r>
    </w:p>
    <w:p>
      <w:pPr>
        <w:spacing w:after="0" w:line="248" w:lineRule="exact"/>
        <w:jc w:val="left"/>
        <w:sectPr>
          <w:pgSz w:w="11910" w:h="16840"/>
          <w:pgMar w:header="0" w:footer="1022" w:top="1100" w:bottom="1220" w:left="680" w:right="0"/>
        </w:sect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4"/>
          <w:szCs w:val="24"/>
        </w:rPr>
      </w:pPr>
    </w:p>
    <w:p>
      <w:pPr>
        <w:pStyle w:val="BodyText"/>
        <w:spacing w:line="240" w:lineRule="auto" w:before="46"/>
        <w:ind w:left="496" w:right="3662"/>
        <w:jc w:val="left"/>
      </w:pPr>
      <w:r>
        <w:rPr>
          <w:rFonts w:ascii="Times New Roman" w:hAnsi="Times New Roman" w:cs="Times New Roman" w:eastAsia="Times New Roman" w:hint="default"/>
          <w:spacing w:val="-3"/>
        </w:rPr>
        <w:t>(1)</w:t>
      </w:r>
      <w:r>
        <w:rPr>
          <w:spacing w:val="-3"/>
        </w:rPr>
        <w:t>有关授予的限制性股票的详细信息，列示如下：</w:t>
      </w:r>
    </w:p>
    <w:p>
      <w:pPr>
        <w:spacing w:line="240" w:lineRule="auto" w:before="13"/>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008"/>
        <w:gridCol w:w="1369"/>
        <w:gridCol w:w="1109"/>
        <w:gridCol w:w="1412"/>
        <w:gridCol w:w="2002"/>
        <w:gridCol w:w="2103"/>
        <w:gridCol w:w="1249"/>
      </w:tblGrid>
      <w:tr>
        <w:trPr>
          <w:trHeight w:val="740" w:hRule="exact"/>
        </w:trPr>
        <w:tc>
          <w:tcPr>
            <w:tcW w:w="1008" w:type="dxa"/>
            <w:tcBorders>
              <w:top w:val="single" w:sz="8" w:space="0" w:color="000000"/>
              <w:left w:val="single" w:sz="8" w:space="0" w:color="000000"/>
              <w:bottom w:val="single" w:sz="8" w:space="0" w:color="000000"/>
              <w:right w:val="single" w:sz="8" w:space="0" w:color="000000"/>
            </w:tcBorders>
            <w:shd w:val="clear" w:color="auto" w:fill="BDBDBD"/>
          </w:tcPr>
          <w:p>
            <w:pPr/>
          </w:p>
        </w:tc>
        <w:tc>
          <w:tcPr>
            <w:tcW w:w="1369"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68"/>
              <w:ind w:left="586" w:right="0"/>
              <w:jc w:val="left"/>
              <w:rPr>
                <w:rFonts w:ascii="宋体" w:hAnsi="宋体" w:cs="宋体" w:eastAsia="宋体" w:hint="default"/>
                <w:sz w:val="18"/>
                <w:szCs w:val="18"/>
              </w:rPr>
            </w:pPr>
            <w:r>
              <w:rPr>
                <w:rFonts w:ascii="宋体" w:hAnsi="宋体" w:cs="宋体" w:eastAsia="宋体" w:hint="default"/>
                <w:sz w:val="18"/>
                <w:szCs w:val="18"/>
              </w:rPr>
              <w:t>授予日</w:t>
            </w:r>
          </w:p>
        </w:tc>
        <w:tc>
          <w:tcPr>
            <w:tcW w:w="1109"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68"/>
              <w:ind w:left="364" w:right="-1"/>
              <w:jc w:val="left"/>
              <w:rPr>
                <w:rFonts w:ascii="宋体" w:hAnsi="宋体" w:cs="宋体" w:eastAsia="宋体" w:hint="default"/>
                <w:sz w:val="18"/>
                <w:szCs w:val="18"/>
              </w:rPr>
            </w:pPr>
            <w:r>
              <w:rPr>
                <w:rFonts w:ascii="宋体" w:hAnsi="宋体" w:cs="宋体" w:eastAsia="宋体" w:hint="default"/>
                <w:sz w:val="18"/>
                <w:szCs w:val="18"/>
              </w:rPr>
              <w:t>授予数量</w:t>
            </w:r>
          </w:p>
        </w:tc>
        <w:tc>
          <w:tcPr>
            <w:tcW w:w="1412"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300" w:lineRule="auto" w:before="73"/>
              <w:ind w:left="394" w:right="33"/>
              <w:jc w:val="left"/>
              <w:rPr>
                <w:rFonts w:ascii="Times New Roman" w:hAnsi="Times New Roman" w:cs="Times New Roman" w:eastAsia="Times New Roman" w:hint="default"/>
                <w:sz w:val="18"/>
                <w:szCs w:val="18"/>
              </w:rPr>
            </w:pPr>
            <w:r>
              <w:rPr>
                <w:rFonts w:ascii="宋体" w:hAnsi="宋体" w:cs="宋体" w:eastAsia="宋体" w:hint="default"/>
                <w:sz w:val="18"/>
                <w:szCs w:val="18"/>
              </w:rPr>
              <w:t>授予价格</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r>
              <w:rPr>
                <w:rFonts w:ascii="宋体" w:hAnsi="宋体" w:cs="宋体" w:eastAsia="宋体" w:hint="default"/>
                <w:spacing w:val="-87"/>
                <w:sz w:val="18"/>
                <w:szCs w:val="18"/>
              </w:rPr>
              <w:t> </w:t>
            </w:r>
            <w:r>
              <w:rPr>
                <w:rFonts w:ascii="宋体" w:hAnsi="宋体" w:cs="宋体" w:eastAsia="宋体" w:hint="default"/>
                <w:sz w:val="18"/>
                <w:szCs w:val="18"/>
              </w:rPr>
              <w:t>民币元</w:t>
            </w:r>
            <w:r>
              <w:rPr>
                <w:rFonts w:ascii="Times New Roman" w:hAnsi="Times New Roman" w:cs="Times New Roman" w:eastAsia="Times New Roman" w:hint="default"/>
                <w:sz w:val="18"/>
                <w:szCs w:val="18"/>
              </w:rPr>
              <w:t>)</w:t>
            </w:r>
          </w:p>
        </w:tc>
        <w:tc>
          <w:tcPr>
            <w:tcW w:w="2002"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68"/>
              <w:ind w:left="902" w:right="0"/>
              <w:jc w:val="left"/>
              <w:rPr>
                <w:rFonts w:ascii="宋体" w:hAnsi="宋体" w:cs="宋体" w:eastAsia="宋体" w:hint="default"/>
                <w:sz w:val="18"/>
                <w:szCs w:val="18"/>
              </w:rPr>
            </w:pPr>
            <w:r>
              <w:rPr>
                <w:rFonts w:ascii="宋体" w:hAnsi="宋体" w:cs="宋体" w:eastAsia="宋体" w:hint="default"/>
                <w:sz w:val="18"/>
                <w:szCs w:val="18"/>
              </w:rPr>
              <w:t>锁定期</w:t>
            </w:r>
          </w:p>
        </w:tc>
        <w:tc>
          <w:tcPr>
            <w:tcW w:w="2103"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68"/>
              <w:ind w:left="864" w:right="0"/>
              <w:jc w:val="left"/>
              <w:rPr>
                <w:rFonts w:ascii="宋体" w:hAnsi="宋体" w:cs="宋体" w:eastAsia="宋体" w:hint="default"/>
                <w:sz w:val="18"/>
                <w:szCs w:val="18"/>
              </w:rPr>
            </w:pPr>
            <w:r>
              <w:rPr>
                <w:rFonts w:ascii="宋体" w:hAnsi="宋体" w:cs="宋体" w:eastAsia="宋体" w:hint="default"/>
                <w:sz w:val="18"/>
                <w:szCs w:val="18"/>
              </w:rPr>
              <w:t>解锁时间</w:t>
            </w:r>
          </w:p>
        </w:tc>
        <w:tc>
          <w:tcPr>
            <w:tcW w:w="1249"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68"/>
              <w:ind w:left="431" w:right="0"/>
              <w:jc w:val="left"/>
              <w:rPr>
                <w:rFonts w:ascii="宋体" w:hAnsi="宋体" w:cs="宋体" w:eastAsia="宋体" w:hint="default"/>
                <w:sz w:val="18"/>
                <w:szCs w:val="18"/>
              </w:rPr>
            </w:pPr>
            <w:r>
              <w:rPr>
                <w:rFonts w:ascii="宋体" w:hAnsi="宋体" w:cs="宋体" w:eastAsia="宋体" w:hint="default"/>
                <w:sz w:val="18"/>
                <w:szCs w:val="18"/>
              </w:rPr>
              <w:t>解锁比例</w:t>
            </w:r>
          </w:p>
        </w:tc>
      </w:tr>
      <w:tr>
        <w:trPr>
          <w:trHeight w:val="739" w:hRule="exact"/>
        </w:trPr>
        <w:tc>
          <w:tcPr>
            <w:tcW w:w="100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04" w:lineRule="auto"/>
              <w:ind w:left="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励计划</w:t>
            </w:r>
          </w:p>
        </w:tc>
        <w:tc>
          <w:tcPr>
            <w:tcW w:w="1369"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364" w:right="0"/>
              <w:jc w:val="left"/>
              <w:rPr>
                <w:rFonts w:ascii="Times New Roman" w:hAnsi="Times New Roman" w:cs="Times New Roman" w:eastAsia="Times New Roman" w:hint="default"/>
                <w:sz w:val="18"/>
                <w:szCs w:val="18"/>
              </w:rPr>
            </w:pPr>
            <w:r>
              <w:rPr>
                <w:rFonts w:ascii="Times New Roman"/>
                <w:sz w:val="18"/>
              </w:rPr>
              <w:t>3,800,000</w:t>
            </w:r>
          </w:p>
        </w:tc>
        <w:tc>
          <w:tcPr>
            <w:tcW w:w="141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6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4.20/</w:t>
            </w:r>
            <w:r>
              <w:rPr>
                <w:rFonts w:ascii="宋体" w:hAnsi="宋体" w:cs="宋体" w:eastAsia="宋体" w:hint="default"/>
                <w:sz w:val="18"/>
                <w:szCs w:val="18"/>
              </w:rPr>
              <w:t>股</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95" w:lineRule="auto" w:before="73"/>
              <w:ind w:left="4" w:right="-1" w:firstLine="360"/>
              <w:jc w:val="left"/>
              <w:rPr>
                <w:rFonts w:ascii="宋体" w:hAnsi="宋体" w:cs="宋体" w:eastAsia="宋体" w:hint="default"/>
                <w:sz w:val="18"/>
                <w:szCs w:val="18"/>
              </w:rPr>
            </w:pPr>
            <w:r>
              <w:rPr>
                <w:rFonts w:ascii="宋体" w:hAnsi="宋体" w:cs="宋体" w:eastAsia="宋体" w:hint="default"/>
                <w:sz w:val="18"/>
                <w:szCs w:val="18"/>
              </w:rPr>
              <w:t>自授予之日起 </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pacing w:val="-3"/>
                <w:sz w:val="18"/>
                <w:szCs w:val="18"/>
              </w:rPr>
              <w:t>月内为锁定期；</w:t>
            </w:r>
          </w:p>
        </w:tc>
        <w:tc>
          <w:tcPr>
            <w:tcW w:w="2103"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68"/>
              <w:ind w:left="9" w:right="-4" w:firstLine="360"/>
              <w:jc w:val="left"/>
              <w:rPr>
                <w:rFonts w:ascii="宋体" w:hAnsi="宋体" w:cs="宋体" w:eastAsia="宋体" w:hint="default"/>
                <w:sz w:val="18"/>
                <w:szCs w:val="18"/>
              </w:rPr>
            </w:pPr>
            <w:r>
              <w:rPr>
                <w:rFonts w:ascii="宋体" w:hAnsi="宋体" w:cs="宋体" w:eastAsia="宋体" w:hint="default"/>
                <w:spacing w:val="-11"/>
                <w:w w:val="101"/>
                <w:sz w:val="18"/>
                <w:szCs w:val="18"/>
              </w:rPr>
              <w:t>第一次解锁：自授予日</w:t>
            </w:r>
            <w:r>
              <w:rPr>
                <w:rFonts w:ascii="宋体" w:hAnsi="宋体" w:cs="宋体" w:eastAsia="宋体" w:hint="default"/>
                <w:w w:val="101"/>
                <w:sz w:val="18"/>
                <w:szCs w:val="18"/>
              </w:rPr>
              <w:t> </w:t>
            </w:r>
            <w:r>
              <w:rPr>
                <w:rFonts w:ascii="宋体" w:hAnsi="宋体" w:cs="宋体" w:eastAsia="宋体" w:hint="default"/>
                <w:sz w:val="18"/>
                <w:szCs w:val="18"/>
              </w:rPr>
              <w:t>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68"/>
              <w:ind w:left="4" w:right="-38" w:firstLine="360"/>
              <w:jc w:val="left"/>
              <w:rPr>
                <w:rFonts w:ascii="Times New Roman" w:hAnsi="Times New Roman" w:cs="Times New Roman" w:eastAsia="Times New Roman" w:hint="default"/>
                <w:sz w:val="18"/>
                <w:szCs w:val="18"/>
              </w:rPr>
            </w:pPr>
            <w:r>
              <w:rPr>
                <w:rFonts w:ascii="宋体" w:hAnsi="宋体" w:cs="宋体" w:eastAsia="宋体" w:hint="default"/>
                <w:spacing w:val="31"/>
                <w:sz w:val="18"/>
                <w:szCs w:val="18"/>
              </w:rPr>
              <w:t>第一次解</w:t>
            </w:r>
            <w:r>
              <w:rPr>
                <w:rFonts w:ascii="宋体" w:hAnsi="宋体" w:cs="宋体" w:eastAsia="宋体" w:hint="default"/>
                <w:spacing w:val="-47"/>
                <w:sz w:val="18"/>
                <w:szCs w:val="18"/>
              </w:rPr>
              <w:t> </w:t>
            </w:r>
            <w:r>
              <w:rPr>
                <w:rFonts w:ascii="宋体" w:hAnsi="宋体" w:cs="宋体" w:eastAsia="宋体" w:hint="default"/>
                <w:sz w:val="18"/>
                <w:szCs w:val="18"/>
              </w:rPr>
              <w:t>锁：</w:t>
            </w:r>
            <w:r>
              <w:rPr>
                <w:rFonts w:ascii="Times New Roman" w:hAnsi="Times New Roman" w:cs="Times New Roman" w:eastAsia="Times New Roman" w:hint="default"/>
                <w:sz w:val="18"/>
                <w:szCs w:val="18"/>
              </w:rPr>
              <w:t>50%</w:t>
            </w:r>
          </w:p>
        </w:tc>
      </w:tr>
      <w:tr>
        <w:trPr>
          <w:trHeight w:val="725" w:hRule="exact"/>
        </w:trPr>
        <w:tc>
          <w:tcPr>
            <w:tcW w:w="1008" w:type="dxa"/>
            <w:vMerge/>
            <w:tcBorders>
              <w:left w:val="single" w:sz="8" w:space="0" w:color="000000"/>
              <w:bottom w:val="single" w:sz="8" w:space="0" w:color="000000"/>
              <w:right w:val="single" w:sz="8" w:space="0" w:color="000000"/>
            </w:tcBorders>
          </w:tcPr>
          <w:p>
            <w:pPr/>
          </w:p>
        </w:tc>
        <w:tc>
          <w:tcPr>
            <w:tcW w:w="1369" w:type="dxa"/>
            <w:vMerge/>
            <w:tcBorders>
              <w:left w:val="single" w:sz="8" w:space="0" w:color="000000"/>
              <w:bottom w:val="single" w:sz="8" w:space="0" w:color="000000"/>
              <w:right w:val="single" w:sz="8" w:space="0" w:color="000000"/>
            </w:tcBorders>
          </w:tcPr>
          <w:p>
            <w:pPr/>
          </w:p>
        </w:tc>
        <w:tc>
          <w:tcPr>
            <w:tcW w:w="1109" w:type="dxa"/>
            <w:vMerge/>
            <w:tcBorders>
              <w:left w:val="single" w:sz="8" w:space="0" w:color="000000"/>
              <w:bottom w:val="single" w:sz="8" w:space="0" w:color="000000"/>
              <w:right w:val="single" w:sz="8" w:space="0" w:color="000000"/>
            </w:tcBorders>
          </w:tcPr>
          <w:p>
            <w:pPr/>
          </w:p>
        </w:tc>
        <w:tc>
          <w:tcPr>
            <w:tcW w:w="1412" w:type="dxa"/>
            <w:vMerge/>
            <w:tcBorders>
              <w:left w:val="single" w:sz="8" w:space="0" w:color="000000"/>
              <w:bottom w:val="single" w:sz="8" w:space="0" w:color="000000"/>
              <w:right w:val="single" w:sz="8" w:space="0" w:color="000000"/>
            </w:tcBorders>
          </w:tcPr>
          <w:p>
            <w:pP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95" w:lineRule="auto" w:before="58"/>
              <w:ind w:left="4" w:right="-1" w:firstLine="360"/>
              <w:jc w:val="left"/>
              <w:rPr>
                <w:rFonts w:ascii="宋体" w:hAnsi="宋体" w:cs="宋体" w:eastAsia="宋体" w:hint="default"/>
                <w:sz w:val="18"/>
                <w:szCs w:val="18"/>
              </w:rPr>
            </w:pPr>
            <w:r>
              <w:rPr>
                <w:rFonts w:ascii="宋体" w:hAnsi="宋体" w:cs="宋体" w:eastAsia="宋体" w:hint="default"/>
                <w:sz w:val="18"/>
                <w:szCs w:val="18"/>
              </w:rPr>
              <w:t>自授予之日起 </w:t>
            </w:r>
            <w:r>
              <w:rPr>
                <w:rFonts w:ascii="Times New Roman" w:hAnsi="Times New Roman" w:cs="Times New Roman" w:eastAsia="Times New Roman" w:hint="default"/>
                <w:spacing w:val="-3"/>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pacing w:val="-3"/>
                <w:sz w:val="18"/>
                <w:szCs w:val="18"/>
              </w:rPr>
              <w:t>月内为锁定期；</w:t>
            </w:r>
          </w:p>
        </w:tc>
        <w:tc>
          <w:tcPr>
            <w:tcW w:w="2103"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53"/>
              <w:ind w:left="9" w:right="-5" w:firstLine="360"/>
              <w:jc w:val="left"/>
              <w:rPr>
                <w:rFonts w:ascii="宋体" w:hAnsi="宋体" w:cs="宋体" w:eastAsia="宋体" w:hint="default"/>
                <w:sz w:val="18"/>
                <w:szCs w:val="18"/>
              </w:rPr>
            </w:pPr>
            <w:r>
              <w:rPr>
                <w:rFonts w:ascii="宋体" w:hAnsi="宋体" w:cs="宋体" w:eastAsia="宋体" w:hint="default"/>
                <w:spacing w:val="-11"/>
                <w:w w:val="101"/>
                <w:sz w:val="18"/>
                <w:szCs w:val="18"/>
              </w:rPr>
              <w:t>第二次解锁：自授予日</w:t>
            </w:r>
            <w:r>
              <w:rPr>
                <w:rFonts w:ascii="宋体" w:hAnsi="宋体" w:cs="宋体" w:eastAsia="宋体" w:hint="default"/>
                <w:w w:val="101"/>
                <w:sz w:val="18"/>
                <w:szCs w:val="18"/>
              </w:rPr>
              <w:t> </w:t>
            </w:r>
            <w:r>
              <w:rPr>
                <w:rFonts w:ascii="宋体" w:hAnsi="宋体" w:cs="宋体" w:eastAsia="宋体" w:hint="default"/>
                <w:sz w:val="18"/>
                <w:szCs w:val="18"/>
              </w:rPr>
              <w:t>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53"/>
              <w:ind w:left="4" w:right="-38" w:firstLine="360"/>
              <w:jc w:val="left"/>
              <w:rPr>
                <w:rFonts w:ascii="Times New Roman" w:hAnsi="Times New Roman" w:cs="Times New Roman" w:eastAsia="Times New Roman" w:hint="default"/>
                <w:sz w:val="18"/>
                <w:szCs w:val="18"/>
              </w:rPr>
            </w:pPr>
            <w:r>
              <w:rPr>
                <w:rFonts w:ascii="宋体" w:hAnsi="宋体" w:cs="宋体" w:eastAsia="宋体" w:hint="default"/>
                <w:spacing w:val="31"/>
                <w:sz w:val="18"/>
                <w:szCs w:val="18"/>
              </w:rPr>
              <w:t>第二次解</w:t>
            </w:r>
            <w:r>
              <w:rPr>
                <w:rFonts w:ascii="宋体" w:hAnsi="宋体" w:cs="宋体" w:eastAsia="宋体" w:hint="default"/>
                <w:spacing w:val="-47"/>
                <w:sz w:val="18"/>
                <w:szCs w:val="18"/>
              </w:rPr>
              <w:t> </w:t>
            </w:r>
            <w:r>
              <w:rPr>
                <w:rFonts w:ascii="宋体" w:hAnsi="宋体" w:cs="宋体" w:eastAsia="宋体" w:hint="default"/>
                <w:sz w:val="18"/>
                <w:szCs w:val="18"/>
              </w:rPr>
              <w:t>锁：</w:t>
            </w:r>
            <w:r>
              <w:rPr>
                <w:rFonts w:ascii="Times New Roman" w:hAnsi="Times New Roman" w:cs="Times New Roman" w:eastAsia="Times New Roman" w:hint="default"/>
                <w:sz w:val="18"/>
                <w:szCs w:val="18"/>
              </w:rPr>
              <w:t>50%</w:t>
            </w:r>
          </w:p>
        </w:tc>
      </w:tr>
      <w:tr>
        <w:trPr>
          <w:trHeight w:val="740" w:hRule="exact"/>
        </w:trPr>
        <w:tc>
          <w:tcPr>
            <w:tcW w:w="100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04" w:lineRule="auto"/>
              <w:ind w:left="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励计划</w:t>
            </w:r>
          </w:p>
        </w:tc>
        <w:tc>
          <w:tcPr>
            <w:tcW w:w="1369"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7"/>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9"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364" w:right="0"/>
              <w:jc w:val="left"/>
              <w:rPr>
                <w:rFonts w:ascii="Times New Roman" w:hAnsi="Times New Roman" w:cs="Times New Roman" w:eastAsia="Times New Roman" w:hint="default"/>
                <w:sz w:val="18"/>
                <w:szCs w:val="18"/>
              </w:rPr>
            </w:pPr>
            <w:r>
              <w:rPr>
                <w:rFonts w:ascii="Times New Roman"/>
                <w:sz w:val="18"/>
              </w:rPr>
              <w:t>7,600,000</w:t>
            </w:r>
          </w:p>
        </w:tc>
        <w:tc>
          <w:tcPr>
            <w:tcW w:w="141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95" w:lineRule="auto" w:before="73"/>
              <w:ind w:left="4" w:right="-1" w:firstLine="360"/>
              <w:jc w:val="left"/>
              <w:rPr>
                <w:rFonts w:ascii="宋体" w:hAnsi="宋体" w:cs="宋体" w:eastAsia="宋体" w:hint="default"/>
                <w:sz w:val="18"/>
                <w:szCs w:val="18"/>
              </w:rPr>
            </w:pPr>
            <w:r>
              <w:rPr>
                <w:rFonts w:ascii="宋体" w:hAnsi="宋体" w:cs="宋体" w:eastAsia="宋体" w:hint="default"/>
                <w:sz w:val="18"/>
                <w:szCs w:val="18"/>
              </w:rPr>
              <w:t>自授予之日起 </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pacing w:val="-3"/>
                <w:sz w:val="18"/>
                <w:szCs w:val="18"/>
              </w:rPr>
              <w:t>月内为锁定期；</w:t>
            </w:r>
          </w:p>
        </w:tc>
        <w:tc>
          <w:tcPr>
            <w:tcW w:w="2103"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68"/>
              <w:ind w:left="9" w:right="-4" w:firstLine="360"/>
              <w:jc w:val="left"/>
              <w:rPr>
                <w:rFonts w:ascii="宋体" w:hAnsi="宋体" w:cs="宋体" w:eastAsia="宋体" w:hint="default"/>
                <w:sz w:val="18"/>
                <w:szCs w:val="18"/>
              </w:rPr>
            </w:pPr>
            <w:r>
              <w:rPr>
                <w:rFonts w:ascii="宋体" w:hAnsi="宋体" w:cs="宋体" w:eastAsia="宋体" w:hint="default"/>
                <w:spacing w:val="-11"/>
                <w:w w:val="101"/>
                <w:sz w:val="18"/>
                <w:szCs w:val="18"/>
              </w:rPr>
              <w:t>第一次解锁：自授予日</w:t>
            </w:r>
            <w:r>
              <w:rPr>
                <w:rFonts w:ascii="宋体" w:hAnsi="宋体" w:cs="宋体" w:eastAsia="宋体" w:hint="default"/>
                <w:w w:val="101"/>
                <w:sz w:val="18"/>
                <w:szCs w:val="18"/>
              </w:rPr>
              <w:t> </w:t>
            </w:r>
            <w:r>
              <w:rPr>
                <w:rFonts w:ascii="宋体" w:hAnsi="宋体" w:cs="宋体" w:eastAsia="宋体" w:hint="default"/>
                <w:sz w:val="18"/>
                <w:szCs w:val="18"/>
              </w:rPr>
              <w:t>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68"/>
              <w:ind w:left="4" w:right="-38" w:firstLine="360"/>
              <w:jc w:val="left"/>
              <w:rPr>
                <w:rFonts w:ascii="Times New Roman" w:hAnsi="Times New Roman" w:cs="Times New Roman" w:eastAsia="Times New Roman" w:hint="default"/>
                <w:sz w:val="18"/>
                <w:szCs w:val="18"/>
              </w:rPr>
            </w:pPr>
            <w:r>
              <w:rPr>
                <w:rFonts w:ascii="宋体" w:hAnsi="宋体" w:cs="宋体" w:eastAsia="宋体" w:hint="default"/>
                <w:spacing w:val="31"/>
                <w:sz w:val="18"/>
                <w:szCs w:val="18"/>
              </w:rPr>
              <w:t>第一次解</w:t>
            </w:r>
            <w:r>
              <w:rPr>
                <w:rFonts w:ascii="宋体" w:hAnsi="宋体" w:cs="宋体" w:eastAsia="宋体" w:hint="default"/>
                <w:spacing w:val="-47"/>
                <w:sz w:val="18"/>
                <w:szCs w:val="18"/>
              </w:rPr>
              <w:t> </w:t>
            </w:r>
            <w:r>
              <w:rPr>
                <w:rFonts w:ascii="宋体" w:hAnsi="宋体" w:cs="宋体" w:eastAsia="宋体" w:hint="default"/>
                <w:sz w:val="18"/>
                <w:szCs w:val="18"/>
              </w:rPr>
              <w:t>锁：</w:t>
            </w:r>
            <w:r>
              <w:rPr>
                <w:rFonts w:ascii="Times New Roman" w:hAnsi="Times New Roman" w:cs="Times New Roman" w:eastAsia="Times New Roman" w:hint="default"/>
                <w:sz w:val="18"/>
                <w:szCs w:val="18"/>
              </w:rPr>
              <w:t>50%</w:t>
            </w:r>
          </w:p>
        </w:tc>
      </w:tr>
      <w:tr>
        <w:trPr>
          <w:trHeight w:val="725" w:hRule="exact"/>
        </w:trPr>
        <w:tc>
          <w:tcPr>
            <w:tcW w:w="1008" w:type="dxa"/>
            <w:vMerge/>
            <w:tcBorders>
              <w:left w:val="single" w:sz="8" w:space="0" w:color="000000"/>
              <w:bottom w:val="single" w:sz="8" w:space="0" w:color="000000"/>
              <w:right w:val="single" w:sz="8" w:space="0" w:color="000000"/>
            </w:tcBorders>
          </w:tcPr>
          <w:p>
            <w:pPr/>
          </w:p>
        </w:tc>
        <w:tc>
          <w:tcPr>
            <w:tcW w:w="1369" w:type="dxa"/>
            <w:vMerge/>
            <w:tcBorders>
              <w:left w:val="single" w:sz="8" w:space="0" w:color="000000"/>
              <w:bottom w:val="single" w:sz="8" w:space="0" w:color="000000"/>
              <w:right w:val="single" w:sz="8" w:space="0" w:color="000000"/>
            </w:tcBorders>
          </w:tcPr>
          <w:p>
            <w:pPr/>
          </w:p>
        </w:tc>
        <w:tc>
          <w:tcPr>
            <w:tcW w:w="1109" w:type="dxa"/>
            <w:vMerge/>
            <w:tcBorders>
              <w:left w:val="single" w:sz="8" w:space="0" w:color="000000"/>
              <w:bottom w:val="single" w:sz="8" w:space="0" w:color="000000"/>
              <w:right w:val="single" w:sz="8" w:space="0" w:color="000000"/>
            </w:tcBorders>
          </w:tcPr>
          <w:p>
            <w:pPr/>
          </w:p>
        </w:tc>
        <w:tc>
          <w:tcPr>
            <w:tcW w:w="1412" w:type="dxa"/>
            <w:vMerge/>
            <w:tcBorders>
              <w:left w:val="single" w:sz="8" w:space="0" w:color="000000"/>
              <w:bottom w:val="single" w:sz="8" w:space="0" w:color="000000"/>
              <w:right w:val="single" w:sz="8" w:space="0" w:color="000000"/>
            </w:tcBorders>
          </w:tcPr>
          <w:p>
            <w:pP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95" w:lineRule="auto" w:before="58"/>
              <w:ind w:left="4" w:right="-1" w:firstLine="360"/>
              <w:jc w:val="left"/>
              <w:rPr>
                <w:rFonts w:ascii="宋体" w:hAnsi="宋体" w:cs="宋体" w:eastAsia="宋体" w:hint="default"/>
                <w:sz w:val="18"/>
                <w:szCs w:val="18"/>
              </w:rPr>
            </w:pPr>
            <w:r>
              <w:rPr>
                <w:rFonts w:ascii="宋体" w:hAnsi="宋体" w:cs="宋体" w:eastAsia="宋体" w:hint="default"/>
                <w:sz w:val="18"/>
                <w:szCs w:val="18"/>
              </w:rPr>
              <w:t>自授予之日起 </w:t>
            </w:r>
            <w:r>
              <w:rPr>
                <w:rFonts w:ascii="Times New Roman" w:hAnsi="Times New Roman" w:cs="Times New Roman" w:eastAsia="Times New Roman" w:hint="default"/>
                <w:spacing w:val="-3"/>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pacing w:val="-3"/>
                <w:sz w:val="18"/>
                <w:szCs w:val="18"/>
              </w:rPr>
              <w:t>月内为锁定期；</w:t>
            </w:r>
          </w:p>
        </w:tc>
        <w:tc>
          <w:tcPr>
            <w:tcW w:w="2103"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53"/>
              <w:ind w:left="9" w:right="-4" w:firstLine="360"/>
              <w:jc w:val="left"/>
              <w:rPr>
                <w:rFonts w:ascii="宋体" w:hAnsi="宋体" w:cs="宋体" w:eastAsia="宋体" w:hint="default"/>
                <w:sz w:val="18"/>
                <w:szCs w:val="18"/>
              </w:rPr>
            </w:pPr>
            <w:r>
              <w:rPr>
                <w:rFonts w:ascii="宋体" w:hAnsi="宋体" w:cs="宋体" w:eastAsia="宋体" w:hint="default"/>
                <w:spacing w:val="-11"/>
                <w:w w:val="101"/>
                <w:sz w:val="18"/>
                <w:szCs w:val="18"/>
              </w:rPr>
              <w:t>第二次解锁：自授予日</w:t>
            </w:r>
            <w:r>
              <w:rPr>
                <w:rFonts w:ascii="宋体" w:hAnsi="宋体" w:cs="宋体" w:eastAsia="宋体" w:hint="default"/>
                <w:w w:val="101"/>
                <w:sz w:val="18"/>
                <w:szCs w:val="18"/>
              </w:rPr>
              <w:t> </w:t>
            </w:r>
            <w:r>
              <w:rPr>
                <w:rFonts w:ascii="宋体" w:hAnsi="宋体" w:cs="宋体" w:eastAsia="宋体" w:hint="default"/>
                <w:sz w:val="18"/>
                <w:szCs w:val="18"/>
              </w:rPr>
              <w:t>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w:t>
            </w:r>
          </w:p>
        </w:tc>
        <w:tc>
          <w:tcPr>
            <w:tcW w:w="1249" w:type="dxa"/>
            <w:tcBorders>
              <w:top w:val="single" w:sz="8" w:space="0" w:color="000000"/>
              <w:left w:val="single" w:sz="8" w:space="0" w:color="000000"/>
              <w:bottom w:val="single" w:sz="8" w:space="0" w:color="000000"/>
              <w:right w:val="single" w:sz="8" w:space="0" w:color="000000"/>
            </w:tcBorders>
          </w:tcPr>
          <w:p>
            <w:pPr>
              <w:pStyle w:val="TableParagraph"/>
              <w:spacing w:line="321" w:lineRule="auto" w:before="53"/>
              <w:ind w:left="4" w:right="-38" w:firstLine="360"/>
              <w:jc w:val="left"/>
              <w:rPr>
                <w:rFonts w:ascii="Times New Roman" w:hAnsi="Times New Roman" w:cs="Times New Roman" w:eastAsia="Times New Roman" w:hint="default"/>
                <w:sz w:val="18"/>
                <w:szCs w:val="18"/>
              </w:rPr>
            </w:pPr>
            <w:r>
              <w:rPr>
                <w:rFonts w:ascii="宋体" w:hAnsi="宋体" w:cs="宋体" w:eastAsia="宋体" w:hint="default"/>
                <w:spacing w:val="31"/>
                <w:sz w:val="18"/>
                <w:szCs w:val="18"/>
              </w:rPr>
              <w:t>第二次解</w:t>
            </w:r>
            <w:r>
              <w:rPr>
                <w:rFonts w:ascii="宋体" w:hAnsi="宋体" w:cs="宋体" w:eastAsia="宋体" w:hint="default"/>
                <w:spacing w:val="-47"/>
                <w:sz w:val="18"/>
                <w:szCs w:val="18"/>
              </w:rPr>
              <w:t> </w:t>
            </w:r>
            <w:r>
              <w:rPr>
                <w:rFonts w:ascii="宋体" w:hAnsi="宋体" w:cs="宋体" w:eastAsia="宋体" w:hint="default"/>
                <w:sz w:val="18"/>
                <w:szCs w:val="18"/>
              </w:rPr>
              <w:t>锁：</w:t>
            </w:r>
            <w:r>
              <w:rPr>
                <w:rFonts w:ascii="Times New Roman" w:hAnsi="Times New Roman" w:cs="Times New Roman" w:eastAsia="Times New Roman" w:hint="default"/>
                <w:sz w:val="18"/>
                <w:szCs w:val="18"/>
              </w:rPr>
              <w:t>50%</w:t>
            </w:r>
          </w:p>
        </w:tc>
      </w:tr>
    </w:tbl>
    <w:p>
      <w:pPr>
        <w:spacing w:line="240" w:lineRule="auto" w:before="2"/>
        <w:rPr>
          <w:rFonts w:ascii="宋体" w:hAnsi="宋体" w:cs="宋体" w:eastAsia="宋体" w:hint="default"/>
          <w:sz w:val="21"/>
          <w:szCs w:val="21"/>
        </w:rPr>
      </w:pPr>
    </w:p>
    <w:p>
      <w:pPr>
        <w:pStyle w:val="BodyText"/>
        <w:spacing w:line="300" w:lineRule="auto" w:before="46"/>
        <w:ind w:left="496" w:right="8417"/>
        <w:jc w:val="left"/>
      </w:pPr>
      <w:r>
        <w:rPr>
          <w:rFonts w:ascii="Times New Roman" w:hAnsi="Times New Roman" w:cs="Times New Roman" w:eastAsia="Times New Roman" w:hint="default"/>
          <w:spacing w:val="-2"/>
        </w:rPr>
        <w:t>(2)</w:t>
      </w:r>
      <w:r>
        <w:rPr>
          <w:spacing w:val="-2"/>
        </w:rPr>
        <w:t>限制性股票解锁条件</w:t>
      </w:r>
      <w:r>
        <w:rPr>
          <w:spacing w:val="-64"/>
        </w:rPr>
        <w:t> </w:t>
      </w:r>
      <w:r>
        <w:rPr>
          <w:spacing w:val="-64"/>
        </w:rPr>
      </w:r>
      <w:r>
        <w:rPr>
          <w:rFonts w:ascii="Times New Roman" w:hAnsi="Times New Roman" w:cs="Times New Roman" w:eastAsia="Times New Roman" w:hint="default"/>
        </w:rPr>
        <w:t>1)</w:t>
      </w:r>
      <w:r>
        <w:rPr/>
        <w:t>业绩条件</w:t>
      </w:r>
    </w:p>
    <w:p>
      <w:pPr>
        <w:pStyle w:val="BodyText"/>
        <w:spacing w:line="300" w:lineRule="auto" w:before="13"/>
        <w:ind w:left="496" w:right="5756"/>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2017</w:t>
      </w:r>
      <w:r>
        <w:rPr>
          <w:u w:val="single" w:color="000000"/>
        </w:rPr>
        <w:t>年度激励计划</w:t>
      </w:r>
      <w:r>
        <w:rPr>
          <w:spacing w:val="-86"/>
          <w:u w:val="single" w:color="000000"/>
        </w:rPr>
        <w:t> </w:t>
      </w:r>
      <w:r>
        <w:rPr>
          <w:spacing w:val="-86"/>
        </w:rPr>
      </w:r>
      <w:r>
        <w:rPr>
          <w:spacing w:val="-86"/>
        </w:rPr>
      </w:r>
      <w:r>
        <w:rPr>
          <w:spacing w:val="-3"/>
        </w:rPr>
        <w:t>该激励对象限制性股票解锁条件需满足如下业绩要求：</w:t>
      </w:r>
    </w:p>
    <w:p>
      <w:pPr>
        <w:pStyle w:val="BodyText"/>
        <w:spacing w:line="240" w:lineRule="auto" w:before="31"/>
        <w:ind w:left="496" w:right="0"/>
        <w:jc w:val="both"/>
      </w:pPr>
      <w:r>
        <w:rPr>
          <w:spacing w:val="-4"/>
        </w:rPr>
        <w:t>第一次解锁：以</w:t>
      </w:r>
      <w:r>
        <w:rPr>
          <w:rFonts w:ascii="Times New Roman" w:hAnsi="Times New Roman" w:cs="Times New Roman" w:eastAsia="Times New Roman" w:hint="default"/>
          <w:spacing w:val="-4"/>
        </w:rPr>
        <w:t>2016</w:t>
      </w:r>
      <w:r>
        <w:rPr>
          <w:spacing w:val="-4"/>
        </w:rPr>
        <w:t>年扣除商誉减值、或有对价增加额以及展动科技并购前持有股权估值调整后的归属于母公司净利润人民币</w:t>
      </w:r>
    </w:p>
    <w:p>
      <w:pPr>
        <w:pStyle w:val="BodyText"/>
        <w:spacing w:line="300" w:lineRule="auto" w:before="63"/>
        <w:ind w:left="496" w:right="851" w:hanging="360"/>
        <w:jc w:val="left"/>
      </w:pPr>
      <w:r>
        <w:rPr>
          <w:rFonts w:ascii="Times New Roman" w:hAnsi="Times New Roman" w:cs="Times New Roman" w:eastAsia="Times New Roman" w:hint="default"/>
        </w:rPr>
        <w:t>6,199</w:t>
      </w:r>
      <w:r>
        <w:rPr/>
        <w:t>万元为基数，</w:t>
      </w:r>
      <w:r>
        <w:rPr>
          <w:rFonts w:ascii="Times New Roman" w:hAnsi="Times New Roman" w:cs="Times New Roman" w:eastAsia="Times New Roman" w:hint="default"/>
        </w:rPr>
        <w:t>2018</w:t>
      </w:r>
      <w:r>
        <w:rPr/>
        <w:t>年归属于母公司净利润增长率不低于</w:t>
      </w:r>
      <w:r>
        <w:rPr>
          <w:rFonts w:ascii="Times New Roman" w:hAnsi="Times New Roman" w:cs="Times New Roman" w:eastAsia="Times New Roman" w:hint="default"/>
        </w:rPr>
        <w:t>10%</w:t>
      </w:r>
      <w:r>
        <w:rPr/>
        <w:t>；</w:t>
      </w:r>
      <w:r>
        <w:rPr>
          <w:spacing w:val="-88"/>
        </w:rPr>
        <w:t> </w:t>
      </w:r>
      <w:r>
        <w:rPr>
          <w:spacing w:val="-4"/>
        </w:rPr>
        <w:t>第二次解锁：以</w:t>
      </w:r>
      <w:r>
        <w:rPr>
          <w:rFonts w:ascii="Times New Roman" w:hAnsi="Times New Roman" w:cs="Times New Roman" w:eastAsia="Times New Roman" w:hint="default"/>
          <w:spacing w:val="-4"/>
        </w:rPr>
        <w:t>2016</w:t>
      </w:r>
      <w:r>
        <w:rPr>
          <w:spacing w:val="-4"/>
        </w:rPr>
        <w:t>年扣除商誉减值、或有对价增加额以及展动科技并购前持有股权估值调整后的归属于母公司净利润人民币</w:t>
      </w:r>
    </w:p>
    <w:p>
      <w:pPr>
        <w:pStyle w:val="BodyText"/>
        <w:spacing w:line="240" w:lineRule="auto" w:before="13"/>
        <w:ind w:left="136" w:right="3662"/>
        <w:jc w:val="left"/>
      </w:pPr>
      <w:r>
        <w:rPr>
          <w:rFonts w:ascii="Times New Roman" w:hAnsi="Times New Roman" w:cs="Times New Roman" w:eastAsia="Times New Roman" w:hint="default"/>
          <w:spacing w:val="-3"/>
        </w:rPr>
        <w:t>6,199</w:t>
      </w:r>
      <w:r>
        <w:rPr>
          <w:spacing w:val="-3"/>
        </w:rPr>
        <w:t>万元为基数，</w:t>
      </w:r>
      <w:r>
        <w:rPr>
          <w:rFonts w:ascii="Times New Roman" w:hAnsi="Times New Roman" w:cs="Times New Roman" w:eastAsia="Times New Roman" w:hint="default"/>
          <w:spacing w:val="-3"/>
        </w:rPr>
        <w:t>2019</w:t>
      </w:r>
      <w:r>
        <w:rPr>
          <w:spacing w:val="-3"/>
        </w:rPr>
        <w:t>年归属于母公司净利润增长率不低于</w:t>
      </w:r>
      <w:r>
        <w:rPr>
          <w:rFonts w:ascii="Times New Roman" w:hAnsi="Times New Roman" w:cs="Times New Roman" w:eastAsia="Times New Roman" w:hint="default"/>
          <w:spacing w:val="-3"/>
        </w:rPr>
        <w:t>100%</w:t>
      </w:r>
      <w:r>
        <w:rPr>
          <w:spacing w:val="-3"/>
        </w:rPr>
        <w:t>。</w:t>
      </w:r>
    </w:p>
    <w:p>
      <w:pPr>
        <w:pStyle w:val="BodyText"/>
        <w:spacing w:line="300" w:lineRule="auto" w:before="63"/>
        <w:ind w:left="496" w:right="5756"/>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2018</w:t>
      </w:r>
      <w:r>
        <w:rPr>
          <w:u w:val="single" w:color="000000"/>
        </w:rPr>
        <w:t>年度激励计划</w:t>
      </w:r>
      <w:r>
        <w:rPr>
          <w:spacing w:val="-86"/>
          <w:u w:val="single" w:color="000000"/>
        </w:rPr>
        <w:t> </w:t>
      </w:r>
      <w:r>
        <w:rPr>
          <w:spacing w:val="-86"/>
        </w:rPr>
      </w:r>
      <w:r>
        <w:rPr>
          <w:spacing w:val="-86"/>
        </w:rPr>
      </w:r>
      <w:r>
        <w:rPr>
          <w:spacing w:val="-3"/>
        </w:rPr>
        <w:t>该激励对象限制性股票解锁条件需满足如下业绩要求：</w:t>
      </w:r>
    </w:p>
    <w:p>
      <w:pPr>
        <w:pStyle w:val="BodyText"/>
        <w:spacing w:line="300" w:lineRule="auto" w:before="31"/>
        <w:ind w:left="496" w:right="1904"/>
        <w:jc w:val="both"/>
      </w:pPr>
      <w:r>
        <w:rPr>
          <w:spacing w:val="-3"/>
        </w:rPr>
        <w:t>第一次解锁：以</w:t>
      </w:r>
      <w:r>
        <w:rPr>
          <w:rFonts w:ascii="Times New Roman" w:hAnsi="Times New Roman" w:cs="Times New Roman" w:eastAsia="Times New Roman" w:hint="default"/>
          <w:spacing w:val="-3"/>
        </w:rPr>
        <w:t>2017</w:t>
      </w:r>
      <w:r>
        <w:rPr>
          <w:spacing w:val="-3"/>
        </w:rPr>
        <w:t>年归属于母公司的净利润</w:t>
      </w:r>
      <w:r>
        <w:rPr>
          <w:rFonts w:ascii="Times New Roman" w:hAnsi="Times New Roman" w:cs="Times New Roman" w:eastAsia="Times New Roman" w:hint="default"/>
          <w:spacing w:val="-3"/>
        </w:rPr>
        <w:t>3,099</w:t>
      </w:r>
      <w:r>
        <w:rPr>
          <w:spacing w:val="-3"/>
        </w:rPr>
        <w:t>万元为基数，</w:t>
      </w:r>
      <w:r>
        <w:rPr>
          <w:rFonts w:ascii="Times New Roman" w:hAnsi="Times New Roman" w:cs="Times New Roman" w:eastAsia="Times New Roman" w:hint="default"/>
          <w:spacing w:val="-3"/>
        </w:rPr>
        <w:t>2019</w:t>
      </w:r>
      <w:r>
        <w:rPr>
          <w:spacing w:val="-3"/>
        </w:rPr>
        <w:t>年归属于母公司净利润不少于</w:t>
      </w:r>
      <w:r>
        <w:rPr>
          <w:rFonts w:ascii="Times New Roman" w:hAnsi="Times New Roman" w:cs="Times New Roman" w:eastAsia="Times New Roman" w:hint="default"/>
          <w:spacing w:val="-3"/>
        </w:rPr>
        <w:t>16,200</w:t>
      </w:r>
      <w:r>
        <w:rPr>
          <w:spacing w:val="-3"/>
        </w:rPr>
        <w:t>万元；</w:t>
      </w:r>
      <w:r>
        <w:rPr>
          <w:spacing w:val="76"/>
        </w:rPr>
        <w:t> </w:t>
      </w:r>
      <w:r>
        <w:rPr>
          <w:spacing w:val="-3"/>
        </w:rPr>
        <w:t>第二次解锁：以</w:t>
      </w:r>
      <w:r>
        <w:rPr>
          <w:rFonts w:ascii="Times New Roman" w:hAnsi="Times New Roman" w:cs="Times New Roman" w:eastAsia="Times New Roman" w:hint="default"/>
          <w:spacing w:val="-3"/>
        </w:rPr>
        <w:t>2017</w:t>
      </w:r>
      <w:r>
        <w:rPr>
          <w:spacing w:val="-3"/>
        </w:rPr>
        <w:t>年归属于母公司的净利润</w:t>
      </w:r>
      <w:r>
        <w:rPr>
          <w:rFonts w:ascii="Times New Roman" w:hAnsi="Times New Roman" w:cs="Times New Roman" w:eastAsia="Times New Roman" w:hint="default"/>
          <w:spacing w:val="-3"/>
        </w:rPr>
        <w:t>3,099</w:t>
      </w:r>
      <w:r>
        <w:rPr>
          <w:spacing w:val="-3"/>
        </w:rPr>
        <w:t>万元为基数，</w:t>
      </w:r>
      <w:r>
        <w:rPr>
          <w:rFonts w:ascii="Times New Roman" w:hAnsi="Times New Roman" w:cs="Times New Roman" w:eastAsia="Times New Roman" w:hint="default"/>
          <w:spacing w:val="-3"/>
        </w:rPr>
        <w:t>2020</w:t>
      </w:r>
      <w:r>
        <w:rPr>
          <w:spacing w:val="-3"/>
        </w:rPr>
        <w:t>年归属于母公司净利润不少于</w:t>
      </w:r>
      <w:r>
        <w:rPr>
          <w:rFonts w:ascii="Times New Roman" w:hAnsi="Times New Roman" w:cs="Times New Roman" w:eastAsia="Times New Roman" w:hint="default"/>
          <w:spacing w:val="-3"/>
        </w:rPr>
        <w:t>21,000</w:t>
      </w:r>
      <w:r>
        <w:rPr>
          <w:spacing w:val="-3"/>
        </w:rPr>
        <w:t>万元。</w:t>
      </w:r>
      <w:r>
        <w:rPr>
          <w:spacing w:val="76"/>
        </w:rPr>
        <w:t> </w:t>
      </w:r>
      <w:r>
        <w:rPr>
          <w:rFonts w:ascii="Times New Roman" w:hAnsi="Times New Roman" w:cs="Times New Roman" w:eastAsia="Times New Roman" w:hint="default"/>
        </w:rPr>
        <w:t>2)</w:t>
      </w:r>
      <w:r>
        <w:rPr/>
        <w:t>个人绩效考核</w:t>
      </w:r>
    </w:p>
    <w:p>
      <w:pPr>
        <w:pStyle w:val="BodyText"/>
        <w:spacing w:line="240" w:lineRule="auto" w:before="13"/>
        <w:ind w:left="496" w:right="0"/>
        <w:jc w:val="both"/>
      </w:pPr>
      <w:r>
        <w:rPr>
          <w:spacing w:val="-3"/>
        </w:rPr>
        <w:t>根据</w:t>
      </w:r>
      <w:r>
        <w:rPr>
          <w:rFonts w:ascii="Times New Roman" w:hAnsi="Times New Roman" w:cs="Times New Roman" w:eastAsia="Times New Roman" w:hint="default"/>
          <w:spacing w:val="-3"/>
        </w:rPr>
        <w:t>2017</w:t>
      </w:r>
      <w:r>
        <w:rPr>
          <w:spacing w:val="-3"/>
        </w:rPr>
        <w:t>年度激励计划及</w:t>
      </w:r>
      <w:r>
        <w:rPr>
          <w:rFonts w:ascii="Times New Roman" w:hAnsi="Times New Roman" w:cs="Times New Roman" w:eastAsia="Times New Roman" w:hint="default"/>
          <w:spacing w:val="-3"/>
        </w:rPr>
        <w:t>2018</w:t>
      </w:r>
      <w:r>
        <w:rPr>
          <w:spacing w:val="-3"/>
        </w:rPr>
        <w:t>年度激励计划，激励对象在考核年度的绩效为合格及以上。</w:t>
      </w:r>
    </w:p>
    <w:p>
      <w:pPr>
        <w:pStyle w:val="BodyText"/>
        <w:spacing w:line="300" w:lineRule="auto" w:before="63"/>
        <w:ind w:left="496" w:right="855"/>
        <w:jc w:val="left"/>
        <w:rPr>
          <w:rFonts w:ascii="Times New Roman" w:hAnsi="Times New Roman" w:cs="Times New Roman" w:eastAsia="Times New Roman" w:hint="default"/>
        </w:rPr>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1.2 </w:t>
      </w:r>
      <w:r>
        <w:rPr>
          <w:u w:val="single" w:color="000000"/>
        </w:rPr>
        <w:t>股票期权</w:t>
      </w:r>
      <w:r>
        <w:rPr>
          <w:spacing w:val="-59"/>
          <w:u w:val="single" w:color="000000"/>
        </w:rPr>
        <w:t> </w:t>
      </w:r>
      <w:r>
        <w:rPr>
          <w:spacing w:val="-59"/>
        </w:rPr>
      </w:r>
      <w:r>
        <w:rPr>
          <w:spacing w:val="-59"/>
        </w:rPr>
      </w:r>
      <w:r>
        <w:rPr>
          <w:spacing w:val="-4"/>
          <w:w w:val="101"/>
        </w:rPr>
        <w:t>根据公司</w:t>
      </w:r>
      <w:r>
        <w:rPr>
          <w:rFonts w:ascii="Times New Roman" w:hAnsi="Times New Roman" w:cs="Times New Roman" w:eastAsia="Times New Roman" w:hint="default"/>
          <w:spacing w:val="-4"/>
          <w:w w:val="101"/>
        </w:rPr>
        <w:t>2018</w:t>
      </w:r>
      <w:r>
        <w:rPr>
          <w:spacing w:val="-4"/>
          <w:w w:val="101"/>
        </w:rPr>
        <w:t>年第五届董事会第三十二次会议、第五届监事会第二十二次会议及</w:t>
      </w:r>
      <w:r>
        <w:rPr>
          <w:rFonts w:ascii="Times New Roman" w:hAnsi="Times New Roman" w:cs="Times New Roman" w:eastAsia="Times New Roman" w:hint="default"/>
          <w:spacing w:val="-4"/>
          <w:w w:val="101"/>
        </w:rPr>
        <w:t>2018</w:t>
      </w:r>
      <w:r>
        <w:rPr>
          <w:spacing w:val="-4"/>
          <w:w w:val="101"/>
        </w:rPr>
        <w:t>年第一次临时股东大会审议通过的</w:t>
      </w:r>
      <w:r>
        <w:rPr>
          <w:spacing w:val="-37"/>
          <w:w w:val="101"/>
        </w:rPr>
        <w:t> </w:t>
      </w:r>
      <w:r>
        <w:rPr>
          <w:spacing w:val="-2"/>
          <w:w w:val="101"/>
        </w:rPr>
        <w:t>《</w:t>
      </w:r>
      <w:r>
        <w:rPr>
          <w:rFonts w:ascii="Times New Roman" w:hAnsi="Times New Roman" w:cs="Times New Roman" w:eastAsia="Times New Roman" w:hint="default"/>
          <w:spacing w:val="-2"/>
          <w:w w:val="101"/>
        </w:rPr>
        <w:t>2018</w:t>
      </w:r>
      <w:r>
        <w:rPr>
          <w:rFonts w:ascii="Times New Roman" w:hAnsi="Times New Roman" w:cs="Times New Roman" w:eastAsia="Times New Roman" w:hint="default"/>
          <w:spacing w:val="-2"/>
        </w:rPr>
      </w:r>
    </w:p>
    <w:p>
      <w:pPr>
        <w:pStyle w:val="BodyText"/>
        <w:spacing w:line="300" w:lineRule="auto" w:before="13"/>
        <w:ind w:left="496" w:right="851" w:hanging="360"/>
        <w:jc w:val="left"/>
      </w:pPr>
      <w:r>
        <w:rPr>
          <w:spacing w:val="-3"/>
        </w:rPr>
        <w:t>年股票期权激励计划</w:t>
      </w:r>
      <w:r>
        <w:rPr>
          <w:rFonts w:ascii="Times New Roman" w:hAnsi="Times New Roman" w:cs="Times New Roman" w:eastAsia="Times New Roman" w:hint="default"/>
          <w:spacing w:val="-3"/>
        </w:rPr>
        <w:t>(</w:t>
      </w:r>
      <w:r>
        <w:rPr>
          <w:spacing w:val="-3"/>
        </w:rPr>
        <w:t>草案</w:t>
      </w:r>
      <w:r>
        <w:rPr>
          <w:rFonts w:ascii="Times New Roman" w:hAnsi="Times New Roman" w:cs="Times New Roman" w:eastAsia="Times New Roman" w:hint="default"/>
          <w:spacing w:val="-3"/>
        </w:rPr>
        <w:t>)</w:t>
      </w:r>
      <w:r>
        <w:rPr>
          <w:spacing w:val="-3"/>
        </w:rPr>
        <w:t>》及其摘要议案，公司向孟雪霞等</w:t>
      </w:r>
      <w:r>
        <w:rPr>
          <w:rFonts w:ascii="Times New Roman" w:hAnsi="Times New Roman" w:cs="Times New Roman" w:eastAsia="Times New Roman" w:hint="default"/>
          <w:spacing w:val="-3"/>
        </w:rPr>
        <w:t>107</w:t>
      </w:r>
      <w:r>
        <w:rPr>
          <w:spacing w:val="-3"/>
        </w:rPr>
        <w:t>名激励对象授予</w:t>
      </w:r>
      <w:r>
        <w:rPr>
          <w:rFonts w:ascii="Times New Roman" w:hAnsi="Times New Roman" w:cs="Times New Roman" w:eastAsia="Times New Roman" w:hint="default"/>
          <w:spacing w:val="-3"/>
        </w:rPr>
        <w:t>361</w:t>
      </w:r>
      <w:r>
        <w:rPr>
          <w:spacing w:val="-3"/>
        </w:rPr>
        <w:t>万普通股股票期权。</w:t>
      </w:r>
      <w:r>
        <w:rPr>
          <w:spacing w:val="60"/>
        </w:rPr>
        <w:t> </w:t>
      </w:r>
      <w:r>
        <w:rPr>
          <w:spacing w:val="60"/>
        </w:rPr>
      </w:r>
      <w:r>
        <w:rPr/>
        <w:t>根据公司</w:t>
      </w:r>
      <w:r>
        <w:rPr>
          <w:rFonts w:ascii="Times New Roman" w:hAnsi="Times New Roman" w:cs="Times New Roman" w:eastAsia="Times New Roman" w:hint="default"/>
        </w:rPr>
        <w:t>2018</w:t>
      </w:r>
      <w:r>
        <w:rPr/>
        <w:t>年第六届董事会第三次会议及</w:t>
      </w:r>
      <w:r>
        <w:rPr>
          <w:rFonts w:ascii="Times New Roman" w:hAnsi="Times New Roman" w:cs="Times New Roman" w:eastAsia="Times New Roman" w:hint="default"/>
        </w:rPr>
        <w:t>2018</w:t>
      </w:r>
      <w:r>
        <w:rPr/>
        <w:t>年第四次临时股东大会审议通过的《</w:t>
      </w:r>
      <w:r>
        <w:rPr>
          <w:rFonts w:ascii="Times New Roman" w:hAnsi="Times New Roman" w:cs="Times New Roman" w:eastAsia="Times New Roman" w:hint="default"/>
        </w:rPr>
        <w:t>2018</w:t>
      </w:r>
      <w:r>
        <w:rPr/>
        <w:t>年限制性股票与股票期权激励计划</w:t>
      </w:r>
    </w:p>
    <w:p>
      <w:pPr>
        <w:pStyle w:val="BodyText"/>
        <w:spacing w:line="240" w:lineRule="auto" w:before="13"/>
        <w:ind w:left="136" w:right="3662"/>
        <w:jc w:val="left"/>
      </w:pPr>
      <w:r>
        <w:rPr>
          <w:rFonts w:ascii="Times New Roman" w:hAnsi="Times New Roman" w:cs="Times New Roman" w:eastAsia="Times New Roman" w:hint="default"/>
          <w:spacing w:val="-3"/>
        </w:rPr>
        <w:t>(</w:t>
      </w:r>
      <w:r>
        <w:rPr>
          <w:spacing w:val="-3"/>
        </w:rPr>
        <w:t>草案</w:t>
      </w:r>
      <w:r>
        <w:rPr>
          <w:rFonts w:ascii="Times New Roman" w:hAnsi="Times New Roman" w:cs="Times New Roman" w:eastAsia="Times New Roman" w:hint="default"/>
          <w:spacing w:val="-3"/>
        </w:rPr>
        <w:t>)</w:t>
      </w:r>
      <w:r>
        <w:rPr>
          <w:spacing w:val="-3"/>
        </w:rPr>
        <w:t>》等议案，公司向徐蕾等</w:t>
      </w:r>
      <w:r>
        <w:rPr>
          <w:rFonts w:ascii="Times New Roman" w:hAnsi="Times New Roman" w:cs="Times New Roman" w:eastAsia="Times New Roman" w:hint="default"/>
          <w:spacing w:val="-3"/>
        </w:rPr>
        <w:t>160</w:t>
      </w:r>
      <w:r>
        <w:rPr>
          <w:spacing w:val="-3"/>
        </w:rPr>
        <w:t>名激励对象授予</w:t>
      </w:r>
      <w:r>
        <w:rPr>
          <w:rFonts w:ascii="Times New Roman" w:hAnsi="Times New Roman" w:cs="Times New Roman" w:eastAsia="Times New Roman" w:hint="default"/>
          <w:spacing w:val="-3"/>
        </w:rPr>
        <w:t>820</w:t>
      </w:r>
      <w:r>
        <w:rPr>
          <w:spacing w:val="-3"/>
        </w:rPr>
        <w:t>万股普通股股票期权。</w:t>
      </w:r>
    </w:p>
    <w:p>
      <w:pPr>
        <w:spacing w:after="0" w:line="240" w:lineRule="auto"/>
        <w:jc w:val="left"/>
        <w:sectPr>
          <w:pgSz w:w="11910" w:h="16840"/>
          <w:pgMar w:header="0" w:footer="1022" w:top="1100" w:bottom="1220" w:left="680" w:right="0"/>
        </w:sectPr>
      </w:pPr>
    </w:p>
    <w:p>
      <w:pPr>
        <w:pStyle w:val="BodyText"/>
        <w:spacing w:line="240" w:lineRule="auto" w:before="80"/>
        <w:ind w:left="496" w:right="3662"/>
        <w:jc w:val="left"/>
      </w:pPr>
      <w:r>
        <w:rPr>
          <w:rFonts w:ascii="Times New Roman" w:hAnsi="Times New Roman" w:cs="Times New Roman" w:eastAsia="Times New Roman" w:hint="default"/>
          <w:spacing w:val="-3"/>
        </w:rPr>
        <w:t>(1)</w:t>
      </w:r>
      <w:r>
        <w:rPr>
          <w:spacing w:val="-3"/>
        </w:rPr>
        <w:t>有关授予的股票期权的详细信息，列示如下：</w:t>
      </w:r>
    </w:p>
    <w:p>
      <w:pPr>
        <w:spacing w:line="240" w:lineRule="auto" w:before="13"/>
        <w:rPr>
          <w:rFonts w:ascii="宋体" w:hAnsi="宋体" w:cs="宋体" w:eastAsia="宋体" w:hint="default"/>
          <w:sz w:val="3"/>
          <w:szCs w:val="3"/>
        </w:rPr>
      </w:pPr>
    </w:p>
    <w:tbl>
      <w:tblPr>
        <w:tblW w:w="0" w:type="auto"/>
        <w:jc w:val="left"/>
        <w:tblInd w:w="170" w:type="dxa"/>
        <w:tblLayout w:type="fixed"/>
        <w:tblCellMar>
          <w:top w:w="0" w:type="dxa"/>
          <w:left w:w="0" w:type="dxa"/>
          <w:bottom w:w="0" w:type="dxa"/>
          <w:right w:w="0" w:type="dxa"/>
        </w:tblCellMar>
        <w:tblLook w:val="01E0"/>
      </w:tblPr>
      <w:tblGrid>
        <w:gridCol w:w="1474"/>
        <w:gridCol w:w="826"/>
        <w:gridCol w:w="1003"/>
        <w:gridCol w:w="5450"/>
        <w:gridCol w:w="1637"/>
      </w:tblGrid>
      <w:tr>
        <w:trPr>
          <w:trHeight w:val="427" w:hRule="exact"/>
        </w:trPr>
        <w:tc>
          <w:tcPr>
            <w:tcW w:w="1474" w:type="dxa"/>
            <w:vMerge w:val="restart"/>
            <w:tcBorders>
              <w:top w:val="single" w:sz="8" w:space="0" w:color="000000"/>
              <w:left w:val="single" w:sz="8" w:space="0" w:color="000000"/>
              <w:right w:val="single" w:sz="8" w:space="0" w:color="000000"/>
            </w:tcBorders>
            <w:shd w:val="clear" w:color="auto" w:fill="BDBDBD"/>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授予日</w:t>
            </w:r>
          </w:p>
        </w:tc>
        <w:tc>
          <w:tcPr>
            <w:tcW w:w="826" w:type="dxa"/>
            <w:vMerge w:val="restart"/>
            <w:tcBorders>
              <w:top w:val="single" w:sz="8" w:space="0" w:color="000000"/>
              <w:left w:val="single" w:sz="8" w:space="0" w:color="000000"/>
              <w:right w:val="single" w:sz="8" w:space="0" w:color="000000"/>
            </w:tcBorders>
            <w:shd w:val="clear" w:color="auto" w:fill="BDBDBD"/>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授予数量</w:t>
            </w:r>
          </w:p>
        </w:tc>
        <w:tc>
          <w:tcPr>
            <w:tcW w:w="1003"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行权价格</w:t>
            </w:r>
          </w:p>
        </w:tc>
        <w:tc>
          <w:tcPr>
            <w:tcW w:w="5450" w:type="dxa"/>
            <w:vMerge w:val="restart"/>
            <w:tcBorders>
              <w:top w:val="single" w:sz="8" w:space="0" w:color="000000"/>
              <w:left w:val="single" w:sz="8" w:space="0" w:color="000000"/>
              <w:right w:val="single" w:sz="8" w:space="0" w:color="000000"/>
            </w:tcBorders>
            <w:shd w:val="clear" w:color="auto" w:fill="BDBDBD"/>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364" w:right="0"/>
              <w:jc w:val="center"/>
              <w:rPr>
                <w:rFonts w:ascii="宋体" w:hAnsi="宋体" w:cs="宋体" w:eastAsia="宋体" w:hint="default"/>
                <w:sz w:val="18"/>
                <w:szCs w:val="18"/>
              </w:rPr>
            </w:pPr>
            <w:r>
              <w:rPr>
                <w:rFonts w:ascii="宋体" w:hAnsi="宋体" w:cs="宋体" w:eastAsia="宋体" w:hint="default"/>
                <w:sz w:val="18"/>
                <w:szCs w:val="18"/>
              </w:rPr>
              <w:t>行权时间</w:t>
            </w:r>
          </w:p>
        </w:tc>
        <w:tc>
          <w:tcPr>
            <w:tcW w:w="1637" w:type="dxa"/>
            <w:vMerge w:val="restart"/>
            <w:tcBorders>
              <w:top w:val="single" w:sz="8" w:space="0" w:color="000000"/>
              <w:left w:val="single" w:sz="8" w:space="0" w:color="000000"/>
              <w:right w:val="single" w:sz="8" w:space="0" w:color="000000"/>
            </w:tcBorders>
            <w:shd w:val="clear" w:color="auto" w:fill="BDBDBD"/>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行权比例</w:t>
            </w:r>
          </w:p>
        </w:tc>
      </w:tr>
      <w:tr>
        <w:trPr>
          <w:trHeight w:val="427" w:hRule="exact"/>
        </w:trPr>
        <w:tc>
          <w:tcPr>
            <w:tcW w:w="1474" w:type="dxa"/>
            <w:vMerge/>
            <w:tcBorders>
              <w:left w:val="single" w:sz="8" w:space="0" w:color="000000"/>
              <w:bottom w:val="single" w:sz="8" w:space="0" w:color="000000"/>
              <w:right w:val="single" w:sz="8" w:space="0" w:color="000000"/>
            </w:tcBorders>
            <w:shd w:val="clear" w:color="auto" w:fill="BDBDBD"/>
          </w:tcPr>
          <w:p>
            <w:pPr/>
          </w:p>
        </w:tc>
        <w:tc>
          <w:tcPr>
            <w:tcW w:w="826" w:type="dxa"/>
            <w:vMerge/>
            <w:tcBorders>
              <w:left w:val="single" w:sz="8" w:space="0" w:color="000000"/>
              <w:bottom w:val="single" w:sz="8" w:space="0" w:color="000000"/>
              <w:right w:val="single" w:sz="8" w:space="0" w:color="000000"/>
            </w:tcBorders>
            <w:shd w:val="clear" w:color="auto" w:fill="BDBDBD"/>
          </w:tcPr>
          <w:p>
            <w:pPr/>
          </w:p>
        </w:tc>
        <w:tc>
          <w:tcPr>
            <w:tcW w:w="1003"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p>
        </w:tc>
        <w:tc>
          <w:tcPr>
            <w:tcW w:w="5450" w:type="dxa"/>
            <w:vMerge/>
            <w:tcBorders>
              <w:left w:val="single" w:sz="8" w:space="0" w:color="000000"/>
              <w:bottom w:val="single" w:sz="8" w:space="0" w:color="000000"/>
              <w:right w:val="single" w:sz="8" w:space="0" w:color="000000"/>
            </w:tcBorders>
            <w:shd w:val="clear" w:color="auto" w:fill="BDBDBD"/>
          </w:tcPr>
          <w:p>
            <w:pPr/>
          </w:p>
        </w:tc>
        <w:tc>
          <w:tcPr>
            <w:tcW w:w="1637" w:type="dxa"/>
            <w:vMerge/>
            <w:tcBorders>
              <w:left w:val="single" w:sz="8" w:space="0" w:color="000000"/>
              <w:bottom w:val="single" w:sz="8" w:space="0" w:color="000000"/>
              <w:right w:val="single" w:sz="8" w:space="0" w:color="000000"/>
            </w:tcBorders>
            <w:shd w:val="clear" w:color="auto" w:fill="BDBDBD"/>
          </w:tcPr>
          <w:p>
            <w:pPr/>
          </w:p>
        </w:tc>
      </w:tr>
      <w:tr>
        <w:trPr>
          <w:trHeight w:val="740" w:hRule="exact"/>
        </w:trPr>
        <w:tc>
          <w:tcPr>
            <w:tcW w:w="1474"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82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3,610,000</w:t>
            </w:r>
          </w:p>
        </w:tc>
        <w:tc>
          <w:tcPr>
            <w:tcW w:w="1003"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left="365" w:right="0"/>
              <w:jc w:val="left"/>
              <w:rPr>
                <w:rFonts w:ascii="宋体" w:hAnsi="宋体" w:cs="宋体" w:eastAsia="宋体" w:hint="default"/>
                <w:sz w:val="18"/>
                <w:szCs w:val="18"/>
              </w:rPr>
            </w:pPr>
            <w:r>
              <w:rPr>
                <w:rFonts w:ascii="宋体" w:hAnsi="宋体" w:cs="宋体" w:eastAsia="宋体" w:hint="default"/>
                <w:w w:val="101"/>
                <w:sz w:val="18"/>
                <w:szCs w:val="18"/>
              </w:rPr>
              <w:t>第</w:t>
            </w:r>
            <w:r>
              <w:rPr>
                <w:rFonts w:ascii="宋体" w:hAnsi="宋体" w:cs="宋体" w:eastAsia="宋体" w:hint="default"/>
                <w:spacing w:val="-5"/>
                <w:w w:val="101"/>
                <w:sz w:val="18"/>
                <w:szCs w:val="18"/>
              </w:rPr>
              <w:t>一</w:t>
            </w:r>
            <w:r>
              <w:rPr>
                <w:rFonts w:ascii="宋体" w:hAnsi="宋体" w:cs="宋体" w:eastAsia="宋体" w:hint="default"/>
                <w:w w:val="101"/>
                <w:sz w:val="18"/>
                <w:szCs w:val="18"/>
              </w:rPr>
              <w:t>个</w:t>
            </w:r>
            <w:r>
              <w:rPr>
                <w:rFonts w:ascii="宋体" w:hAnsi="宋体" w:cs="宋体" w:eastAsia="宋体" w:hint="default"/>
                <w:spacing w:val="-5"/>
                <w:w w:val="101"/>
                <w:sz w:val="18"/>
                <w:szCs w:val="18"/>
              </w:rPr>
              <w:t>行</w:t>
            </w:r>
            <w:r>
              <w:rPr>
                <w:rFonts w:ascii="宋体" w:hAnsi="宋体" w:cs="宋体" w:eastAsia="宋体" w:hint="default"/>
                <w:w w:val="101"/>
                <w:sz w:val="18"/>
                <w:szCs w:val="18"/>
              </w:rPr>
              <w:t>权期</w:t>
            </w:r>
            <w:r>
              <w:rPr>
                <w:rFonts w:ascii="宋体" w:hAnsi="宋体" w:cs="宋体" w:eastAsia="宋体" w:hint="default"/>
                <w:spacing w:val="-77"/>
                <w:w w:val="101"/>
                <w:sz w:val="18"/>
                <w:szCs w:val="18"/>
              </w:rPr>
              <w:t>：</w:t>
            </w:r>
            <w:r>
              <w:rPr>
                <w:rFonts w:ascii="宋体" w:hAnsi="宋体" w:cs="宋体" w:eastAsia="宋体" w:hint="default"/>
                <w:w w:val="101"/>
                <w:sz w:val="18"/>
                <w:szCs w:val="18"/>
              </w:rPr>
              <w:t>自</w:t>
            </w:r>
            <w:r>
              <w:rPr>
                <w:rFonts w:ascii="宋体" w:hAnsi="宋体" w:cs="宋体" w:eastAsia="宋体" w:hint="default"/>
                <w:spacing w:val="-5"/>
                <w:w w:val="101"/>
                <w:sz w:val="18"/>
                <w:szCs w:val="18"/>
              </w:rPr>
              <w:t>授</w:t>
            </w:r>
            <w:r>
              <w:rPr>
                <w:rFonts w:ascii="宋体" w:hAnsi="宋体" w:cs="宋体" w:eastAsia="宋体" w:hint="default"/>
                <w:w w:val="101"/>
                <w:sz w:val="18"/>
                <w:szCs w:val="18"/>
              </w:rPr>
              <w:t>予日起</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个</w:t>
            </w:r>
            <w:r>
              <w:rPr>
                <w:rFonts w:ascii="宋体" w:hAnsi="宋体" w:cs="宋体" w:eastAsia="宋体" w:hint="default"/>
                <w:w w:val="101"/>
                <w:sz w:val="18"/>
                <w:szCs w:val="18"/>
              </w:rPr>
              <w:t>月</w:t>
            </w:r>
            <w:r>
              <w:rPr>
                <w:rFonts w:ascii="宋体" w:hAnsi="宋体" w:cs="宋体" w:eastAsia="宋体" w:hint="default"/>
                <w:spacing w:val="-5"/>
                <w:w w:val="101"/>
                <w:sz w:val="18"/>
                <w:szCs w:val="18"/>
              </w:rPr>
              <w:t>后</w:t>
            </w:r>
            <w:r>
              <w:rPr>
                <w:rFonts w:ascii="宋体" w:hAnsi="宋体" w:cs="宋体" w:eastAsia="宋体" w:hint="default"/>
                <w:w w:val="101"/>
                <w:sz w:val="18"/>
                <w:szCs w:val="18"/>
              </w:rPr>
              <w:t>的</w:t>
            </w:r>
            <w:r>
              <w:rPr>
                <w:rFonts w:ascii="宋体" w:hAnsi="宋体" w:cs="宋体" w:eastAsia="宋体" w:hint="default"/>
                <w:spacing w:val="-5"/>
                <w:w w:val="101"/>
                <w:sz w:val="18"/>
                <w:szCs w:val="18"/>
              </w:rPr>
              <w:t>首</w:t>
            </w:r>
            <w:r>
              <w:rPr>
                <w:rFonts w:ascii="宋体" w:hAnsi="宋体" w:cs="宋体" w:eastAsia="宋体" w:hint="default"/>
                <w:w w:val="101"/>
                <w:sz w:val="18"/>
                <w:szCs w:val="18"/>
              </w:rPr>
              <w:t>个</w:t>
            </w:r>
            <w:r>
              <w:rPr>
                <w:rFonts w:ascii="宋体" w:hAnsi="宋体" w:cs="宋体" w:eastAsia="宋体" w:hint="default"/>
                <w:spacing w:val="-5"/>
                <w:w w:val="101"/>
                <w:sz w:val="18"/>
                <w:szCs w:val="18"/>
              </w:rPr>
              <w:t>交</w:t>
            </w:r>
            <w:r>
              <w:rPr>
                <w:rFonts w:ascii="宋体" w:hAnsi="宋体" w:cs="宋体" w:eastAsia="宋体" w:hint="default"/>
                <w:w w:val="101"/>
                <w:sz w:val="18"/>
                <w:szCs w:val="18"/>
              </w:rPr>
              <w:t>易</w:t>
            </w:r>
            <w:r>
              <w:rPr>
                <w:rFonts w:ascii="宋体" w:hAnsi="宋体" w:cs="宋体" w:eastAsia="宋体" w:hint="default"/>
                <w:spacing w:val="-5"/>
                <w:w w:val="101"/>
                <w:sz w:val="18"/>
                <w:szCs w:val="18"/>
              </w:rPr>
              <w:t>日</w:t>
            </w:r>
            <w:r>
              <w:rPr>
                <w:rFonts w:ascii="宋体" w:hAnsi="宋体" w:cs="宋体" w:eastAsia="宋体" w:hint="default"/>
                <w:w w:val="101"/>
                <w:sz w:val="18"/>
                <w:szCs w:val="18"/>
              </w:rPr>
              <w:t>起</w:t>
            </w:r>
            <w:r>
              <w:rPr>
                <w:rFonts w:ascii="宋体" w:hAnsi="宋体" w:cs="宋体" w:eastAsia="宋体" w:hint="default"/>
                <w:spacing w:val="-5"/>
                <w:w w:val="101"/>
                <w:sz w:val="18"/>
                <w:szCs w:val="18"/>
              </w:rPr>
              <w:t>至</w:t>
            </w:r>
            <w:r>
              <w:rPr>
                <w:rFonts w:ascii="宋体" w:hAnsi="宋体" w:cs="宋体" w:eastAsia="宋体" w:hint="default"/>
                <w:w w:val="101"/>
                <w:sz w:val="18"/>
                <w:szCs w:val="18"/>
              </w:rPr>
              <w:t>授</w:t>
            </w:r>
            <w:r>
              <w:rPr>
                <w:rFonts w:ascii="宋体" w:hAnsi="宋体" w:cs="宋体" w:eastAsia="宋体" w:hint="default"/>
                <w:spacing w:val="-5"/>
                <w:w w:val="101"/>
                <w:sz w:val="18"/>
                <w:szCs w:val="18"/>
              </w:rPr>
              <w:t>予日</w:t>
            </w:r>
            <w:r>
              <w:rPr>
                <w:rFonts w:ascii="宋体" w:hAnsi="宋体" w:cs="宋体" w:eastAsia="宋体" w:hint="default"/>
                <w:w w:val="101"/>
                <w:sz w:val="18"/>
                <w:szCs w:val="18"/>
              </w:rPr>
              <w:t>起</w:t>
            </w:r>
            <w:r>
              <w:rPr>
                <w:rFonts w:ascii="宋体" w:hAnsi="宋体" w:cs="宋体" w:eastAsia="宋体" w:hint="default"/>
                <w:sz w:val="18"/>
                <w:szCs w:val="18"/>
              </w:rPr>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个月内的最后一个交易日当日止；</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第一个行权期：</w:t>
            </w:r>
            <w:r>
              <w:rPr>
                <w:rFonts w:ascii="Times New Roman" w:hAnsi="Times New Roman" w:cs="Times New Roman" w:eastAsia="Times New Roman" w:hint="default"/>
                <w:sz w:val="18"/>
                <w:szCs w:val="18"/>
              </w:rPr>
              <w:t>50%</w:t>
            </w:r>
          </w:p>
        </w:tc>
      </w:tr>
      <w:tr>
        <w:trPr>
          <w:trHeight w:val="739" w:hRule="exact"/>
        </w:trPr>
        <w:tc>
          <w:tcPr>
            <w:tcW w:w="1474" w:type="dxa"/>
            <w:vMerge/>
            <w:tcBorders>
              <w:left w:val="single" w:sz="8" w:space="0" w:color="000000"/>
              <w:bottom w:val="single" w:sz="8" w:space="0" w:color="000000"/>
              <w:right w:val="single" w:sz="8" w:space="0" w:color="000000"/>
            </w:tcBorders>
          </w:tcPr>
          <w:p>
            <w:pPr/>
          </w:p>
        </w:tc>
        <w:tc>
          <w:tcPr>
            <w:tcW w:w="826" w:type="dxa"/>
            <w:vMerge/>
            <w:tcBorders>
              <w:left w:val="single" w:sz="8" w:space="0" w:color="000000"/>
              <w:bottom w:val="single" w:sz="8" w:space="0" w:color="000000"/>
              <w:right w:val="single" w:sz="8" w:space="0" w:color="000000"/>
            </w:tcBorders>
          </w:tcPr>
          <w:p>
            <w:pPr/>
          </w:p>
        </w:tc>
        <w:tc>
          <w:tcPr>
            <w:tcW w:w="1003" w:type="dxa"/>
            <w:vMerge/>
            <w:tcBorders>
              <w:left w:val="single" w:sz="8" w:space="0" w:color="000000"/>
              <w:bottom w:val="single" w:sz="8" w:space="0" w:color="000000"/>
              <w:right w:val="single" w:sz="8" w:space="0" w:color="000000"/>
            </w:tcBorders>
          </w:tcPr>
          <w:p>
            <w:pPr/>
          </w:p>
        </w:tc>
        <w:tc>
          <w:tcPr>
            <w:tcW w:w="5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365" w:right="0"/>
              <w:jc w:val="left"/>
              <w:rPr>
                <w:rFonts w:ascii="宋体" w:hAnsi="宋体" w:cs="宋体" w:eastAsia="宋体" w:hint="default"/>
                <w:sz w:val="18"/>
                <w:szCs w:val="18"/>
              </w:rPr>
            </w:pPr>
            <w:r>
              <w:rPr>
                <w:rFonts w:ascii="宋体" w:hAnsi="宋体" w:cs="宋体" w:eastAsia="宋体" w:hint="default"/>
                <w:w w:val="101"/>
                <w:sz w:val="18"/>
                <w:szCs w:val="18"/>
              </w:rPr>
              <w:t>第</w:t>
            </w:r>
            <w:r>
              <w:rPr>
                <w:rFonts w:ascii="宋体" w:hAnsi="宋体" w:cs="宋体" w:eastAsia="宋体" w:hint="default"/>
                <w:spacing w:val="-5"/>
                <w:w w:val="101"/>
                <w:sz w:val="18"/>
                <w:szCs w:val="18"/>
              </w:rPr>
              <w:t>二</w:t>
            </w:r>
            <w:r>
              <w:rPr>
                <w:rFonts w:ascii="宋体" w:hAnsi="宋体" w:cs="宋体" w:eastAsia="宋体" w:hint="default"/>
                <w:w w:val="101"/>
                <w:sz w:val="18"/>
                <w:szCs w:val="18"/>
              </w:rPr>
              <w:t>个</w:t>
            </w:r>
            <w:r>
              <w:rPr>
                <w:rFonts w:ascii="宋体" w:hAnsi="宋体" w:cs="宋体" w:eastAsia="宋体" w:hint="default"/>
                <w:spacing w:val="-5"/>
                <w:w w:val="101"/>
                <w:sz w:val="18"/>
                <w:szCs w:val="18"/>
              </w:rPr>
              <w:t>行</w:t>
            </w:r>
            <w:r>
              <w:rPr>
                <w:rFonts w:ascii="宋体" w:hAnsi="宋体" w:cs="宋体" w:eastAsia="宋体" w:hint="default"/>
                <w:w w:val="101"/>
                <w:sz w:val="18"/>
                <w:szCs w:val="18"/>
              </w:rPr>
              <w:t>权期</w:t>
            </w:r>
            <w:r>
              <w:rPr>
                <w:rFonts w:ascii="宋体" w:hAnsi="宋体" w:cs="宋体" w:eastAsia="宋体" w:hint="default"/>
                <w:spacing w:val="-77"/>
                <w:w w:val="101"/>
                <w:sz w:val="18"/>
                <w:szCs w:val="18"/>
              </w:rPr>
              <w:t>：</w:t>
            </w:r>
            <w:r>
              <w:rPr>
                <w:rFonts w:ascii="宋体" w:hAnsi="宋体" w:cs="宋体" w:eastAsia="宋体" w:hint="default"/>
                <w:w w:val="101"/>
                <w:sz w:val="18"/>
                <w:szCs w:val="18"/>
              </w:rPr>
              <w:t>自</w:t>
            </w:r>
            <w:r>
              <w:rPr>
                <w:rFonts w:ascii="宋体" w:hAnsi="宋体" w:cs="宋体" w:eastAsia="宋体" w:hint="default"/>
                <w:spacing w:val="-5"/>
                <w:w w:val="101"/>
                <w:sz w:val="18"/>
                <w:szCs w:val="18"/>
              </w:rPr>
              <w:t>授</w:t>
            </w:r>
            <w:r>
              <w:rPr>
                <w:rFonts w:ascii="宋体" w:hAnsi="宋体" w:cs="宋体" w:eastAsia="宋体" w:hint="default"/>
                <w:w w:val="101"/>
                <w:sz w:val="18"/>
                <w:szCs w:val="18"/>
              </w:rPr>
              <w:t>予日起</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个</w:t>
            </w:r>
            <w:r>
              <w:rPr>
                <w:rFonts w:ascii="宋体" w:hAnsi="宋体" w:cs="宋体" w:eastAsia="宋体" w:hint="default"/>
                <w:w w:val="101"/>
                <w:sz w:val="18"/>
                <w:szCs w:val="18"/>
              </w:rPr>
              <w:t>月</w:t>
            </w:r>
            <w:r>
              <w:rPr>
                <w:rFonts w:ascii="宋体" w:hAnsi="宋体" w:cs="宋体" w:eastAsia="宋体" w:hint="default"/>
                <w:spacing w:val="-5"/>
                <w:w w:val="101"/>
                <w:sz w:val="18"/>
                <w:szCs w:val="18"/>
              </w:rPr>
              <w:t>后</w:t>
            </w:r>
            <w:r>
              <w:rPr>
                <w:rFonts w:ascii="宋体" w:hAnsi="宋体" w:cs="宋体" w:eastAsia="宋体" w:hint="default"/>
                <w:w w:val="101"/>
                <w:sz w:val="18"/>
                <w:szCs w:val="18"/>
              </w:rPr>
              <w:t>的</w:t>
            </w:r>
            <w:r>
              <w:rPr>
                <w:rFonts w:ascii="宋体" w:hAnsi="宋体" w:cs="宋体" w:eastAsia="宋体" w:hint="default"/>
                <w:spacing w:val="-5"/>
                <w:w w:val="101"/>
                <w:sz w:val="18"/>
                <w:szCs w:val="18"/>
              </w:rPr>
              <w:t>首</w:t>
            </w:r>
            <w:r>
              <w:rPr>
                <w:rFonts w:ascii="宋体" w:hAnsi="宋体" w:cs="宋体" w:eastAsia="宋体" w:hint="default"/>
                <w:w w:val="101"/>
                <w:sz w:val="18"/>
                <w:szCs w:val="18"/>
              </w:rPr>
              <w:t>个</w:t>
            </w:r>
            <w:r>
              <w:rPr>
                <w:rFonts w:ascii="宋体" w:hAnsi="宋体" w:cs="宋体" w:eastAsia="宋体" w:hint="default"/>
                <w:spacing w:val="-5"/>
                <w:w w:val="101"/>
                <w:sz w:val="18"/>
                <w:szCs w:val="18"/>
              </w:rPr>
              <w:t>交</w:t>
            </w:r>
            <w:r>
              <w:rPr>
                <w:rFonts w:ascii="宋体" w:hAnsi="宋体" w:cs="宋体" w:eastAsia="宋体" w:hint="default"/>
                <w:w w:val="101"/>
                <w:sz w:val="18"/>
                <w:szCs w:val="18"/>
              </w:rPr>
              <w:t>易</w:t>
            </w:r>
            <w:r>
              <w:rPr>
                <w:rFonts w:ascii="宋体" w:hAnsi="宋体" w:cs="宋体" w:eastAsia="宋体" w:hint="default"/>
                <w:spacing w:val="-5"/>
                <w:w w:val="101"/>
                <w:sz w:val="18"/>
                <w:szCs w:val="18"/>
              </w:rPr>
              <w:t>日</w:t>
            </w:r>
            <w:r>
              <w:rPr>
                <w:rFonts w:ascii="宋体" w:hAnsi="宋体" w:cs="宋体" w:eastAsia="宋体" w:hint="default"/>
                <w:w w:val="101"/>
                <w:sz w:val="18"/>
                <w:szCs w:val="18"/>
              </w:rPr>
              <w:t>起</w:t>
            </w:r>
            <w:r>
              <w:rPr>
                <w:rFonts w:ascii="宋体" w:hAnsi="宋体" w:cs="宋体" w:eastAsia="宋体" w:hint="default"/>
                <w:spacing w:val="-5"/>
                <w:w w:val="101"/>
                <w:sz w:val="18"/>
                <w:szCs w:val="18"/>
              </w:rPr>
              <w:t>至</w:t>
            </w:r>
            <w:r>
              <w:rPr>
                <w:rFonts w:ascii="宋体" w:hAnsi="宋体" w:cs="宋体" w:eastAsia="宋体" w:hint="default"/>
                <w:w w:val="101"/>
                <w:sz w:val="18"/>
                <w:szCs w:val="18"/>
              </w:rPr>
              <w:t>授</w:t>
            </w:r>
            <w:r>
              <w:rPr>
                <w:rFonts w:ascii="宋体" w:hAnsi="宋体" w:cs="宋体" w:eastAsia="宋体" w:hint="default"/>
                <w:spacing w:val="-5"/>
                <w:w w:val="101"/>
                <w:sz w:val="18"/>
                <w:szCs w:val="18"/>
              </w:rPr>
              <w:t>予日</w:t>
            </w:r>
            <w:r>
              <w:rPr>
                <w:rFonts w:ascii="宋体" w:hAnsi="宋体" w:cs="宋体" w:eastAsia="宋体" w:hint="default"/>
                <w:w w:val="101"/>
                <w:sz w:val="18"/>
                <w:szCs w:val="18"/>
              </w:rPr>
              <w:t>起</w:t>
            </w:r>
            <w:r>
              <w:rPr>
                <w:rFonts w:ascii="宋体" w:hAnsi="宋体" w:cs="宋体" w:eastAsia="宋体" w:hint="default"/>
                <w:sz w:val="18"/>
                <w:szCs w:val="18"/>
              </w:rPr>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个月内的最后一个交易日当日止。</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第二个行权期：</w:t>
            </w:r>
            <w:r>
              <w:rPr>
                <w:rFonts w:ascii="Times New Roman" w:hAnsi="Times New Roman" w:cs="Times New Roman" w:eastAsia="Times New Roman" w:hint="default"/>
                <w:sz w:val="18"/>
                <w:szCs w:val="18"/>
              </w:rPr>
              <w:t>50%</w:t>
            </w:r>
          </w:p>
        </w:tc>
      </w:tr>
      <w:tr>
        <w:trPr>
          <w:trHeight w:val="965" w:hRule="exact"/>
        </w:trPr>
        <w:tc>
          <w:tcPr>
            <w:tcW w:w="1474"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81" w:right="0"/>
              <w:jc w:val="left"/>
              <w:rPr>
                <w:rFonts w:ascii="Times New Roman" w:hAnsi="Times New Roman" w:cs="Times New Roman" w:eastAsia="Times New Roman" w:hint="default"/>
                <w:sz w:val="18"/>
                <w:szCs w:val="18"/>
              </w:rPr>
            </w:pPr>
            <w:r>
              <w:rPr>
                <w:rFonts w:ascii="Times New Roman"/>
                <w:sz w:val="18"/>
              </w:rPr>
              <w:t>8,200,000</w:t>
            </w:r>
          </w:p>
        </w:tc>
        <w:tc>
          <w:tcPr>
            <w:tcW w:w="1003"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365" w:right="0"/>
              <w:jc w:val="left"/>
              <w:rPr>
                <w:rFonts w:ascii="宋体" w:hAnsi="宋体" w:cs="宋体" w:eastAsia="宋体" w:hint="default"/>
                <w:sz w:val="18"/>
                <w:szCs w:val="18"/>
              </w:rPr>
            </w:pPr>
            <w:r>
              <w:rPr>
                <w:rFonts w:ascii="宋体" w:hAnsi="宋体" w:cs="宋体" w:eastAsia="宋体" w:hint="default"/>
                <w:w w:val="101"/>
                <w:sz w:val="18"/>
                <w:szCs w:val="18"/>
              </w:rPr>
              <w:t>第</w:t>
            </w:r>
            <w:r>
              <w:rPr>
                <w:rFonts w:ascii="宋体" w:hAnsi="宋体" w:cs="宋体" w:eastAsia="宋体" w:hint="default"/>
                <w:spacing w:val="-5"/>
                <w:w w:val="101"/>
                <w:sz w:val="18"/>
                <w:szCs w:val="18"/>
              </w:rPr>
              <w:t>一</w:t>
            </w:r>
            <w:r>
              <w:rPr>
                <w:rFonts w:ascii="宋体" w:hAnsi="宋体" w:cs="宋体" w:eastAsia="宋体" w:hint="default"/>
                <w:w w:val="101"/>
                <w:sz w:val="18"/>
                <w:szCs w:val="18"/>
              </w:rPr>
              <w:t>个</w:t>
            </w:r>
            <w:r>
              <w:rPr>
                <w:rFonts w:ascii="宋体" w:hAnsi="宋体" w:cs="宋体" w:eastAsia="宋体" w:hint="default"/>
                <w:spacing w:val="-5"/>
                <w:w w:val="101"/>
                <w:sz w:val="18"/>
                <w:szCs w:val="18"/>
              </w:rPr>
              <w:t>行</w:t>
            </w:r>
            <w:r>
              <w:rPr>
                <w:rFonts w:ascii="宋体" w:hAnsi="宋体" w:cs="宋体" w:eastAsia="宋体" w:hint="default"/>
                <w:w w:val="101"/>
                <w:sz w:val="18"/>
                <w:szCs w:val="18"/>
              </w:rPr>
              <w:t>权期</w:t>
            </w:r>
            <w:r>
              <w:rPr>
                <w:rFonts w:ascii="宋体" w:hAnsi="宋体" w:cs="宋体" w:eastAsia="宋体" w:hint="default"/>
                <w:spacing w:val="-77"/>
                <w:w w:val="101"/>
                <w:sz w:val="18"/>
                <w:szCs w:val="18"/>
              </w:rPr>
              <w:t>：</w:t>
            </w:r>
            <w:r>
              <w:rPr>
                <w:rFonts w:ascii="宋体" w:hAnsi="宋体" w:cs="宋体" w:eastAsia="宋体" w:hint="default"/>
                <w:w w:val="101"/>
                <w:sz w:val="18"/>
                <w:szCs w:val="18"/>
              </w:rPr>
              <w:t>自</w:t>
            </w:r>
            <w:r>
              <w:rPr>
                <w:rFonts w:ascii="宋体" w:hAnsi="宋体" w:cs="宋体" w:eastAsia="宋体" w:hint="default"/>
                <w:spacing w:val="-5"/>
                <w:w w:val="101"/>
                <w:sz w:val="18"/>
                <w:szCs w:val="18"/>
              </w:rPr>
              <w:t>授</w:t>
            </w:r>
            <w:r>
              <w:rPr>
                <w:rFonts w:ascii="宋体" w:hAnsi="宋体" w:cs="宋体" w:eastAsia="宋体" w:hint="default"/>
                <w:w w:val="101"/>
                <w:sz w:val="18"/>
                <w:szCs w:val="18"/>
              </w:rPr>
              <w:t>予日起</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个</w:t>
            </w:r>
            <w:r>
              <w:rPr>
                <w:rFonts w:ascii="宋体" w:hAnsi="宋体" w:cs="宋体" w:eastAsia="宋体" w:hint="default"/>
                <w:w w:val="101"/>
                <w:sz w:val="18"/>
                <w:szCs w:val="18"/>
              </w:rPr>
              <w:t>月</w:t>
            </w:r>
            <w:r>
              <w:rPr>
                <w:rFonts w:ascii="宋体" w:hAnsi="宋体" w:cs="宋体" w:eastAsia="宋体" w:hint="default"/>
                <w:spacing w:val="-5"/>
                <w:w w:val="101"/>
                <w:sz w:val="18"/>
                <w:szCs w:val="18"/>
              </w:rPr>
              <w:t>后</w:t>
            </w:r>
            <w:r>
              <w:rPr>
                <w:rFonts w:ascii="宋体" w:hAnsi="宋体" w:cs="宋体" w:eastAsia="宋体" w:hint="default"/>
                <w:w w:val="101"/>
                <w:sz w:val="18"/>
                <w:szCs w:val="18"/>
              </w:rPr>
              <w:t>的</w:t>
            </w:r>
            <w:r>
              <w:rPr>
                <w:rFonts w:ascii="宋体" w:hAnsi="宋体" w:cs="宋体" w:eastAsia="宋体" w:hint="default"/>
                <w:spacing w:val="-5"/>
                <w:w w:val="101"/>
                <w:sz w:val="18"/>
                <w:szCs w:val="18"/>
              </w:rPr>
              <w:t>首</w:t>
            </w:r>
            <w:r>
              <w:rPr>
                <w:rFonts w:ascii="宋体" w:hAnsi="宋体" w:cs="宋体" w:eastAsia="宋体" w:hint="default"/>
                <w:w w:val="101"/>
                <w:sz w:val="18"/>
                <w:szCs w:val="18"/>
              </w:rPr>
              <w:t>个</w:t>
            </w:r>
            <w:r>
              <w:rPr>
                <w:rFonts w:ascii="宋体" w:hAnsi="宋体" w:cs="宋体" w:eastAsia="宋体" w:hint="default"/>
                <w:spacing w:val="-5"/>
                <w:w w:val="101"/>
                <w:sz w:val="18"/>
                <w:szCs w:val="18"/>
              </w:rPr>
              <w:t>交</w:t>
            </w:r>
            <w:r>
              <w:rPr>
                <w:rFonts w:ascii="宋体" w:hAnsi="宋体" w:cs="宋体" w:eastAsia="宋体" w:hint="default"/>
                <w:w w:val="101"/>
                <w:sz w:val="18"/>
                <w:szCs w:val="18"/>
              </w:rPr>
              <w:t>易</w:t>
            </w:r>
            <w:r>
              <w:rPr>
                <w:rFonts w:ascii="宋体" w:hAnsi="宋体" w:cs="宋体" w:eastAsia="宋体" w:hint="default"/>
                <w:spacing w:val="-5"/>
                <w:w w:val="101"/>
                <w:sz w:val="18"/>
                <w:szCs w:val="18"/>
              </w:rPr>
              <w:t>日</w:t>
            </w:r>
            <w:r>
              <w:rPr>
                <w:rFonts w:ascii="宋体" w:hAnsi="宋体" w:cs="宋体" w:eastAsia="宋体" w:hint="default"/>
                <w:w w:val="101"/>
                <w:sz w:val="18"/>
                <w:szCs w:val="18"/>
              </w:rPr>
              <w:t>起</w:t>
            </w:r>
            <w:r>
              <w:rPr>
                <w:rFonts w:ascii="宋体" w:hAnsi="宋体" w:cs="宋体" w:eastAsia="宋体" w:hint="default"/>
                <w:spacing w:val="-5"/>
                <w:w w:val="101"/>
                <w:sz w:val="18"/>
                <w:szCs w:val="18"/>
              </w:rPr>
              <w:t>至</w:t>
            </w:r>
            <w:r>
              <w:rPr>
                <w:rFonts w:ascii="宋体" w:hAnsi="宋体" w:cs="宋体" w:eastAsia="宋体" w:hint="default"/>
                <w:w w:val="101"/>
                <w:sz w:val="18"/>
                <w:szCs w:val="18"/>
              </w:rPr>
              <w:t>授</w:t>
            </w:r>
            <w:r>
              <w:rPr>
                <w:rFonts w:ascii="宋体" w:hAnsi="宋体" w:cs="宋体" w:eastAsia="宋体" w:hint="default"/>
                <w:spacing w:val="-5"/>
                <w:w w:val="101"/>
                <w:sz w:val="18"/>
                <w:szCs w:val="18"/>
              </w:rPr>
              <w:t>予日</w:t>
            </w:r>
            <w:r>
              <w:rPr>
                <w:rFonts w:ascii="宋体" w:hAnsi="宋体" w:cs="宋体" w:eastAsia="宋体" w:hint="default"/>
                <w:w w:val="101"/>
                <w:sz w:val="18"/>
                <w:szCs w:val="18"/>
              </w:rPr>
              <w:t>起</w:t>
            </w:r>
            <w:r>
              <w:rPr>
                <w:rFonts w:ascii="宋体" w:hAnsi="宋体" w:cs="宋体" w:eastAsia="宋体" w:hint="default"/>
                <w:sz w:val="18"/>
                <w:szCs w:val="18"/>
              </w:rPr>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个月内的最后一个交易日当日止；</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第一个行权期：</w:t>
            </w:r>
            <w:r>
              <w:rPr>
                <w:rFonts w:ascii="Times New Roman" w:hAnsi="Times New Roman" w:cs="Times New Roman" w:eastAsia="Times New Roman" w:hint="default"/>
                <w:sz w:val="18"/>
                <w:szCs w:val="18"/>
              </w:rPr>
              <w:t>50%</w:t>
            </w:r>
          </w:p>
        </w:tc>
      </w:tr>
      <w:tr>
        <w:trPr>
          <w:trHeight w:val="950" w:hRule="exact"/>
        </w:trPr>
        <w:tc>
          <w:tcPr>
            <w:tcW w:w="1474" w:type="dxa"/>
            <w:vMerge/>
            <w:tcBorders>
              <w:left w:val="single" w:sz="8" w:space="0" w:color="000000"/>
              <w:bottom w:val="single" w:sz="8" w:space="0" w:color="000000"/>
              <w:right w:val="single" w:sz="8" w:space="0" w:color="000000"/>
            </w:tcBorders>
          </w:tcPr>
          <w:p>
            <w:pPr/>
          </w:p>
        </w:tc>
        <w:tc>
          <w:tcPr>
            <w:tcW w:w="826" w:type="dxa"/>
            <w:vMerge/>
            <w:tcBorders>
              <w:left w:val="single" w:sz="8" w:space="0" w:color="000000"/>
              <w:bottom w:val="single" w:sz="8" w:space="0" w:color="000000"/>
              <w:right w:val="single" w:sz="8" w:space="0" w:color="000000"/>
            </w:tcBorders>
          </w:tcPr>
          <w:p>
            <w:pPr/>
          </w:p>
        </w:tc>
        <w:tc>
          <w:tcPr>
            <w:tcW w:w="1003" w:type="dxa"/>
            <w:vMerge/>
            <w:tcBorders>
              <w:left w:val="single" w:sz="8" w:space="0" w:color="000000"/>
              <w:bottom w:val="single" w:sz="8" w:space="0" w:color="000000"/>
              <w:right w:val="single" w:sz="8" w:space="0" w:color="000000"/>
            </w:tcBorders>
          </w:tcPr>
          <w:p>
            <w:pPr/>
          </w:p>
        </w:tc>
        <w:tc>
          <w:tcPr>
            <w:tcW w:w="5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365" w:right="0"/>
              <w:jc w:val="left"/>
              <w:rPr>
                <w:rFonts w:ascii="宋体" w:hAnsi="宋体" w:cs="宋体" w:eastAsia="宋体" w:hint="default"/>
                <w:sz w:val="18"/>
                <w:szCs w:val="18"/>
              </w:rPr>
            </w:pPr>
            <w:r>
              <w:rPr>
                <w:rFonts w:ascii="宋体" w:hAnsi="宋体" w:cs="宋体" w:eastAsia="宋体" w:hint="default"/>
                <w:w w:val="101"/>
                <w:sz w:val="18"/>
                <w:szCs w:val="18"/>
              </w:rPr>
              <w:t>第</w:t>
            </w:r>
            <w:r>
              <w:rPr>
                <w:rFonts w:ascii="宋体" w:hAnsi="宋体" w:cs="宋体" w:eastAsia="宋体" w:hint="default"/>
                <w:spacing w:val="-5"/>
                <w:w w:val="101"/>
                <w:sz w:val="18"/>
                <w:szCs w:val="18"/>
              </w:rPr>
              <w:t>二</w:t>
            </w:r>
            <w:r>
              <w:rPr>
                <w:rFonts w:ascii="宋体" w:hAnsi="宋体" w:cs="宋体" w:eastAsia="宋体" w:hint="default"/>
                <w:w w:val="101"/>
                <w:sz w:val="18"/>
                <w:szCs w:val="18"/>
              </w:rPr>
              <w:t>个</w:t>
            </w:r>
            <w:r>
              <w:rPr>
                <w:rFonts w:ascii="宋体" w:hAnsi="宋体" w:cs="宋体" w:eastAsia="宋体" w:hint="default"/>
                <w:spacing w:val="-5"/>
                <w:w w:val="101"/>
                <w:sz w:val="18"/>
                <w:szCs w:val="18"/>
              </w:rPr>
              <w:t>行</w:t>
            </w:r>
            <w:r>
              <w:rPr>
                <w:rFonts w:ascii="宋体" w:hAnsi="宋体" w:cs="宋体" w:eastAsia="宋体" w:hint="default"/>
                <w:w w:val="101"/>
                <w:sz w:val="18"/>
                <w:szCs w:val="18"/>
              </w:rPr>
              <w:t>权期</w:t>
            </w:r>
            <w:r>
              <w:rPr>
                <w:rFonts w:ascii="宋体" w:hAnsi="宋体" w:cs="宋体" w:eastAsia="宋体" w:hint="default"/>
                <w:spacing w:val="-77"/>
                <w:w w:val="101"/>
                <w:sz w:val="18"/>
                <w:szCs w:val="18"/>
              </w:rPr>
              <w:t>：</w:t>
            </w:r>
            <w:r>
              <w:rPr>
                <w:rFonts w:ascii="宋体" w:hAnsi="宋体" w:cs="宋体" w:eastAsia="宋体" w:hint="default"/>
                <w:w w:val="101"/>
                <w:sz w:val="18"/>
                <w:szCs w:val="18"/>
              </w:rPr>
              <w:t>自</w:t>
            </w:r>
            <w:r>
              <w:rPr>
                <w:rFonts w:ascii="宋体" w:hAnsi="宋体" w:cs="宋体" w:eastAsia="宋体" w:hint="default"/>
                <w:spacing w:val="-5"/>
                <w:w w:val="101"/>
                <w:sz w:val="18"/>
                <w:szCs w:val="18"/>
              </w:rPr>
              <w:t>授</w:t>
            </w:r>
            <w:r>
              <w:rPr>
                <w:rFonts w:ascii="宋体" w:hAnsi="宋体" w:cs="宋体" w:eastAsia="宋体" w:hint="default"/>
                <w:w w:val="101"/>
                <w:sz w:val="18"/>
                <w:szCs w:val="18"/>
              </w:rPr>
              <w:t>予日起</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个</w:t>
            </w:r>
            <w:r>
              <w:rPr>
                <w:rFonts w:ascii="宋体" w:hAnsi="宋体" w:cs="宋体" w:eastAsia="宋体" w:hint="default"/>
                <w:w w:val="101"/>
                <w:sz w:val="18"/>
                <w:szCs w:val="18"/>
              </w:rPr>
              <w:t>月</w:t>
            </w:r>
            <w:r>
              <w:rPr>
                <w:rFonts w:ascii="宋体" w:hAnsi="宋体" w:cs="宋体" w:eastAsia="宋体" w:hint="default"/>
                <w:spacing w:val="-5"/>
                <w:w w:val="101"/>
                <w:sz w:val="18"/>
                <w:szCs w:val="18"/>
              </w:rPr>
              <w:t>后</w:t>
            </w:r>
            <w:r>
              <w:rPr>
                <w:rFonts w:ascii="宋体" w:hAnsi="宋体" w:cs="宋体" w:eastAsia="宋体" w:hint="default"/>
                <w:w w:val="101"/>
                <w:sz w:val="18"/>
                <w:szCs w:val="18"/>
              </w:rPr>
              <w:t>的</w:t>
            </w:r>
            <w:r>
              <w:rPr>
                <w:rFonts w:ascii="宋体" w:hAnsi="宋体" w:cs="宋体" w:eastAsia="宋体" w:hint="default"/>
                <w:spacing w:val="-5"/>
                <w:w w:val="101"/>
                <w:sz w:val="18"/>
                <w:szCs w:val="18"/>
              </w:rPr>
              <w:t>首</w:t>
            </w:r>
            <w:r>
              <w:rPr>
                <w:rFonts w:ascii="宋体" w:hAnsi="宋体" w:cs="宋体" w:eastAsia="宋体" w:hint="default"/>
                <w:w w:val="101"/>
                <w:sz w:val="18"/>
                <w:szCs w:val="18"/>
              </w:rPr>
              <w:t>个</w:t>
            </w:r>
            <w:r>
              <w:rPr>
                <w:rFonts w:ascii="宋体" w:hAnsi="宋体" w:cs="宋体" w:eastAsia="宋体" w:hint="default"/>
                <w:spacing w:val="-5"/>
                <w:w w:val="101"/>
                <w:sz w:val="18"/>
                <w:szCs w:val="18"/>
              </w:rPr>
              <w:t>交</w:t>
            </w:r>
            <w:r>
              <w:rPr>
                <w:rFonts w:ascii="宋体" w:hAnsi="宋体" w:cs="宋体" w:eastAsia="宋体" w:hint="default"/>
                <w:w w:val="101"/>
                <w:sz w:val="18"/>
                <w:szCs w:val="18"/>
              </w:rPr>
              <w:t>易</w:t>
            </w:r>
            <w:r>
              <w:rPr>
                <w:rFonts w:ascii="宋体" w:hAnsi="宋体" w:cs="宋体" w:eastAsia="宋体" w:hint="default"/>
                <w:spacing w:val="-5"/>
                <w:w w:val="101"/>
                <w:sz w:val="18"/>
                <w:szCs w:val="18"/>
              </w:rPr>
              <w:t>日</w:t>
            </w:r>
            <w:r>
              <w:rPr>
                <w:rFonts w:ascii="宋体" w:hAnsi="宋体" w:cs="宋体" w:eastAsia="宋体" w:hint="default"/>
                <w:w w:val="101"/>
                <w:sz w:val="18"/>
                <w:szCs w:val="18"/>
              </w:rPr>
              <w:t>起</w:t>
            </w:r>
            <w:r>
              <w:rPr>
                <w:rFonts w:ascii="宋体" w:hAnsi="宋体" w:cs="宋体" w:eastAsia="宋体" w:hint="default"/>
                <w:spacing w:val="-5"/>
                <w:w w:val="101"/>
                <w:sz w:val="18"/>
                <w:szCs w:val="18"/>
              </w:rPr>
              <w:t>至</w:t>
            </w:r>
            <w:r>
              <w:rPr>
                <w:rFonts w:ascii="宋体" w:hAnsi="宋体" w:cs="宋体" w:eastAsia="宋体" w:hint="default"/>
                <w:w w:val="101"/>
                <w:sz w:val="18"/>
                <w:szCs w:val="18"/>
              </w:rPr>
              <w:t>授</w:t>
            </w:r>
            <w:r>
              <w:rPr>
                <w:rFonts w:ascii="宋体" w:hAnsi="宋体" w:cs="宋体" w:eastAsia="宋体" w:hint="default"/>
                <w:spacing w:val="-5"/>
                <w:w w:val="101"/>
                <w:sz w:val="18"/>
                <w:szCs w:val="18"/>
              </w:rPr>
              <w:t>予日</w:t>
            </w:r>
            <w:r>
              <w:rPr>
                <w:rFonts w:ascii="宋体" w:hAnsi="宋体" w:cs="宋体" w:eastAsia="宋体" w:hint="default"/>
                <w:w w:val="101"/>
                <w:sz w:val="18"/>
                <w:szCs w:val="18"/>
              </w:rPr>
              <w:t>起</w:t>
            </w:r>
            <w:r>
              <w:rPr>
                <w:rFonts w:ascii="宋体" w:hAnsi="宋体" w:cs="宋体" w:eastAsia="宋体" w:hint="default"/>
                <w:sz w:val="18"/>
                <w:szCs w:val="18"/>
              </w:rPr>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个月内的最后一个交易日当日止。</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第二个行权期：</w:t>
            </w:r>
            <w:r>
              <w:rPr>
                <w:rFonts w:ascii="Times New Roman" w:hAnsi="Times New Roman" w:cs="Times New Roman" w:eastAsia="Times New Roman" w:hint="default"/>
                <w:sz w:val="18"/>
                <w:szCs w:val="18"/>
              </w:rPr>
              <w:t>50%</w:t>
            </w:r>
          </w:p>
        </w:tc>
      </w:tr>
    </w:tbl>
    <w:p>
      <w:pPr>
        <w:spacing w:line="240" w:lineRule="auto" w:before="2"/>
        <w:rPr>
          <w:rFonts w:ascii="宋体" w:hAnsi="宋体" w:cs="宋体" w:eastAsia="宋体" w:hint="default"/>
          <w:sz w:val="21"/>
          <w:szCs w:val="21"/>
        </w:rPr>
      </w:pPr>
    </w:p>
    <w:p>
      <w:pPr>
        <w:pStyle w:val="BodyText"/>
        <w:spacing w:line="300" w:lineRule="auto" w:before="46"/>
        <w:ind w:left="496" w:right="7028"/>
        <w:jc w:val="left"/>
      </w:pPr>
      <w:r>
        <w:rPr>
          <w:rFonts w:ascii="Times New Roman" w:hAnsi="Times New Roman" w:cs="Times New Roman" w:eastAsia="Times New Roman" w:hint="default"/>
        </w:rPr>
        <w:t>(2)</w:t>
      </w:r>
      <w:r>
        <w:rPr/>
        <w:t>股票期权行权条件</w:t>
      </w:r>
      <w:r>
        <w:rPr>
          <w:spacing w:val="-86"/>
        </w:rPr>
        <w:t> </w:t>
      </w:r>
      <w:r>
        <w:rPr>
          <w:spacing w:val="-86"/>
        </w:rPr>
      </w:r>
      <w:r>
        <w:rPr>
          <w:rFonts w:ascii="Times New Roman" w:hAnsi="Times New Roman" w:cs="Times New Roman" w:eastAsia="Times New Roman" w:hint="default"/>
          <w:spacing w:val="-86"/>
        </w:rPr>
      </w:r>
      <w:r>
        <w:rPr>
          <w:rFonts w:ascii="Times New Roman" w:hAnsi="Times New Roman" w:cs="Times New Roman" w:eastAsia="Times New Roman" w:hint="default"/>
          <w:u w:val="single" w:color="000000"/>
        </w:rPr>
        <w:t>2018</w:t>
      </w:r>
      <w:r>
        <w:rPr>
          <w:u w:val="single" w:color="000000"/>
        </w:rPr>
        <w:t>年</w:t>
      </w:r>
      <w:r>
        <w:rPr>
          <w:rFonts w:ascii="Times New Roman" w:hAnsi="Times New Roman" w:cs="Times New Roman" w:eastAsia="Times New Roman" w:hint="default"/>
          <w:u w:val="single" w:color="000000"/>
        </w:rPr>
        <w:t>2</w:t>
      </w:r>
      <w:r>
        <w:rPr>
          <w:u w:val="single" w:color="000000"/>
        </w:rPr>
        <w:t>月授予的股票期权</w:t>
      </w:r>
      <w:r>
        <w:rPr>
          <w:spacing w:val="-88"/>
          <w:u w:val="single" w:color="000000"/>
        </w:rPr>
        <w:t> </w:t>
      </w:r>
      <w:r>
        <w:rPr>
          <w:spacing w:val="-88"/>
        </w:rPr>
      </w:r>
      <w:r>
        <w:rPr>
          <w:spacing w:val="-88"/>
        </w:rPr>
      </w:r>
      <w:r>
        <w:rPr>
          <w:spacing w:val="-3"/>
        </w:rPr>
        <w:t>各行权考核年度业绩考核目标如下：</w:t>
      </w:r>
    </w:p>
    <w:p>
      <w:pPr>
        <w:pStyle w:val="BodyText"/>
        <w:spacing w:line="240" w:lineRule="auto" w:before="31"/>
        <w:ind w:left="496" w:right="851"/>
        <w:jc w:val="left"/>
      </w:pPr>
      <w:r>
        <w:rPr>
          <w:spacing w:val="-4"/>
        </w:rPr>
        <w:t>第一次行权：以</w:t>
      </w:r>
      <w:r>
        <w:rPr>
          <w:rFonts w:ascii="Times New Roman" w:hAnsi="Times New Roman" w:cs="Times New Roman" w:eastAsia="Times New Roman" w:hint="default"/>
          <w:spacing w:val="-4"/>
        </w:rPr>
        <w:t>2016</w:t>
      </w:r>
      <w:r>
        <w:rPr>
          <w:spacing w:val="-4"/>
        </w:rPr>
        <w:t>年扣除商誉减值、或有对价增加额以及展动科技并购前持有股权估值调整后的归属于母公司净利润人民币</w:t>
      </w:r>
    </w:p>
    <w:p>
      <w:pPr>
        <w:pStyle w:val="BodyText"/>
        <w:spacing w:line="300" w:lineRule="auto" w:before="63"/>
        <w:ind w:left="496" w:right="851" w:hanging="360"/>
        <w:jc w:val="left"/>
      </w:pPr>
      <w:r>
        <w:rPr>
          <w:rFonts w:ascii="Times New Roman" w:hAnsi="Times New Roman" w:cs="Times New Roman" w:eastAsia="Times New Roman" w:hint="default"/>
        </w:rPr>
        <w:t>6,199</w:t>
      </w:r>
      <w:r>
        <w:rPr/>
        <w:t>万元为基数，</w:t>
      </w:r>
      <w:r>
        <w:rPr>
          <w:rFonts w:ascii="Times New Roman" w:hAnsi="Times New Roman" w:cs="Times New Roman" w:eastAsia="Times New Roman" w:hint="default"/>
        </w:rPr>
        <w:t>2018</w:t>
      </w:r>
      <w:r>
        <w:rPr/>
        <w:t>年归属于母公司净利润增长率不低于</w:t>
      </w:r>
      <w:r>
        <w:rPr>
          <w:rFonts w:ascii="Times New Roman" w:hAnsi="Times New Roman" w:cs="Times New Roman" w:eastAsia="Times New Roman" w:hint="default"/>
        </w:rPr>
        <w:t>10%</w:t>
      </w:r>
      <w:r>
        <w:rPr/>
        <w:t>；</w:t>
      </w:r>
      <w:r>
        <w:rPr>
          <w:spacing w:val="-88"/>
        </w:rPr>
        <w:t> </w:t>
      </w:r>
      <w:r>
        <w:rPr>
          <w:spacing w:val="-4"/>
        </w:rPr>
        <w:t>第二次行权：以</w:t>
      </w:r>
      <w:r>
        <w:rPr>
          <w:rFonts w:ascii="Times New Roman" w:hAnsi="Times New Roman" w:cs="Times New Roman" w:eastAsia="Times New Roman" w:hint="default"/>
          <w:spacing w:val="-4"/>
        </w:rPr>
        <w:t>2016</w:t>
      </w:r>
      <w:r>
        <w:rPr>
          <w:spacing w:val="-4"/>
        </w:rPr>
        <w:t>年扣除商誉减值、或有对价增加额以及展动科技并购前持有股权估值调整后的归属于母公司净利润人民币</w:t>
      </w:r>
    </w:p>
    <w:p>
      <w:pPr>
        <w:pStyle w:val="BodyText"/>
        <w:spacing w:line="300" w:lineRule="auto" w:before="13"/>
        <w:ind w:left="496" w:right="5756" w:hanging="360"/>
        <w:jc w:val="left"/>
      </w:pPr>
      <w:r>
        <w:rPr>
          <w:rFonts w:ascii="Times New Roman" w:hAnsi="Times New Roman" w:cs="Times New Roman" w:eastAsia="Times New Roman" w:hint="default"/>
          <w:spacing w:val="-3"/>
        </w:rPr>
        <w:t>6,199</w:t>
      </w:r>
      <w:r>
        <w:rPr>
          <w:spacing w:val="-3"/>
        </w:rPr>
        <w:t>万元为基数，</w:t>
      </w:r>
      <w:r>
        <w:rPr>
          <w:rFonts w:ascii="Times New Roman" w:hAnsi="Times New Roman" w:cs="Times New Roman" w:eastAsia="Times New Roman" w:hint="default"/>
          <w:spacing w:val="-3"/>
        </w:rPr>
        <w:t>2019</w:t>
      </w:r>
      <w:r>
        <w:rPr>
          <w:spacing w:val="-3"/>
        </w:rPr>
        <w:t>年归属于母公司净利润增长率不低于</w:t>
      </w:r>
      <w:r>
        <w:rPr>
          <w:rFonts w:ascii="Times New Roman" w:hAnsi="Times New Roman" w:cs="Times New Roman" w:eastAsia="Times New Roman" w:hint="default"/>
          <w:spacing w:val="-3"/>
        </w:rPr>
        <w:t>100%</w:t>
      </w:r>
      <w:r>
        <w:rPr>
          <w:spacing w:val="-3"/>
        </w:rPr>
        <w:t>。</w:t>
      </w:r>
      <w:r>
        <w:rPr>
          <w:spacing w:val="17"/>
        </w:rPr>
        <w:t> </w:t>
      </w:r>
      <w:r>
        <w:rPr>
          <w:spacing w:val="-3"/>
        </w:rPr>
        <w:t>个人绩效考核：</w:t>
      </w:r>
    </w:p>
    <w:p>
      <w:pPr>
        <w:pStyle w:val="BodyText"/>
        <w:spacing w:line="309" w:lineRule="auto" w:before="31"/>
        <w:ind w:left="496" w:right="5756"/>
        <w:jc w:val="left"/>
      </w:pPr>
      <w:r>
        <w:rPr>
          <w:spacing w:val="-3"/>
        </w:rPr>
        <w:t>激励对象在考核年度的绩效为合格及以上。</w:t>
      </w:r>
      <w:r>
        <w:rPr>
          <w:spacing w:val="-33"/>
        </w:rPr>
        <w:t> </w:t>
      </w:r>
      <w:r>
        <w:rPr>
          <w:spacing w:val="-33"/>
        </w:rPr>
      </w:r>
      <w:r>
        <w:rPr>
          <w:rFonts w:ascii="Times New Roman" w:hAnsi="Times New Roman" w:cs="Times New Roman" w:eastAsia="Times New Roman" w:hint="default"/>
          <w:spacing w:val="-33"/>
        </w:rPr>
      </w:r>
      <w:r>
        <w:rPr>
          <w:rFonts w:ascii="Times New Roman" w:hAnsi="Times New Roman" w:cs="Times New Roman" w:eastAsia="Times New Roman" w:hint="default"/>
          <w:u w:val="single" w:color="000000"/>
        </w:rPr>
        <w:t>2018</w:t>
      </w:r>
      <w:r>
        <w:rPr>
          <w:u w:val="single" w:color="000000"/>
        </w:rPr>
        <w:t>年</w:t>
      </w:r>
      <w:r>
        <w:rPr>
          <w:rFonts w:ascii="Times New Roman" w:hAnsi="Times New Roman" w:cs="Times New Roman" w:eastAsia="Times New Roman" w:hint="default"/>
          <w:u w:val="single" w:color="000000"/>
        </w:rPr>
        <w:t>11</w:t>
      </w:r>
      <w:r>
        <w:rPr>
          <w:u w:val="single" w:color="000000"/>
        </w:rPr>
        <w:t>月授予的股票期权</w:t>
      </w:r>
      <w:r>
        <w:rPr>
          <w:w w:val="101"/>
        </w:rPr>
      </w:r>
      <w:r>
        <w:rPr>
          <w:w w:val="101"/>
        </w:rPr>
        <w:t> </w:t>
      </w:r>
      <w:r>
        <w:rPr>
          <w:spacing w:val="-3"/>
        </w:rPr>
        <w:t>各行权考核年度业绩考核目标如下：</w:t>
      </w:r>
    </w:p>
    <w:p>
      <w:pPr>
        <w:pStyle w:val="BodyText"/>
        <w:spacing w:line="300" w:lineRule="auto" w:before="24"/>
        <w:ind w:left="496" w:right="1904"/>
        <w:jc w:val="both"/>
      </w:pPr>
      <w:r>
        <w:rPr>
          <w:spacing w:val="-3"/>
        </w:rPr>
        <w:t>第一次行权：以</w:t>
      </w:r>
      <w:r>
        <w:rPr>
          <w:rFonts w:ascii="Times New Roman" w:hAnsi="Times New Roman" w:cs="Times New Roman" w:eastAsia="Times New Roman" w:hint="default"/>
          <w:spacing w:val="-3"/>
        </w:rPr>
        <w:t>2017</w:t>
      </w:r>
      <w:r>
        <w:rPr>
          <w:spacing w:val="-3"/>
        </w:rPr>
        <w:t>年归属于母公司的净利润</w:t>
      </w:r>
      <w:r>
        <w:rPr>
          <w:rFonts w:ascii="Times New Roman" w:hAnsi="Times New Roman" w:cs="Times New Roman" w:eastAsia="Times New Roman" w:hint="default"/>
          <w:spacing w:val="-3"/>
        </w:rPr>
        <w:t>3,099</w:t>
      </w:r>
      <w:r>
        <w:rPr>
          <w:spacing w:val="-3"/>
        </w:rPr>
        <w:t>万元为基数，</w:t>
      </w:r>
      <w:r>
        <w:rPr>
          <w:rFonts w:ascii="Times New Roman" w:hAnsi="Times New Roman" w:cs="Times New Roman" w:eastAsia="Times New Roman" w:hint="default"/>
          <w:spacing w:val="-3"/>
        </w:rPr>
        <w:t>2019</w:t>
      </w:r>
      <w:r>
        <w:rPr>
          <w:spacing w:val="-3"/>
        </w:rPr>
        <w:t>年归属于母公司净利润不少于</w:t>
      </w:r>
      <w:r>
        <w:rPr>
          <w:rFonts w:ascii="Times New Roman" w:hAnsi="Times New Roman" w:cs="Times New Roman" w:eastAsia="Times New Roman" w:hint="default"/>
          <w:spacing w:val="-3"/>
        </w:rPr>
        <w:t>16,200</w:t>
      </w:r>
      <w:r>
        <w:rPr>
          <w:spacing w:val="-3"/>
        </w:rPr>
        <w:t>万元；</w:t>
      </w:r>
      <w:r>
        <w:rPr>
          <w:spacing w:val="76"/>
        </w:rPr>
        <w:t> </w:t>
      </w:r>
      <w:r>
        <w:rPr>
          <w:spacing w:val="-3"/>
        </w:rPr>
        <w:t>第二次行权：以</w:t>
      </w:r>
      <w:r>
        <w:rPr>
          <w:rFonts w:ascii="Times New Roman" w:hAnsi="Times New Roman" w:cs="Times New Roman" w:eastAsia="Times New Roman" w:hint="default"/>
          <w:spacing w:val="-3"/>
        </w:rPr>
        <w:t>2017</w:t>
      </w:r>
      <w:r>
        <w:rPr>
          <w:spacing w:val="-3"/>
        </w:rPr>
        <w:t>年归属于母公司的净利润</w:t>
      </w:r>
      <w:r>
        <w:rPr>
          <w:rFonts w:ascii="Times New Roman" w:hAnsi="Times New Roman" w:cs="Times New Roman" w:eastAsia="Times New Roman" w:hint="default"/>
          <w:spacing w:val="-3"/>
        </w:rPr>
        <w:t>3,099</w:t>
      </w:r>
      <w:r>
        <w:rPr>
          <w:spacing w:val="-3"/>
        </w:rPr>
        <w:t>万元为基数，</w:t>
      </w:r>
      <w:r>
        <w:rPr>
          <w:rFonts w:ascii="Times New Roman" w:hAnsi="Times New Roman" w:cs="Times New Roman" w:eastAsia="Times New Roman" w:hint="default"/>
          <w:spacing w:val="-3"/>
        </w:rPr>
        <w:t>2020</w:t>
      </w:r>
      <w:r>
        <w:rPr>
          <w:spacing w:val="-3"/>
        </w:rPr>
        <w:t>年归属于母公司净利润不少于</w:t>
      </w:r>
      <w:r>
        <w:rPr>
          <w:rFonts w:ascii="Times New Roman" w:hAnsi="Times New Roman" w:cs="Times New Roman" w:eastAsia="Times New Roman" w:hint="default"/>
          <w:spacing w:val="-3"/>
        </w:rPr>
        <w:t>21,000</w:t>
      </w:r>
      <w:r>
        <w:rPr>
          <w:spacing w:val="-3"/>
        </w:rPr>
        <w:t>万元。</w:t>
      </w:r>
      <w:r>
        <w:rPr>
          <w:spacing w:val="76"/>
        </w:rPr>
        <w:t> </w:t>
      </w:r>
      <w:r>
        <w:rPr>
          <w:spacing w:val="-3"/>
        </w:rPr>
        <w:t>个人绩效考核：</w:t>
      </w:r>
    </w:p>
    <w:p>
      <w:pPr>
        <w:pStyle w:val="BodyText"/>
        <w:spacing w:line="240" w:lineRule="auto" w:before="31"/>
        <w:ind w:left="496" w:right="3662"/>
        <w:jc w:val="left"/>
      </w:pPr>
      <w:r>
        <w:rPr>
          <w:spacing w:val="-3"/>
        </w:rPr>
        <w:t>激励对象在考核年度的绩效为合格及以上。</w:t>
      </w:r>
    </w:p>
    <w:p>
      <w:pPr>
        <w:spacing w:before="77"/>
        <w:ind w:left="496" w:right="366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b/>
          <w:bCs/>
          <w:sz w:val="18"/>
          <w:szCs w:val="18"/>
        </w:rPr>
        <w:t>变动情况</w:t>
      </w:r>
      <w:r>
        <w:rPr>
          <w:rFonts w:ascii="宋体" w:hAnsi="宋体" w:cs="宋体" w:eastAsia="宋体" w:hint="default"/>
          <w:sz w:val="18"/>
          <w:szCs w:val="18"/>
        </w:rPr>
      </w:r>
    </w:p>
    <w:p>
      <w:pPr>
        <w:spacing w:line="240" w:lineRule="auto" w:before="13"/>
        <w:rPr>
          <w:rFonts w:ascii="宋体" w:hAnsi="宋体" w:cs="宋体" w:eastAsia="宋体" w:hint="default"/>
          <w:b/>
          <w:bCs/>
          <w:sz w:val="3"/>
          <w:szCs w:val="3"/>
        </w:rPr>
      </w:pPr>
    </w:p>
    <w:tbl>
      <w:tblPr>
        <w:tblW w:w="0" w:type="auto"/>
        <w:jc w:val="left"/>
        <w:tblInd w:w="112" w:type="dxa"/>
        <w:tblLayout w:type="fixed"/>
        <w:tblCellMar>
          <w:top w:w="0" w:type="dxa"/>
          <w:left w:w="0" w:type="dxa"/>
          <w:bottom w:w="0" w:type="dxa"/>
          <w:right w:w="0" w:type="dxa"/>
        </w:tblCellMar>
        <w:tblLook w:val="01E0"/>
      </w:tblPr>
      <w:tblGrid>
        <w:gridCol w:w="1517"/>
        <w:gridCol w:w="1109"/>
        <w:gridCol w:w="1109"/>
        <w:gridCol w:w="1200"/>
        <w:gridCol w:w="1109"/>
        <w:gridCol w:w="1114"/>
        <w:gridCol w:w="749"/>
        <w:gridCol w:w="1200"/>
        <w:gridCol w:w="749"/>
      </w:tblGrid>
      <w:tr>
        <w:trPr>
          <w:trHeight w:val="427" w:hRule="exact"/>
        </w:trPr>
        <w:tc>
          <w:tcPr>
            <w:tcW w:w="1517" w:type="dxa"/>
            <w:vMerge w:val="restart"/>
            <w:tcBorders>
              <w:top w:val="single" w:sz="8" w:space="0" w:color="000000"/>
              <w:left w:val="single" w:sz="8" w:space="0" w:color="000000"/>
              <w:right w:val="single" w:sz="8" w:space="0" w:color="000000"/>
            </w:tcBorders>
            <w:shd w:val="clear" w:color="auto" w:fill="BDBDBD"/>
          </w:tcPr>
          <w:p>
            <w:pPr/>
          </w:p>
        </w:tc>
        <w:tc>
          <w:tcPr>
            <w:tcW w:w="2219" w:type="dxa"/>
            <w:gridSpan w:val="2"/>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年度激励计划</w:t>
            </w:r>
          </w:p>
        </w:tc>
        <w:tc>
          <w:tcPr>
            <w:tcW w:w="2309" w:type="dxa"/>
            <w:gridSpan w:val="2"/>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年度激励计划</w:t>
            </w:r>
          </w:p>
        </w:tc>
        <w:tc>
          <w:tcPr>
            <w:tcW w:w="1863" w:type="dxa"/>
            <w:gridSpan w:val="2"/>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月股票期权</w:t>
            </w:r>
          </w:p>
        </w:tc>
        <w:tc>
          <w:tcPr>
            <w:tcW w:w="1949" w:type="dxa"/>
            <w:gridSpan w:val="2"/>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月股票期权</w:t>
            </w:r>
          </w:p>
        </w:tc>
      </w:tr>
      <w:tr>
        <w:trPr>
          <w:trHeight w:val="427" w:hRule="exact"/>
        </w:trPr>
        <w:tc>
          <w:tcPr>
            <w:tcW w:w="1517" w:type="dxa"/>
            <w:vMerge/>
            <w:tcBorders>
              <w:left w:val="single" w:sz="8" w:space="0" w:color="000000"/>
              <w:bottom w:val="single" w:sz="8" w:space="0" w:color="000000"/>
              <w:right w:val="single" w:sz="8" w:space="0" w:color="000000"/>
            </w:tcBorders>
            <w:shd w:val="clear" w:color="auto" w:fill="BDBDBD"/>
          </w:tcPr>
          <w:p>
            <w:pPr/>
          </w:p>
        </w:tc>
        <w:tc>
          <w:tcPr>
            <w:tcW w:w="1109"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3"/>
              <w:ind w:left="364"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1109"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3"/>
              <w:ind w:right="0"/>
              <w:jc w:val="right"/>
              <w:rPr>
                <w:rFonts w:ascii="宋体" w:hAnsi="宋体" w:cs="宋体" w:eastAsia="宋体" w:hint="default"/>
                <w:sz w:val="18"/>
                <w:szCs w:val="18"/>
              </w:rPr>
            </w:pPr>
            <w:r>
              <w:rPr>
                <w:rFonts w:ascii="宋体" w:hAnsi="宋体" w:cs="宋体" w:eastAsia="宋体" w:hint="default"/>
                <w:spacing w:val="-2"/>
                <w:sz w:val="18"/>
                <w:szCs w:val="18"/>
              </w:rPr>
              <w:t>加权平均价格</w:t>
            </w:r>
          </w:p>
        </w:tc>
        <w:tc>
          <w:tcPr>
            <w:tcW w:w="1200"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3"/>
              <w:ind w:left="590"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1109"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3"/>
              <w:ind w:right="-1"/>
              <w:jc w:val="right"/>
              <w:rPr>
                <w:rFonts w:ascii="宋体" w:hAnsi="宋体" w:cs="宋体" w:eastAsia="宋体" w:hint="default"/>
                <w:sz w:val="18"/>
                <w:szCs w:val="18"/>
              </w:rPr>
            </w:pPr>
            <w:r>
              <w:rPr>
                <w:rFonts w:ascii="宋体" w:hAnsi="宋体" w:cs="宋体" w:eastAsia="宋体" w:hint="default"/>
                <w:spacing w:val="-2"/>
                <w:sz w:val="18"/>
                <w:szCs w:val="18"/>
              </w:rPr>
              <w:t>加权平均价格</w:t>
            </w:r>
          </w:p>
        </w:tc>
        <w:tc>
          <w:tcPr>
            <w:tcW w:w="1114"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3"/>
              <w:ind w:left="542"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749"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3"/>
              <w:ind w:right="0"/>
              <w:jc w:val="right"/>
              <w:rPr>
                <w:rFonts w:ascii="宋体" w:hAnsi="宋体" w:cs="宋体" w:eastAsia="宋体" w:hint="default"/>
                <w:sz w:val="18"/>
                <w:szCs w:val="18"/>
              </w:rPr>
            </w:pPr>
            <w:r>
              <w:rPr>
                <w:rFonts w:ascii="宋体" w:hAnsi="宋体" w:cs="宋体" w:eastAsia="宋体" w:hint="default"/>
                <w:spacing w:val="-2"/>
                <w:sz w:val="18"/>
                <w:szCs w:val="18"/>
              </w:rPr>
              <w:t>行权价格</w:t>
            </w:r>
          </w:p>
        </w:tc>
        <w:tc>
          <w:tcPr>
            <w:tcW w:w="1200"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3"/>
              <w:ind w:left="590"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749" w:type="dxa"/>
            <w:tcBorders>
              <w:top w:val="single" w:sz="8" w:space="0" w:color="000000"/>
              <w:left w:val="single" w:sz="8" w:space="0" w:color="000000"/>
              <w:bottom w:val="single" w:sz="8" w:space="0" w:color="000000"/>
              <w:right w:val="single" w:sz="8" w:space="0" w:color="000000"/>
            </w:tcBorders>
            <w:shd w:val="clear" w:color="auto" w:fill="BDBDBD"/>
          </w:tcPr>
          <w:p>
            <w:pPr>
              <w:pStyle w:val="TableParagraph"/>
              <w:spacing w:line="240" w:lineRule="auto" w:before="73"/>
              <w:ind w:right="-1"/>
              <w:jc w:val="right"/>
              <w:rPr>
                <w:rFonts w:ascii="宋体" w:hAnsi="宋体" w:cs="宋体" w:eastAsia="宋体" w:hint="default"/>
                <w:sz w:val="18"/>
                <w:szCs w:val="18"/>
              </w:rPr>
            </w:pPr>
            <w:r>
              <w:rPr>
                <w:rFonts w:ascii="宋体" w:hAnsi="宋体" w:cs="宋体" w:eastAsia="宋体" w:hint="default"/>
                <w:spacing w:val="-2"/>
                <w:sz w:val="18"/>
                <w:szCs w:val="18"/>
              </w:rPr>
              <w:t>行权价格</w:t>
            </w:r>
          </w:p>
        </w:tc>
      </w:tr>
      <w:tr>
        <w:trPr>
          <w:trHeight w:val="413" w:hRule="exact"/>
        </w:trPr>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3,800,000</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4.2</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7,600,000</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2.55</w:t>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3,120,000</w:t>
            </w:r>
          </w:p>
        </w:tc>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7.65</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8,120,000</w:t>
            </w:r>
          </w:p>
        </w:tc>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5.1</w:t>
            </w:r>
          </w:p>
        </w:tc>
      </w:tr>
      <w:tr>
        <w:trPr>
          <w:trHeight w:val="413" w:hRule="exact"/>
        </w:trPr>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可行权</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1,515,000</w:t>
            </w:r>
          </w:p>
        </w:tc>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13" w:hRule="exact"/>
        </w:trPr>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员工离职</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90,000</w:t>
            </w:r>
          </w:p>
        </w:tc>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13" w:hRule="exact"/>
        </w:trPr>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转增前结余</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3,800,000</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4.2</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7,600,000</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2.55</w:t>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1,515,000</w:t>
            </w:r>
          </w:p>
        </w:tc>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7.65</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8,120,000</w:t>
            </w:r>
          </w:p>
        </w:tc>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5.1</w:t>
            </w:r>
          </w:p>
        </w:tc>
      </w:tr>
      <w:tr>
        <w:trPr>
          <w:trHeight w:val="413" w:hRule="exact"/>
        </w:trPr>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转增股份</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2,660,000</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5,320,000</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1,060,500</w:t>
            </w:r>
          </w:p>
        </w:tc>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5,684,000</w:t>
            </w:r>
          </w:p>
        </w:tc>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09" w:hRule="exact"/>
        </w:trPr>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解锁</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3,230,000</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13" w:hRule="exact"/>
        </w:trPr>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364" w:right="0"/>
              <w:jc w:val="left"/>
              <w:rPr>
                <w:rFonts w:ascii="宋体" w:hAnsi="宋体" w:cs="宋体" w:eastAsia="宋体" w:hint="default"/>
                <w:sz w:val="18"/>
                <w:szCs w:val="18"/>
              </w:rPr>
            </w:pPr>
            <w:r>
              <w:rPr>
                <w:rFonts w:ascii="宋体" w:hAnsi="宋体" w:cs="宋体" w:eastAsia="宋体" w:hint="default"/>
                <w:sz w:val="18"/>
                <w:szCs w:val="18"/>
              </w:rPr>
              <w:t>员工离职</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119,000</w:t>
            </w:r>
          </w:p>
        </w:tc>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782,000</w:t>
            </w:r>
          </w:p>
        </w:tc>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13" w:hRule="exact"/>
        </w:trPr>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3,230,000</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2.41</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12,920,000</w:t>
            </w:r>
          </w:p>
        </w:tc>
        <w:tc>
          <w:tcPr>
            <w:tcW w:w="11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1.44</w:t>
            </w:r>
          </w:p>
        </w:tc>
        <w:tc>
          <w:tcPr>
            <w:tcW w:w="11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2,456,500</w:t>
            </w:r>
          </w:p>
        </w:tc>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4.44</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13,022,000</w:t>
            </w:r>
          </w:p>
        </w:tc>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2.94</w:t>
            </w:r>
          </w:p>
        </w:tc>
      </w:tr>
    </w:tbl>
    <w:p>
      <w:pPr>
        <w:pStyle w:val="BodyText"/>
        <w:spacing w:line="240" w:lineRule="auto" w:before="10"/>
        <w:ind w:left="501" w:right="851"/>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w:t>
      </w:r>
      <w:r>
        <w:rPr>
          <w:rFonts w:ascii="Times New Roman" w:hAnsi="Times New Roman" w:cs="Times New Roman" w:eastAsia="Times New Roman" w:hint="default"/>
        </w:rPr>
        <w:t>2017</w:t>
      </w:r>
      <w:r>
        <w:rPr/>
        <w:t>年度激励计划下发行在外的限制性股票数量</w:t>
      </w:r>
      <w:r>
        <w:rPr>
          <w:rFonts w:ascii="Times New Roman" w:hAnsi="Times New Roman" w:cs="Times New Roman" w:eastAsia="Times New Roman" w:hint="default"/>
        </w:rPr>
        <w:t>3,230,000</w:t>
      </w:r>
      <w:r>
        <w:rPr/>
        <w:t>股，预计将在</w:t>
      </w:r>
      <w:r>
        <w:rPr>
          <w:rFonts w:ascii="Times New Roman" w:hAnsi="Times New Roman" w:cs="Times New Roman" w:eastAsia="Times New Roman" w:hint="default"/>
        </w:rPr>
        <w:t>1</w:t>
      </w:r>
      <w:r>
        <w:rPr/>
        <w:t>年内解锁；</w:t>
      </w:r>
      <w:r>
        <w:rPr>
          <w:rFonts w:ascii="Times New Roman" w:hAnsi="Times New Roman" w:cs="Times New Roman" w:eastAsia="Times New Roman" w:hint="default"/>
        </w:rPr>
        <w:t>2018</w:t>
      </w:r>
      <w:r>
        <w:rPr/>
        <w:t>年度</w:t>
      </w:r>
    </w:p>
    <w:p>
      <w:pPr>
        <w:spacing w:after="0" w:line="240" w:lineRule="auto"/>
        <w:jc w:val="left"/>
        <w:sectPr>
          <w:pgSz w:w="11910" w:h="16840"/>
          <w:pgMar w:header="0" w:footer="1022" w:top="1100" w:bottom="1220" w:left="680" w:right="0"/>
        </w:sectPr>
      </w:pPr>
    </w:p>
    <w:p>
      <w:pPr>
        <w:pStyle w:val="BodyText"/>
        <w:spacing w:line="300" w:lineRule="auto" w:before="80"/>
        <w:ind w:left="136" w:right="851"/>
        <w:jc w:val="left"/>
      </w:pPr>
      <w:r>
        <w:rPr>
          <w:spacing w:val="-3"/>
        </w:rPr>
        <w:t>激励计划下发行在外的限制性股票数量</w:t>
      </w:r>
      <w:r>
        <w:rPr>
          <w:rFonts w:ascii="Times New Roman" w:hAnsi="Times New Roman" w:cs="Times New Roman" w:eastAsia="Times New Roman" w:hint="default"/>
          <w:spacing w:val="-3"/>
        </w:rPr>
        <w:t>12,920,000</w:t>
      </w:r>
      <w:r>
        <w:rPr>
          <w:spacing w:val="-3"/>
        </w:rPr>
        <w:t>股，预计将在</w:t>
      </w:r>
      <w:r>
        <w:rPr>
          <w:rFonts w:ascii="Times New Roman" w:hAnsi="Times New Roman" w:cs="Times New Roman" w:eastAsia="Times New Roman" w:hint="default"/>
          <w:spacing w:val="-3"/>
        </w:rPr>
        <w:t>2</w:t>
      </w:r>
      <w:r>
        <w:rPr>
          <w:spacing w:val="-3"/>
        </w:rPr>
        <w:t>年内解锁；</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月授予的股票期权于</w:t>
      </w:r>
      <w:r>
        <w:rPr>
          <w:rFonts w:ascii="Times New Roman" w:hAnsi="Times New Roman" w:cs="Times New Roman" w:eastAsia="Times New Roman" w:hint="default"/>
          <w:spacing w:val="-3"/>
        </w:rPr>
        <w:t>2019</w:t>
      </w:r>
      <w:r>
        <w:rPr>
          <w:spacing w:val="-3"/>
        </w:rPr>
        <w:t>年度解禁</w:t>
      </w:r>
      <w:r>
        <w:rPr>
          <w:rFonts w:ascii="Times New Roman" w:hAnsi="Times New Roman" w:cs="Times New Roman" w:eastAsia="Times New Roman" w:hint="default"/>
          <w:spacing w:val="-3"/>
        </w:rPr>
        <w:t>2,575,500</w:t>
      </w:r>
      <w:r>
        <w:rPr>
          <w:spacing w:val="-3"/>
        </w:rPr>
        <w:t>份，</w:t>
      </w:r>
      <w:r>
        <w:rPr>
          <w:spacing w:val="80"/>
        </w:rPr>
        <w:t> </w:t>
      </w:r>
      <w:r>
        <w:rPr/>
        <w:t>尚有</w:t>
      </w:r>
      <w:r>
        <w:rPr>
          <w:rFonts w:ascii="Times New Roman" w:hAnsi="Times New Roman" w:cs="Times New Roman" w:eastAsia="Times New Roman" w:hint="default"/>
        </w:rPr>
        <w:t>158,920</w:t>
      </w:r>
      <w:r>
        <w:rPr/>
        <w:t>份未行权，剩余</w:t>
      </w:r>
      <w:r>
        <w:rPr>
          <w:rFonts w:ascii="Times New Roman" w:hAnsi="Times New Roman" w:cs="Times New Roman" w:eastAsia="Times New Roman" w:hint="default"/>
        </w:rPr>
        <w:t>2,456,500</w:t>
      </w:r>
      <w:r>
        <w:rPr/>
        <w:t>份预计将在</w:t>
      </w:r>
      <w:r>
        <w:rPr>
          <w:rFonts w:ascii="Times New Roman" w:hAnsi="Times New Roman" w:cs="Times New Roman" w:eastAsia="Times New Roman" w:hint="default"/>
        </w:rPr>
        <w:t>1</w:t>
      </w:r>
      <w:r>
        <w:rPr/>
        <w:t>年内行权；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月授予的期权剩余</w:t>
      </w:r>
      <w:r>
        <w:rPr>
          <w:rFonts w:ascii="Times New Roman" w:hAnsi="Times New Roman" w:cs="Times New Roman" w:eastAsia="Times New Roman" w:hint="default"/>
        </w:rPr>
        <w:t>13,022,000</w:t>
      </w:r>
      <w:r>
        <w:rPr/>
        <w:t>份预计将在</w:t>
      </w:r>
      <w:r>
        <w:rPr>
          <w:rFonts w:ascii="Times New Roman" w:hAnsi="Times New Roman" w:cs="Times New Roman" w:eastAsia="Times New Roman" w:hint="default"/>
        </w:rPr>
        <w:t>2</w:t>
      </w:r>
      <w:r>
        <w:rPr/>
        <w:t>年内行权。</w:t>
      </w:r>
    </w:p>
    <w:p>
      <w:pPr>
        <w:spacing w:line="300" w:lineRule="auto" w:before="13"/>
        <w:ind w:left="496" w:right="851"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、公允价值的确定及股份支付费用</w:t>
      </w:r>
      <w:r>
        <w:rPr>
          <w:rFonts w:ascii="宋体" w:hAnsi="宋体" w:cs="宋体" w:eastAsia="宋体" w:hint="default"/>
          <w:b/>
          <w:bCs/>
          <w:w w:val="100"/>
          <w:sz w:val="18"/>
          <w:szCs w:val="18"/>
        </w:rPr>
        <w:t> </w:t>
      </w:r>
      <w:r>
        <w:rPr>
          <w:rFonts w:ascii="宋体" w:hAnsi="宋体" w:cs="宋体" w:eastAsia="宋体" w:hint="default"/>
          <w:spacing w:val="-4"/>
          <w:sz w:val="18"/>
          <w:szCs w:val="18"/>
        </w:rPr>
        <w:t>对于上述限制性股票激励计划下非董事、高级管理人员的激励对象，限制性股票的公允价值以普通股市价为基础进行计量，董</w:t>
      </w:r>
    </w:p>
    <w:p>
      <w:pPr>
        <w:pStyle w:val="BodyText"/>
        <w:spacing w:line="316" w:lineRule="auto" w:before="32"/>
        <w:ind w:left="496" w:right="863" w:hanging="360"/>
        <w:jc w:val="left"/>
      </w:pPr>
      <w:r>
        <w:rPr>
          <w:spacing w:val="-3"/>
        </w:rPr>
        <w:t>事及高级管理人员的限制性股票的公允价值以普通股市价为基础，并考虑受限成本的影响。</w:t>
      </w:r>
      <w:r>
        <w:rPr>
          <w:spacing w:val="25"/>
        </w:rPr>
        <w:t> </w:t>
      </w:r>
      <w:r>
        <w:rPr>
          <w:spacing w:val="25"/>
        </w:rPr>
      </w:r>
      <w:r>
        <w:rPr>
          <w:spacing w:val="-4"/>
        </w:rPr>
        <w:t>对于上述股票期权激励计划，本公司按照</w:t>
      </w:r>
      <w:r>
        <w:rPr>
          <w:rFonts w:ascii="Times New Roman" w:hAnsi="Times New Roman" w:cs="Times New Roman" w:eastAsia="Times New Roman" w:hint="default"/>
          <w:spacing w:val="-4"/>
        </w:rPr>
        <w:t>“</w:t>
      </w:r>
      <w:r>
        <w:rPr>
          <w:spacing w:val="-4"/>
        </w:rPr>
        <w:t>布莱克</w:t>
      </w:r>
      <w:r>
        <w:rPr>
          <w:rFonts w:ascii="Times New Roman" w:hAnsi="Times New Roman" w:cs="Times New Roman" w:eastAsia="Times New Roman" w:hint="default"/>
          <w:spacing w:val="-4"/>
        </w:rPr>
        <w:t>-</w:t>
      </w:r>
      <w:r>
        <w:rPr>
          <w:spacing w:val="-4"/>
        </w:rPr>
        <w:t>斯科尔期权定价模型</w:t>
      </w:r>
      <w:r>
        <w:rPr>
          <w:rFonts w:ascii="Times New Roman" w:hAnsi="Times New Roman" w:cs="Times New Roman" w:eastAsia="Times New Roman" w:hint="default"/>
          <w:spacing w:val="-4"/>
        </w:rPr>
        <w:t>”</w:t>
      </w:r>
      <w:r>
        <w:rPr>
          <w:spacing w:val="-4"/>
        </w:rPr>
        <w:t>对股票期权在授予日的公允价值进行测算，模型中主要</w:t>
      </w:r>
    </w:p>
    <w:p>
      <w:pPr>
        <w:pStyle w:val="BodyText"/>
        <w:spacing w:line="316" w:lineRule="auto"/>
        <w:ind w:left="136" w:right="851"/>
        <w:jc w:val="left"/>
      </w:pPr>
      <w:r>
        <w:rPr>
          <w:spacing w:val="-4"/>
        </w:rPr>
        <w:t>选取参数为标的股价、行权价格、期权有效期、公司近一年和两年股价波动率、中国国债一年和两年期利率和公司最近两年的平均</w:t>
      </w:r>
      <w:r>
        <w:rPr>
          <w:spacing w:val="5"/>
        </w:rPr>
        <w:t> </w:t>
      </w:r>
      <w:r>
        <w:rPr>
          <w:spacing w:val="5"/>
        </w:rPr>
      </w:r>
      <w:r>
        <w:rPr/>
        <w:t>股息率。</w:t>
      </w:r>
    </w:p>
    <w:p>
      <w:pPr>
        <w:pStyle w:val="BodyText"/>
        <w:spacing w:line="300" w:lineRule="auto" w:before="19"/>
        <w:ind w:left="136" w:right="851" w:firstLine="360"/>
        <w:jc w:val="left"/>
      </w:pPr>
      <w:r>
        <w:rPr>
          <w:spacing w:val="-2"/>
        </w:rPr>
        <w:t>本公司</w:t>
      </w:r>
      <w:r>
        <w:rPr>
          <w:rFonts w:ascii="Times New Roman" w:hAnsi="Times New Roman" w:cs="Times New Roman" w:eastAsia="Times New Roman" w:hint="default"/>
          <w:spacing w:val="-2"/>
        </w:rPr>
        <w:t>2019</w:t>
      </w:r>
      <w:r>
        <w:rPr>
          <w:spacing w:val="-2"/>
        </w:rPr>
        <w:t>年确认股份支付费用人民币</w:t>
      </w:r>
      <w:r>
        <w:rPr>
          <w:rFonts w:ascii="Times New Roman" w:hAnsi="Times New Roman" w:cs="Times New Roman" w:eastAsia="Times New Roman" w:hint="default"/>
          <w:spacing w:val="-2"/>
        </w:rPr>
        <w:t>9,924,300.00</w:t>
      </w:r>
      <w:r>
        <w:rPr>
          <w:rFonts w:ascii="Times New Roman" w:hAnsi="Times New Roman" w:cs="Times New Roman" w:eastAsia="Times New Roman" w:hint="default"/>
          <w:spacing w:val="33"/>
        </w:rPr>
        <w:t> </w:t>
      </w:r>
      <w:r>
        <w:rPr>
          <w:spacing w:val="-2"/>
        </w:rPr>
        <w:t>元</w:t>
      </w:r>
      <w:r>
        <w:rPr>
          <w:rFonts w:ascii="Times New Roman" w:hAnsi="Times New Roman" w:cs="Times New Roman" w:eastAsia="Times New Roman" w:hint="default"/>
          <w:spacing w:val="-2"/>
        </w:rPr>
        <w:t>(2018</w:t>
      </w:r>
      <w:r>
        <w:rPr>
          <w:spacing w:val="-2"/>
        </w:rPr>
        <w:t>年：人民币</w:t>
      </w:r>
      <w:r>
        <w:rPr>
          <w:rFonts w:ascii="Times New Roman" w:hAnsi="Times New Roman" w:cs="Times New Roman" w:eastAsia="Times New Roman" w:hint="default"/>
          <w:spacing w:val="-2"/>
        </w:rPr>
        <w:t>5,920,800.00</w:t>
      </w:r>
      <w:r>
        <w:rPr>
          <w:spacing w:val="-2"/>
        </w:rPr>
        <w:t>元</w:t>
      </w:r>
      <w:r>
        <w:rPr>
          <w:rFonts w:ascii="Times New Roman" w:hAnsi="Times New Roman" w:cs="Times New Roman" w:eastAsia="Times New Roman" w:hint="default"/>
          <w:spacing w:val="-2"/>
        </w:rPr>
        <w:t>)</w:t>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日，股份支付累计</w:t>
      </w:r>
      <w:r>
        <w:rPr>
          <w:w w:val="101"/>
        </w:rPr>
        <w:t> </w:t>
      </w:r>
      <w:r>
        <w:rPr>
          <w:spacing w:val="-2"/>
        </w:rPr>
        <w:t>计入资本公积的金额为人民币</w:t>
      </w:r>
      <w:r>
        <w:rPr>
          <w:rFonts w:ascii="Times New Roman" w:hAnsi="Times New Roman" w:cs="Times New Roman" w:eastAsia="Times New Roman" w:hint="default"/>
          <w:spacing w:val="-2"/>
        </w:rPr>
        <w:t>28,151,090.64</w:t>
      </w:r>
      <w:r>
        <w:rPr>
          <w:rFonts w:ascii="Times New Roman" w:hAnsi="Times New Roman" w:cs="Times New Roman" w:eastAsia="Times New Roman" w:hint="default"/>
        </w:rPr>
        <w:t>   </w:t>
      </w:r>
      <w:r>
        <w:rPr>
          <w:rFonts w:ascii="Times New Roman" w:hAnsi="Times New Roman" w:cs="Times New Roman" w:eastAsia="Times New Roman" w:hint="default"/>
          <w:spacing w:val="7"/>
        </w:rPr>
        <w:t> </w:t>
      </w:r>
      <w:r>
        <w:rPr>
          <w:spacing w:val="-2"/>
        </w:rPr>
        <w:t>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日：人民币</w:t>
      </w:r>
      <w:r>
        <w:rPr>
          <w:rFonts w:ascii="Times New Roman" w:hAnsi="Times New Roman" w:cs="Times New Roman" w:eastAsia="Times New Roman" w:hint="default"/>
          <w:spacing w:val="-2"/>
        </w:rPr>
        <w:t>18,226,790.64</w:t>
      </w:r>
      <w:r>
        <w:rPr>
          <w:spacing w:val="-2"/>
        </w:rPr>
        <w:t>元</w:t>
      </w:r>
      <w:r>
        <w:rPr>
          <w:rFonts w:ascii="Times New Roman" w:hAnsi="Times New Roman" w:cs="Times New Roman" w:eastAsia="Times New Roman" w:hint="default"/>
          <w:spacing w:val="-2"/>
        </w:rPr>
        <w:t>)</w:t>
      </w:r>
      <w:r>
        <w:rPr>
          <w:spacing w:val="-2"/>
        </w:rPr>
        <w:t>。</w:t>
      </w:r>
    </w:p>
    <w:p>
      <w:pPr>
        <w:spacing w:line="240" w:lineRule="auto" w:before="2"/>
        <w:rPr>
          <w:rFonts w:ascii="宋体" w:hAnsi="宋体" w:cs="宋体" w:eastAsia="宋体" w:hint="default"/>
          <w:sz w:val="22"/>
          <w:szCs w:val="22"/>
        </w:rPr>
      </w:pPr>
    </w:p>
    <w:p>
      <w:pPr>
        <w:pStyle w:val="Heading4"/>
        <w:spacing w:line="240" w:lineRule="auto"/>
        <w:ind w:left="136" w:right="3662"/>
        <w:jc w:val="left"/>
        <w:rPr>
          <w:b w:val="0"/>
          <w:bCs w:val="0"/>
        </w:rPr>
      </w:pPr>
      <w:bookmarkStart w:name="3、以现金结算的股份支付情况" w:id="417"/>
      <w:bookmarkEnd w:id="41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36" w:right="366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4"/>
        <w:spacing w:line="240" w:lineRule="auto"/>
        <w:ind w:left="136" w:right="3662"/>
        <w:jc w:val="left"/>
        <w:rPr>
          <w:b w:val="0"/>
          <w:bCs w:val="0"/>
        </w:rPr>
      </w:pPr>
      <w:bookmarkStart w:name="4、股份支付的修改、终止情况：无" w:id="418"/>
      <w:bookmarkEnd w:id="418"/>
      <w:r>
        <w:rPr>
          <w:b w:val="0"/>
          <w:bCs w:val="0"/>
        </w:rPr>
      </w:r>
      <w:r>
        <w:rPr>
          <w:rFonts w:ascii="Times New Roman" w:hAnsi="Times New Roman" w:cs="Times New Roman" w:eastAsia="Times New Roman" w:hint="default"/>
        </w:rPr>
        <w:t>4</w:t>
      </w:r>
      <w:r>
        <w:rPr/>
        <w:t>、股份支付的修改、终止情况：无</w:t>
      </w:r>
      <w:r>
        <w:rPr>
          <w:b w:val="0"/>
          <w:bCs w:val="0"/>
        </w:rPr>
      </w:r>
    </w:p>
    <w:p>
      <w:pPr>
        <w:spacing w:line="240" w:lineRule="auto" w:before="10"/>
        <w:rPr>
          <w:rFonts w:ascii="宋体" w:hAnsi="宋体" w:cs="宋体" w:eastAsia="宋体" w:hint="default"/>
          <w:b/>
          <w:bCs/>
          <w:sz w:val="24"/>
          <w:szCs w:val="24"/>
        </w:rPr>
      </w:pPr>
    </w:p>
    <w:p>
      <w:pPr>
        <w:spacing w:line="487" w:lineRule="auto" w:before="0"/>
        <w:ind w:left="136" w:right="8658" w:firstLine="0"/>
        <w:jc w:val="left"/>
        <w:rPr>
          <w:rFonts w:ascii="宋体" w:hAnsi="宋体" w:cs="宋体" w:eastAsia="宋体" w:hint="default"/>
          <w:sz w:val="21"/>
          <w:szCs w:val="21"/>
        </w:rPr>
      </w:pPr>
      <w:bookmarkStart w:name="5、其他：无" w:id="419"/>
      <w:bookmarkEnd w:id="41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、其他：无</w:t>
      </w:r>
      <w:r>
        <w:rPr>
          <w:rFonts w:ascii="宋体" w:hAnsi="宋体" w:cs="宋体" w:eastAsia="宋体" w:hint="default"/>
          <w:b/>
          <w:bCs/>
          <w:spacing w:val="-104"/>
          <w:sz w:val="21"/>
          <w:szCs w:val="21"/>
        </w:rPr>
        <w:t> </w:t>
      </w:r>
      <w:bookmarkStart w:name="十四、承诺及或有事项" w:id="420"/>
      <w:bookmarkEnd w:id="420"/>
      <w:r>
        <w:rPr>
          <w:rFonts w:ascii="宋体" w:hAnsi="宋体" w:cs="宋体" w:eastAsia="宋体" w:hint="default"/>
          <w:b/>
          <w:bCs/>
          <w:spacing w:val="-104"/>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21"/>
      <w:bookmarkEnd w:id="42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after="0" w:line="487" w:lineRule="auto"/>
        <w:jc w:val="left"/>
        <w:rPr>
          <w:rFonts w:ascii="宋体" w:hAnsi="宋体" w:cs="宋体" w:eastAsia="宋体" w:hint="default"/>
          <w:sz w:val="21"/>
          <w:szCs w:val="21"/>
        </w:rPr>
        <w:sectPr>
          <w:pgSz w:w="11910" w:h="16840"/>
          <w:pgMar w:header="0" w:footer="1022" w:top="1100" w:bottom="1220" w:left="680" w:right="0"/>
        </w:sectPr>
      </w:pPr>
    </w:p>
    <w:p>
      <w:pPr>
        <w:pStyle w:val="BodyText"/>
        <w:spacing w:line="240" w:lineRule="auto" w:before="114"/>
        <w:ind w:left="136" w:right="0"/>
        <w:jc w:val="left"/>
      </w:pPr>
      <w:r>
        <w:rPr>
          <w:spacing w:val="-3"/>
        </w:rPr>
        <w:t>资产负债表日存在的重要承诺</w:t>
      </w:r>
    </w:p>
    <w:p>
      <w:pPr>
        <w:pStyle w:val="BodyText"/>
        <w:spacing w:line="240" w:lineRule="auto" w:before="110"/>
        <w:ind w:left="587" w:right="0"/>
        <w:jc w:val="left"/>
      </w:pPr>
      <w:r>
        <w:rPr>
          <w:rFonts w:ascii="Times New Roman" w:hAnsi="Times New Roman" w:cs="Times New Roman" w:eastAsia="Times New Roman" w:hint="default"/>
        </w:rPr>
        <w:t>(1)</w:t>
      </w:r>
      <w:r>
        <w:rPr/>
        <w:t>资本承诺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2"/>
          <w:szCs w:val="22"/>
        </w:rPr>
      </w:pPr>
    </w:p>
    <w:p>
      <w:pPr>
        <w:pStyle w:val="BodyText"/>
        <w:spacing w:line="240" w:lineRule="auto"/>
        <w:ind w:left="136" w:right="0"/>
        <w:jc w:val="left"/>
      </w:pPr>
      <w:r>
        <w:rPr>
          <w:spacing w:val="-3"/>
        </w:rPr>
        <w:t>单位：元</w:t>
      </w:r>
    </w:p>
    <w:p>
      <w:pPr>
        <w:spacing w:after="0" w:line="240" w:lineRule="auto"/>
        <w:jc w:val="left"/>
        <w:sectPr>
          <w:type w:val="continuous"/>
          <w:pgSz w:w="11910" w:h="16840"/>
          <w:pgMar w:top="1100" w:bottom="1220" w:left="680" w:right="0"/>
          <w:cols w:num="2" w:equalWidth="0">
            <w:col w:w="2480" w:space="6884"/>
            <w:col w:w="1866"/>
          </w:cols>
        </w:sectPr>
      </w:pPr>
    </w:p>
    <w:p>
      <w:pPr>
        <w:spacing w:line="240" w:lineRule="auto" w:before="0"/>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5877"/>
        <w:gridCol w:w="2444"/>
        <w:gridCol w:w="1921"/>
      </w:tblGrid>
      <w:tr>
        <w:trPr>
          <w:trHeight w:val="329" w:hRule="exact"/>
        </w:trPr>
        <w:tc>
          <w:tcPr>
            <w:tcW w:w="5877" w:type="dxa"/>
            <w:tcBorders>
              <w:top w:val="single" w:sz="6" w:space="0" w:color="000000"/>
              <w:left w:val="single" w:sz="6" w:space="0" w:color="000000"/>
              <w:bottom w:val="single" w:sz="6" w:space="0" w:color="000000"/>
              <w:right w:val="single" w:sz="6" w:space="0" w:color="000000"/>
            </w:tcBorders>
            <w:shd w:val="clear" w:color="auto" w:fill="BDBDBD"/>
          </w:tcPr>
          <w:p>
            <w:pPr/>
          </w:p>
        </w:tc>
        <w:tc>
          <w:tcPr>
            <w:tcW w:w="244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192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595"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2" w:hRule="exact"/>
        </w:trPr>
        <w:tc>
          <w:tcPr>
            <w:tcW w:w="5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宋体" w:hAnsi="宋体" w:cs="宋体" w:eastAsia="宋体" w:hint="default"/>
                <w:sz w:val="18"/>
                <w:szCs w:val="18"/>
              </w:rPr>
            </w:pPr>
            <w:r>
              <w:rPr>
                <w:rFonts w:ascii="宋体" w:hAnsi="宋体" w:cs="宋体" w:eastAsia="宋体" w:hint="default"/>
                <w:spacing w:val="-3"/>
                <w:sz w:val="18"/>
                <w:szCs w:val="18"/>
              </w:rPr>
              <w:t>已签约但未于财务报表中确认的</w:t>
            </w:r>
          </w:p>
        </w:tc>
        <w:tc>
          <w:tcPr>
            <w:tcW w:w="2444" w:type="dxa"/>
            <w:tcBorders>
              <w:top w:val="single" w:sz="6" w:space="0" w:color="000000"/>
              <w:left w:val="single" w:sz="6" w:space="0" w:color="000000"/>
              <w:bottom w:val="single" w:sz="6" w:space="0" w:color="000000"/>
              <w:right w:val="single" w:sz="6" w:space="0" w:color="000000"/>
            </w:tcBorders>
          </w:tcPr>
          <w:p>
            <w:pPr/>
          </w:p>
        </w:tc>
        <w:tc>
          <w:tcPr>
            <w:tcW w:w="1921"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5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构建长期资产承诺</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14,291,656.27</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754,978.14</w:t>
            </w:r>
          </w:p>
        </w:tc>
      </w:tr>
      <w:tr>
        <w:trPr>
          <w:trHeight w:val="346" w:hRule="exact"/>
        </w:trPr>
        <w:tc>
          <w:tcPr>
            <w:tcW w:w="5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14,291,656.27</w:t>
            </w:r>
          </w:p>
        </w:tc>
        <w:tc>
          <w:tcPr>
            <w:tcW w:w="1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754,978.14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680" w:right="0"/>
        </w:sectPr>
      </w:pPr>
    </w:p>
    <w:p>
      <w:pPr>
        <w:pStyle w:val="BodyText"/>
        <w:spacing w:line="300" w:lineRule="auto" w:before="10"/>
        <w:ind w:left="587" w:right="0" w:hanging="92"/>
        <w:jc w:val="left"/>
      </w:pPr>
      <w:r>
        <w:rPr/>
        <w:t>（</w:t>
      </w:r>
      <w:r>
        <w:rPr>
          <w:rFonts w:ascii="Times New Roman" w:hAnsi="Times New Roman" w:cs="Times New Roman" w:eastAsia="Times New Roman" w:hint="default"/>
        </w:rPr>
        <w:t>2</w:t>
      </w:r>
      <w:r>
        <w:rPr/>
        <w:t>）经营承诺</w:t>
      </w:r>
      <w:r>
        <w:rPr>
          <w:spacing w:val="-85"/>
        </w:rPr>
        <w:t> </w:t>
      </w:r>
      <w:r>
        <w:rPr>
          <w:spacing w:val="-85"/>
        </w:rPr>
      </w:r>
      <w:r>
        <w:rPr>
          <w:spacing w:val="-3"/>
        </w:rPr>
        <w:t>至资产负债表日止，本集团对外签订的不可撤销的经营租赁合约情况如下：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240" w:lineRule="auto"/>
        <w:ind w:left="496" w:right="0"/>
        <w:jc w:val="left"/>
      </w:pPr>
      <w:r>
        <w:rPr>
          <w:spacing w:val="-3"/>
        </w:rPr>
        <w:t>单位：元</w:t>
      </w:r>
    </w:p>
    <w:p>
      <w:pPr>
        <w:spacing w:after="0" w:line="240" w:lineRule="auto"/>
        <w:jc w:val="left"/>
        <w:sectPr>
          <w:type w:val="continuous"/>
          <w:pgSz w:w="11910" w:h="16840"/>
          <w:pgMar w:top="1100" w:bottom="1220" w:left="680" w:right="0"/>
          <w:cols w:num="2" w:equalWidth="0">
            <w:col w:w="6532" w:space="2563"/>
            <w:col w:w="2135"/>
          </w:cols>
        </w:sectPr>
      </w:pPr>
    </w:p>
    <w:p>
      <w:pPr>
        <w:spacing w:line="240" w:lineRule="auto" w:before="4"/>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5973"/>
        <w:gridCol w:w="2046"/>
        <w:gridCol w:w="2223"/>
      </w:tblGrid>
      <w:tr>
        <w:trPr>
          <w:trHeight w:val="312" w:hRule="exact"/>
        </w:trPr>
        <w:tc>
          <w:tcPr>
            <w:tcW w:w="5973" w:type="dxa"/>
            <w:tcBorders>
              <w:top w:val="single" w:sz="6" w:space="0" w:color="000000"/>
              <w:left w:val="single" w:sz="6" w:space="0" w:color="000000"/>
              <w:bottom w:val="single" w:sz="6" w:space="0" w:color="000000"/>
              <w:right w:val="single" w:sz="6" w:space="0" w:color="000000"/>
            </w:tcBorders>
            <w:shd w:val="clear" w:color="auto" w:fill="BDBDBD"/>
          </w:tcPr>
          <w:p>
            <w:pPr/>
          </w:p>
        </w:tc>
        <w:tc>
          <w:tcPr>
            <w:tcW w:w="204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3"/>
              <w:ind w:left="657"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22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3"/>
              <w:ind w:left="4"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7" w:hRule="exact"/>
        </w:trPr>
        <w:tc>
          <w:tcPr>
            <w:tcW w:w="5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pacing w:val="-3"/>
                <w:sz w:val="18"/>
                <w:szCs w:val="18"/>
              </w:rPr>
              <w:t>不可撤销经营租赁的最低租赁付款额：</w:t>
            </w:r>
          </w:p>
        </w:tc>
        <w:tc>
          <w:tcPr>
            <w:tcW w:w="2046"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23,039,716.03</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26,490,703.19</w:t>
            </w:r>
          </w:p>
        </w:tc>
      </w:tr>
      <w:tr>
        <w:trPr>
          <w:trHeight w:val="346" w:hRule="exact"/>
        </w:trPr>
        <w:tc>
          <w:tcPr>
            <w:tcW w:w="5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11,234,758.24</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16,187,736.84</w:t>
            </w:r>
          </w:p>
        </w:tc>
      </w:tr>
      <w:tr>
        <w:trPr>
          <w:trHeight w:val="350" w:hRule="exact"/>
        </w:trPr>
        <w:tc>
          <w:tcPr>
            <w:tcW w:w="5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2"/>
                <w:sz w:val="18"/>
              </w:rPr>
              <w:t>8,097,808.40</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2"/>
                <w:sz w:val="18"/>
              </w:rPr>
              <w:t>6,774,067.19</w:t>
            </w:r>
          </w:p>
        </w:tc>
      </w:tr>
      <w:tr>
        <w:trPr>
          <w:trHeight w:val="346" w:hRule="exact"/>
        </w:trPr>
        <w:tc>
          <w:tcPr>
            <w:tcW w:w="5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27,153,538.80</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29,563,933.73</w:t>
            </w:r>
          </w:p>
        </w:tc>
      </w:tr>
      <w:tr>
        <w:trPr>
          <w:trHeight w:val="346" w:hRule="exact"/>
        </w:trPr>
        <w:tc>
          <w:tcPr>
            <w:tcW w:w="5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69,525,821.47</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79,016,440.95</w:t>
            </w:r>
          </w:p>
        </w:tc>
      </w:tr>
    </w:tbl>
    <w:p>
      <w:pPr>
        <w:spacing w:line="240" w:lineRule="auto" w:before="2"/>
        <w:rPr>
          <w:rFonts w:ascii="宋体" w:hAnsi="宋体" w:cs="宋体" w:eastAsia="宋体" w:hint="default"/>
          <w:sz w:val="21"/>
          <w:szCs w:val="21"/>
        </w:rPr>
      </w:pPr>
    </w:p>
    <w:p>
      <w:pPr>
        <w:pStyle w:val="BodyText"/>
        <w:spacing w:line="304" w:lineRule="auto" w:before="46"/>
        <w:ind w:left="496" w:right="851"/>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对外投资承诺</w:t>
      </w:r>
      <w:r>
        <w:rPr>
          <w:spacing w:val="-85"/>
        </w:rPr>
        <w:t> </w:t>
      </w:r>
      <w:r>
        <w:rPr>
          <w:spacing w:val="-85"/>
        </w:rPr>
      </w:r>
      <w:r>
        <w:rPr>
          <w:spacing w:val="-3"/>
        </w:rPr>
        <w:t>根据本集团联营企业苏州龙遨泛人工智能高科技投资中心</w:t>
      </w:r>
      <w:r>
        <w:rPr>
          <w:rFonts w:ascii="Times New Roman" w:hAnsi="Times New Roman" w:cs="Times New Roman" w:eastAsia="Times New Roman" w:hint="default"/>
          <w:spacing w:val="-3"/>
        </w:rPr>
        <w:t>(</w:t>
      </w:r>
      <w:r>
        <w:rPr>
          <w:spacing w:val="-3"/>
        </w:rPr>
        <w:t>有限合伙</w:t>
      </w:r>
      <w:r>
        <w:rPr>
          <w:rFonts w:ascii="Times New Roman" w:hAnsi="Times New Roman" w:cs="Times New Roman" w:eastAsia="Times New Roman" w:hint="default"/>
          <w:spacing w:val="-3"/>
        </w:rPr>
        <w:t>)</w:t>
      </w:r>
      <w:r>
        <w:rPr>
          <w:spacing w:val="-3"/>
        </w:rPr>
        <w:t>的合伙协议，本公司认缴的出资额为人民币</w:t>
      </w:r>
      <w:r>
        <w:rPr>
          <w:rFonts w:ascii="Times New Roman" w:hAnsi="Times New Roman" w:cs="Times New Roman" w:eastAsia="Times New Roman" w:hint="default"/>
          <w:spacing w:val="-3"/>
        </w:rPr>
        <w:t>150,000,000.00</w:t>
      </w:r>
    </w:p>
    <w:p>
      <w:pPr>
        <w:pStyle w:val="BodyText"/>
        <w:spacing w:line="240" w:lineRule="auto" w:before="9"/>
        <w:ind w:left="136" w:right="3662"/>
        <w:jc w:val="left"/>
      </w:pPr>
      <w:r>
        <w:rPr>
          <w:spacing w:val="-3"/>
        </w:rPr>
        <w:t>元。于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日，本公司尚未支付认缴出资额为人民币</w:t>
      </w:r>
      <w:r>
        <w:rPr>
          <w:rFonts w:ascii="Times New Roman" w:hAnsi="Times New Roman" w:cs="Times New Roman" w:eastAsia="Times New Roman" w:hint="default"/>
          <w:spacing w:val="-3"/>
        </w:rPr>
        <w:t>114,000,000.00</w:t>
      </w:r>
      <w:r>
        <w:rPr>
          <w:spacing w:val="-3"/>
        </w:rPr>
        <w:t>元。</w:t>
      </w:r>
    </w:p>
    <w:p>
      <w:pPr>
        <w:spacing w:after="0" w:line="240" w:lineRule="auto"/>
        <w:jc w:val="left"/>
        <w:sectPr>
          <w:type w:val="continuous"/>
          <w:pgSz w:w="11910" w:h="16840"/>
          <w:pgMar w:top="1100" w:bottom="1220" w:left="680" w:right="0"/>
        </w:sect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136" w:right="3662"/>
        <w:jc w:val="left"/>
        <w:rPr>
          <w:b w:val="0"/>
          <w:bCs w:val="0"/>
        </w:rPr>
      </w:pPr>
      <w:bookmarkStart w:name="2、或有事项" w:id="422"/>
      <w:bookmarkEnd w:id="42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136" w:right="3662"/>
        <w:jc w:val="left"/>
        <w:rPr>
          <w:b w:val="0"/>
          <w:bCs w:val="0"/>
        </w:rPr>
      </w:pPr>
      <w:bookmarkStart w:name="（1）资产负债表日存在的重要或有事项" w:id="423"/>
      <w:bookmarkEnd w:id="423"/>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0"/>
        <w:rPr>
          <w:rFonts w:ascii="宋体" w:hAnsi="宋体" w:cs="宋体" w:eastAsia="宋体" w:hint="default"/>
          <w:b/>
          <w:bCs/>
          <w:sz w:val="26"/>
          <w:szCs w:val="26"/>
        </w:rPr>
      </w:pPr>
    </w:p>
    <w:p>
      <w:pPr>
        <w:pStyle w:val="BodyText"/>
        <w:spacing w:line="300" w:lineRule="auto"/>
        <w:ind w:left="136" w:right="863" w:firstLine="360"/>
        <w:jc w:val="both"/>
      </w:pP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iTalk</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3"/>
        </w:rPr>
        <w:t>Global</w:t>
      </w:r>
      <w:r>
        <w:rPr>
          <w:spacing w:val="-3"/>
        </w:rPr>
        <w:t>收到美国德克萨斯州西部地区法院</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德州西区法院</w:t>
      </w:r>
      <w:r>
        <w:rPr>
          <w:rFonts w:ascii="Times New Roman" w:hAnsi="Times New Roman" w:cs="Times New Roman" w:eastAsia="Times New Roman" w:hint="default"/>
          <w:spacing w:val="-3"/>
        </w:rPr>
        <w:t>”)</w:t>
      </w:r>
      <w:r>
        <w:rPr>
          <w:spacing w:val="-3"/>
        </w:rPr>
        <w:t>送达的诉讼文书等法律文件，诉讼文件中</w:t>
      </w:r>
      <w:r>
        <w:rPr>
          <w:w w:val="101"/>
        </w:rPr>
        <w:t> </w:t>
      </w:r>
      <w:r>
        <w:rPr>
          <w:spacing w:val="-3"/>
        </w:rPr>
        <w:t>称</w:t>
      </w:r>
      <w:r>
        <w:rPr>
          <w:rFonts w:ascii="Times New Roman" w:hAnsi="Times New Roman" w:cs="Times New Roman" w:eastAsia="Times New Roman" w:hint="default"/>
          <w:spacing w:val="-3"/>
        </w:rPr>
        <w:t>BEIJING  IQIYI  SCIENCE  </w:t>
      </w:r>
      <w:r>
        <w:rPr>
          <w:rFonts w:ascii="Times New Roman" w:hAnsi="Times New Roman" w:cs="Times New Roman" w:eastAsia="Times New Roman" w:hint="default"/>
        </w:rPr>
        <w:t>&amp;  </w:t>
      </w:r>
      <w:r>
        <w:rPr>
          <w:rFonts w:ascii="Times New Roman" w:hAnsi="Times New Roman" w:cs="Times New Roman" w:eastAsia="Times New Roman" w:hint="default"/>
          <w:spacing w:val="-3"/>
        </w:rPr>
        <w:t>TECHNOLOGY  </w:t>
      </w:r>
      <w:r>
        <w:rPr>
          <w:rFonts w:ascii="Times New Roman" w:hAnsi="Times New Roman" w:cs="Times New Roman" w:eastAsia="Times New Roman" w:hint="default"/>
        </w:rPr>
        <w:t>Co.Ltd</w:t>
      </w:r>
      <w:r>
        <w:rPr/>
        <w:t>、</w:t>
      </w:r>
      <w:r>
        <w:rPr>
          <w:rFonts w:ascii="Times New Roman" w:hAnsi="Times New Roman" w:cs="Times New Roman" w:eastAsia="Times New Roman" w:hint="default"/>
        </w:rPr>
        <w:t>BEIJING  </w:t>
      </w:r>
      <w:r>
        <w:rPr>
          <w:rFonts w:ascii="Times New Roman" w:hAnsi="Times New Roman" w:cs="Times New Roman" w:eastAsia="Times New Roman" w:hint="default"/>
          <w:spacing w:val="-3"/>
        </w:rPr>
        <w:t>QIYI  </w:t>
      </w:r>
      <w:r>
        <w:rPr>
          <w:rFonts w:ascii="Times New Roman" w:hAnsi="Times New Roman" w:cs="Times New Roman" w:eastAsia="Times New Roman" w:hint="default"/>
          <w:spacing w:val="-4"/>
        </w:rPr>
        <w:t>CENTURY  </w:t>
      </w:r>
      <w:r>
        <w:rPr>
          <w:rFonts w:ascii="Times New Roman" w:hAnsi="Times New Roman" w:cs="Times New Roman" w:eastAsia="Times New Roman" w:hint="default"/>
          <w:spacing w:val="-3"/>
        </w:rPr>
        <w:t>SCIENCE  </w:t>
      </w:r>
      <w:r>
        <w:rPr>
          <w:rFonts w:ascii="Times New Roman" w:hAnsi="Times New Roman" w:cs="Times New Roman" w:eastAsia="Times New Roman" w:hint="default"/>
        </w:rPr>
        <w:t>&amp;  </w:t>
      </w:r>
      <w:r>
        <w:rPr>
          <w:rFonts w:ascii="Times New Roman" w:hAnsi="Times New Roman" w:cs="Times New Roman" w:eastAsia="Times New Roman" w:hint="default"/>
          <w:spacing w:val="-3"/>
        </w:rPr>
        <w:t>TECHNOLOGY </w:t>
      </w:r>
      <w:r>
        <w:rPr>
          <w:rFonts w:ascii="Times New Roman" w:hAnsi="Times New Roman" w:cs="Times New Roman" w:eastAsia="Times New Roman" w:hint="default"/>
          <w:spacing w:val="2"/>
        </w:rPr>
        <w:t> </w:t>
      </w:r>
      <w:r>
        <w:rPr>
          <w:rFonts w:ascii="Times New Roman" w:hAnsi="Times New Roman" w:cs="Times New Roman" w:eastAsia="Times New Roman" w:hint="default"/>
        </w:rPr>
        <w:t>Co.Ltd(</w:t>
      </w:r>
      <w:r>
        <w:rPr/>
        <w:t>以下简称</w:t>
      </w:r>
    </w:p>
    <w:p>
      <w:pPr>
        <w:pStyle w:val="BodyText"/>
        <w:spacing w:line="240" w:lineRule="auto" w:before="13"/>
        <w:ind w:left="136" w:right="851"/>
        <w:jc w:val="left"/>
        <w:rPr>
          <w:rFonts w:ascii="Times New Roman" w:hAnsi="Times New Roman" w:cs="Times New Roman" w:eastAsia="Times New Roman" w:hint="default"/>
        </w:rPr>
      </w:pPr>
      <w:r>
        <w:rPr>
          <w:rFonts w:ascii="Times New Roman" w:hAnsi="Times New Roman" w:cs="Times New Roman" w:eastAsia="Times New Roman" w:hint="default"/>
        </w:rPr>
        <w:t>“IQIYI”)</w:t>
      </w:r>
      <w:r>
        <w:rPr/>
        <w:t>向德州西区法院提起诉讼，认为</w:t>
      </w:r>
      <w:r>
        <w:rPr>
          <w:rFonts w:ascii="Times New Roman" w:hAnsi="Times New Roman" w:cs="Times New Roman" w:eastAsia="Times New Roman" w:hint="default"/>
        </w:rPr>
        <w:t>iTalkGlobal</w:t>
      </w:r>
      <w:r>
        <w:rPr/>
        <w:t>在美国</w:t>
      </w:r>
      <w:r>
        <w:rPr>
          <w:rFonts w:ascii="Times New Roman" w:hAnsi="Times New Roman" w:cs="Times New Roman" w:eastAsia="Times New Roman" w:hint="default"/>
        </w:rPr>
        <w:t>IPTV</w:t>
      </w:r>
      <w:r>
        <w:rPr/>
        <w:t>平台上播放的某些内容侵犯了其合法拥有的版权，要求</w:t>
      </w:r>
      <w:r>
        <w:rPr>
          <w:rFonts w:ascii="Times New Roman" w:hAnsi="Times New Roman" w:cs="Times New Roman" w:eastAsia="Times New Roman" w:hint="default"/>
        </w:rPr>
        <w:t>iTalkGlobal</w:t>
      </w:r>
    </w:p>
    <w:p>
      <w:pPr>
        <w:pStyle w:val="BodyText"/>
        <w:spacing w:line="240" w:lineRule="auto" w:before="63"/>
        <w:ind w:left="136" w:right="851"/>
        <w:jc w:val="left"/>
      </w:pPr>
      <w:r>
        <w:rPr>
          <w:spacing w:val="-5"/>
        </w:rPr>
        <w:t>赔偿涉及</w:t>
      </w:r>
      <w:r>
        <w:rPr>
          <w:rFonts w:ascii="Times New Roman" w:hAnsi="Times New Roman" w:cs="Times New Roman" w:eastAsia="Times New Roman" w:hint="default"/>
          <w:spacing w:val="-5"/>
        </w:rPr>
        <w:t>13</w:t>
      </w:r>
      <w:r>
        <w:rPr>
          <w:spacing w:val="-5"/>
        </w:rPr>
        <w:t>个节目、每集最高</w:t>
      </w:r>
      <w:r>
        <w:rPr>
          <w:rFonts w:ascii="Times New Roman" w:hAnsi="Times New Roman" w:cs="Times New Roman" w:eastAsia="Times New Roman" w:hint="default"/>
          <w:spacing w:val="-5"/>
        </w:rPr>
        <w:t>15</w:t>
      </w:r>
      <w:r>
        <w:rPr>
          <w:spacing w:val="-5"/>
        </w:rPr>
        <w:t>万美元的侵权费以及诉讼费、律师费等。截至</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日，本案处于调查阶段，尚未开庭审理。</w:t>
      </w:r>
    </w:p>
    <w:p>
      <w:pPr>
        <w:pStyle w:val="BodyText"/>
        <w:spacing w:line="240" w:lineRule="auto" w:before="63"/>
        <w:ind w:left="496" w:right="851"/>
        <w:jc w:val="left"/>
      </w:pPr>
      <w:r>
        <w:rPr>
          <w:rFonts w:ascii="Times New Roman" w:hAnsi="Times New Roman" w:cs="Times New Roman" w:eastAsia="Times New Roman" w:hint="default"/>
          <w:spacing w:val="-4"/>
        </w:rPr>
        <w:t>2019</w:t>
      </w:r>
      <w:r>
        <w:rPr>
          <w:spacing w:val="-4"/>
        </w:rPr>
        <w:t>年底，公司结合相关律师的专业意见，计提本案相关预计损失及律师费共计</w:t>
      </w:r>
      <w:r>
        <w:rPr>
          <w:rFonts w:ascii="Times New Roman" w:hAnsi="Times New Roman" w:cs="Times New Roman" w:eastAsia="Times New Roman" w:hint="default"/>
          <w:spacing w:val="-4"/>
        </w:rPr>
        <w:t>2,318,500.00</w:t>
      </w:r>
      <w:r>
        <w:rPr>
          <w:spacing w:val="-4"/>
        </w:rPr>
        <w:t>美元，折合人民币</w:t>
      </w:r>
      <w:r>
        <w:rPr>
          <w:rFonts w:ascii="Times New Roman" w:hAnsi="Times New Roman" w:cs="Times New Roman" w:eastAsia="Times New Roman" w:hint="default"/>
          <w:spacing w:val="-4"/>
        </w:rPr>
        <w:t>16,174,319.70</w:t>
      </w:r>
      <w:r>
        <w:rPr>
          <w:spacing w:val="-4"/>
        </w:rPr>
        <w:t>元。</w:t>
      </w:r>
    </w:p>
    <w:p>
      <w:pPr>
        <w:spacing w:line="240" w:lineRule="auto" w:before="13"/>
        <w:rPr>
          <w:rFonts w:ascii="宋体" w:hAnsi="宋体" w:cs="宋体" w:eastAsia="宋体" w:hint="default"/>
          <w:sz w:val="25"/>
          <w:szCs w:val="25"/>
        </w:rPr>
      </w:pPr>
    </w:p>
    <w:p>
      <w:pPr>
        <w:pStyle w:val="Heading4"/>
        <w:spacing w:line="240" w:lineRule="auto"/>
        <w:ind w:left="136" w:right="3662"/>
        <w:jc w:val="left"/>
        <w:rPr>
          <w:b w:val="0"/>
          <w:bCs w:val="0"/>
        </w:rPr>
      </w:pPr>
      <w:bookmarkStart w:name="（2）公司没有需要披露的重要或有事项，也应予以说明" w:id="424"/>
      <w:bookmarkEnd w:id="42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36" w:right="3662"/>
        <w:jc w:val="left"/>
      </w:pPr>
      <w:r>
        <w:rPr>
          <w:spacing w:val="-3"/>
        </w:rPr>
        <w:t>公司不存在需要披露的重要或有事项。</w:t>
      </w:r>
    </w:p>
    <w:p>
      <w:pPr>
        <w:spacing w:line="240" w:lineRule="auto" w:before="8"/>
        <w:rPr>
          <w:rFonts w:ascii="宋体" w:hAnsi="宋体" w:cs="宋体" w:eastAsia="宋体" w:hint="default"/>
          <w:sz w:val="26"/>
          <w:szCs w:val="26"/>
        </w:rPr>
      </w:pPr>
    </w:p>
    <w:p>
      <w:pPr>
        <w:spacing w:line="487" w:lineRule="auto" w:before="0"/>
        <w:ind w:left="136" w:right="8176" w:firstLine="0"/>
        <w:jc w:val="left"/>
        <w:rPr>
          <w:rFonts w:ascii="宋体" w:hAnsi="宋体" w:cs="宋体" w:eastAsia="宋体" w:hint="default"/>
          <w:sz w:val="21"/>
          <w:szCs w:val="21"/>
        </w:rPr>
      </w:pPr>
      <w:bookmarkStart w:name="3、其他：无" w:id="425"/>
      <w:bookmarkEnd w:id="42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、其他：无</w:t>
      </w:r>
      <w:r>
        <w:rPr>
          <w:rFonts w:ascii="宋体" w:hAnsi="宋体" w:cs="宋体" w:eastAsia="宋体" w:hint="default"/>
          <w:b/>
          <w:bCs/>
          <w:spacing w:val="-104"/>
          <w:sz w:val="21"/>
          <w:szCs w:val="21"/>
        </w:rPr>
        <w:t> </w:t>
      </w:r>
      <w:bookmarkStart w:name="十五、资产负债表日后事项" w:id="426"/>
      <w:bookmarkEnd w:id="426"/>
      <w:r>
        <w:rPr>
          <w:rFonts w:ascii="宋体" w:hAnsi="宋体" w:cs="宋体" w:eastAsia="宋体" w:hint="default"/>
          <w:b/>
          <w:bCs/>
          <w:spacing w:val="-104"/>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无" w:id="427"/>
      <w:bookmarkEnd w:id="42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、重要的非调整事项：无</w:t>
      </w:r>
      <w:r>
        <w:rPr>
          <w:rFonts w:ascii="宋体" w:hAnsi="宋体" w:cs="宋体" w:eastAsia="宋体" w:hint="default"/>
          <w:sz w:val="21"/>
          <w:szCs w:val="21"/>
        </w:rPr>
      </w:r>
    </w:p>
    <w:p>
      <w:pPr>
        <w:pStyle w:val="Heading4"/>
        <w:spacing w:line="240" w:lineRule="auto" w:before="79"/>
        <w:ind w:left="136" w:right="3662"/>
        <w:jc w:val="left"/>
        <w:rPr>
          <w:b w:val="0"/>
          <w:bCs w:val="0"/>
        </w:rPr>
      </w:pPr>
      <w:bookmarkStart w:name="2、利润分配情况：无" w:id="428"/>
      <w:bookmarkEnd w:id="428"/>
      <w:r>
        <w:rPr>
          <w:b w:val="0"/>
          <w:bCs w:val="0"/>
        </w:rPr>
      </w:r>
      <w:r>
        <w:rPr>
          <w:rFonts w:ascii="Times New Roman" w:hAnsi="Times New Roman" w:cs="Times New Roman" w:eastAsia="Times New Roman" w:hint="default"/>
        </w:rPr>
        <w:t>2</w:t>
      </w:r>
      <w:r>
        <w:rPr/>
        <w:t>、利润分配情况：无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3、销售退回：无" w:id="429"/>
      <w:bookmarkEnd w:id="429"/>
      <w:r>
        <w:rPr>
          <w:b w:val="0"/>
          <w:bCs w:val="0"/>
        </w:rPr>
      </w:r>
      <w:r>
        <w:rPr>
          <w:rFonts w:ascii="Times New Roman" w:hAnsi="Times New Roman" w:cs="Times New Roman" w:eastAsia="Times New Roman" w:hint="default"/>
        </w:rPr>
        <w:t>3</w:t>
      </w:r>
      <w:r>
        <w:rPr/>
        <w:t>、销售退回：无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4、其他资产负债表日后事项说明" w:id="430"/>
      <w:bookmarkEnd w:id="430"/>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left="496" w:right="851" w:hanging="36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）利润分配情况</w:t>
      </w:r>
      <w:r>
        <w:rPr>
          <w:rFonts w:ascii="宋体" w:hAnsi="宋体" w:cs="宋体" w:eastAsia="宋体" w:hint="default"/>
          <w:b/>
          <w:bCs/>
          <w:spacing w:val="-86"/>
        </w:rPr>
        <w:t> </w:t>
      </w:r>
      <w:r>
        <w:rPr>
          <w:rFonts w:ascii="宋体" w:hAnsi="宋体" w:cs="宋体" w:eastAsia="宋体" w:hint="default"/>
          <w:b/>
          <w:bCs/>
          <w:spacing w:val="-86"/>
        </w:rPr>
      </w:r>
      <w:r>
        <w:rPr>
          <w:spacing w:val="-3"/>
        </w:rPr>
        <w:t>经</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28</w:t>
      </w:r>
      <w:r>
        <w:rPr>
          <w:spacing w:val="-3"/>
        </w:rPr>
        <w:t>日本公司第六届董事会第十五次会议审议通过，本公司计划以截止到</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28</w:t>
      </w:r>
      <w:r>
        <w:rPr>
          <w:spacing w:val="-3"/>
        </w:rPr>
        <w:t>日的总股本</w:t>
      </w:r>
      <w:r>
        <w:rPr>
          <w:rFonts w:ascii="Times New Roman" w:hAnsi="Times New Roman" w:cs="Times New Roman" w:eastAsia="Times New Roman" w:hint="default"/>
          <w:spacing w:val="-3"/>
        </w:rPr>
        <w:t>1,354,041,873</w:t>
      </w:r>
      <w:r>
        <w:rPr>
          <w:spacing w:val="-3"/>
        </w:rPr>
        <w:t>股为</w:t>
      </w:r>
      <w:r>
        <w:rPr/>
      </w:r>
    </w:p>
    <w:p>
      <w:pPr>
        <w:pStyle w:val="BodyText"/>
        <w:spacing w:line="312" w:lineRule="auto" w:before="13"/>
        <w:ind w:left="136" w:right="863"/>
        <w:jc w:val="both"/>
      </w:pPr>
      <w:r>
        <w:rPr>
          <w:spacing w:val="-2"/>
        </w:rPr>
        <w:t>基数，向全体股东每</w:t>
      </w:r>
      <w:r>
        <w:rPr>
          <w:rFonts w:ascii="Times New Roman" w:hAnsi="Times New Roman" w:cs="Times New Roman" w:eastAsia="Times New Roman" w:hint="default"/>
          <w:spacing w:val="-2"/>
        </w:rPr>
        <w:t>10</w:t>
      </w:r>
      <w:r>
        <w:rPr>
          <w:spacing w:val="-2"/>
        </w:rPr>
        <w:t>股派发现金红利人民币</w:t>
      </w:r>
      <w:r>
        <w:rPr>
          <w:rFonts w:ascii="Times New Roman" w:hAnsi="Times New Roman" w:cs="Times New Roman" w:eastAsia="Times New Roman" w:hint="default"/>
          <w:spacing w:val="-2"/>
        </w:rPr>
        <w:t>0.5</w:t>
      </w:r>
      <w:r>
        <w:rPr>
          <w:spacing w:val="-2"/>
        </w:rPr>
        <w:t>元</w:t>
      </w:r>
      <w:r>
        <w:rPr>
          <w:rFonts w:ascii="Times New Roman" w:hAnsi="Times New Roman" w:cs="Times New Roman" w:eastAsia="Times New Roman" w:hint="default"/>
          <w:spacing w:val="-2"/>
        </w:rPr>
        <w:t>(</w:t>
      </w:r>
      <w:r>
        <w:rPr>
          <w:spacing w:val="-2"/>
        </w:rPr>
        <w:t>含税</w:t>
      </w:r>
      <w:r>
        <w:rPr>
          <w:rFonts w:ascii="Times New Roman" w:hAnsi="Times New Roman" w:cs="Times New Roman" w:eastAsia="Times New Roman" w:hint="default"/>
          <w:spacing w:val="-2"/>
        </w:rPr>
        <w:t>)</w:t>
      </w:r>
      <w:r>
        <w:rPr>
          <w:spacing w:val="-2"/>
        </w:rPr>
        <w:t>，共计现金股利人民币</w:t>
      </w:r>
      <w:r>
        <w:rPr>
          <w:rFonts w:ascii="Times New Roman" w:hAnsi="Times New Roman" w:cs="Times New Roman" w:eastAsia="Times New Roman" w:hint="default"/>
          <w:spacing w:val="-2"/>
        </w:rPr>
        <w:t>67,702,093.65</w:t>
      </w:r>
      <w:r>
        <w:rPr>
          <w:spacing w:val="-2"/>
        </w:rPr>
        <w:t>元，不送红股，不以资本公积转增股</w:t>
      </w:r>
      <w:r>
        <w:rPr>
          <w:spacing w:val="56"/>
        </w:rPr>
        <w:t> </w:t>
      </w:r>
      <w:r>
        <w:rPr>
          <w:spacing w:val="56"/>
        </w:rPr>
      </w:r>
      <w:r>
        <w:rPr>
          <w:spacing w:val="-4"/>
        </w:rPr>
        <w:t>本。自董事会审议上述利润分配预案后至实施利润分配方案的股权登记日期间，若本公司股本因限制性股票激励计划和股票期权激</w:t>
      </w:r>
      <w:r>
        <w:rPr>
          <w:spacing w:val="3"/>
        </w:rPr>
        <w:t> </w:t>
      </w:r>
      <w:r>
        <w:rPr>
          <w:spacing w:val="3"/>
        </w:rPr>
      </w:r>
      <w:r>
        <w:rPr>
          <w:spacing w:val="-4"/>
        </w:rPr>
        <w:t>励计划发生变动的，依照未来实施分配方案时股权登记日的股本为基数实施，并保持上述分配比例不变对总额进行调整。上述股利</w:t>
      </w:r>
      <w:r>
        <w:rPr>
          <w:spacing w:val="4"/>
        </w:rPr>
        <w:t> </w:t>
      </w:r>
      <w:r>
        <w:rPr>
          <w:spacing w:val="4"/>
        </w:rPr>
      </w:r>
      <w:r>
        <w:rPr>
          <w:spacing w:val="-3"/>
        </w:rPr>
        <w:t>分配方案尚待股东大会批准。</w:t>
      </w:r>
    </w:p>
    <w:p>
      <w:pPr>
        <w:pStyle w:val="Heading6"/>
        <w:spacing w:line="240" w:lineRule="auto" w:before="22"/>
        <w:ind w:right="3662"/>
        <w:jc w:val="left"/>
        <w:rPr>
          <w:b w:val="0"/>
          <w:bCs w:val="0"/>
        </w:rPr>
      </w:pPr>
      <w:r>
        <w:rPr/>
        <w:t>（</w:t>
      </w:r>
      <w:r>
        <w:rPr>
          <w:rFonts w:ascii="Times New Roman" w:hAnsi="Times New Roman" w:cs="Times New Roman" w:eastAsia="Times New Roman" w:hint="default"/>
        </w:rPr>
        <w:t>2</w:t>
      </w:r>
      <w:r>
        <w:rPr/>
        <w:t>）对新型冠状病毒肺炎疫情的影响评估</w:t>
      </w:r>
      <w:r>
        <w:rPr>
          <w:b w:val="0"/>
          <w:bCs w:val="0"/>
        </w:rPr>
      </w:r>
    </w:p>
    <w:p>
      <w:pPr>
        <w:pStyle w:val="BodyText"/>
        <w:spacing w:line="309" w:lineRule="auto" w:before="63"/>
        <w:ind w:left="136" w:right="864" w:firstLine="360"/>
        <w:jc w:val="both"/>
      </w:pPr>
      <w:r>
        <w:rPr/>
        <w:t>新型冠状病毒感染的肺炎疫情于 </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月在全国爆发以来，对肺炎疫情的防控工作正在全球范围内持续进行。肺炎疫情</w:t>
      </w:r>
      <w:r>
        <w:rPr>
          <w:w w:val="101"/>
        </w:rPr>
        <w:t> </w:t>
      </w:r>
      <w:r>
        <w:rPr>
          <w:spacing w:val="-4"/>
        </w:rPr>
        <w:t>将对包括中国、美国在内的部分国家和部分行业的企业经营、以及整体经济运行造成一定影响，从而可能在一定程度上影响本集团</w:t>
      </w:r>
      <w:r>
        <w:rPr>
          <w:spacing w:val="3"/>
        </w:rPr>
        <w:t> </w:t>
      </w:r>
      <w:r>
        <w:rPr>
          <w:spacing w:val="3"/>
        </w:rPr>
      </w:r>
      <w:r>
        <w:rPr>
          <w:spacing w:val="-3"/>
        </w:rPr>
        <w:t>的正常生产运行，影响程度将取决于疫情防控的情况、持续时间以及各项调控政策的实施。</w:t>
      </w:r>
    </w:p>
    <w:p>
      <w:pPr>
        <w:pStyle w:val="BodyText"/>
        <w:spacing w:line="319" w:lineRule="auto" w:before="24"/>
        <w:ind w:left="136" w:right="773" w:firstLine="360"/>
        <w:jc w:val="both"/>
      </w:pPr>
      <w:r>
        <w:rPr>
          <w:spacing w:val="-5"/>
        </w:rPr>
        <w:t>本集团将继续密切关注肺炎疫情发展情况，评估和积极应对其对本集团财务状况、经营成果等方面的影响。截至本报告报出日，</w:t>
      </w:r>
      <w:r>
        <w:rPr>
          <w:w w:val="101"/>
        </w:rPr>
        <w:t> </w:t>
      </w:r>
      <w:r>
        <w:rPr>
          <w:spacing w:val="-3"/>
        </w:rPr>
        <w:t>该评估工作尚在进行当中。</w:t>
      </w:r>
    </w:p>
    <w:p>
      <w:pPr>
        <w:spacing w:line="240" w:lineRule="auto" w:before="2"/>
        <w:rPr>
          <w:rFonts w:ascii="宋体" w:hAnsi="宋体" w:cs="宋体" w:eastAsia="宋体" w:hint="default"/>
          <w:sz w:val="20"/>
          <w:szCs w:val="20"/>
        </w:rPr>
      </w:pPr>
    </w:p>
    <w:p>
      <w:pPr>
        <w:pStyle w:val="Heading2"/>
        <w:spacing w:line="240" w:lineRule="auto"/>
        <w:ind w:left="136" w:right="3662"/>
        <w:jc w:val="left"/>
        <w:rPr>
          <w:b w:val="0"/>
          <w:bCs w:val="0"/>
        </w:rPr>
      </w:pPr>
      <w:bookmarkStart w:name="十六、其他重要事项" w:id="431"/>
      <w:bookmarkEnd w:id="431"/>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36" w:right="3662"/>
        <w:jc w:val="left"/>
        <w:rPr>
          <w:b w:val="0"/>
          <w:bCs w:val="0"/>
        </w:rPr>
      </w:pPr>
      <w:bookmarkStart w:name="1、前期会计差错更正" w:id="432"/>
      <w:bookmarkEnd w:id="432"/>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1）追溯重述法：无" w:id="433"/>
      <w:bookmarkEnd w:id="433"/>
      <w:r>
        <w:rPr>
          <w:b w:val="0"/>
          <w:bCs w:val="0"/>
        </w:rPr>
      </w:r>
      <w:r>
        <w:rPr/>
        <w:t>（</w:t>
      </w:r>
      <w:r>
        <w:rPr>
          <w:rFonts w:ascii="Times New Roman" w:hAnsi="Times New Roman" w:cs="Times New Roman" w:eastAsia="Times New Roman" w:hint="default"/>
        </w:rPr>
        <w:t>1</w:t>
      </w:r>
      <w:r>
        <w:rPr/>
        <w:t>）追溯重述法：无</w:t>
      </w:r>
      <w:r>
        <w:rPr>
          <w:b w:val="0"/>
          <w:bCs w:val="0"/>
        </w:rPr>
      </w:r>
    </w:p>
    <w:p>
      <w:pPr>
        <w:spacing w:after="0" w:line="240" w:lineRule="auto"/>
        <w:jc w:val="left"/>
        <w:sectPr>
          <w:pgSz w:w="11910" w:h="16840"/>
          <w:pgMar w:header="0" w:footer="1022" w:top="1100" w:bottom="1220" w:left="680" w:right="0"/>
        </w:sect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216" w:right="0"/>
        <w:jc w:val="left"/>
        <w:rPr>
          <w:b w:val="0"/>
          <w:bCs w:val="0"/>
        </w:rPr>
      </w:pPr>
      <w:bookmarkStart w:name="（2）未来适用法：无" w:id="434"/>
      <w:bookmarkEnd w:id="434"/>
      <w:r>
        <w:rPr>
          <w:b w:val="0"/>
          <w:bCs w:val="0"/>
        </w:rPr>
      </w:r>
      <w:r>
        <w:rPr/>
        <w:t>（</w:t>
      </w:r>
      <w:r>
        <w:rPr>
          <w:rFonts w:ascii="Times New Roman" w:hAnsi="Times New Roman" w:cs="Times New Roman" w:eastAsia="Times New Roman" w:hint="default"/>
        </w:rPr>
        <w:t>2</w:t>
      </w:r>
      <w:r>
        <w:rPr/>
        <w:t>）未来适用法：无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216" w:right="0"/>
        <w:jc w:val="left"/>
        <w:rPr>
          <w:b w:val="0"/>
          <w:bCs w:val="0"/>
        </w:rPr>
      </w:pPr>
      <w:bookmarkStart w:name="2、债务重组：无" w:id="435"/>
      <w:bookmarkEnd w:id="435"/>
      <w:r>
        <w:rPr>
          <w:b w:val="0"/>
          <w:bCs w:val="0"/>
        </w:rPr>
      </w:r>
      <w:r>
        <w:rPr>
          <w:rFonts w:ascii="Times New Roman" w:hAnsi="Times New Roman" w:cs="Times New Roman" w:eastAsia="Times New Roman" w:hint="default"/>
        </w:rPr>
        <w:t>2</w:t>
      </w:r>
      <w:r>
        <w:rPr/>
        <w:t>、债务重组：无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16" w:right="0"/>
        <w:jc w:val="left"/>
        <w:rPr>
          <w:b w:val="0"/>
          <w:bCs w:val="0"/>
        </w:rPr>
      </w:pPr>
      <w:bookmarkStart w:name="3、资产置换" w:id="436"/>
      <w:bookmarkEnd w:id="43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16" w:right="0"/>
        <w:jc w:val="left"/>
        <w:rPr>
          <w:b w:val="0"/>
          <w:bCs w:val="0"/>
        </w:rPr>
      </w:pPr>
      <w:bookmarkStart w:name="（1）非货币性资产交换:无" w:id="437"/>
      <w:bookmarkEnd w:id="437"/>
      <w:r>
        <w:rPr>
          <w:b w:val="0"/>
          <w:bCs w:val="0"/>
        </w:rPr>
      </w:r>
      <w:r>
        <w:rPr/>
        <w:t>（</w:t>
      </w:r>
      <w:r>
        <w:rPr>
          <w:rFonts w:ascii="Times New Roman" w:hAnsi="Times New Roman" w:cs="Times New Roman" w:eastAsia="Times New Roman" w:hint="default"/>
        </w:rPr>
        <w:t>1</w:t>
      </w:r>
      <w:r>
        <w:rPr/>
        <w:t>）非货币性资产交换</w:t>
      </w:r>
      <w:r>
        <w:rPr>
          <w:rFonts w:ascii="Times New Roman" w:hAnsi="Times New Roman" w:cs="Times New Roman" w:eastAsia="Times New Roman" w:hint="default"/>
        </w:rPr>
        <w:t>:</w:t>
      </w:r>
      <w:r>
        <w:rPr/>
        <w:t>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16" w:right="0"/>
        <w:jc w:val="left"/>
        <w:rPr>
          <w:b w:val="0"/>
          <w:bCs w:val="0"/>
        </w:rPr>
      </w:pPr>
      <w:bookmarkStart w:name="（2）其他资产置换：无" w:id="438"/>
      <w:bookmarkEnd w:id="438"/>
      <w:r>
        <w:rPr>
          <w:b w:val="0"/>
          <w:bCs w:val="0"/>
        </w:rPr>
      </w:r>
      <w:r>
        <w:rPr/>
        <w:t>（</w:t>
      </w:r>
      <w:r>
        <w:rPr>
          <w:rFonts w:ascii="Times New Roman" w:hAnsi="Times New Roman" w:cs="Times New Roman" w:eastAsia="Times New Roman" w:hint="default"/>
        </w:rPr>
        <w:t>2</w:t>
      </w:r>
      <w:r>
        <w:rPr/>
        <w:t>）其他资产置换：无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16" w:right="0"/>
        <w:jc w:val="left"/>
        <w:rPr>
          <w:b w:val="0"/>
          <w:bCs w:val="0"/>
        </w:rPr>
      </w:pPr>
      <w:bookmarkStart w:name="4、年金计划：无" w:id="439"/>
      <w:bookmarkEnd w:id="439"/>
      <w:r>
        <w:rPr>
          <w:b w:val="0"/>
          <w:bCs w:val="0"/>
        </w:rPr>
      </w:r>
      <w:r>
        <w:rPr>
          <w:rFonts w:ascii="Times New Roman" w:hAnsi="Times New Roman" w:cs="Times New Roman" w:eastAsia="Times New Roman" w:hint="default"/>
        </w:rPr>
        <w:t>4</w:t>
      </w:r>
      <w:r>
        <w:rPr/>
        <w:t>、年金计划：无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216" w:right="0"/>
        <w:jc w:val="left"/>
        <w:rPr>
          <w:b w:val="0"/>
          <w:bCs w:val="0"/>
        </w:rPr>
      </w:pPr>
      <w:bookmarkStart w:name="5、终止经营：无" w:id="440"/>
      <w:bookmarkEnd w:id="440"/>
      <w:r>
        <w:rPr>
          <w:b w:val="0"/>
          <w:bCs w:val="0"/>
        </w:rPr>
      </w:r>
      <w:r>
        <w:rPr>
          <w:rFonts w:ascii="Times New Roman" w:hAnsi="Times New Roman" w:cs="Times New Roman" w:eastAsia="Times New Roman" w:hint="default"/>
        </w:rPr>
        <w:t>5</w:t>
      </w:r>
      <w:r>
        <w:rPr/>
        <w:t>、终止经营：无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16" w:right="0"/>
        <w:jc w:val="left"/>
        <w:rPr>
          <w:b w:val="0"/>
          <w:bCs w:val="0"/>
        </w:rPr>
      </w:pPr>
      <w:bookmarkStart w:name="6、分部信息" w:id="441"/>
      <w:bookmarkEnd w:id="44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16" w:right="0"/>
        <w:jc w:val="left"/>
        <w:rPr>
          <w:b w:val="0"/>
          <w:bCs w:val="0"/>
        </w:rPr>
      </w:pPr>
      <w:bookmarkStart w:name="（1）报告分部的确定依据与会计政策" w:id="442"/>
      <w:bookmarkEnd w:id="44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left="216" w:right="864" w:firstLine="360"/>
        <w:jc w:val="both"/>
      </w:pPr>
      <w:r>
        <w:rPr>
          <w:spacing w:val="-4"/>
        </w:rPr>
        <w:t>根据本集团的内部组织结构、管理要求及内部报告制度，本集团的经营业务划分为三个报告分部，分别为：企业业务、个人业</w:t>
      </w:r>
      <w:r>
        <w:rPr>
          <w:w w:val="101"/>
        </w:rPr>
        <w:t> </w:t>
      </w:r>
      <w:r>
        <w:rPr>
          <w:spacing w:val="-4"/>
        </w:rPr>
        <w:t>务以及其他。本集团的各个报告分部分别提供不同的产品或服务，或在不同地区从事经营活动。本集团的管理层定期评价这些报告</w:t>
      </w:r>
      <w:r>
        <w:rPr>
          <w:spacing w:val="3"/>
        </w:rPr>
        <w:t> </w:t>
      </w:r>
      <w:r>
        <w:rPr>
          <w:spacing w:val="3"/>
        </w:rPr>
      </w:r>
      <w:r>
        <w:rPr>
          <w:spacing w:val="-3"/>
        </w:rPr>
        <w:t>分部的经营成果，以决定向其分配资源及评价其业绩。</w:t>
      </w:r>
    </w:p>
    <w:p>
      <w:pPr>
        <w:pStyle w:val="BodyText"/>
        <w:spacing w:line="316" w:lineRule="auto" w:before="19"/>
        <w:ind w:left="576" w:right="0"/>
        <w:jc w:val="left"/>
      </w:pPr>
      <w:r>
        <w:rPr>
          <w:spacing w:val="-3"/>
        </w:rPr>
        <w:t>分部间转移价格按照实际交易价格为基础确定。</w:t>
      </w:r>
      <w:r>
        <w:rPr>
          <w:spacing w:val="-27"/>
        </w:rPr>
        <w:t> </w:t>
      </w:r>
      <w:r>
        <w:rPr>
          <w:spacing w:val="-27"/>
        </w:rPr>
      </w:r>
      <w:r>
        <w:rPr>
          <w:spacing w:val="-4"/>
        </w:rPr>
        <w:t>分部报告信息根据各分部向管理层报告时采用的会计政策及计量基础披露，这些计量基础与编制财务报表时采用的会计政策与</w:t>
      </w:r>
    </w:p>
    <w:p>
      <w:pPr>
        <w:pStyle w:val="BodyText"/>
        <w:spacing w:line="240" w:lineRule="auto" w:before="19"/>
        <w:ind w:left="216" w:right="0"/>
        <w:jc w:val="left"/>
      </w:pPr>
      <w:r>
        <w:rPr>
          <w:spacing w:val="-3"/>
        </w:rPr>
        <w:t>计量基础保持一致。</w:t>
      </w:r>
    </w:p>
    <w:p>
      <w:pPr>
        <w:spacing w:line="240" w:lineRule="auto" w:before="0"/>
        <w:rPr>
          <w:rFonts w:ascii="宋体" w:hAnsi="宋体" w:cs="宋体" w:eastAsia="宋体" w:hint="default"/>
          <w:sz w:val="18"/>
          <w:szCs w:val="18"/>
        </w:rPr>
      </w:pPr>
    </w:p>
    <w:p>
      <w:pPr>
        <w:pStyle w:val="Heading4"/>
        <w:spacing w:line="240" w:lineRule="auto" w:before="118"/>
        <w:ind w:left="216" w:right="0"/>
        <w:jc w:val="left"/>
        <w:rPr>
          <w:b w:val="0"/>
          <w:bCs w:val="0"/>
        </w:rPr>
      </w:pPr>
      <w:bookmarkStart w:name="（2）报告分部的财务信息" w:id="443"/>
      <w:bookmarkEnd w:id="44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2314"/>
        <w:gridCol w:w="1373"/>
        <w:gridCol w:w="1379"/>
        <w:gridCol w:w="1373"/>
        <w:gridCol w:w="1345"/>
        <w:gridCol w:w="1143"/>
        <w:gridCol w:w="1513"/>
      </w:tblGrid>
      <w:tr>
        <w:trPr>
          <w:trHeight w:val="403" w:hRule="exact"/>
        </w:trPr>
        <w:tc>
          <w:tcPr>
            <w:tcW w:w="2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企业业务</w:t>
            </w: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个人业务</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未分配金额</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1373"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对外营业收入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606,493,786.02</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393,611,412.20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13,460,599.94</w:t>
            </w:r>
          </w:p>
        </w:tc>
        <w:tc>
          <w:tcPr>
            <w:tcW w:w="134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1,013,565,798.16</w:t>
            </w:r>
          </w:p>
        </w:tc>
      </w:tr>
      <w:tr>
        <w:trPr>
          <w:trHeight w:val="403" w:hRule="exact"/>
        </w:trPr>
        <w:tc>
          <w:tcPr>
            <w:tcW w:w="2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分部营业收入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606,493,786.02</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393,611,412.20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13,460,599.94</w:t>
            </w:r>
          </w:p>
        </w:tc>
        <w:tc>
          <w:tcPr>
            <w:tcW w:w="134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1,013,565,798.16</w:t>
            </w:r>
          </w:p>
        </w:tc>
      </w:tr>
      <w:tr>
        <w:trPr>
          <w:trHeight w:val="403" w:hRule="exact"/>
        </w:trPr>
        <w:tc>
          <w:tcPr>
            <w:tcW w:w="2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分部营业成本</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301,280,686.79</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138,586,908.27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5,302,396.02</w:t>
            </w:r>
          </w:p>
        </w:tc>
        <w:tc>
          <w:tcPr>
            <w:tcW w:w="134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445,169,991.08</w:t>
            </w:r>
          </w:p>
        </w:tc>
      </w:tr>
      <w:tr>
        <w:trPr>
          <w:trHeight w:val="403" w:hRule="exact"/>
        </w:trPr>
        <w:tc>
          <w:tcPr>
            <w:tcW w:w="2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分部盈利（</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为亏损）</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113,647,289.89</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-56,708,343.45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144,937,512.07</w:t>
            </w:r>
          </w:p>
        </w:tc>
        <w:tc>
          <w:tcPr>
            <w:tcW w:w="134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201,876,458.51</w:t>
            </w:r>
          </w:p>
        </w:tc>
      </w:tr>
      <w:tr>
        <w:trPr>
          <w:trHeight w:val="399" w:hRule="exact"/>
        </w:trPr>
        <w:tc>
          <w:tcPr>
            <w:tcW w:w="2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其中：投资收益</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5,732,896.95</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-142,228.29</w:t>
            </w:r>
          </w:p>
        </w:tc>
        <w:tc>
          <w:tcPr>
            <w:tcW w:w="134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5,590,668.66</w:t>
            </w:r>
          </w:p>
        </w:tc>
      </w:tr>
      <w:tr>
        <w:trPr>
          <w:trHeight w:val="403" w:hRule="exact"/>
        </w:trPr>
        <w:tc>
          <w:tcPr>
            <w:tcW w:w="2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177,753,998.54</w:t>
            </w:r>
          </w:p>
        </w:tc>
        <w:tc>
          <w:tcPr>
            <w:tcW w:w="134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7"/>
              <w:jc w:val="right"/>
              <w:rPr>
                <w:rFonts w:ascii="Times New Roman" w:hAnsi="Times New Roman" w:cs="Times New Roman" w:eastAsia="Times New Roman" w:hint="default"/>
                <w:sz w:val="18"/>
                <w:szCs w:val="18"/>
              </w:rPr>
            </w:pPr>
            <w:r>
              <w:rPr>
                <w:rFonts w:ascii="Times New Roman"/>
                <w:spacing w:val="-1"/>
                <w:sz w:val="18"/>
              </w:rPr>
              <w:t>177,753,998.54</w:t>
            </w:r>
          </w:p>
        </w:tc>
      </w:tr>
      <w:tr>
        <w:trPr>
          <w:trHeight w:val="403" w:hRule="exact"/>
        </w:trPr>
        <w:tc>
          <w:tcPr>
            <w:tcW w:w="2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-74,521,989.52</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-74,521,989.52</w:t>
            </w:r>
          </w:p>
        </w:tc>
      </w:tr>
      <w:tr>
        <w:trPr>
          <w:trHeight w:val="403" w:hRule="exact"/>
        </w:trPr>
        <w:tc>
          <w:tcPr>
            <w:tcW w:w="2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-3,319,710.50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-3,807,031.21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w:t>
            </w:r>
            <w:r>
              <w:rPr>
                <w:rFonts w:ascii="Times New Roman"/>
                <w:spacing w:val="3"/>
                <w:sz w:val="18"/>
              </w:rPr>
              <w:t> </w:t>
            </w:r>
            <w:r>
              <w:rPr>
                <w:rFonts w:ascii="Times New Roman"/>
                <w:sz w:val="18"/>
              </w:rPr>
              <w:t>91,905.10</w:t>
            </w:r>
          </w:p>
        </w:tc>
        <w:tc>
          <w:tcPr>
            <w:tcW w:w="134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-7,218,646.81</w:t>
            </w:r>
          </w:p>
        </w:tc>
      </w:tr>
      <w:tr>
        <w:trPr>
          <w:trHeight w:val="398" w:hRule="exact"/>
        </w:trPr>
        <w:tc>
          <w:tcPr>
            <w:tcW w:w="2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 w:right="0"/>
              <w:jc w:val="center"/>
              <w:rPr>
                <w:rFonts w:ascii="Times New Roman" w:hAnsi="Times New Roman" w:cs="Times New Roman" w:eastAsia="Times New Roman" w:hint="default"/>
                <w:sz w:val="18"/>
                <w:szCs w:val="18"/>
              </w:rPr>
            </w:pPr>
            <w:r>
              <w:rPr>
                <w:rFonts w:ascii="Times New Roman"/>
                <w:sz w:val="18"/>
              </w:rPr>
              <w:t>-19,166,346.56</w:t>
            </w:r>
          </w:p>
        </w:tc>
        <w:tc>
          <w:tcPr>
            <w:tcW w:w="114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-19,166,346.56</w:t>
            </w:r>
          </w:p>
        </w:tc>
      </w:tr>
      <w:tr>
        <w:trPr>
          <w:trHeight w:val="404" w:hRule="exact"/>
        </w:trPr>
        <w:tc>
          <w:tcPr>
            <w:tcW w:w="2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为亏损）</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2"/>
                <w:sz w:val="18"/>
              </w:rPr>
              <w:t>113,647,289.89</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-56,708,343.45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144,937,512.07</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2" w:right="0"/>
              <w:jc w:val="center"/>
              <w:rPr>
                <w:rFonts w:ascii="Times New Roman" w:hAnsi="Times New Roman" w:cs="Times New Roman" w:eastAsia="Times New Roman" w:hint="default"/>
                <w:sz w:val="18"/>
                <w:szCs w:val="18"/>
              </w:rPr>
            </w:pPr>
            <w:r>
              <w:rPr>
                <w:rFonts w:ascii="Times New Roman"/>
                <w:sz w:val="18"/>
              </w:rPr>
              <w:t>-19,166,346.56</w:t>
            </w:r>
          </w:p>
        </w:tc>
        <w:tc>
          <w:tcPr>
            <w:tcW w:w="114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2"/>
                <w:sz w:val="18"/>
              </w:rPr>
              <w:t>182,710,111.95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00" w:bottom="1220" w:left="600" w:right="0"/>
        </w:sectPr>
      </w:pP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236" w:right="176"/>
        <w:jc w:val="left"/>
        <w:rPr>
          <w:b w:val="0"/>
          <w:bCs w:val="0"/>
        </w:rPr>
      </w:pPr>
      <w:bookmarkStart w:name="（3）公司无报告分部的，或者不能披露各报告分部的资产总额和负债总额的，应说明原因" w:id="444"/>
      <w:bookmarkEnd w:id="44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236" w:right="5618"/>
        <w:jc w:val="left"/>
        <w:rPr>
          <w:b w:val="0"/>
          <w:bCs w:val="0"/>
        </w:rPr>
      </w:pPr>
      <w:bookmarkStart w:name="（4）其他说明" w:id="445"/>
      <w:bookmarkEnd w:id="44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236" w:right="5618"/>
        <w:jc w:val="left"/>
      </w:pPr>
      <w:r>
        <w:rPr>
          <w:spacing w:val="-3"/>
        </w:rPr>
        <w:t>按资产所在地划分的非流动资产：</w:t>
      </w:r>
    </w:p>
    <w:p>
      <w:pPr>
        <w:spacing w:line="240" w:lineRule="auto" w:before="12"/>
        <w:rPr>
          <w:rFonts w:ascii="宋体" w:hAnsi="宋体" w:cs="宋体" w:eastAsia="宋体" w:hint="default"/>
          <w:sz w:val="5"/>
          <w:szCs w:val="5"/>
        </w:rPr>
      </w:pPr>
    </w:p>
    <w:tbl>
      <w:tblPr>
        <w:tblW w:w="0" w:type="auto"/>
        <w:jc w:val="left"/>
        <w:tblInd w:w="217" w:type="dxa"/>
        <w:tblLayout w:type="fixed"/>
        <w:tblCellMar>
          <w:top w:w="0" w:type="dxa"/>
          <w:left w:w="0" w:type="dxa"/>
          <w:bottom w:w="0" w:type="dxa"/>
          <w:right w:w="0" w:type="dxa"/>
        </w:tblCellMar>
        <w:tblLook w:val="01E0"/>
      </w:tblPr>
      <w:tblGrid>
        <w:gridCol w:w="3750"/>
        <w:gridCol w:w="3270"/>
        <w:gridCol w:w="3222"/>
      </w:tblGrid>
      <w:tr>
        <w:trPr>
          <w:trHeight w:val="338" w:hRule="exact"/>
        </w:trPr>
        <w:tc>
          <w:tcPr>
            <w:tcW w:w="375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27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本年末金额</w:t>
            </w:r>
          </w:p>
        </w:tc>
        <w:tc>
          <w:tcPr>
            <w:tcW w:w="322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上年末金额</w:t>
            </w:r>
          </w:p>
        </w:tc>
      </w:tr>
      <w:tr>
        <w:trPr>
          <w:trHeight w:val="346" w:hRule="exact"/>
        </w:trPr>
        <w:tc>
          <w:tcPr>
            <w:tcW w:w="375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位于本国的非流动资产</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887,269,018.07</w:t>
            </w:r>
          </w:p>
        </w:tc>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868,150,477.80</w:t>
            </w:r>
          </w:p>
        </w:tc>
      </w:tr>
      <w:tr>
        <w:trPr>
          <w:trHeight w:val="346" w:hRule="exact"/>
        </w:trPr>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位于其他国家的非流动资产</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470,169,969.08</w:t>
            </w:r>
          </w:p>
        </w:tc>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552,915,829.64</w:t>
            </w:r>
          </w:p>
        </w:tc>
      </w:tr>
      <w:tr>
        <w:trPr>
          <w:trHeight w:val="350" w:hRule="exact"/>
        </w:trPr>
        <w:tc>
          <w:tcPr>
            <w:tcW w:w="3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2"/>
                <w:sz w:val="18"/>
              </w:rPr>
              <w:t>1,357,438,987.15</w:t>
            </w:r>
          </w:p>
        </w:tc>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1,421,066,307.44</w:t>
            </w:r>
          </w:p>
        </w:tc>
      </w:tr>
    </w:tbl>
    <w:p>
      <w:pPr>
        <w:pStyle w:val="BodyText"/>
        <w:spacing w:line="316" w:lineRule="auto" w:before="11"/>
        <w:ind w:left="236" w:right="176"/>
        <w:jc w:val="left"/>
      </w:pPr>
      <w:r>
        <w:rPr>
          <w:spacing w:val="-4"/>
        </w:rPr>
        <w:t>注：上述非流动资产中上年不包括可供出售金融资产及递延所得税资产；本年不包括其他非流动金融资产、其他权益工具和递延所</w:t>
      </w:r>
      <w:r>
        <w:rPr>
          <w:spacing w:val="3"/>
        </w:rPr>
        <w:t> </w:t>
      </w:r>
      <w:r>
        <w:rPr>
          <w:spacing w:val="3"/>
        </w:rPr>
      </w:r>
      <w:r>
        <w:rPr/>
        <w:t>得税资产。</w:t>
      </w:r>
    </w:p>
    <w:p>
      <w:pPr>
        <w:spacing w:line="240" w:lineRule="auto" w:before="8"/>
        <w:rPr>
          <w:rFonts w:ascii="宋体" w:hAnsi="宋体" w:cs="宋体" w:eastAsia="宋体" w:hint="default"/>
          <w:sz w:val="22"/>
          <w:szCs w:val="22"/>
        </w:rPr>
      </w:pPr>
    </w:p>
    <w:p>
      <w:pPr>
        <w:pStyle w:val="Heading4"/>
        <w:spacing w:line="240" w:lineRule="auto"/>
        <w:ind w:left="236" w:right="5618"/>
        <w:jc w:val="left"/>
        <w:rPr>
          <w:b w:val="0"/>
          <w:bCs w:val="0"/>
        </w:rPr>
      </w:pPr>
      <w:bookmarkStart w:name="7、其他对投资者决策有影响的重要交易和事项：无" w:id="446"/>
      <w:bookmarkEnd w:id="446"/>
      <w:r>
        <w:rPr>
          <w:b w:val="0"/>
          <w:bCs w:val="0"/>
        </w:rPr>
      </w:r>
      <w:r>
        <w:rPr>
          <w:rFonts w:ascii="Times New Roman" w:hAnsi="Times New Roman" w:cs="Times New Roman" w:eastAsia="Times New Roman" w:hint="default"/>
        </w:rPr>
        <w:t>7</w:t>
      </w:r>
      <w:r>
        <w:rPr/>
        <w:t>、其他对投资者决策有影响的重要交易和事项：无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236" w:right="5618"/>
        <w:jc w:val="left"/>
        <w:rPr>
          <w:b w:val="0"/>
          <w:bCs w:val="0"/>
        </w:rPr>
      </w:pPr>
      <w:bookmarkStart w:name="8、其他：无" w:id="447"/>
      <w:bookmarkEnd w:id="447"/>
      <w:r>
        <w:rPr>
          <w:b w:val="0"/>
          <w:bCs w:val="0"/>
        </w:rPr>
      </w:r>
      <w:r>
        <w:rPr>
          <w:rFonts w:ascii="Times New Roman" w:hAnsi="Times New Roman" w:cs="Times New Roman" w:eastAsia="Times New Roman" w:hint="default"/>
        </w:rPr>
        <w:t>8</w:t>
      </w:r>
      <w:r>
        <w:rPr/>
        <w:t>、其他：无</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3"/>
          <w:szCs w:val="13"/>
        </w:rPr>
      </w:pPr>
    </w:p>
    <w:tbl>
      <w:tblPr>
        <w:tblW w:w="0" w:type="auto"/>
        <w:jc w:val="left"/>
        <w:tblInd w:w="102" w:type="dxa"/>
        <w:tblLayout w:type="fixed"/>
        <w:tblCellMar>
          <w:top w:w="0" w:type="dxa"/>
          <w:left w:w="0" w:type="dxa"/>
          <w:bottom w:w="0" w:type="dxa"/>
          <w:right w:w="0" w:type="dxa"/>
        </w:tblCellMar>
        <w:tblLook w:val="01E0"/>
      </w:tblPr>
      <w:tblGrid>
        <w:gridCol w:w="2314"/>
        <w:gridCol w:w="1373"/>
        <w:gridCol w:w="1379"/>
        <w:gridCol w:w="1373"/>
        <w:gridCol w:w="1345"/>
        <w:gridCol w:w="1143"/>
        <w:gridCol w:w="1513"/>
      </w:tblGrid>
      <w:tr>
        <w:trPr>
          <w:trHeight w:val="403" w:hRule="exact"/>
        </w:trPr>
        <w:tc>
          <w:tcPr>
            <w:tcW w:w="2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企业业务</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个人业务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未分配金额</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8" w:hRule="exact"/>
        </w:trPr>
        <w:tc>
          <w:tcPr>
            <w:tcW w:w="2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1373"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对外营业收入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499,394,272.04</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411,049,502.57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18,289,750.02</w:t>
            </w:r>
          </w:p>
        </w:tc>
        <w:tc>
          <w:tcPr>
            <w:tcW w:w="134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928,733,524.63</w:t>
            </w:r>
          </w:p>
        </w:tc>
      </w:tr>
      <w:tr>
        <w:trPr>
          <w:trHeight w:val="403" w:hRule="exact"/>
        </w:trPr>
        <w:tc>
          <w:tcPr>
            <w:tcW w:w="2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分部营业收入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499,394,272.04</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411,049,502.57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18,289,750.02</w:t>
            </w:r>
          </w:p>
        </w:tc>
        <w:tc>
          <w:tcPr>
            <w:tcW w:w="134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928,733,524.63</w:t>
            </w:r>
          </w:p>
        </w:tc>
      </w:tr>
      <w:tr>
        <w:trPr>
          <w:trHeight w:val="403" w:hRule="exact"/>
        </w:trPr>
        <w:tc>
          <w:tcPr>
            <w:tcW w:w="2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分部营业成本</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242,002,108.87</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133,582,363.35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7,038,946.76</w:t>
            </w:r>
          </w:p>
        </w:tc>
        <w:tc>
          <w:tcPr>
            <w:tcW w:w="134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382,623,418.98</w:t>
            </w:r>
          </w:p>
        </w:tc>
      </w:tr>
      <w:tr>
        <w:trPr>
          <w:trHeight w:val="398" w:hRule="exact"/>
        </w:trPr>
        <w:tc>
          <w:tcPr>
            <w:tcW w:w="2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分部盈利（</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为亏损）</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60,264,890.49</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27,834,169.51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830,943.49</w:t>
            </w:r>
          </w:p>
        </w:tc>
        <w:tc>
          <w:tcPr>
            <w:tcW w:w="134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88,930,003.49</w:t>
            </w:r>
          </w:p>
        </w:tc>
      </w:tr>
      <w:tr>
        <w:trPr>
          <w:trHeight w:val="403" w:hRule="exact"/>
        </w:trPr>
        <w:tc>
          <w:tcPr>
            <w:tcW w:w="2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其中：投资收益</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7,992,442.29</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-104,114.49</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7,888,327.80</w:t>
            </w:r>
          </w:p>
        </w:tc>
      </w:tr>
      <w:tr>
        <w:trPr>
          <w:trHeight w:val="404" w:hRule="exact"/>
        </w:trPr>
        <w:tc>
          <w:tcPr>
            <w:tcW w:w="2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-590,551.23</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-5,356,876.38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-1,103.08</w:t>
            </w:r>
          </w:p>
        </w:tc>
        <w:tc>
          <w:tcPr>
            <w:tcW w:w="134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-5,948,530.69</w:t>
            </w:r>
          </w:p>
        </w:tc>
      </w:tr>
      <w:tr>
        <w:trPr>
          <w:trHeight w:val="398" w:hRule="exact"/>
        </w:trPr>
        <w:tc>
          <w:tcPr>
            <w:tcW w:w="2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 w:right="0"/>
              <w:jc w:val="center"/>
              <w:rPr>
                <w:rFonts w:ascii="Times New Roman" w:hAnsi="Times New Roman" w:cs="Times New Roman" w:eastAsia="Times New Roman" w:hint="default"/>
                <w:sz w:val="18"/>
                <w:szCs w:val="18"/>
              </w:rPr>
            </w:pPr>
            <w:r>
              <w:rPr>
                <w:rFonts w:ascii="Times New Roman"/>
                <w:sz w:val="18"/>
              </w:rPr>
              <w:t>-14,579,647.77</w:t>
            </w:r>
          </w:p>
        </w:tc>
        <w:tc>
          <w:tcPr>
            <w:tcW w:w="114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-14,579,647.77</w:t>
            </w:r>
          </w:p>
        </w:tc>
      </w:tr>
      <w:tr>
        <w:trPr>
          <w:trHeight w:val="403" w:hRule="exact"/>
        </w:trPr>
        <w:tc>
          <w:tcPr>
            <w:tcW w:w="2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为亏损）</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60,264,890.49</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27,834,169.51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830,943.49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 w:right="0"/>
              <w:jc w:val="center"/>
              <w:rPr>
                <w:rFonts w:ascii="Times New Roman" w:hAnsi="Times New Roman" w:cs="Times New Roman" w:eastAsia="Times New Roman" w:hint="default"/>
                <w:sz w:val="18"/>
                <w:szCs w:val="18"/>
              </w:rPr>
            </w:pPr>
            <w:r>
              <w:rPr>
                <w:rFonts w:ascii="Times New Roman"/>
                <w:sz w:val="18"/>
              </w:rPr>
              <w:t>-14,579,647.77</w:t>
            </w:r>
          </w:p>
        </w:tc>
        <w:tc>
          <w:tcPr>
            <w:tcW w:w="1143"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74,350,355.72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00" w:bottom="1220" w:left="580" w:right="0"/>
        </w:sectPr>
      </w:pPr>
    </w:p>
    <w:p>
      <w:pPr>
        <w:spacing w:line="240" w:lineRule="auto" w:before="12"/>
        <w:rPr>
          <w:rFonts w:ascii="宋体" w:hAnsi="宋体" w:cs="宋体" w:eastAsia="宋体" w:hint="default"/>
          <w:b/>
          <w:bCs/>
          <w:sz w:val="21"/>
          <w:szCs w:val="21"/>
        </w:rPr>
      </w:pPr>
    </w:p>
    <w:p>
      <w:pPr>
        <w:pStyle w:val="Heading2"/>
        <w:spacing w:line="240" w:lineRule="auto"/>
        <w:ind w:left="220" w:right="0"/>
        <w:jc w:val="left"/>
        <w:rPr>
          <w:b w:val="0"/>
          <w:bCs w:val="0"/>
        </w:rPr>
      </w:pPr>
      <w:r>
        <w:rPr/>
        <w:pict>
          <v:group style="position:absolute;margin-left:52.584pt;margin-top:.09562pt;width:737pt;height:.1pt;mso-position-horizontal-relative:page;mso-position-vertical-relative:paragraph;z-index:-944536" coordorigin="1052,2" coordsize="14740,2">
            <v:shape style="position:absolute;left:1052;top:2;width:14740;height:2" coordorigin="1052,2" coordsize="14740,0" path="m1052,2l15791,2e" filled="false" stroked="true" strokeweight=".48pt" strokecolor="#000000">
              <v:path arrowok="t"/>
            </v:shape>
            <w10:wrap type="none"/>
          </v:group>
        </w:pict>
      </w:r>
      <w:bookmarkStart w:name="十七、母公司财务报表主要项目注释" w:id="448"/>
      <w:bookmarkEnd w:id="448"/>
      <w:r>
        <w:rPr>
          <w:b w:val="0"/>
          <w:bCs w:val="0"/>
        </w:rPr>
      </w:r>
      <w:r>
        <w:rPr>
          <w:w w:val="95"/>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220" w:right="0"/>
        <w:jc w:val="left"/>
        <w:rPr>
          <w:b w:val="0"/>
          <w:bCs w:val="0"/>
        </w:rPr>
      </w:pPr>
      <w:bookmarkStart w:name="1、应收账款" w:id="449"/>
      <w:bookmarkEnd w:id="44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20" w:right="0"/>
        <w:jc w:val="left"/>
        <w:rPr>
          <w:b w:val="0"/>
          <w:bCs w:val="0"/>
        </w:rPr>
      </w:pPr>
      <w:bookmarkStart w:name="（1）应收账款分类披露" w:id="450"/>
      <w:bookmarkEnd w:id="450"/>
      <w:r>
        <w:rPr>
          <w:b w:val="0"/>
          <w:bCs w:val="0"/>
        </w:rPr>
      </w:r>
      <w:r>
        <w:rPr/>
        <w:t>（</w:t>
      </w:r>
      <w:r>
        <w:rPr>
          <w:rFonts w:ascii="Times New Roman" w:hAnsi="Times New Roman" w:cs="Times New Roman" w:eastAsia="Times New Roman" w:hint="default"/>
        </w:rPr>
        <w:t>1</w:t>
      </w:r>
      <w:r>
        <w:rPr/>
        <w:t>）应收账款分类披露</w:t>
      </w:r>
      <w:r>
        <w:rPr>
          <w:b w:val="0"/>
          <w:bCs w:val="0"/>
        </w:rPr>
      </w:r>
    </w:p>
    <w:p>
      <w:pPr>
        <w:pStyle w:val="BodyText"/>
        <w:spacing w:line="240" w:lineRule="auto" w:before="16"/>
        <w:ind w:left="220" w:right="0"/>
        <w:jc w:val="left"/>
      </w:pPr>
      <w:r>
        <w:rPr/>
        <w:br w:type="column"/>
      </w:r>
      <w:r>
        <w:rPr/>
        <w:t>二六三网络通信股份有限公司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p>
      <w:pPr>
        <w:spacing w:after="0" w:line="240" w:lineRule="auto"/>
        <w:jc w:val="left"/>
        <w:sectPr>
          <w:headerReference w:type="default" r:id="rId50"/>
          <w:footerReference w:type="default" r:id="rId51"/>
          <w:pgSz w:w="16840" w:h="11910" w:orient="landscape"/>
          <w:pgMar w:header="0" w:footer="0" w:top="840" w:bottom="0" w:left="860" w:right="860"/>
          <w:cols w:num="2" w:equalWidth="0">
            <w:col w:w="4075" w:space="6555"/>
            <w:col w:w="4490"/>
          </w:cols>
        </w:sectPr>
      </w:pPr>
    </w:p>
    <w:p>
      <w:pPr>
        <w:spacing w:line="240" w:lineRule="auto" w:before="7"/>
        <w:rPr>
          <w:rFonts w:ascii="宋体" w:hAnsi="宋体" w:cs="宋体" w:eastAsia="宋体" w:hint="default"/>
          <w:sz w:val="23"/>
          <w:szCs w:val="23"/>
        </w:rPr>
      </w:pPr>
    </w:p>
    <w:p>
      <w:pPr>
        <w:pStyle w:val="BodyText"/>
        <w:spacing w:line="240" w:lineRule="auto" w:before="46"/>
        <w:ind w:left="0" w:right="208"/>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3049"/>
        <w:gridCol w:w="1392"/>
        <w:gridCol w:w="956"/>
        <w:gridCol w:w="1142"/>
        <w:gridCol w:w="1042"/>
        <w:gridCol w:w="1392"/>
        <w:gridCol w:w="1393"/>
        <w:gridCol w:w="960"/>
        <w:gridCol w:w="1143"/>
        <w:gridCol w:w="1037"/>
        <w:gridCol w:w="1392"/>
      </w:tblGrid>
      <w:tr>
        <w:trPr>
          <w:trHeight w:val="403" w:hRule="exact"/>
        </w:trPr>
        <w:tc>
          <w:tcPr>
            <w:tcW w:w="3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592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92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3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3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3049" w:type="dxa"/>
            <w:vMerge/>
            <w:tcBorders>
              <w:left w:val="single" w:sz="4" w:space="0" w:color="000000"/>
              <w:bottom w:val="single" w:sz="4" w:space="0" w:color="000000"/>
              <w:right w:val="single" w:sz="4" w:space="0" w:color="000000"/>
            </w:tcBorders>
            <w:shd w:val="clear" w:color="auto" w:fill="D2D2D2"/>
          </w:tcPr>
          <w:p>
            <w:pP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92" w:type="dxa"/>
            <w:vMerge/>
            <w:tcBorders>
              <w:left w:val="single" w:sz="4" w:space="0" w:color="000000"/>
              <w:bottom w:val="single" w:sz="4" w:space="0" w:color="000000"/>
              <w:right w:val="single" w:sz="4" w:space="0" w:color="000000"/>
            </w:tcBorders>
            <w:shd w:val="clear" w:color="auto" w:fill="D2D2D2"/>
          </w:tcPr>
          <w:p>
            <w:pP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47"/>
              <w:jc w:val="right"/>
              <w:rPr>
                <w:rFonts w:ascii="宋体" w:hAnsi="宋体" w:cs="宋体" w:eastAsia="宋体" w:hint="default"/>
                <w:sz w:val="18"/>
                <w:szCs w:val="18"/>
              </w:rPr>
            </w:pPr>
            <w:r>
              <w:rPr>
                <w:rFonts w:ascii="宋体" w:hAnsi="宋体" w:cs="宋体" w:eastAsia="宋体" w:hint="default"/>
                <w:spacing w:val="-2"/>
                <w:sz w:val="18"/>
                <w:szCs w:val="18"/>
              </w:rPr>
              <w:t>计提比例</w:t>
            </w:r>
          </w:p>
        </w:tc>
        <w:tc>
          <w:tcPr>
            <w:tcW w:w="1392"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按单项计提坏账准备的应收账款</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按组合计提坏账准备的应收账款</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76,534,119.05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503,954.37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0.66%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76,030,164.68</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52,930,029.14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504,988.53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0.95%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52,425,040.61</w:t>
            </w:r>
          </w:p>
        </w:tc>
      </w:tr>
      <w:tr>
        <w:trPr>
          <w:trHeight w:val="40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其中：企业客户</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2,021,106.93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2.64%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503,954.37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24.93%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1,517,152.56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1,778,297.65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3.36%</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504,988.53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28.40%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1,273,309.12</w:t>
            </w:r>
          </w:p>
        </w:tc>
      </w:tr>
      <w:tr>
        <w:trPr>
          <w:trHeight w:val="40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个人客户</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74,513,012.12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97.36%</w:t>
            </w:r>
          </w:p>
        </w:tc>
        <w:tc>
          <w:tcPr>
            <w:tcW w:w="1142"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74,513,012.12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51,151,731.49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96.64%</w:t>
            </w:r>
          </w:p>
        </w:tc>
        <w:tc>
          <w:tcPr>
            <w:tcW w:w="114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51,151,731.49</w:t>
            </w:r>
          </w:p>
        </w:tc>
      </w:tr>
      <w:tr>
        <w:trPr>
          <w:trHeight w:val="398" w:hRule="exact"/>
        </w:trPr>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76,534,119.05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503,954.37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0.66%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76,030,164.68</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52,930,029.14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504,988.53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0.95%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52,425,040.61</w:t>
            </w:r>
          </w:p>
        </w:tc>
      </w:tr>
    </w:tbl>
    <w:p>
      <w:pPr>
        <w:pStyle w:val="BodyText"/>
        <w:spacing w:line="240" w:lineRule="auto" w:before="53"/>
        <w:ind w:left="220" w:right="0"/>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503,954.37</w:t>
      </w:r>
    </w:p>
    <w:p>
      <w:pPr>
        <w:pStyle w:val="BodyText"/>
        <w:spacing w:line="240" w:lineRule="auto" w:before="106"/>
        <w:ind w:left="0" w:right="208"/>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3726"/>
        <w:gridCol w:w="3726"/>
        <w:gridCol w:w="3726"/>
        <w:gridCol w:w="3721"/>
      </w:tblGrid>
      <w:tr>
        <w:trPr>
          <w:trHeight w:val="403" w:hRule="exact"/>
        </w:trPr>
        <w:tc>
          <w:tcPr>
            <w:tcW w:w="3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11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726" w:type="dxa"/>
            <w:vMerge/>
            <w:tcBorders>
              <w:left w:val="single" w:sz="4" w:space="0" w:color="000000"/>
              <w:bottom w:val="single" w:sz="4" w:space="0" w:color="000000"/>
              <w:right w:val="single" w:sz="4" w:space="0" w:color="000000"/>
            </w:tcBorders>
            <w:shd w:val="clear" w:color="auto" w:fill="D2D2D2"/>
          </w:tcPr>
          <w:p>
            <w:pPr/>
          </w:p>
        </w:tc>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企业客户</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2,021,106.93</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503,954.37</w:t>
            </w:r>
          </w:p>
        </w:tc>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24.93%</w:t>
            </w:r>
          </w:p>
        </w:tc>
      </w:tr>
      <w:tr>
        <w:trPr>
          <w:trHeight w:val="398"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个人客户</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74,513,012.12</w:t>
            </w:r>
          </w:p>
        </w:tc>
        <w:tc>
          <w:tcPr>
            <w:tcW w:w="3726" w:type="dxa"/>
            <w:tcBorders>
              <w:top w:val="single" w:sz="4" w:space="0" w:color="000000"/>
              <w:left w:val="single" w:sz="4" w:space="0" w:color="000000"/>
              <w:bottom w:val="single" w:sz="4" w:space="0" w:color="000000"/>
              <w:right w:val="single" w:sz="4" w:space="0" w:color="000000"/>
            </w:tcBorders>
          </w:tcPr>
          <w:p>
            <w:pPr/>
          </w:p>
        </w:tc>
        <w:tc>
          <w:tcPr>
            <w:tcW w:w="37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76,534,119.05</w:t>
            </w:r>
          </w:p>
        </w:tc>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503,954.37</w:t>
            </w:r>
          </w:p>
        </w:tc>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78"/>
        <w:ind w:left="7406" w:right="7397"/>
        <w:jc w:val="center"/>
        <w:rPr>
          <w:rFonts w:ascii="Times New Roman" w:hAnsi="Times New Roman" w:cs="Times New Roman" w:eastAsia="Times New Roman" w:hint="default"/>
        </w:rPr>
      </w:pPr>
      <w:r>
        <w:rPr>
          <w:rFonts w:ascii="Times New Roman"/>
        </w:rPr>
        <w:t>175</w: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spacing w:line="371" w:lineRule="exact"/>
        <w:ind w:left="1092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7" name="image1.jpeg" descr=""/>
            <wp:cNvGraphicFramePr>
              <a:graphicFrameLocks noChangeAspect="1"/>
            </wp:cNvGraphicFramePr>
            <a:graphic>
              <a:graphicData uri="http://schemas.openxmlformats.org/drawingml/2006/picture">
                <pic:pic>
                  <pic:nvPicPr>
                    <pic:cNvPr id="18" name="image1.jpeg"/>
                    <pic:cNvPicPr/>
                  </pic:nvPicPr>
                  <pic:blipFill>
                    <a:blip r:embed="rId23"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100" w:bottom="1220" w:left="860" w:right="860"/>
        </w:sectPr>
      </w:pPr>
    </w:p>
    <w:p>
      <w:pPr>
        <w:pStyle w:val="BodyText"/>
        <w:spacing w:line="240" w:lineRule="auto" w:before="85"/>
        <w:ind w:left="136" w:right="0"/>
        <w:jc w:val="left"/>
      </w:pPr>
      <w:r>
        <w:rPr/>
        <w:pict>
          <v:group style="position:absolute;margin-left:39.383999pt;margin-top:1.321726pt;width:514.0500pt;height:.1pt;mso-position-horizontal-relative:page;mso-position-vertical-relative:paragraph;z-index:3112" coordorigin="788,26" coordsize="10281,2">
            <v:shape style="position:absolute;left:788;top:26;width:10281;height:2" coordorigin="788,26" coordsize="10281,0" path="m788,26l11068,26e" filled="false" stroked="true" strokeweight=".48pt" strokecolor="#000000">
              <v:path arrowok="t"/>
            </v:shape>
            <w10:wrap type="none"/>
          </v:group>
        </w:pict>
      </w:r>
      <w:r>
        <w:rPr>
          <w:spacing w:val="-3"/>
        </w:rPr>
        <w:t>如是按照预期信用损失一般模型计提应收账款坏账准备，请参照其他应收款的披露方式披露坏账准备的相关信息：</w:t>
      </w:r>
    </w:p>
    <w:p>
      <w:pPr>
        <w:pStyle w:val="BodyText"/>
        <w:spacing w:line="338" w:lineRule="auto" w:before="115"/>
        <w:ind w:left="136" w:right="683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BodyText"/>
        <w:spacing w:line="240" w:lineRule="auto"/>
        <w:ind w:left="136" w:right="0"/>
        <w:jc w:val="left"/>
      </w:pPr>
      <w:r>
        <w:rPr/>
        <w:t>单位：</w:t>
      </w:r>
      <w:r>
        <w:rPr>
          <w:spacing w:val="5"/>
        </w:rPr>
        <w:t> </w:t>
      </w:r>
      <w:r>
        <w:rPr/>
        <w:t>元</w:t>
      </w:r>
    </w:p>
    <w:p>
      <w:pPr>
        <w:spacing w:after="0" w:line="240" w:lineRule="auto"/>
        <w:jc w:val="left"/>
        <w:sectPr>
          <w:footerReference w:type="default" r:id="rId52"/>
          <w:pgSz w:w="11910" w:h="16840"/>
          <w:pgMar w:footer="1022" w:header="0" w:top="1100" w:bottom="1220" w:left="680" w:right="0"/>
          <w:pgNumType w:start="176"/>
          <w:cols w:num="2" w:equalWidth="0">
            <w:col w:w="9138" w:space="273"/>
            <w:col w:w="1819"/>
          </w:cols>
        </w:sectPr>
      </w:pP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4787"/>
        <w:gridCol w:w="4783"/>
      </w:tblGrid>
      <w:tr>
        <w:trPr>
          <w:trHeight w:val="398"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76,028,389.62</w:t>
            </w:r>
          </w:p>
        </w:tc>
      </w:tr>
      <w:tr>
        <w:trPr>
          <w:trHeight w:val="39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个月以内</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75,517,965.39</w:t>
            </w:r>
          </w:p>
        </w:tc>
      </w:tr>
      <w:tr>
        <w:trPr>
          <w:trHeight w:val="40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201,757.97</w:t>
            </w:r>
          </w:p>
        </w:tc>
      </w:tr>
      <w:tr>
        <w:trPr>
          <w:trHeight w:val="40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308,666.26</w:t>
            </w:r>
          </w:p>
        </w:tc>
      </w:tr>
      <w:tr>
        <w:trPr>
          <w:trHeight w:val="403"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229,101.48</w:t>
            </w:r>
          </w:p>
        </w:tc>
      </w:tr>
      <w:tr>
        <w:trPr>
          <w:trHeight w:val="398"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276,627.95</w:t>
            </w:r>
          </w:p>
        </w:tc>
      </w:tr>
      <w:tr>
        <w:trPr>
          <w:trHeight w:val="403"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76,534,119.05</w:t>
            </w:r>
          </w:p>
        </w:tc>
      </w:tr>
    </w:tbl>
    <w:p>
      <w:pPr>
        <w:spacing w:line="240" w:lineRule="auto" w:before="3"/>
        <w:rPr>
          <w:rFonts w:ascii="宋体" w:hAnsi="宋体" w:cs="宋体" w:eastAsia="宋体" w:hint="default"/>
          <w:sz w:val="19"/>
          <w:szCs w:val="19"/>
        </w:rPr>
      </w:pPr>
    </w:p>
    <w:p>
      <w:pPr>
        <w:pStyle w:val="Heading4"/>
        <w:spacing w:line="240" w:lineRule="auto" w:before="36"/>
        <w:ind w:left="136" w:right="3662"/>
        <w:jc w:val="left"/>
        <w:rPr>
          <w:b w:val="0"/>
          <w:bCs w:val="0"/>
        </w:rPr>
      </w:pPr>
      <w:bookmarkStart w:name="（2）本期计提、收回或转回的坏账准备情况" w:id="451"/>
      <w:bookmarkEnd w:id="45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136" w:right="3662"/>
        <w:jc w:val="left"/>
      </w:pPr>
      <w:r>
        <w:rPr>
          <w:spacing w:val="-3"/>
        </w:rPr>
        <w:t>本期计提坏账准备情况：</w:t>
      </w:r>
    </w:p>
    <w:p>
      <w:pPr>
        <w:pStyle w:val="BodyText"/>
        <w:spacing w:line="240" w:lineRule="auto" w:before="119"/>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1369"/>
        <w:gridCol w:w="1368"/>
        <w:gridCol w:w="1369"/>
        <w:gridCol w:w="1368"/>
        <w:gridCol w:w="1364"/>
        <w:gridCol w:w="1369"/>
        <w:gridCol w:w="1368"/>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171"/>
              <w:jc w:val="left"/>
              <w:rPr>
                <w:rFonts w:ascii="宋体" w:hAnsi="宋体" w:cs="宋体" w:eastAsia="宋体" w:hint="default"/>
                <w:sz w:val="18"/>
                <w:szCs w:val="18"/>
              </w:rPr>
            </w:pPr>
            <w:r>
              <w:rPr>
                <w:rFonts w:ascii="宋体" w:hAnsi="宋体" w:cs="宋体" w:eastAsia="宋体" w:hint="default"/>
                <w:spacing w:val="-2"/>
                <w:sz w:val="18"/>
                <w:szCs w:val="18"/>
              </w:rPr>
              <w:t>按组合计提信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用损失准备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504,988.53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133,587.71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134,621.87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503,954.37</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504,988.53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6" w:right="0"/>
              <w:jc w:val="left"/>
              <w:rPr>
                <w:rFonts w:ascii="Times New Roman" w:hAnsi="Times New Roman" w:cs="Times New Roman" w:eastAsia="Times New Roman" w:hint="default"/>
                <w:sz w:val="18"/>
                <w:szCs w:val="18"/>
              </w:rPr>
            </w:pPr>
            <w:r>
              <w:rPr>
                <w:rFonts w:ascii="Times New Roman"/>
                <w:sz w:val="18"/>
              </w:rPr>
              <w:t>133,587.71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134,621.87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503,954.37</w:t>
            </w:r>
          </w:p>
        </w:tc>
      </w:tr>
    </w:tbl>
    <w:p>
      <w:pPr>
        <w:pStyle w:val="BodyText"/>
        <w:spacing w:line="240" w:lineRule="auto" w:before="53"/>
        <w:ind w:left="136" w:right="3662"/>
        <w:jc w:val="left"/>
      </w:pPr>
      <w:r>
        <w:rPr>
          <w:spacing w:val="-3"/>
        </w:rPr>
        <w:t>其中本期坏账准备收回或转回金额重要的：</w:t>
      </w:r>
    </w:p>
    <w:p>
      <w:pPr>
        <w:spacing w:line="240" w:lineRule="auto" w:before="8"/>
        <w:rPr>
          <w:rFonts w:ascii="宋体" w:hAnsi="宋体" w:cs="宋体" w:eastAsia="宋体" w:hint="default"/>
          <w:sz w:val="26"/>
          <w:szCs w:val="26"/>
        </w:rPr>
      </w:pPr>
    </w:p>
    <w:p>
      <w:pPr>
        <w:pStyle w:val="Heading4"/>
        <w:spacing w:line="240" w:lineRule="auto"/>
        <w:ind w:left="136" w:right="3662"/>
        <w:jc w:val="left"/>
        <w:rPr>
          <w:b w:val="0"/>
          <w:bCs w:val="0"/>
        </w:rPr>
      </w:pPr>
      <w:bookmarkStart w:name="（3）本期实际核销的应收账款情况：无" w:id="452"/>
      <w:bookmarkEnd w:id="452"/>
      <w:r>
        <w:rPr>
          <w:b w:val="0"/>
          <w:bCs w:val="0"/>
        </w:rPr>
      </w:r>
      <w:r>
        <w:rPr/>
        <w:t>（</w:t>
      </w:r>
      <w:r>
        <w:rPr>
          <w:rFonts w:ascii="Times New Roman" w:hAnsi="Times New Roman" w:cs="Times New Roman" w:eastAsia="Times New Roman" w:hint="default"/>
        </w:rPr>
        <w:t>3</w:t>
      </w:r>
      <w:r>
        <w:rPr/>
        <w:t>）本期实际核销的应收账款情况：无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4）按欠款方归集的期末余额前五名的应收账款情况" w:id="453"/>
      <w:bookmarkEnd w:id="45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7" w:right="108"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34,223,193.71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44.72%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18,816,051.72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24.59%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13,739,720.62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17.95%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7,734,046.07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3"/>
                <w:sz w:val="18"/>
              </w:rPr>
              <w:t>10.11%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753,618.86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69" w:right="0"/>
              <w:jc w:val="left"/>
              <w:rPr>
                <w:rFonts w:ascii="Times New Roman" w:hAnsi="Times New Roman" w:cs="Times New Roman" w:eastAsia="Times New Roman" w:hint="default"/>
                <w:sz w:val="18"/>
                <w:szCs w:val="18"/>
              </w:rPr>
            </w:pPr>
            <w:r>
              <w:rPr>
                <w:rFonts w:ascii="Times New Roman"/>
                <w:sz w:val="18"/>
              </w:rPr>
              <w:t>176,803.00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75,266,630.98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98.35%</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100" w:bottom="1220" w:left="680" w:right="0"/>
        </w:sect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136" w:right="3662"/>
        <w:jc w:val="left"/>
        <w:rPr>
          <w:b w:val="0"/>
          <w:bCs w:val="0"/>
        </w:rPr>
      </w:pPr>
      <w:bookmarkStart w:name="（5）因金融资产转移而终止确认的应收账款：无" w:id="454"/>
      <w:bookmarkEnd w:id="454"/>
      <w:r>
        <w:rPr>
          <w:b w:val="0"/>
          <w:bCs w:val="0"/>
        </w:rPr>
      </w:r>
      <w:r>
        <w:rPr/>
        <w:t>（</w:t>
      </w:r>
      <w:r>
        <w:rPr>
          <w:rFonts w:ascii="Times New Roman" w:hAnsi="Times New Roman" w:cs="Times New Roman" w:eastAsia="Times New Roman" w:hint="default"/>
        </w:rPr>
        <w:t>5</w:t>
      </w:r>
      <w:r>
        <w:rPr/>
        <w:t>）因金融资产转移而终止确认的应收账款：无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136" w:right="3662"/>
        <w:jc w:val="left"/>
        <w:rPr>
          <w:b w:val="0"/>
          <w:bCs w:val="0"/>
        </w:rPr>
      </w:pPr>
      <w:bookmarkStart w:name="（6）转移应收账款且继续涉入形成的资产、负债金额：无" w:id="455"/>
      <w:bookmarkEnd w:id="455"/>
      <w:r>
        <w:rPr>
          <w:b w:val="0"/>
          <w:bCs w:val="0"/>
        </w:rPr>
      </w:r>
      <w:r>
        <w:rPr/>
        <w:t>（</w:t>
      </w:r>
      <w:r>
        <w:rPr>
          <w:rFonts w:ascii="Times New Roman" w:hAnsi="Times New Roman" w:cs="Times New Roman" w:eastAsia="Times New Roman" w:hint="default"/>
        </w:rPr>
        <w:t>6</w:t>
      </w:r>
      <w:r>
        <w:rPr/>
        <w:t>）转移应收账款且继续涉入形成的资产、负债金额：无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2、其他应收款" w:id="456"/>
      <w:bookmarkEnd w:id="45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1,715,513.89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85,950,439.93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129,283,254.26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85,950,439.93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130,998,768.15</w:t>
            </w:r>
          </w:p>
        </w:tc>
      </w:tr>
    </w:tbl>
    <w:p>
      <w:pPr>
        <w:spacing w:line="240" w:lineRule="auto" w:before="3"/>
        <w:rPr>
          <w:rFonts w:ascii="宋体" w:hAnsi="宋体" w:cs="宋体" w:eastAsia="宋体" w:hint="default"/>
          <w:sz w:val="19"/>
          <w:szCs w:val="19"/>
        </w:rPr>
      </w:pPr>
    </w:p>
    <w:p>
      <w:pPr>
        <w:pStyle w:val="Heading4"/>
        <w:spacing w:line="240" w:lineRule="auto" w:before="36"/>
        <w:ind w:left="136" w:right="3662"/>
        <w:jc w:val="left"/>
        <w:rPr>
          <w:b w:val="0"/>
          <w:bCs w:val="0"/>
        </w:rPr>
      </w:pPr>
      <w:bookmarkStart w:name="（1）应收利息" w:id="457"/>
      <w:bookmarkEnd w:id="457"/>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1）应收利息分类" w:id="458"/>
      <w:bookmarkEnd w:id="458"/>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1,715,513.89</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1,715,513.89</w:t>
            </w:r>
          </w:p>
        </w:tc>
      </w:tr>
    </w:tbl>
    <w:p>
      <w:pPr>
        <w:spacing w:line="240" w:lineRule="auto" w:before="3"/>
        <w:rPr>
          <w:rFonts w:ascii="宋体" w:hAnsi="宋体" w:cs="宋体" w:eastAsia="宋体" w:hint="default"/>
          <w:sz w:val="19"/>
          <w:szCs w:val="19"/>
        </w:rPr>
      </w:pPr>
    </w:p>
    <w:p>
      <w:pPr>
        <w:pStyle w:val="Heading4"/>
        <w:spacing w:line="240" w:lineRule="auto" w:before="36"/>
        <w:ind w:left="136" w:right="3662"/>
        <w:jc w:val="left"/>
        <w:rPr>
          <w:b w:val="0"/>
          <w:bCs w:val="0"/>
        </w:rPr>
      </w:pPr>
      <w:bookmarkStart w:name="2）重要逾期利息：无" w:id="459"/>
      <w:bookmarkEnd w:id="459"/>
      <w:r>
        <w:rPr>
          <w:b w:val="0"/>
          <w:bCs w:val="0"/>
        </w:rPr>
      </w:r>
      <w:r>
        <w:rPr>
          <w:rFonts w:ascii="Times New Roman" w:hAnsi="Times New Roman" w:cs="Times New Roman" w:eastAsia="Times New Roman" w:hint="default"/>
        </w:rPr>
        <w:t>2</w:t>
      </w:r>
      <w:r>
        <w:rPr/>
        <w:t>）重要逾期利息：无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136" w:right="3662"/>
        <w:jc w:val="left"/>
        <w:rPr>
          <w:b w:val="0"/>
          <w:bCs w:val="0"/>
        </w:rPr>
      </w:pPr>
      <w:bookmarkStart w:name="3）坏账准备计提情况" w:id="460"/>
      <w:bookmarkEnd w:id="460"/>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136" w:right="366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left="136" w:right="3662"/>
        <w:jc w:val="left"/>
        <w:rPr>
          <w:b w:val="0"/>
          <w:bCs w:val="0"/>
        </w:rPr>
      </w:pPr>
      <w:bookmarkStart w:name="（2）应收股利：无" w:id="461"/>
      <w:bookmarkEnd w:id="461"/>
      <w:r>
        <w:rPr>
          <w:b w:val="0"/>
          <w:bCs w:val="0"/>
        </w:rPr>
      </w:r>
      <w:r>
        <w:rPr/>
        <w:t>（</w:t>
      </w:r>
      <w:r>
        <w:rPr>
          <w:rFonts w:ascii="Times New Roman" w:hAnsi="Times New Roman" w:cs="Times New Roman" w:eastAsia="Times New Roman" w:hint="default"/>
        </w:rPr>
        <w:t>2</w:t>
      </w:r>
      <w:r>
        <w:rPr/>
        <w:t>）应收股利：无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3）其他应收款" w:id="462"/>
      <w:bookmarkEnd w:id="462"/>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6" w:right="3662"/>
        <w:jc w:val="left"/>
        <w:rPr>
          <w:b w:val="0"/>
          <w:bCs w:val="0"/>
        </w:rPr>
      </w:pPr>
      <w:bookmarkStart w:name="1）其他应收款按款项性质分类情况" w:id="463"/>
      <w:bookmarkEnd w:id="463"/>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4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4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集团合并范围内公司往来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79,355,100.27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122,603,846.57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6,705,123.99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6,705,123.99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50,116.49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132,476.47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86,110,340.75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129,441,447.03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00" w:bottom="1220" w:left="680" w:right="0"/>
        </w:sect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136" w:right="3662"/>
        <w:jc w:val="left"/>
        <w:rPr>
          <w:b w:val="0"/>
          <w:bCs w:val="0"/>
        </w:rPr>
      </w:pPr>
      <w:bookmarkStart w:name="2）坏账准备计提情况" w:id="464"/>
      <w:bookmarkEnd w:id="464"/>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1916"/>
        <w:gridCol w:w="1652"/>
        <w:gridCol w:w="2099"/>
        <w:gridCol w:w="2103"/>
        <w:gridCol w:w="1800"/>
      </w:tblGrid>
      <w:tr>
        <w:trPr>
          <w:trHeight w:val="404"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0"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461" w:right="137" w:hanging="313"/>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59" w:right="142"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3" w:right="142"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153,633.35</w:t>
            </w:r>
          </w:p>
        </w:tc>
        <w:tc>
          <w:tcPr>
            <w:tcW w:w="2099"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4,559.42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158,192.77</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0"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r>
              <w:rPr>
                <w:rFonts w:ascii="宋体" w:hAnsi="宋体" w:cs="宋体" w:eastAsia="宋体" w:hint="default"/>
                <w:w w:val="101"/>
                <w:sz w:val="18"/>
                <w:szCs w:val="18"/>
              </w:rPr>
              <w:t> </w:t>
            </w:r>
            <w:r>
              <w:rPr>
                <w:rFonts w:ascii="宋体" w:hAnsi="宋体" w:cs="宋体" w:eastAsia="宋体" w:hint="default"/>
                <w:sz w:val="18"/>
                <w:szCs w:val="18"/>
              </w:rPr>
              <w:t>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1,726.97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1,726.97</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18.92</w:t>
            </w:r>
          </w:p>
        </w:tc>
        <w:tc>
          <w:tcPr>
            <w:tcW w:w="2099"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18.92</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0"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153,614.43</w:t>
            </w:r>
          </w:p>
        </w:tc>
        <w:tc>
          <w:tcPr>
            <w:tcW w:w="2099"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6,286.39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159,900.82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00" w:bottom="1220" w:left="680" w:right="0"/>
        </w:sectPr>
      </w:pPr>
    </w:p>
    <w:p>
      <w:pPr>
        <w:pStyle w:val="BodyText"/>
        <w:spacing w:line="240" w:lineRule="auto" w:before="53"/>
        <w:ind w:left="136" w:right="0"/>
        <w:jc w:val="left"/>
      </w:pPr>
      <w:r>
        <w:rPr>
          <w:spacing w:val="-3"/>
        </w:rPr>
        <w:t>损失准备本期变动金额重大的账面余额变动情况：无</w:t>
      </w:r>
    </w:p>
    <w:p>
      <w:pPr>
        <w:pStyle w:val="BodyText"/>
        <w:spacing w:line="338" w:lineRule="auto" w:before="119"/>
        <w:ind w:left="136" w:right="197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left="136" w:right="0"/>
        <w:jc w:val="left"/>
      </w:pPr>
      <w:r>
        <w:rPr/>
        <w:t>单位：</w:t>
      </w:r>
      <w:r>
        <w:rPr>
          <w:spacing w:val="5"/>
        </w:rPr>
        <w:t> </w:t>
      </w:r>
      <w:r>
        <w:rPr/>
        <w:t>元</w:t>
      </w:r>
    </w:p>
    <w:p>
      <w:pPr>
        <w:spacing w:after="0" w:line="240" w:lineRule="auto"/>
        <w:jc w:val="left"/>
        <w:sectPr>
          <w:type w:val="continuous"/>
          <w:pgSz w:w="11910" w:h="16840"/>
          <w:pgMar w:top="1100" w:bottom="1220" w:left="680" w:right="0"/>
          <w:cols w:num="2" w:equalWidth="0">
            <w:col w:w="4280" w:space="5131"/>
            <w:col w:w="1819"/>
          </w:cols>
        </w:sectPr>
      </w:pP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4787"/>
        <w:gridCol w:w="4783"/>
      </w:tblGrid>
      <w:tr>
        <w:trPr>
          <w:trHeight w:val="399"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58,284,172.96</w:t>
            </w:r>
          </w:p>
        </w:tc>
      </w:tr>
      <w:tr>
        <w:trPr>
          <w:trHeight w:val="403"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9,748,489.69</w:t>
            </w:r>
          </w:p>
        </w:tc>
      </w:tr>
      <w:tr>
        <w:trPr>
          <w:trHeight w:val="403"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11,562,887.97</w:t>
            </w:r>
          </w:p>
        </w:tc>
      </w:tr>
      <w:tr>
        <w:trPr>
          <w:trHeight w:val="404"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6,514,790.13</w:t>
            </w:r>
          </w:p>
        </w:tc>
      </w:tr>
      <w:tr>
        <w:trPr>
          <w:trHeight w:val="398"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152,214.20</w:t>
            </w:r>
          </w:p>
        </w:tc>
      </w:tr>
      <w:tr>
        <w:trPr>
          <w:trHeight w:val="403"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6,362,575.93</w:t>
            </w:r>
          </w:p>
        </w:tc>
      </w:tr>
      <w:tr>
        <w:trPr>
          <w:trHeight w:val="403" w:hRule="exact"/>
        </w:trPr>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86,110,340.75</w:t>
            </w:r>
          </w:p>
        </w:tc>
      </w:tr>
    </w:tbl>
    <w:p>
      <w:pPr>
        <w:spacing w:line="240" w:lineRule="auto" w:before="3"/>
        <w:rPr>
          <w:rFonts w:ascii="宋体" w:hAnsi="宋体" w:cs="宋体" w:eastAsia="宋体" w:hint="default"/>
          <w:sz w:val="19"/>
          <w:szCs w:val="19"/>
        </w:rPr>
      </w:pPr>
    </w:p>
    <w:p>
      <w:pPr>
        <w:pStyle w:val="Heading4"/>
        <w:spacing w:line="240" w:lineRule="auto" w:before="36"/>
        <w:ind w:left="136" w:right="3662"/>
        <w:jc w:val="left"/>
        <w:rPr>
          <w:b w:val="0"/>
          <w:bCs w:val="0"/>
        </w:rPr>
      </w:pPr>
      <w:bookmarkStart w:name="3）本期计提、收回或转回的坏账准备情况" w:id="465"/>
      <w:bookmarkEnd w:id="465"/>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136" w:right="3662"/>
        <w:jc w:val="left"/>
      </w:pPr>
      <w:r>
        <w:rPr>
          <w:spacing w:val="-3"/>
        </w:rPr>
        <w:t>本期计提坏账准备情况：</w:t>
      </w:r>
    </w:p>
    <w:p>
      <w:pPr>
        <w:pStyle w:val="BodyText"/>
        <w:spacing w:line="240" w:lineRule="auto" w:before="115"/>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1580"/>
        <w:gridCol w:w="1085"/>
        <w:gridCol w:w="1335"/>
        <w:gridCol w:w="1330"/>
        <w:gridCol w:w="1090"/>
        <w:gridCol w:w="1575"/>
        <w:gridCol w:w="1580"/>
      </w:tblGrid>
      <w:tr>
        <w:trPr>
          <w:trHeight w:val="403"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类别</w:t>
            </w:r>
          </w:p>
        </w:tc>
        <w:tc>
          <w:tcPr>
            <w:tcW w:w="10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55"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204"/>
              <w:jc w:val="left"/>
              <w:rPr>
                <w:rFonts w:ascii="宋体" w:hAnsi="宋体" w:cs="宋体" w:eastAsia="宋体" w:hint="default"/>
                <w:sz w:val="18"/>
                <w:szCs w:val="18"/>
              </w:rPr>
            </w:pPr>
            <w:r>
              <w:rPr>
                <w:rFonts w:ascii="宋体" w:hAnsi="宋体" w:cs="宋体" w:eastAsia="宋体" w:hint="default"/>
                <w:spacing w:val="-3"/>
                <w:sz w:val="18"/>
                <w:szCs w:val="18"/>
              </w:rPr>
              <w:t>按组合计提信用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损失准备</w:t>
            </w:r>
          </w:p>
        </w:tc>
        <w:tc>
          <w:tcPr>
            <w:tcW w:w="108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99"/>
              <w:jc w:val="left"/>
              <w:rPr>
                <w:rFonts w:ascii="宋体" w:hAnsi="宋体" w:cs="宋体" w:eastAsia="宋体" w:hint="default"/>
                <w:sz w:val="18"/>
                <w:szCs w:val="18"/>
              </w:rPr>
            </w:pPr>
            <w:r>
              <w:rPr>
                <w:rFonts w:ascii="宋体" w:hAnsi="宋体" w:cs="宋体" w:eastAsia="宋体" w:hint="default"/>
                <w:spacing w:val="-12"/>
                <w:w w:val="101"/>
                <w:sz w:val="18"/>
                <w:szCs w:val="18"/>
              </w:rPr>
              <w:t>其中：押金及保证</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金组合</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153,569.55</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153,569.55</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其他组合</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4,623.22</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1,726.97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18.92</w:t>
            </w:r>
          </w:p>
        </w:tc>
        <w:tc>
          <w:tcPr>
            <w:tcW w:w="109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6,331.27</w:t>
            </w:r>
          </w:p>
        </w:tc>
      </w:tr>
      <w:tr>
        <w:trPr>
          <w:trHeight w:val="398"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158,192.77</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1,726.97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18.92</w:t>
            </w:r>
          </w:p>
        </w:tc>
        <w:tc>
          <w:tcPr>
            <w:tcW w:w="109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159,900.82</w:t>
            </w:r>
          </w:p>
        </w:tc>
      </w:tr>
    </w:tbl>
    <w:p>
      <w:pPr>
        <w:pStyle w:val="BodyText"/>
        <w:spacing w:line="240" w:lineRule="auto" w:before="53"/>
        <w:ind w:left="136" w:right="3662"/>
        <w:jc w:val="left"/>
      </w:pPr>
      <w:r>
        <w:rPr>
          <w:spacing w:val="-3"/>
        </w:rPr>
        <w:t>其中本期坏账准备转回或收回金额重要的：无</w:t>
      </w:r>
    </w:p>
    <w:p>
      <w:pPr>
        <w:spacing w:after="0" w:line="240" w:lineRule="auto"/>
        <w:jc w:val="left"/>
        <w:sectPr>
          <w:type w:val="continuous"/>
          <w:pgSz w:w="11910" w:h="16840"/>
          <w:pgMar w:top="1100" w:bottom="1220" w:left="680" w:right="0"/>
        </w:sect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216" w:right="0"/>
        <w:jc w:val="left"/>
        <w:rPr>
          <w:b w:val="0"/>
          <w:bCs w:val="0"/>
        </w:rPr>
      </w:pPr>
      <w:bookmarkStart w:name="4）本期实际核销的其他应收款情况：无" w:id="466"/>
      <w:bookmarkEnd w:id="466"/>
      <w:r>
        <w:rPr>
          <w:b w:val="0"/>
          <w:bCs w:val="0"/>
        </w:rPr>
      </w:r>
      <w:r>
        <w:rPr>
          <w:rFonts w:ascii="Times New Roman" w:hAnsi="Times New Roman" w:cs="Times New Roman" w:eastAsia="Times New Roman" w:hint="default"/>
        </w:rPr>
        <w:t>4</w:t>
      </w:r>
      <w:r>
        <w:rPr/>
        <w:t>）本期实际核销的其他应收款情况：无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216" w:right="0"/>
        <w:jc w:val="left"/>
        <w:rPr>
          <w:b w:val="0"/>
          <w:bCs w:val="0"/>
        </w:rPr>
      </w:pPr>
      <w:bookmarkStart w:name="5）按欠款方归集的期末余额前五名的其他应收款情况" w:id="467"/>
      <w:bookmarkEnd w:id="467"/>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211"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1022"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0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67" w:right="171"/>
              <w:jc w:val="center"/>
              <w:rPr>
                <w:rFonts w:ascii="宋体" w:hAnsi="宋体" w:cs="宋体" w:eastAsia="宋体" w:hint="default"/>
                <w:sz w:val="18"/>
                <w:szCs w:val="18"/>
              </w:rPr>
            </w:pPr>
            <w:r>
              <w:rPr>
                <w:rFonts w:ascii="宋体" w:hAnsi="宋体" w:cs="宋体" w:eastAsia="宋体" w:hint="default"/>
                <w:spacing w:val="-3"/>
                <w:sz w:val="18"/>
                <w:szCs w:val="18"/>
              </w:rPr>
              <w:t>占其他应收款期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末余额合计数的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5" w:right="171" w:hanging="543"/>
              <w:jc w:val="left"/>
              <w:rPr>
                <w:rFonts w:ascii="宋体" w:hAnsi="宋体" w:cs="宋体" w:eastAsia="宋体" w:hint="default"/>
                <w:sz w:val="18"/>
                <w:szCs w:val="18"/>
              </w:rPr>
            </w:pPr>
            <w:r>
              <w:rPr>
                <w:rFonts w:ascii="宋体" w:hAnsi="宋体" w:cs="宋体" w:eastAsia="宋体" w:hint="default"/>
                <w:spacing w:val="-3"/>
                <w:sz w:val="18"/>
                <w:szCs w:val="18"/>
              </w:rPr>
              <w:t>坏账准备期末余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44,560,424.98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年以</w:t>
            </w:r>
            <w:r>
              <w:rPr>
                <w:rFonts w:ascii="宋体" w:hAnsi="宋体" w:cs="宋体" w:eastAsia="宋体" w:hint="default"/>
                <w:spacing w:val="-5"/>
                <w:w w:val="101"/>
                <w:sz w:val="18"/>
                <w:szCs w:val="18"/>
              </w:rPr>
              <w:t>内</w:t>
            </w:r>
            <w:r>
              <w:rPr>
                <w:rFonts w:ascii="宋体" w:hAnsi="宋体" w:cs="宋体" w:eastAsia="宋体" w:hint="default"/>
                <w:spacing w:val="-77"/>
                <w:w w:val="101"/>
                <w:sz w:val="18"/>
                <w:szCs w:val="18"/>
              </w:rPr>
              <w:t>，</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z w:val="18"/>
                <w:szCs w:val="18"/>
              </w:rPr>
            </w:r>
          </w:p>
          <w:p>
            <w:pPr>
              <w:pStyle w:val="TableParagraph"/>
              <w:spacing w:line="240" w:lineRule="auto" w:before="6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51.75%</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31,483,735.78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36.56%</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业务保证金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6,000,000.00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6.97%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39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爱涛视讯</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2,232,851.60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2.59%</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673,716.11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年以</w:t>
            </w:r>
            <w:r>
              <w:rPr>
                <w:rFonts w:ascii="宋体" w:hAnsi="宋体" w:cs="宋体" w:eastAsia="宋体" w:hint="default"/>
                <w:spacing w:val="-5"/>
                <w:w w:val="101"/>
                <w:sz w:val="18"/>
                <w:szCs w:val="18"/>
              </w:rPr>
              <w:t>内</w:t>
            </w:r>
            <w:r>
              <w:rPr>
                <w:rFonts w:ascii="宋体" w:hAnsi="宋体" w:cs="宋体" w:eastAsia="宋体" w:hint="default"/>
                <w:spacing w:val="-77"/>
                <w:w w:val="101"/>
                <w:sz w:val="18"/>
                <w:szCs w:val="18"/>
              </w:rPr>
              <w:t>，</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0.78%</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84,950,728.47</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98.65%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120,000.00</w:t>
            </w:r>
          </w:p>
        </w:tc>
      </w:tr>
    </w:tbl>
    <w:p>
      <w:pPr>
        <w:spacing w:line="240" w:lineRule="auto" w:before="3"/>
        <w:rPr>
          <w:rFonts w:ascii="宋体" w:hAnsi="宋体" w:cs="宋体" w:eastAsia="宋体" w:hint="default"/>
          <w:sz w:val="19"/>
          <w:szCs w:val="19"/>
        </w:rPr>
      </w:pPr>
    </w:p>
    <w:p>
      <w:pPr>
        <w:pStyle w:val="Heading4"/>
        <w:spacing w:line="240" w:lineRule="auto" w:before="36"/>
        <w:ind w:left="216" w:right="0"/>
        <w:jc w:val="left"/>
        <w:rPr>
          <w:b w:val="0"/>
          <w:bCs w:val="0"/>
        </w:rPr>
      </w:pPr>
      <w:bookmarkStart w:name="6）涉及政府补助的应收款项：无" w:id="468"/>
      <w:bookmarkEnd w:id="468"/>
      <w:r>
        <w:rPr>
          <w:b w:val="0"/>
          <w:bCs w:val="0"/>
        </w:rPr>
      </w:r>
      <w:r>
        <w:rPr>
          <w:rFonts w:ascii="Times New Roman" w:hAnsi="Times New Roman" w:cs="Times New Roman" w:eastAsia="Times New Roman" w:hint="default"/>
        </w:rPr>
        <w:t>6</w:t>
      </w:r>
      <w:r>
        <w:rPr/>
        <w:t>）涉及政府补助的应收款项：无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216" w:right="0"/>
        <w:jc w:val="left"/>
        <w:rPr>
          <w:b w:val="0"/>
          <w:bCs w:val="0"/>
        </w:rPr>
      </w:pPr>
      <w:bookmarkStart w:name="7）因金融资产转移而终止确认的其他应收款：无" w:id="469"/>
      <w:bookmarkEnd w:id="469"/>
      <w:r>
        <w:rPr>
          <w:b w:val="0"/>
          <w:bCs w:val="0"/>
        </w:rPr>
      </w:r>
      <w:r>
        <w:rPr>
          <w:rFonts w:ascii="Times New Roman" w:hAnsi="Times New Roman" w:cs="Times New Roman" w:eastAsia="Times New Roman" w:hint="default"/>
        </w:rPr>
        <w:t>7</w:t>
      </w:r>
      <w:r>
        <w:rPr/>
        <w:t>）因金融资产转移而终止确认的其他应收款：无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16" w:right="0"/>
        <w:jc w:val="left"/>
        <w:rPr>
          <w:b w:val="0"/>
          <w:bCs w:val="0"/>
        </w:rPr>
      </w:pPr>
      <w:bookmarkStart w:name="8）转移其他应收款且继续涉入形成的资产、负债金额：无" w:id="470"/>
      <w:bookmarkEnd w:id="470"/>
      <w:r>
        <w:rPr>
          <w:b w:val="0"/>
          <w:bCs w:val="0"/>
        </w:rPr>
      </w:r>
      <w:r>
        <w:rPr>
          <w:rFonts w:ascii="Times New Roman" w:hAnsi="Times New Roman" w:cs="Times New Roman" w:eastAsia="Times New Roman" w:hint="default"/>
        </w:rPr>
        <w:t>8</w:t>
      </w:r>
      <w:r>
        <w:rPr/>
        <w:t>）转移其他应收款且继续涉入形成的资产、负债金额：无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16" w:right="0"/>
        <w:jc w:val="left"/>
        <w:rPr>
          <w:b w:val="0"/>
          <w:bCs w:val="0"/>
        </w:rPr>
      </w:pPr>
      <w:bookmarkStart w:name="3、长期股权投资" w:id="471"/>
      <w:bookmarkEnd w:id="47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863"/>
        <w:gridCol w:w="1479"/>
        <w:gridCol w:w="1325"/>
        <w:gridCol w:w="1479"/>
        <w:gridCol w:w="1475"/>
        <w:gridCol w:w="1344"/>
        <w:gridCol w:w="1474"/>
      </w:tblGrid>
      <w:tr>
        <w:trPr>
          <w:trHeight w:val="403" w:hRule="exact"/>
        </w:trPr>
        <w:tc>
          <w:tcPr>
            <w:tcW w:w="1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2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863" w:type="dxa"/>
            <w:vMerge/>
            <w:tcBorders>
              <w:left w:val="single" w:sz="4" w:space="0" w:color="000000"/>
              <w:bottom w:val="single" w:sz="4" w:space="0" w:color="000000"/>
              <w:right w:val="single" w:sz="4" w:space="0" w:color="000000"/>
            </w:tcBorders>
            <w:shd w:val="clear" w:color="auto" w:fill="D2D2D2"/>
          </w:tcPr>
          <w:p>
            <w:pPr/>
          </w:p>
        </w:tc>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1,720,016,172.21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253,111,505.75</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1,466,904,666.46</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1,504,056,572.21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178,874,705.75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1,325,181,866.46</w:t>
            </w:r>
          </w:p>
        </w:tc>
      </w:tr>
      <w:tr>
        <w:trPr>
          <w:trHeight w:val="715"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23"/>
              <w:jc w:val="left"/>
              <w:rPr>
                <w:rFonts w:ascii="宋体" w:hAnsi="宋体" w:cs="宋体" w:eastAsia="宋体" w:hint="default"/>
                <w:sz w:val="18"/>
                <w:szCs w:val="18"/>
              </w:rPr>
            </w:pPr>
            <w:r>
              <w:rPr>
                <w:rFonts w:ascii="宋体" w:hAnsi="宋体" w:cs="宋体" w:eastAsia="宋体" w:hint="default"/>
                <w:spacing w:val="-3"/>
                <w:sz w:val="18"/>
                <w:szCs w:val="18"/>
              </w:rPr>
              <w:t>对联营、合营企业投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资</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32,014,541.32</w:t>
            </w:r>
          </w:p>
        </w:tc>
        <w:tc>
          <w:tcPr>
            <w:tcW w:w="1325"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32,014,541.32</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18,813,058.70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18,813,058.70</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1,752,030,713.53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253,111,505.75</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1,498,919,207.78</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1,522,869,630.91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178,874,705.75</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1,343,994,925.16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00" w:bottom="1220" w:left="600" w:right="0"/>
        </w:sect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216" w:right="0"/>
        <w:jc w:val="left"/>
        <w:rPr>
          <w:b w:val="0"/>
          <w:bCs w:val="0"/>
        </w:rPr>
      </w:pPr>
      <w:bookmarkStart w:name="（1）对子公司投资" w:id="472"/>
      <w:bookmarkEnd w:id="47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066"/>
        <w:gridCol w:w="1662"/>
        <w:gridCol w:w="1345"/>
        <w:gridCol w:w="730"/>
        <w:gridCol w:w="1277"/>
        <w:gridCol w:w="1162"/>
        <w:gridCol w:w="1662"/>
        <w:gridCol w:w="1537"/>
      </w:tblGrid>
      <w:tr>
        <w:trPr>
          <w:trHeight w:val="404"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441" w:right="161" w:hanging="274"/>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0" w:lineRule="auto"/>
              <w:ind w:left="706" w:right="156" w:hanging="53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账面价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45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0" w:lineRule="auto"/>
              <w:ind w:left="701" w:right="161" w:hanging="539"/>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账面价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15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676" w:right="134" w:hanging="543"/>
              <w:jc w:val="left"/>
              <w:rPr>
                <w:rFonts w:ascii="宋体" w:hAnsi="宋体" w:cs="宋体" w:eastAsia="宋体" w:hint="default"/>
                <w:sz w:val="18"/>
                <w:szCs w:val="18"/>
              </w:rPr>
            </w:pPr>
            <w:r>
              <w:rPr>
                <w:rFonts w:ascii="宋体" w:hAnsi="宋体" w:cs="宋体" w:eastAsia="宋体" w:hint="default"/>
                <w:spacing w:val="-3"/>
                <w:sz w:val="18"/>
                <w:szCs w:val="18"/>
              </w:rPr>
              <w:t>减值准备期末余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额</w:t>
            </w:r>
          </w:p>
        </w:tc>
      </w:tr>
      <w:tr>
        <w:trPr>
          <w:trHeight w:val="710"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77" w:right="175"/>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86"/>
                <w:sz w:val="18"/>
                <w:szCs w:val="18"/>
              </w:rPr>
              <w:t> </w:t>
            </w: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42" w:right="180" w:hanging="360"/>
              <w:jc w:val="left"/>
              <w:rPr>
                <w:rFonts w:ascii="宋体" w:hAnsi="宋体" w:cs="宋体" w:eastAsia="宋体" w:hint="default"/>
                <w:sz w:val="18"/>
                <w:szCs w:val="18"/>
              </w:rPr>
            </w:pPr>
            <w:r>
              <w:rPr>
                <w:rFonts w:ascii="宋体" w:hAnsi="宋体" w:cs="宋体" w:eastAsia="宋体" w:hint="default"/>
                <w:spacing w:val="-2"/>
                <w:sz w:val="18"/>
                <w:szCs w:val="18"/>
              </w:rPr>
              <w:t>计提减值准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备</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662" w:type="dxa"/>
            <w:vMerge/>
            <w:tcBorders>
              <w:left w:val="single" w:sz="4" w:space="0" w:color="000000"/>
              <w:bottom w:val="single" w:sz="4" w:space="0" w:color="000000"/>
              <w:right w:val="single" w:sz="4" w:space="0" w:color="000000"/>
            </w:tcBorders>
            <w:shd w:val="clear" w:color="auto" w:fill="D2D2D2"/>
          </w:tcPr>
          <w:p>
            <w:pPr/>
          </w:p>
        </w:tc>
        <w:tc>
          <w:tcPr>
            <w:tcW w:w="153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213,288,884.70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182,300,000.00</w:t>
            </w:r>
          </w:p>
        </w:tc>
        <w:tc>
          <w:tcPr>
            <w:tcW w:w="7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2,459,400.00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398,048,284.70</w:t>
            </w: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313,883,013.93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27,100,000.00</w:t>
            </w:r>
          </w:p>
        </w:tc>
        <w:tc>
          <w:tcPr>
            <w:tcW w:w="7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1,537,500.00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342,520,513.93</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34,635,570.72</w:t>
            </w:r>
          </w:p>
        </w:tc>
      </w:tr>
      <w:tr>
        <w:trPr>
          <w:trHeight w:val="40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567,837,181.07</w:t>
            </w:r>
          </w:p>
        </w:tc>
        <w:tc>
          <w:tcPr>
            <w:tcW w:w="134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1,548,100.00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569,385,281.07</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144,239,135.03</w:t>
            </w:r>
          </w:p>
        </w:tc>
      </w:tr>
      <w:tr>
        <w:trPr>
          <w:trHeight w:val="71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23"/>
              <w:jc w:val="left"/>
              <w:rPr>
                <w:rFonts w:ascii="宋体" w:hAnsi="宋体" w:cs="宋体" w:eastAsia="宋体" w:hint="default"/>
                <w:sz w:val="18"/>
                <w:szCs w:val="18"/>
              </w:rPr>
            </w:pPr>
            <w:r>
              <w:rPr>
                <w:rFonts w:ascii="宋体" w:hAnsi="宋体" w:cs="宋体" w:eastAsia="宋体" w:hint="default"/>
                <w:sz w:val="18"/>
                <w:szCs w:val="18"/>
              </w:rPr>
              <w:t>二六三香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港控股</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23,659,605.00</w:t>
            </w:r>
          </w:p>
        </w:tc>
        <w:tc>
          <w:tcPr>
            <w:tcW w:w="134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23,659,605.00</w:t>
            </w: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23"/>
              <w:jc w:val="left"/>
              <w:rPr>
                <w:rFonts w:ascii="宋体" w:hAnsi="宋体" w:cs="宋体" w:eastAsia="宋体" w:hint="default"/>
                <w:sz w:val="18"/>
                <w:szCs w:val="18"/>
              </w:rPr>
            </w:pPr>
            <w:r>
              <w:rPr>
                <w:rFonts w:ascii="宋体" w:hAnsi="宋体" w:cs="宋体" w:eastAsia="宋体" w:hint="default"/>
                <w:sz w:val="18"/>
                <w:szCs w:val="18"/>
              </w:rPr>
              <w:t>广州二六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三</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206,513,181.76</w:t>
            </w:r>
          </w:p>
        </w:tc>
        <w:tc>
          <w:tcPr>
            <w:tcW w:w="134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74,236,800.00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1,014,600.00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133,290,981.76</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74,236,800.00</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1,325,181,866.46</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209,400,000.00</w:t>
            </w:r>
          </w:p>
        </w:tc>
        <w:tc>
          <w:tcPr>
            <w:tcW w:w="7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74,236,800.00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6,559,600.00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1,466,904,666.46</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253,111,505.75</w:t>
            </w:r>
          </w:p>
        </w:tc>
      </w:tr>
    </w:tbl>
    <w:p>
      <w:pPr>
        <w:spacing w:line="240" w:lineRule="auto" w:before="3"/>
        <w:rPr>
          <w:rFonts w:ascii="宋体" w:hAnsi="宋体" w:cs="宋体" w:eastAsia="宋体" w:hint="default"/>
          <w:sz w:val="19"/>
          <w:szCs w:val="19"/>
        </w:rPr>
      </w:pPr>
    </w:p>
    <w:p>
      <w:pPr>
        <w:pStyle w:val="Heading4"/>
        <w:spacing w:line="240" w:lineRule="auto" w:before="36"/>
        <w:ind w:left="216" w:right="0"/>
        <w:jc w:val="left"/>
        <w:rPr>
          <w:b w:val="0"/>
          <w:bCs w:val="0"/>
        </w:rPr>
      </w:pPr>
      <w:bookmarkStart w:name="（2）对联营、合营企业投资" w:id="473"/>
      <w:bookmarkEnd w:id="47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085"/>
        <w:gridCol w:w="1349"/>
        <w:gridCol w:w="1248"/>
        <w:gridCol w:w="495"/>
        <w:gridCol w:w="1397"/>
        <w:gridCol w:w="624"/>
        <w:gridCol w:w="562"/>
        <w:gridCol w:w="720"/>
        <w:gridCol w:w="557"/>
        <w:gridCol w:w="432"/>
        <w:gridCol w:w="1344"/>
        <w:gridCol w:w="625"/>
      </w:tblGrid>
      <w:tr>
        <w:trPr>
          <w:trHeight w:val="401" w:hRule="exact"/>
        </w:trPr>
        <w:tc>
          <w:tcPr>
            <w:tcW w:w="10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04" w:lineRule="auto"/>
              <w:ind w:left="370" w:right="185" w:hanging="183"/>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spacing w:val="-87"/>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603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04" w:lineRule="auto"/>
              <w:ind w:left="365" w:right="185" w:hanging="183"/>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spacing w:val="-87"/>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6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129" w:right="118"/>
              <w:jc w:val="both"/>
              <w:rPr>
                <w:rFonts w:ascii="宋体" w:hAnsi="宋体" w:cs="宋体" w:eastAsia="宋体" w:hint="default"/>
                <w:sz w:val="18"/>
                <w:szCs w:val="18"/>
              </w:rPr>
            </w:pPr>
            <w:r>
              <w:rPr>
                <w:rFonts w:ascii="宋体" w:hAnsi="宋体" w:cs="宋体" w:eastAsia="宋体" w:hint="default"/>
                <w:sz w:val="18"/>
                <w:szCs w:val="18"/>
              </w:rPr>
              <w:t>减值</w:t>
            </w:r>
            <w:r>
              <w:rPr>
                <w:rFonts w:ascii="宋体" w:hAnsi="宋体" w:cs="宋体" w:eastAsia="宋体" w:hint="default"/>
                <w:spacing w:val="-86"/>
                <w:sz w:val="18"/>
                <w:szCs w:val="18"/>
              </w:rPr>
              <w:t> </w:t>
            </w:r>
            <w:r>
              <w:rPr>
                <w:rFonts w:ascii="宋体" w:hAnsi="宋体" w:cs="宋体" w:eastAsia="宋体" w:hint="default"/>
                <w:sz w:val="18"/>
                <w:szCs w:val="18"/>
              </w:rPr>
              <w:t>准备</w:t>
            </w:r>
            <w:r>
              <w:rPr>
                <w:rFonts w:ascii="宋体" w:hAnsi="宋体" w:cs="宋体" w:eastAsia="宋体" w:hint="default"/>
                <w:spacing w:val="-86"/>
                <w:sz w:val="18"/>
                <w:szCs w:val="18"/>
              </w:rPr>
              <w:t> </w:t>
            </w:r>
            <w:r>
              <w:rPr>
                <w:rFonts w:ascii="宋体" w:hAnsi="宋体" w:cs="宋体" w:eastAsia="宋体" w:hint="default"/>
                <w:sz w:val="18"/>
                <w:szCs w:val="18"/>
              </w:rPr>
              <w:t>期末</w:t>
            </w:r>
            <w:r>
              <w:rPr>
                <w:rFonts w:ascii="宋体" w:hAnsi="宋体" w:cs="宋体" w:eastAsia="宋体" w:hint="default"/>
                <w:spacing w:val="-86"/>
                <w:sz w:val="18"/>
                <w:szCs w:val="18"/>
              </w:rPr>
              <w:t> </w:t>
            </w:r>
            <w:r>
              <w:rPr>
                <w:rFonts w:ascii="宋体" w:hAnsi="宋体" w:cs="宋体" w:eastAsia="宋体" w:hint="default"/>
                <w:sz w:val="18"/>
                <w:szCs w:val="18"/>
              </w:rPr>
              <w:t>余额</w:t>
            </w:r>
          </w:p>
        </w:tc>
      </w:tr>
      <w:tr>
        <w:trPr>
          <w:trHeight w:val="1964" w:hRule="exact"/>
        </w:trPr>
        <w:tc>
          <w:tcPr>
            <w:tcW w:w="1085"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54" w:right="146"/>
              <w:jc w:val="both"/>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8"/>
                <w:sz w:val="18"/>
                <w:szCs w:val="18"/>
              </w:rPr>
              <w:t> </w:t>
            </w:r>
            <w:r>
              <w:rPr>
                <w:rFonts w:ascii="宋体" w:hAnsi="宋体" w:cs="宋体" w:eastAsia="宋体" w:hint="default"/>
                <w:sz w:val="18"/>
                <w:szCs w:val="18"/>
              </w:rPr>
              <w:t>少</w:t>
            </w:r>
            <w:r>
              <w:rPr>
                <w:rFonts w:ascii="宋体" w:hAnsi="宋体" w:cs="宋体" w:eastAsia="宋体" w:hint="default"/>
                <w:spacing w:val="-88"/>
                <w:sz w:val="18"/>
                <w:szCs w:val="18"/>
              </w:rPr>
              <w:t> </w:t>
            </w: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1" w:lineRule="auto"/>
              <w:ind w:left="244" w:right="147" w:hanging="92"/>
              <w:jc w:val="left"/>
              <w:rPr>
                <w:rFonts w:ascii="宋体" w:hAnsi="宋体" w:cs="宋体" w:eastAsia="宋体" w:hint="default"/>
                <w:sz w:val="18"/>
                <w:szCs w:val="18"/>
              </w:rPr>
            </w:pPr>
            <w:r>
              <w:rPr>
                <w:rFonts w:ascii="宋体" w:hAnsi="宋体" w:cs="宋体" w:eastAsia="宋体" w:hint="default"/>
                <w:spacing w:val="-2"/>
                <w:sz w:val="18"/>
                <w:szCs w:val="18"/>
              </w:rPr>
              <w:t>权益法下确认</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的投资损益</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29" w:right="119"/>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调整</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7" w:right="180"/>
              <w:jc w:val="both"/>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r>
              <w:rPr>
                <w:rFonts w:ascii="宋体" w:hAnsi="宋体" w:cs="宋体" w:eastAsia="宋体" w:hint="default"/>
                <w:spacing w:val="-88"/>
                <w:sz w:val="18"/>
                <w:szCs w:val="18"/>
              </w:rPr>
              <w:t> </w:t>
            </w:r>
            <w:r>
              <w:rPr>
                <w:rFonts w:ascii="宋体" w:hAnsi="宋体" w:cs="宋体" w:eastAsia="宋体" w:hint="default"/>
                <w:sz w:val="18"/>
                <w:szCs w:val="18"/>
              </w:rPr>
              <w:t>权</w:t>
            </w:r>
            <w:r>
              <w:rPr>
                <w:rFonts w:ascii="宋体" w:hAnsi="宋体" w:cs="宋体" w:eastAsia="宋体" w:hint="default"/>
                <w:spacing w:val="-88"/>
                <w:sz w:val="18"/>
                <w:szCs w:val="18"/>
              </w:rPr>
              <w:t> </w:t>
            </w:r>
            <w:r>
              <w:rPr>
                <w:rFonts w:ascii="宋体" w:hAnsi="宋体" w:cs="宋体" w:eastAsia="宋体" w:hint="default"/>
                <w:sz w:val="18"/>
                <w:szCs w:val="18"/>
              </w:rPr>
              <w:t>益</w:t>
            </w:r>
            <w:r>
              <w:rPr>
                <w:rFonts w:ascii="宋体" w:hAnsi="宋体" w:cs="宋体" w:eastAsia="宋体" w:hint="default"/>
                <w:spacing w:val="-88"/>
                <w:sz w:val="18"/>
                <w:szCs w:val="18"/>
              </w:rPr>
              <w:t> </w:t>
            </w:r>
            <w:r>
              <w:rPr>
                <w:rFonts w:ascii="宋体" w:hAnsi="宋体" w:cs="宋体" w:eastAsia="宋体" w:hint="default"/>
                <w:sz w:val="18"/>
                <w:szCs w:val="18"/>
              </w:rPr>
              <w:t>变</w:t>
            </w:r>
            <w:r>
              <w:rPr>
                <w:rFonts w:ascii="宋体" w:hAnsi="宋体" w:cs="宋体" w:eastAsia="宋体" w:hint="default"/>
                <w:spacing w:val="-88"/>
                <w:sz w:val="18"/>
                <w:szCs w:val="18"/>
              </w:rPr>
              <w:t> </w:t>
            </w:r>
            <w:r>
              <w:rPr>
                <w:rFonts w:ascii="宋体" w:hAnsi="宋体" w:cs="宋体" w:eastAsia="宋体" w:hint="default"/>
                <w:sz w:val="18"/>
                <w:szCs w:val="18"/>
              </w:rPr>
              <w:t>动</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72" w:right="170"/>
              <w:jc w:val="both"/>
              <w:rPr>
                <w:rFonts w:ascii="宋体" w:hAnsi="宋体" w:cs="宋体" w:eastAsia="宋体" w:hint="default"/>
                <w:sz w:val="18"/>
                <w:szCs w:val="18"/>
              </w:rPr>
            </w:pPr>
            <w:r>
              <w:rPr>
                <w:rFonts w:ascii="宋体" w:hAnsi="宋体" w:cs="宋体" w:eastAsia="宋体" w:hint="default"/>
                <w:sz w:val="18"/>
                <w:szCs w:val="18"/>
              </w:rPr>
              <w:t>宣告</w:t>
            </w:r>
            <w:r>
              <w:rPr>
                <w:rFonts w:ascii="宋体" w:hAnsi="宋体" w:cs="宋体" w:eastAsia="宋体" w:hint="default"/>
                <w:spacing w:val="-86"/>
                <w:sz w:val="18"/>
                <w:szCs w:val="18"/>
              </w:rPr>
              <w:t> </w:t>
            </w:r>
            <w:r>
              <w:rPr>
                <w:rFonts w:ascii="宋体" w:hAnsi="宋体" w:cs="宋体" w:eastAsia="宋体" w:hint="default"/>
                <w:sz w:val="18"/>
                <w:szCs w:val="18"/>
              </w:rPr>
              <w:t>发放</w:t>
            </w:r>
            <w:r>
              <w:rPr>
                <w:rFonts w:ascii="宋体" w:hAnsi="宋体" w:cs="宋体" w:eastAsia="宋体" w:hint="default"/>
                <w:spacing w:val="-86"/>
                <w:sz w:val="18"/>
                <w:szCs w:val="18"/>
              </w:rPr>
              <w:t> </w:t>
            </w:r>
            <w:r>
              <w:rPr>
                <w:rFonts w:ascii="宋体" w:hAnsi="宋体" w:cs="宋体" w:eastAsia="宋体" w:hint="default"/>
                <w:sz w:val="18"/>
                <w:szCs w:val="18"/>
              </w:rPr>
              <w:t>现金</w:t>
            </w:r>
            <w:r>
              <w:rPr>
                <w:rFonts w:ascii="宋体" w:hAnsi="宋体" w:cs="宋体" w:eastAsia="宋体" w:hint="default"/>
                <w:spacing w:val="-86"/>
                <w:sz w:val="18"/>
                <w:szCs w:val="18"/>
              </w:rPr>
              <w:t> </w:t>
            </w:r>
            <w:r>
              <w:rPr>
                <w:rFonts w:ascii="宋体" w:hAnsi="宋体" w:cs="宋体" w:eastAsia="宋体" w:hint="default"/>
                <w:sz w:val="18"/>
                <w:szCs w:val="18"/>
              </w:rPr>
              <w:t>股利</w:t>
            </w:r>
            <w:r>
              <w:rPr>
                <w:rFonts w:ascii="宋体" w:hAnsi="宋体" w:cs="宋体" w:eastAsia="宋体" w:hint="default"/>
                <w:spacing w:val="-86"/>
                <w:sz w:val="18"/>
                <w:szCs w:val="18"/>
              </w:rPr>
              <w:t> </w:t>
            </w:r>
            <w:r>
              <w:rPr>
                <w:rFonts w:ascii="宋体" w:hAnsi="宋体" w:cs="宋体" w:eastAsia="宋体" w:hint="default"/>
                <w:sz w:val="18"/>
                <w:szCs w:val="18"/>
              </w:rPr>
              <w:t>或利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2" w:right="180"/>
              <w:jc w:val="both"/>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88"/>
                <w:sz w:val="18"/>
                <w:szCs w:val="18"/>
              </w:rPr>
              <w:t> </w:t>
            </w:r>
            <w:r>
              <w:rPr>
                <w:rFonts w:ascii="宋体" w:hAnsi="宋体" w:cs="宋体" w:eastAsia="宋体" w:hint="default"/>
                <w:sz w:val="18"/>
                <w:szCs w:val="18"/>
              </w:rPr>
              <w:t>提</w:t>
            </w:r>
            <w:r>
              <w:rPr>
                <w:rFonts w:ascii="宋体" w:hAnsi="宋体" w:cs="宋体" w:eastAsia="宋体" w:hint="default"/>
                <w:spacing w:val="-88"/>
                <w:sz w:val="18"/>
                <w:szCs w:val="18"/>
              </w:rPr>
              <w:t> </w:t>
            </w:r>
            <w:r>
              <w:rPr>
                <w:rFonts w:ascii="宋体" w:hAnsi="宋体" w:cs="宋体" w:eastAsia="宋体" w:hint="default"/>
                <w:sz w:val="18"/>
                <w:szCs w:val="18"/>
              </w:rPr>
              <w:t>减</w:t>
            </w:r>
            <w:r>
              <w:rPr>
                <w:rFonts w:ascii="宋体" w:hAnsi="宋体" w:cs="宋体" w:eastAsia="宋体" w:hint="default"/>
                <w:spacing w:val="-88"/>
                <w:sz w:val="18"/>
                <w:szCs w:val="18"/>
              </w:rPr>
              <w:t> </w:t>
            </w:r>
            <w:r>
              <w:rPr>
                <w:rFonts w:ascii="宋体" w:hAnsi="宋体" w:cs="宋体" w:eastAsia="宋体" w:hint="default"/>
                <w:sz w:val="18"/>
                <w:szCs w:val="18"/>
              </w:rPr>
              <w:t>值</w:t>
            </w:r>
            <w:r>
              <w:rPr>
                <w:rFonts w:ascii="宋体" w:hAnsi="宋体" w:cs="宋体" w:eastAsia="宋体" w:hint="default"/>
                <w:spacing w:val="-88"/>
                <w:sz w:val="18"/>
                <w:szCs w:val="18"/>
              </w:rPr>
              <w:t> </w:t>
            </w:r>
            <w:r>
              <w:rPr>
                <w:rFonts w:ascii="宋体" w:hAnsi="宋体" w:cs="宋体" w:eastAsia="宋体" w:hint="default"/>
                <w:sz w:val="18"/>
                <w:szCs w:val="18"/>
              </w:rPr>
              <w:t>准</w:t>
            </w:r>
            <w:r>
              <w:rPr>
                <w:rFonts w:ascii="宋体" w:hAnsi="宋体" w:cs="宋体" w:eastAsia="宋体" w:hint="default"/>
                <w:spacing w:val="-88"/>
                <w:sz w:val="18"/>
                <w:szCs w:val="18"/>
              </w:rPr>
              <w:t> </w:t>
            </w:r>
            <w:r>
              <w:rPr>
                <w:rFonts w:ascii="宋体" w:hAnsi="宋体" w:cs="宋体" w:eastAsia="宋体" w:hint="default"/>
                <w:sz w:val="18"/>
                <w:szCs w:val="18"/>
              </w:rPr>
              <w:t>备</w:t>
            </w:r>
          </w:p>
        </w:tc>
        <w:tc>
          <w:tcPr>
            <w:tcW w:w="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1" w:lineRule="auto"/>
              <w:ind w:left="120" w:right="119"/>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1344" w:type="dxa"/>
            <w:vMerge/>
            <w:tcBorders>
              <w:left w:val="single" w:sz="4" w:space="0" w:color="000000"/>
              <w:bottom w:val="single" w:sz="4" w:space="0" w:color="000000"/>
              <w:right w:val="single" w:sz="4" w:space="0" w:color="000000"/>
            </w:tcBorders>
            <w:shd w:val="clear" w:color="auto" w:fill="D2D2D2"/>
          </w:tcPr>
          <w:p>
            <w:pPr/>
          </w:p>
        </w:tc>
        <w:tc>
          <w:tcPr>
            <w:tcW w:w="62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4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98" w:hRule="exact"/>
        </w:trPr>
        <w:tc>
          <w:tcPr>
            <w:tcW w:w="104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5" w:right="124"/>
              <w:jc w:val="left"/>
              <w:rPr>
                <w:rFonts w:ascii="Times New Roman" w:hAnsi="Times New Roman" w:cs="Times New Roman" w:eastAsia="Times New Roman" w:hint="default"/>
                <w:sz w:val="18"/>
                <w:szCs w:val="18"/>
              </w:rPr>
            </w:pPr>
            <w:r>
              <w:rPr>
                <w:rFonts w:ascii="宋体" w:hAnsi="宋体" w:cs="宋体" w:eastAsia="宋体" w:hint="default"/>
                <w:sz w:val="18"/>
                <w:szCs w:val="18"/>
              </w:rPr>
              <w:t>苏州龙遨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泛人工智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能高科技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投资中心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有限合伙</w:t>
            </w:r>
            <w:r>
              <w:rPr>
                <w:rFonts w:ascii="Times New Roman" w:hAnsi="Times New Roman" w:cs="Times New Roman" w:eastAsia="Times New Roman" w:hint="default"/>
                <w:spacing w:val="-2"/>
                <w:sz w:val="18"/>
                <w:szCs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18,813,058.70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16,000,000.00</w:t>
            </w:r>
          </w:p>
        </w:tc>
        <w:tc>
          <w:tcPr>
            <w:tcW w:w="49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-2,798,517.38</w:t>
            </w:r>
          </w:p>
        </w:tc>
        <w:tc>
          <w:tcPr>
            <w:tcW w:w="62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32,014,541.32</w:t>
            </w:r>
          </w:p>
        </w:tc>
        <w:tc>
          <w:tcPr>
            <w:tcW w:w="62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18,813,058.70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16,000,000.00</w:t>
            </w:r>
          </w:p>
        </w:tc>
        <w:tc>
          <w:tcPr>
            <w:tcW w:w="49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-2,798,517.38</w:t>
            </w:r>
          </w:p>
        </w:tc>
        <w:tc>
          <w:tcPr>
            <w:tcW w:w="62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32,014,541.32</w:t>
            </w:r>
          </w:p>
        </w:tc>
        <w:tc>
          <w:tcPr>
            <w:tcW w:w="6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18,813,058.70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16,000,000.00</w:t>
            </w:r>
          </w:p>
        </w:tc>
        <w:tc>
          <w:tcPr>
            <w:tcW w:w="495"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-2,798,517.38</w:t>
            </w:r>
          </w:p>
        </w:tc>
        <w:tc>
          <w:tcPr>
            <w:tcW w:w="62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32,014,541.32</w:t>
            </w:r>
          </w:p>
        </w:tc>
        <w:tc>
          <w:tcPr>
            <w:tcW w:w="6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216" w:right="0"/>
        <w:jc w:val="left"/>
        <w:rPr>
          <w:b w:val="0"/>
          <w:bCs w:val="0"/>
        </w:rPr>
      </w:pPr>
      <w:bookmarkStart w:name="（3）其他说明" w:id="474"/>
      <w:bookmarkEnd w:id="474"/>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398" w:right="0"/>
        <w:jc w:val="left"/>
      </w:pPr>
      <w:r>
        <w:rPr>
          <w:spacing w:val="-2"/>
        </w:rPr>
        <w:t>注</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年度，本公司对子公司通过自有资金、募集资金增资共计人民币</w:t>
      </w:r>
      <w:r>
        <w:rPr>
          <w:rFonts w:ascii="Times New Roman" w:hAnsi="Times New Roman" w:cs="Times New Roman" w:eastAsia="Times New Roman" w:hint="default"/>
          <w:spacing w:val="-2"/>
        </w:rPr>
        <w:t>209,400,000.00</w:t>
      </w:r>
      <w:r>
        <w:rPr>
          <w:spacing w:val="-2"/>
        </w:rPr>
        <w:t>元。</w:t>
      </w:r>
      <w:r>
        <w:rPr>
          <w:spacing w:val="10"/>
        </w:rPr>
        <w:t> </w:t>
      </w:r>
      <w:r>
        <w:rPr>
          <w:spacing w:val="-3"/>
        </w:rPr>
        <w:t>注</w:t>
      </w:r>
      <w:r>
        <w:rPr>
          <w:rFonts w:ascii="Times New Roman" w:hAnsi="Times New Roman" w:cs="Times New Roman" w:eastAsia="Times New Roman" w:hint="default"/>
          <w:spacing w:val="-3"/>
        </w:rPr>
        <w:t>2</w:t>
      </w:r>
      <w:r>
        <w:rPr>
          <w:spacing w:val="-3"/>
        </w:rPr>
        <w:t>：其他增加主要系本公司授予子公司员工限制性股票及股票期权确认的股份支付费用。</w:t>
      </w:r>
      <w:r>
        <w:rPr>
          <w:spacing w:val="29"/>
        </w:rPr>
        <w:t> </w:t>
      </w:r>
      <w:r>
        <w:rPr>
          <w:spacing w:val="29"/>
        </w:rPr>
      </w:r>
      <w:r>
        <w:rPr>
          <w:spacing w:val="-3"/>
        </w:rPr>
        <w:t>本公司的上述被投资单位不存在</w:t>
      </w:r>
      <w:r>
        <w:rPr>
          <w:rFonts w:ascii="Times New Roman" w:hAnsi="Times New Roman" w:cs="Times New Roman" w:eastAsia="Times New Roman" w:hint="default"/>
          <w:spacing w:val="-3"/>
        </w:rPr>
        <w:t>“</w:t>
      </w:r>
      <w:r>
        <w:rPr>
          <w:spacing w:val="-3"/>
        </w:rPr>
        <w:t>向本公司转移资金的能力受到限制的情况</w:t>
      </w:r>
      <w:r>
        <w:rPr>
          <w:rFonts w:ascii="Times New Roman" w:hAnsi="Times New Roman" w:cs="Times New Roman" w:eastAsia="Times New Roman" w:hint="default"/>
          <w:spacing w:val="-3"/>
        </w:rPr>
        <w:t>”</w:t>
      </w:r>
      <w:r>
        <w:rPr>
          <w:spacing w:val="-3"/>
        </w:rPr>
        <w:t>。</w:t>
      </w:r>
    </w:p>
    <w:p>
      <w:pPr>
        <w:spacing w:after="0" w:line="300" w:lineRule="auto"/>
        <w:jc w:val="left"/>
        <w:sectPr>
          <w:pgSz w:w="11910" w:h="16840"/>
          <w:pgMar w:header="0" w:footer="1022" w:top="1100" w:bottom="1220" w:left="600" w:right="0"/>
        </w:sect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136" w:right="3662"/>
        <w:jc w:val="left"/>
        <w:rPr>
          <w:b w:val="0"/>
          <w:bCs w:val="0"/>
        </w:rPr>
      </w:pPr>
      <w:bookmarkStart w:name="4、营业收入和营业成本" w:id="475"/>
      <w:bookmarkEnd w:id="47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404"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2" w:right="0"/>
              <w:jc w:val="left"/>
              <w:rPr>
                <w:rFonts w:ascii="Times New Roman" w:hAnsi="Times New Roman" w:cs="Times New Roman" w:eastAsia="Times New Roman" w:hint="default"/>
                <w:sz w:val="18"/>
                <w:szCs w:val="18"/>
              </w:rPr>
            </w:pPr>
            <w:r>
              <w:rPr>
                <w:rFonts w:ascii="Times New Roman"/>
                <w:sz w:val="18"/>
              </w:rPr>
              <w:t>8,242,678.80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6,648,848.92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8,904,176.58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1,617,615.57</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1" w:right="0"/>
              <w:jc w:val="left"/>
              <w:rPr>
                <w:rFonts w:ascii="Times New Roman" w:hAnsi="Times New Roman" w:cs="Times New Roman" w:eastAsia="Times New Roman" w:hint="default"/>
                <w:sz w:val="18"/>
                <w:szCs w:val="18"/>
              </w:rPr>
            </w:pPr>
            <w:r>
              <w:rPr>
                <w:rFonts w:ascii="Times New Roman"/>
                <w:sz w:val="18"/>
              </w:rPr>
              <w:t>33,104,423.32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8,159,710.20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31,330,076.49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8,704,809.86</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1" w:right="0"/>
              <w:jc w:val="left"/>
              <w:rPr>
                <w:rFonts w:ascii="Times New Roman" w:hAnsi="Times New Roman" w:cs="Times New Roman" w:eastAsia="Times New Roman" w:hint="default"/>
                <w:sz w:val="18"/>
                <w:szCs w:val="18"/>
              </w:rPr>
            </w:pPr>
            <w:r>
              <w:rPr>
                <w:rFonts w:ascii="Times New Roman"/>
                <w:sz w:val="18"/>
              </w:rPr>
              <w:t>41,347,102.12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14,808,559.12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40,234,253.07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10,322,425.43</w:t>
            </w:r>
          </w:p>
        </w:tc>
      </w:tr>
    </w:tbl>
    <w:p>
      <w:pPr>
        <w:pStyle w:val="BodyText"/>
        <w:spacing w:line="240" w:lineRule="auto" w:before="54"/>
        <w:ind w:left="136" w:right="3662"/>
        <w:jc w:val="left"/>
      </w:pPr>
      <w:r>
        <w:rPr/>
        <w:t>是否已执行新收入准则</w:t>
      </w:r>
    </w:p>
    <w:p>
      <w:pPr>
        <w:pStyle w:val="BodyText"/>
        <w:spacing w:line="343" w:lineRule="auto" w:before="115"/>
        <w:ind w:left="136" w:right="928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r>
        <w:rPr>
          <w:spacing w:val="-89"/>
        </w:rPr>
        <w:t> </w:t>
      </w:r>
      <w:r>
        <w:rPr/>
        <w:t>其他说明：无</w:t>
      </w:r>
    </w:p>
    <w:p>
      <w:pPr>
        <w:spacing w:line="240" w:lineRule="auto" w:before="5"/>
        <w:rPr>
          <w:rFonts w:ascii="宋体" w:hAnsi="宋体" w:cs="宋体" w:eastAsia="宋体" w:hint="default"/>
          <w:sz w:val="20"/>
          <w:szCs w:val="20"/>
        </w:rPr>
      </w:pPr>
    </w:p>
    <w:p>
      <w:pPr>
        <w:pStyle w:val="Heading4"/>
        <w:spacing w:line="240" w:lineRule="auto"/>
        <w:ind w:left="136" w:right="3662"/>
        <w:jc w:val="left"/>
        <w:rPr>
          <w:b w:val="0"/>
          <w:bCs w:val="0"/>
        </w:rPr>
      </w:pPr>
      <w:bookmarkStart w:name="5、投资收益" w:id="476"/>
      <w:bookmarkEnd w:id="47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3327"/>
        <w:gridCol w:w="3059"/>
        <w:gridCol w:w="3188"/>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-2,798,517.38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-1,186,941.30</w:t>
            </w:r>
          </w:p>
        </w:tc>
      </w:tr>
      <w:tr>
        <w:trPr>
          <w:trHeight w:val="399"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2,525,000.00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处置交易性金融资产取得的投资收益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18,232,896.95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5,016,401.34</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0" w:right="152"/>
              <w:jc w:val="left"/>
              <w:rPr>
                <w:rFonts w:ascii="宋体" w:hAnsi="宋体" w:cs="宋体" w:eastAsia="宋体" w:hint="default"/>
                <w:sz w:val="18"/>
                <w:szCs w:val="18"/>
              </w:rPr>
            </w:pPr>
            <w:r>
              <w:rPr>
                <w:rFonts w:ascii="宋体" w:hAnsi="宋体" w:cs="宋体" w:eastAsia="宋体" w:hint="default"/>
                <w:spacing w:val="-3"/>
                <w:sz w:val="18"/>
                <w:szCs w:val="18"/>
              </w:rPr>
              <w:t>可供出售金融资产在持有期间的投资收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4,059,112.59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17,959,379.57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7,888,572.63</w:t>
            </w:r>
          </w:p>
        </w:tc>
      </w:tr>
    </w:tbl>
    <w:p>
      <w:pPr>
        <w:spacing w:line="240" w:lineRule="auto" w:before="3"/>
        <w:rPr>
          <w:rFonts w:ascii="宋体" w:hAnsi="宋体" w:cs="宋体" w:eastAsia="宋体" w:hint="default"/>
          <w:sz w:val="19"/>
          <w:szCs w:val="19"/>
        </w:rPr>
      </w:pPr>
    </w:p>
    <w:p>
      <w:pPr>
        <w:pStyle w:val="Heading4"/>
        <w:spacing w:line="240" w:lineRule="auto" w:before="36"/>
        <w:ind w:left="136" w:right="3662"/>
        <w:jc w:val="left"/>
        <w:rPr>
          <w:b w:val="0"/>
          <w:bCs w:val="0"/>
        </w:rPr>
      </w:pPr>
      <w:bookmarkStart w:name="6、其他" w:id="477"/>
      <w:bookmarkEnd w:id="477"/>
      <w:r>
        <w:rPr>
          <w:b w:val="0"/>
          <w:bCs w:val="0"/>
        </w:rPr>
      </w: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6"/>
          <w:szCs w:val="26"/>
        </w:rPr>
      </w:pPr>
    </w:p>
    <w:p>
      <w:pPr>
        <w:pStyle w:val="Heading6"/>
        <w:spacing w:line="240" w:lineRule="auto" w:before="0"/>
        <w:ind w:right="3662"/>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3"/>
        <w:rPr>
          <w:rFonts w:ascii="宋体" w:hAnsi="宋体" w:cs="宋体" w:eastAsia="宋体" w:hint="default"/>
          <w:b/>
          <w:bCs/>
          <w:sz w:val="3"/>
          <w:szCs w:val="3"/>
        </w:rPr>
      </w:pPr>
    </w:p>
    <w:tbl>
      <w:tblPr>
        <w:tblW w:w="0" w:type="auto"/>
        <w:jc w:val="left"/>
        <w:tblInd w:w="117" w:type="dxa"/>
        <w:tblLayout w:type="fixed"/>
        <w:tblCellMar>
          <w:top w:w="0" w:type="dxa"/>
          <w:left w:w="0" w:type="dxa"/>
          <w:bottom w:w="0" w:type="dxa"/>
          <w:right w:w="0" w:type="dxa"/>
        </w:tblCellMar>
        <w:tblLook w:val="01E0"/>
      </w:tblPr>
      <w:tblGrid>
        <w:gridCol w:w="2934"/>
        <w:gridCol w:w="3366"/>
        <w:gridCol w:w="3942"/>
      </w:tblGrid>
      <w:tr>
        <w:trPr>
          <w:trHeight w:val="334" w:hRule="exact"/>
        </w:trPr>
        <w:tc>
          <w:tcPr>
            <w:tcW w:w="293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6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94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3" w:hRule="exact"/>
        </w:trPr>
        <w:tc>
          <w:tcPr>
            <w:tcW w:w="293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36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5"/>
              <w:ind w:right="-4"/>
              <w:jc w:val="right"/>
              <w:rPr>
                <w:rFonts w:ascii="Times New Roman" w:hAnsi="Times New Roman" w:cs="Times New Roman" w:eastAsia="Times New Roman" w:hint="default"/>
                <w:sz w:val="18"/>
                <w:szCs w:val="18"/>
              </w:rPr>
            </w:pPr>
            <w:r>
              <w:rPr>
                <w:rFonts w:ascii="Times New Roman"/>
                <w:spacing w:val="-1"/>
                <w:sz w:val="18"/>
              </w:rPr>
              <w:t>80,606,353.02</w:t>
            </w:r>
          </w:p>
        </w:tc>
        <w:tc>
          <w:tcPr>
            <w:tcW w:w="394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5"/>
              <w:ind w:right="0"/>
              <w:jc w:val="right"/>
              <w:rPr>
                <w:rFonts w:ascii="Times New Roman" w:hAnsi="Times New Roman" w:cs="Times New Roman" w:eastAsia="Times New Roman" w:hint="default"/>
                <w:sz w:val="18"/>
                <w:szCs w:val="18"/>
              </w:rPr>
            </w:pPr>
            <w:r>
              <w:rPr>
                <w:rFonts w:ascii="Times New Roman"/>
                <w:spacing w:val="-1"/>
                <w:sz w:val="18"/>
              </w:rPr>
              <w:t>345,925,250.00</w:t>
            </w:r>
          </w:p>
        </w:tc>
      </w:tr>
      <w:tr>
        <w:trPr>
          <w:trHeight w:val="346"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3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80,606,353.02</w:t>
            </w:r>
          </w:p>
        </w:tc>
        <w:tc>
          <w:tcPr>
            <w:tcW w:w="3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345,925,250.00</w:t>
            </w:r>
          </w:p>
        </w:tc>
      </w:tr>
      <w:tr>
        <w:trPr>
          <w:trHeight w:val="346"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80,606,353.02</w:t>
            </w:r>
          </w:p>
        </w:tc>
        <w:tc>
          <w:tcPr>
            <w:tcW w:w="3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345,925,250.00</w:t>
            </w:r>
          </w:p>
        </w:tc>
      </w:tr>
    </w:tbl>
    <w:p>
      <w:pPr>
        <w:pStyle w:val="Heading6"/>
        <w:spacing w:line="240" w:lineRule="auto"/>
        <w:ind w:right="3662"/>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3"/>
        <w:rPr>
          <w:rFonts w:ascii="宋体" w:hAnsi="宋体" w:cs="宋体" w:eastAsia="宋体" w:hint="default"/>
          <w:b/>
          <w:bCs/>
          <w:sz w:val="3"/>
          <w:szCs w:val="3"/>
        </w:rPr>
      </w:pPr>
    </w:p>
    <w:tbl>
      <w:tblPr>
        <w:tblW w:w="0" w:type="auto"/>
        <w:jc w:val="left"/>
        <w:tblInd w:w="117" w:type="dxa"/>
        <w:tblLayout w:type="fixed"/>
        <w:tblCellMar>
          <w:top w:w="0" w:type="dxa"/>
          <w:left w:w="0" w:type="dxa"/>
          <w:bottom w:w="0" w:type="dxa"/>
          <w:right w:w="0" w:type="dxa"/>
        </w:tblCellMar>
        <w:tblLook w:val="01E0"/>
      </w:tblPr>
      <w:tblGrid>
        <w:gridCol w:w="5460"/>
        <w:gridCol w:w="2391"/>
        <w:gridCol w:w="2391"/>
      </w:tblGrid>
      <w:tr>
        <w:trPr>
          <w:trHeight w:val="334" w:hRule="exact"/>
        </w:trPr>
        <w:tc>
          <w:tcPr>
            <w:tcW w:w="546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39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63" w:hRule="exact"/>
        </w:trPr>
        <w:tc>
          <w:tcPr>
            <w:tcW w:w="5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以公允价值计量且其变动计入当期损益的金融资产</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4"/>
              <w:jc w:val="right"/>
              <w:rPr>
                <w:rFonts w:ascii="Times New Roman" w:hAnsi="Times New Roman" w:cs="Times New Roman" w:eastAsia="Times New Roman" w:hint="default"/>
                <w:sz w:val="18"/>
                <w:szCs w:val="18"/>
              </w:rPr>
            </w:pPr>
            <w:r>
              <w:rPr>
                <w:rFonts w:ascii="Times New Roman"/>
                <w:spacing w:val="-1"/>
                <w:sz w:val="18"/>
              </w:rPr>
              <w:t>402,244,369.44</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4"/>
              <w:jc w:val="right"/>
              <w:rPr>
                <w:rFonts w:ascii="Times New Roman" w:hAnsi="Times New Roman" w:cs="Times New Roman" w:eastAsia="Times New Roman" w:hint="default"/>
                <w:sz w:val="18"/>
                <w:szCs w:val="18"/>
              </w:rPr>
            </w:pPr>
            <w:r>
              <w:rPr>
                <w:rFonts w:ascii="Times New Roman"/>
                <w:spacing w:val="-1"/>
                <w:sz w:val="18"/>
              </w:rPr>
              <w:t>122,531,713.32</w:t>
            </w:r>
          </w:p>
        </w:tc>
      </w:tr>
      <w:tr>
        <w:trPr>
          <w:trHeight w:val="346" w:hRule="exact"/>
        </w:trPr>
        <w:tc>
          <w:tcPr>
            <w:tcW w:w="5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其中：银行理财产品</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402,244,369.44</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122,531,713.32</w:t>
            </w:r>
          </w:p>
        </w:tc>
      </w:tr>
      <w:tr>
        <w:trPr>
          <w:trHeight w:val="350" w:hRule="exact"/>
        </w:trPr>
        <w:tc>
          <w:tcPr>
            <w:tcW w:w="5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402,244,369.44</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122,531,713.32</w:t>
            </w:r>
          </w:p>
        </w:tc>
      </w:tr>
    </w:tbl>
    <w:p>
      <w:pPr>
        <w:pStyle w:val="Heading6"/>
        <w:spacing w:line="240" w:lineRule="auto"/>
        <w:ind w:right="3662"/>
        <w:jc w:val="left"/>
        <w:rPr>
          <w:b w:val="0"/>
          <w:bCs w:val="0"/>
        </w:rPr>
      </w:pPr>
      <w:r>
        <w:rPr>
          <w:rFonts w:ascii="Times New Roman" w:hAnsi="Times New Roman" w:cs="Times New Roman" w:eastAsia="Times New Roman" w:hint="default"/>
        </w:rPr>
        <w:t>3</w:t>
      </w:r>
      <w:r>
        <w:rPr/>
        <w:t>）公允价值变动收益</w:t>
      </w:r>
      <w:r>
        <w:rPr>
          <w:b w:val="0"/>
          <w:bCs w:val="0"/>
        </w:rPr>
      </w:r>
    </w:p>
    <w:p>
      <w:pPr>
        <w:spacing w:line="240" w:lineRule="auto" w:before="13"/>
        <w:rPr>
          <w:rFonts w:ascii="宋体" w:hAnsi="宋体" w:cs="宋体" w:eastAsia="宋体" w:hint="default"/>
          <w:b/>
          <w:bCs/>
          <w:sz w:val="3"/>
          <w:szCs w:val="3"/>
        </w:rPr>
      </w:pPr>
    </w:p>
    <w:tbl>
      <w:tblPr>
        <w:tblW w:w="0" w:type="auto"/>
        <w:jc w:val="left"/>
        <w:tblInd w:w="117" w:type="dxa"/>
        <w:tblLayout w:type="fixed"/>
        <w:tblCellMar>
          <w:top w:w="0" w:type="dxa"/>
          <w:left w:w="0" w:type="dxa"/>
          <w:bottom w:w="0" w:type="dxa"/>
          <w:right w:w="0" w:type="dxa"/>
        </w:tblCellMar>
        <w:tblLook w:val="01E0"/>
      </w:tblPr>
      <w:tblGrid>
        <w:gridCol w:w="5776"/>
        <w:gridCol w:w="2233"/>
        <w:gridCol w:w="2233"/>
      </w:tblGrid>
      <w:tr>
        <w:trPr>
          <w:trHeight w:val="346" w:hRule="exact"/>
        </w:trPr>
        <w:tc>
          <w:tcPr>
            <w:tcW w:w="577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662"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23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662"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6" w:hRule="exact"/>
        </w:trPr>
        <w:tc>
          <w:tcPr>
            <w:tcW w:w="5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0D0D0D"/>
                <w:spacing w:val="-3"/>
                <w:sz w:val="18"/>
                <w:szCs w:val="18"/>
              </w:rPr>
              <w:t>其他非流动金融资产</w:t>
            </w:r>
            <w:r>
              <w:rPr>
                <w:rFonts w:ascii="宋体" w:hAnsi="宋体" w:cs="宋体" w:eastAsia="宋体" w:hint="default"/>
                <w:spacing w:val="-3"/>
                <w:sz w:val="18"/>
                <w:szCs w:val="18"/>
              </w:rPr>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color w:val="0D0D0D"/>
                <w:spacing w:val="-1"/>
                <w:sz w:val="18"/>
              </w:rPr>
              <w:t>165,047,900.00</w:t>
            </w:r>
            <w:r>
              <w:rPr>
                <w:rFonts w:ascii="Times New Roman"/>
                <w:spacing w:val="-1"/>
                <w:sz w:val="18"/>
              </w:rPr>
            </w: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5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1,744,369.44</w:t>
            </w:r>
          </w:p>
        </w:tc>
        <w:tc>
          <w:tcPr>
            <w:tcW w:w="2233"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166,792,269.44</w:t>
            </w:r>
          </w:p>
        </w:tc>
        <w:tc>
          <w:tcPr>
            <w:tcW w:w="223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1022" w:top="1100" w:bottom="1220" w:left="680" w:right="0"/>
        </w:sect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Heading6"/>
        <w:spacing w:line="240" w:lineRule="auto" w:before="60"/>
        <w:ind w:right="3662"/>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4</w:t>
      </w:r>
      <w:r>
        <w:rPr/>
        <w:t>）信用减值利得</w:t>
      </w:r>
      <w:r>
        <w:rPr>
          <w:rFonts w:ascii="Times New Roman" w:hAnsi="Times New Roman" w:cs="Times New Roman" w:eastAsia="Times New Roman" w:hint="default"/>
        </w:rPr>
        <w:t>(</w:t>
      </w:r>
      <w:r>
        <w:rPr/>
        <w:t>损失</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40" w:lineRule="auto" w:before="6"/>
        <w:rPr>
          <w:rFonts w:ascii="Times New Roman" w:hAnsi="Times New Roman" w:cs="Times New Roman" w:eastAsia="Times New Roman" w:hint="default"/>
          <w:b/>
          <w:bCs/>
          <w:sz w:val="4"/>
          <w:szCs w:val="4"/>
        </w:rPr>
      </w:pPr>
    </w:p>
    <w:tbl>
      <w:tblPr>
        <w:tblW w:w="0" w:type="auto"/>
        <w:jc w:val="left"/>
        <w:tblInd w:w="117" w:type="dxa"/>
        <w:tblLayout w:type="fixed"/>
        <w:tblCellMar>
          <w:top w:w="0" w:type="dxa"/>
          <w:left w:w="0" w:type="dxa"/>
          <w:bottom w:w="0" w:type="dxa"/>
          <w:right w:w="0" w:type="dxa"/>
        </w:tblCellMar>
        <w:tblLook w:val="01E0"/>
      </w:tblPr>
      <w:tblGrid>
        <w:gridCol w:w="5772"/>
        <w:gridCol w:w="2233"/>
        <w:gridCol w:w="2238"/>
      </w:tblGrid>
      <w:tr>
        <w:trPr>
          <w:trHeight w:val="346" w:hRule="exact"/>
        </w:trPr>
        <w:tc>
          <w:tcPr>
            <w:tcW w:w="577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662"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23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662"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6" w:hRule="exact"/>
        </w:trPr>
        <w:tc>
          <w:tcPr>
            <w:tcW w:w="5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0D0D0D"/>
                <w:sz w:val="18"/>
                <w:szCs w:val="18"/>
              </w:rPr>
              <w:t>应收账款坏账损失</w:t>
            </w:r>
            <w:r>
              <w:rPr>
                <w:rFonts w:ascii="宋体" w:hAnsi="宋体" w:cs="宋体" w:eastAsia="宋体" w:hint="default"/>
                <w:sz w:val="18"/>
                <w:szCs w:val="18"/>
              </w:rPr>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color w:val="0D0D0D"/>
                <w:spacing w:val="-1"/>
                <w:sz w:val="18"/>
              </w:rPr>
              <w:t>-1,034.16</w:t>
            </w:r>
            <w:r>
              <w:rPr>
                <w:rFonts w:ascii="Times New Roman"/>
                <w:spacing w:val="-1"/>
                <w:sz w:val="18"/>
              </w:rPr>
            </w:r>
          </w:p>
        </w:tc>
        <w:tc>
          <w:tcPr>
            <w:tcW w:w="2238" w:type="dxa"/>
            <w:tcBorders>
              <w:top w:val="single" w:sz="6" w:space="0" w:color="000000"/>
              <w:left w:val="single" w:sz="6" w:space="0" w:color="000000"/>
              <w:bottom w:val="single" w:sz="6" w:space="0" w:color="000000"/>
              <w:right w:val="single" w:sz="6" w:space="0" w:color="000000"/>
            </w:tcBorders>
          </w:tcPr>
          <w:p>
            <w:pPr/>
          </w:p>
        </w:tc>
      </w:tr>
      <w:tr>
        <w:trPr>
          <w:trHeight w:val="351" w:hRule="exact"/>
        </w:trPr>
        <w:tc>
          <w:tcPr>
            <w:tcW w:w="5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color w:val="0D0D0D"/>
                <w:spacing w:val="-3"/>
                <w:sz w:val="18"/>
                <w:szCs w:val="18"/>
              </w:rPr>
              <w:t>其他应收款坏账损失</w:t>
            </w:r>
            <w:r>
              <w:rPr>
                <w:rFonts w:ascii="宋体" w:hAnsi="宋体" w:cs="宋体" w:eastAsia="宋体" w:hint="default"/>
                <w:spacing w:val="-3"/>
                <w:sz w:val="18"/>
                <w:szCs w:val="18"/>
              </w:rPr>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color w:val="0D0D0D"/>
                <w:spacing w:val="-1"/>
                <w:sz w:val="18"/>
              </w:rPr>
              <w:t>1,708.05</w:t>
            </w:r>
            <w:r>
              <w:rPr>
                <w:rFonts w:ascii="Times New Roman"/>
                <w:spacing w:val="-1"/>
                <w:sz w:val="18"/>
              </w:rPr>
            </w:r>
          </w:p>
        </w:tc>
        <w:tc>
          <w:tcPr>
            <w:tcW w:w="223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673.89</w:t>
            </w:r>
          </w:p>
        </w:tc>
        <w:tc>
          <w:tcPr>
            <w:tcW w:w="2238" w:type="dxa"/>
            <w:tcBorders>
              <w:top w:val="single" w:sz="6" w:space="0" w:color="000000"/>
              <w:left w:val="single" w:sz="6" w:space="0" w:color="000000"/>
              <w:bottom w:val="single" w:sz="6" w:space="0" w:color="000000"/>
              <w:right w:val="single" w:sz="6" w:space="0" w:color="000000"/>
            </w:tcBorders>
          </w:tcPr>
          <w:p>
            <w:pPr/>
          </w:p>
        </w:tc>
      </w:tr>
    </w:tbl>
    <w:p>
      <w:pPr>
        <w:pStyle w:val="Heading6"/>
        <w:spacing w:line="240" w:lineRule="auto"/>
        <w:ind w:right="3662"/>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5</w:t>
      </w:r>
      <w:r>
        <w:rPr/>
        <w:t>）资产减值利得</w:t>
      </w:r>
      <w:r>
        <w:rPr>
          <w:rFonts w:ascii="Times New Roman" w:hAnsi="Times New Roman" w:cs="Times New Roman" w:eastAsia="Times New Roman" w:hint="default"/>
        </w:rPr>
        <w:t>(</w:t>
      </w:r>
      <w:r>
        <w:rPr/>
        <w:t>损失</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40" w:lineRule="auto" w:before="7"/>
        <w:rPr>
          <w:rFonts w:ascii="Times New Roman" w:hAnsi="Times New Roman" w:cs="Times New Roman" w:eastAsia="Times New Roman" w:hint="default"/>
          <w:b/>
          <w:bCs/>
          <w:sz w:val="5"/>
          <w:szCs w:val="5"/>
        </w:rPr>
      </w:pPr>
    </w:p>
    <w:tbl>
      <w:tblPr>
        <w:tblW w:w="0" w:type="auto"/>
        <w:jc w:val="left"/>
        <w:tblInd w:w="117" w:type="dxa"/>
        <w:tblLayout w:type="fixed"/>
        <w:tblCellMar>
          <w:top w:w="0" w:type="dxa"/>
          <w:left w:w="0" w:type="dxa"/>
          <w:bottom w:w="0" w:type="dxa"/>
          <w:right w:w="0" w:type="dxa"/>
        </w:tblCellMar>
        <w:tblLook w:val="01E0"/>
      </w:tblPr>
      <w:tblGrid>
        <w:gridCol w:w="5772"/>
        <w:gridCol w:w="2233"/>
        <w:gridCol w:w="2238"/>
      </w:tblGrid>
      <w:tr>
        <w:trPr>
          <w:trHeight w:val="334" w:hRule="exact"/>
        </w:trPr>
        <w:tc>
          <w:tcPr>
            <w:tcW w:w="577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8"/>
              <w:ind w:left="662"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23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8"/>
              <w:ind w:left="662"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50" w:hRule="exact"/>
        </w:trPr>
        <w:tc>
          <w:tcPr>
            <w:tcW w:w="5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233" w:type="dxa"/>
            <w:tcBorders>
              <w:top w:val="single" w:sz="6" w:space="0" w:color="000000"/>
              <w:left w:val="single" w:sz="6" w:space="0" w:color="000000"/>
              <w:bottom w:val="single" w:sz="6" w:space="0" w:color="000000"/>
              <w:right w:val="single" w:sz="6" w:space="0" w:color="000000"/>
            </w:tcBorders>
          </w:tcPr>
          <w:p>
            <w:pP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-552,274.64</w:t>
            </w:r>
          </w:p>
        </w:tc>
      </w:tr>
      <w:tr>
        <w:trPr>
          <w:trHeight w:val="346" w:hRule="exact"/>
        </w:trPr>
        <w:tc>
          <w:tcPr>
            <w:tcW w:w="5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长期股权投资减值损失</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74,236,800.00</w:t>
            </w: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46" w:hRule="exact"/>
        </w:trPr>
        <w:tc>
          <w:tcPr>
            <w:tcW w:w="5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74,236,800.00</w:t>
            </w: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-552,274.64</w:t>
            </w:r>
          </w:p>
        </w:tc>
      </w:tr>
    </w:tbl>
    <w:p>
      <w:pPr>
        <w:pStyle w:val="Heading6"/>
        <w:spacing w:line="240" w:lineRule="auto"/>
        <w:ind w:right="3662"/>
        <w:jc w:val="left"/>
        <w:rPr>
          <w:b w:val="0"/>
          <w:bCs w:val="0"/>
        </w:rPr>
      </w:pPr>
      <w:r>
        <w:rPr>
          <w:rFonts w:ascii="Times New Roman" w:hAnsi="Times New Roman" w:cs="Times New Roman" w:eastAsia="Times New Roman" w:hint="default"/>
        </w:rPr>
        <w:t>6</w:t>
      </w:r>
      <w:r>
        <w:rPr/>
        <w:t>）关联方往来及交易</w:t>
      </w:r>
      <w:r>
        <w:rPr>
          <w:b w:val="0"/>
          <w:bCs w:val="0"/>
        </w:rPr>
      </w:r>
    </w:p>
    <w:p>
      <w:pPr>
        <w:pStyle w:val="BodyText"/>
        <w:spacing w:line="300" w:lineRule="auto" w:before="63"/>
        <w:ind w:left="496" w:right="6161"/>
        <w:jc w:val="left"/>
      </w:pPr>
      <w:r>
        <w:rPr>
          <w:rFonts w:ascii="Times New Roman" w:hAnsi="Times New Roman" w:cs="Times New Roman" w:eastAsia="Times New Roman" w:hint="default"/>
          <w:w w:val="101"/>
        </w:rPr>
      </w:r>
      <w:r>
        <w:rPr>
          <w:rFonts w:ascii="Times New Roman" w:hAnsi="Times New Roman" w:cs="Times New Roman" w:eastAsia="Times New Roman" w:hint="default"/>
          <w:u w:val="single" w:color="000000"/>
        </w:rPr>
        <w:t>6.1</w:t>
      </w:r>
      <w:r>
        <w:rPr>
          <w:u w:val="single" w:color="000000"/>
        </w:rPr>
        <w:t>本公司的子公司情况</w:t>
      </w:r>
      <w:r>
        <w:rPr>
          <w:w w:val="101"/>
        </w:rPr>
      </w:r>
      <w:r>
        <w:rPr>
          <w:w w:val="101"/>
        </w:rPr>
        <w:t> </w:t>
      </w:r>
      <w:r>
        <w:rPr>
          <w:spacing w:val="-3"/>
        </w:rPr>
        <w:t>本公司的子公司情况详见附注三、</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25"/>
        </w:rPr>
        <w:t> </w:t>
      </w:r>
      <w:r>
        <w:rPr>
          <w:spacing w:val="-3"/>
        </w:rPr>
        <w:t>合并财务报表范围。</w:t>
      </w:r>
      <w:r>
        <w:rPr>
          <w:spacing w:val="-80"/>
        </w:rPr>
        <w:t> </w:t>
      </w:r>
      <w:r>
        <w:rPr>
          <w:spacing w:val="-80"/>
        </w:rPr>
      </w:r>
      <w:r>
        <w:rPr>
          <w:rFonts w:ascii="Times New Roman" w:hAnsi="Times New Roman" w:cs="Times New Roman" w:eastAsia="Times New Roman" w:hint="default"/>
          <w:spacing w:val="-80"/>
        </w:rPr>
      </w:r>
      <w:r>
        <w:rPr>
          <w:rFonts w:ascii="Times New Roman" w:hAnsi="Times New Roman" w:cs="Times New Roman" w:eastAsia="Times New Roman" w:hint="default"/>
          <w:u w:val="single" w:color="000000"/>
        </w:rPr>
        <w:t>6.2</w:t>
      </w:r>
      <w:r>
        <w:rPr>
          <w:u w:val="single" w:color="000000"/>
        </w:rPr>
        <w:t>本集团的联营企业情况</w:t>
      </w:r>
      <w:r>
        <w:rPr/>
      </w:r>
    </w:p>
    <w:p>
      <w:pPr>
        <w:pStyle w:val="BodyText"/>
        <w:spacing w:line="300" w:lineRule="auto" w:before="13"/>
        <w:ind w:left="496" w:right="3662"/>
        <w:jc w:val="left"/>
      </w:pPr>
      <w:r>
        <w:rPr>
          <w:spacing w:val="-3"/>
        </w:rPr>
        <w:t>本公司的联营企业情况为苏州龙遨泛人工智能高科技投资中心</w:t>
      </w:r>
      <w:r>
        <w:rPr>
          <w:rFonts w:ascii="Times New Roman" w:hAnsi="Times New Roman" w:cs="Times New Roman" w:eastAsia="Times New Roman" w:hint="default"/>
          <w:spacing w:val="-3"/>
        </w:rPr>
        <w:t>(</w:t>
      </w:r>
      <w:r>
        <w:rPr>
          <w:spacing w:val="-3"/>
        </w:rPr>
        <w:t>有限合伙</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9"/>
        </w:rPr>
        <w:t> </w:t>
      </w:r>
      <w:r>
        <w:rPr>
          <w:rFonts w:ascii="Times New Roman" w:hAnsi="Times New Roman" w:cs="Times New Roman" w:eastAsia="Times New Roman" w:hint="default"/>
          <w:u w:val="single" w:color="000000"/>
        </w:rPr>
        <w:t>6.3</w:t>
      </w:r>
      <w:r>
        <w:rPr>
          <w:u w:val="single" w:color="000000"/>
        </w:rPr>
        <w:t>关联方交易情况</w:t>
      </w:r>
      <w:r>
        <w:rPr/>
      </w:r>
    </w:p>
    <w:p>
      <w:pPr>
        <w:pStyle w:val="BodyText"/>
        <w:spacing w:line="240" w:lineRule="auto" w:before="13"/>
        <w:ind w:left="496" w:right="3662"/>
        <w:jc w:val="left"/>
      </w:pPr>
      <w:r>
        <w:rPr>
          <w:w w:val="101"/>
        </w:rPr>
      </w:r>
      <w:r>
        <w:rPr>
          <w:u w:val="single" w:color="000000"/>
        </w:rPr>
        <w:t>本公司作为出租方</w:t>
      </w:r>
      <w:r>
        <w:rPr/>
      </w:r>
    </w:p>
    <w:p>
      <w:pPr>
        <w:spacing w:line="240" w:lineRule="auto" w:before="0"/>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3231"/>
        <w:gridCol w:w="2238"/>
        <w:gridCol w:w="2387"/>
        <w:gridCol w:w="2387"/>
      </w:tblGrid>
      <w:tr>
        <w:trPr>
          <w:trHeight w:val="329" w:hRule="exact"/>
        </w:trPr>
        <w:tc>
          <w:tcPr>
            <w:tcW w:w="323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3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38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739"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38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739"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67"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5" w:right="0"/>
              <w:jc w:val="center"/>
              <w:rPr>
                <w:rFonts w:ascii="宋体" w:hAnsi="宋体" w:cs="宋体" w:eastAsia="宋体" w:hint="default"/>
                <w:sz w:val="18"/>
                <w:szCs w:val="18"/>
              </w:rPr>
            </w:pPr>
            <w:r>
              <w:rPr>
                <w:rFonts w:ascii="宋体" w:hAnsi="宋体" w:cs="宋体" w:eastAsia="宋体" w:hint="default"/>
                <w:sz w:val="18"/>
                <w:szCs w:val="18"/>
              </w:rPr>
              <w:t>租赁业务收入</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4"/>
              <w:jc w:val="right"/>
              <w:rPr>
                <w:rFonts w:ascii="Times New Roman" w:hAnsi="Times New Roman" w:cs="Times New Roman" w:eastAsia="Times New Roman" w:hint="default"/>
                <w:sz w:val="18"/>
                <w:szCs w:val="18"/>
              </w:rPr>
            </w:pPr>
            <w:r>
              <w:rPr>
                <w:rFonts w:ascii="Times New Roman"/>
                <w:spacing w:val="-1"/>
                <w:sz w:val="18"/>
              </w:rPr>
              <w:t>2,162,980.91</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4"/>
              <w:jc w:val="right"/>
              <w:rPr>
                <w:rFonts w:ascii="Times New Roman" w:hAnsi="Times New Roman" w:cs="Times New Roman" w:eastAsia="Times New Roman" w:hint="default"/>
                <w:sz w:val="18"/>
                <w:szCs w:val="18"/>
              </w:rPr>
            </w:pPr>
            <w:r>
              <w:rPr>
                <w:rFonts w:ascii="Times New Roman"/>
                <w:spacing w:val="-1"/>
                <w:sz w:val="18"/>
              </w:rPr>
              <w:t>2,145,501.81</w:t>
            </w:r>
          </w:p>
        </w:tc>
      </w:tr>
      <w:tr>
        <w:trPr>
          <w:trHeight w:val="346"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租赁业务收入</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35,045.15</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37,845.15</w:t>
            </w:r>
          </w:p>
        </w:tc>
      </w:tr>
      <w:tr>
        <w:trPr>
          <w:trHeight w:val="346"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租赁业务收入</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1,672,970.89</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1,668,870.89</w:t>
            </w:r>
          </w:p>
        </w:tc>
      </w:tr>
      <w:tr>
        <w:trPr>
          <w:trHeight w:val="350"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5" w:right="0"/>
              <w:jc w:val="center"/>
              <w:rPr>
                <w:rFonts w:ascii="宋体" w:hAnsi="宋体" w:cs="宋体" w:eastAsia="宋体" w:hint="default"/>
                <w:sz w:val="18"/>
                <w:szCs w:val="18"/>
              </w:rPr>
            </w:pPr>
            <w:r>
              <w:rPr>
                <w:rFonts w:ascii="宋体" w:hAnsi="宋体" w:cs="宋体" w:eastAsia="宋体" w:hint="default"/>
                <w:sz w:val="18"/>
                <w:szCs w:val="18"/>
              </w:rPr>
              <w:t>租赁业务收入</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346"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租赁业务收入</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800.00</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346"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北京展视</w:t>
            </w: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租赁业务收入</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1,800.00</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1,200.00</w:t>
            </w:r>
          </w:p>
        </w:tc>
      </w:tr>
      <w:tr>
        <w:trPr>
          <w:trHeight w:val="351"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深圳日升</w:t>
            </w: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租赁业务收入</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600.00</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46" w:hRule="exact"/>
        </w:trPr>
        <w:tc>
          <w:tcPr>
            <w:tcW w:w="3231" w:type="dxa"/>
            <w:tcBorders>
              <w:top w:val="single" w:sz="6" w:space="0" w:color="000000"/>
              <w:left w:val="single" w:sz="6" w:space="0" w:color="000000"/>
              <w:bottom w:val="single" w:sz="6" w:space="0" w:color="000000"/>
              <w:right w:val="single" w:sz="6" w:space="0" w:color="000000"/>
            </w:tcBorders>
          </w:tcPr>
          <w:p>
            <w:pP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3,874,196.95</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3,854,217.85</w:t>
            </w:r>
          </w:p>
        </w:tc>
      </w:tr>
    </w:tbl>
    <w:p>
      <w:pPr>
        <w:pStyle w:val="BodyText"/>
        <w:spacing w:line="240" w:lineRule="auto" w:before="10"/>
        <w:ind w:left="496" w:right="3662"/>
        <w:jc w:val="left"/>
      </w:pPr>
      <w:r>
        <w:rPr>
          <w:w w:val="101"/>
        </w:rPr>
      </w:r>
      <w:r>
        <w:rPr>
          <w:u w:val="single" w:color="000000"/>
        </w:rPr>
        <w:t>其他关联交易</w:t>
      </w:r>
      <w:r>
        <w:rPr/>
      </w:r>
    </w:p>
    <w:p>
      <w:pPr>
        <w:spacing w:line="240" w:lineRule="auto" w:before="0"/>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3231"/>
        <w:gridCol w:w="2243"/>
        <w:gridCol w:w="2382"/>
        <w:gridCol w:w="2387"/>
      </w:tblGrid>
      <w:tr>
        <w:trPr>
          <w:trHeight w:val="329" w:hRule="exact"/>
        </w:trPr>
        <w:tc>
          <w:tcPr>
            <w:tcW w:w="323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36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4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365"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38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917"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38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917"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68"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64"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60" w:right="0"/>
              <w:jc w:val="center"/>
              <w:rPr>
                <w:rFonts w:ascii="宋体" w:hAnsi="宋体" w:cs="宋体" w:eastAsia="宋体" w:hint="default"/>
                <w:sz w:val="18"/>
                <w:szCs w:val="18"/>
              </w:rPr>
            </w:pPr>
            <w:r>
              <w:rPr>
                <w:rFonts w:ascii="宋体" w:hAnsi="宋体" w:cs="宋体" w:eastAsia="宋体" w:hint="default"/>
                <w:sz w:val="18"/>
                <w:szCs w:val="18"/>
              </w:rPr>
              <w:t>其他收入</w:t>
            </w:r>
          </w:p>
        </w:tc>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5"/>
              <w:jc w:val="right"/>
              <w:rPr>
                <w:rFonts w:ascii="Times New Roman" w:hAnsi="Times New Roman" w:cs="Times New Roman" w:eastAsia="Times New Roman" w:hint="default"/>
                <w:sz w:val="18"/>
                <w:szCs w:val="18"/>
              </w:rPr>
            </w:pPr>
            <w:r>
              <w:rPr>
                <w:rFonts w:ascii="Times New Roman"/>
                <w:spacing w:val="-2"/>
                <w:sz w:val="18"/>
              </w:rPr>
              <w:t>9,174,611.97</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spacing w:val="-1"/>
                <w:sz w:val="18"/>
              </w:rPr>
              <w:t>9,807,297.77</w:t>
            </w:r>
          </w:p>
        </w:tc>
      </w:tr>
      <w:tr>
        <w:trPr>
          <w:trHeight w:val="346"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0" w:right="0"/>
              <w:jc w:val="center"/>
              <w:rPr>
                <w:rFonts w:ascii="宋体" w:hAnsi="宋体" w:cs="宋体" w:eastAsia="宋体" w:hint="default"/>
                <w:sz w:val="18"/>
                <w:szCs w:val="18"/>
              </w:rPr>
            </w:pPr>
            <w:r>
              <w:rPr>
                <w:rFonts w:ascii="宋体" w:hAnsi="宋体" w:cs="宋体" w:eastAsia="宋体" w:hint="default"/>
                <w:sz w:val="18"/>
                <w:szCs w:val="18"/>
              </w:rPr>
              <w:t>其他收入</w:t>
            </w:r>
          </w:p>
        </w:tc>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4,250,317.97</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4,814,551.30</w:t>
            </w:r>
          </w:p>
        </w:tc>
      </w:tr>
      <w:tr>
        <w:trPr>
          <w:trHeight w:val="346"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0" w:right="0"/>
              <w:jc w:val="center"/>
              <w:rPr>
                <w:rFonts w:ascii="宋体" w:hAnsi="宋体" w:cs="宋体" w:eastAsia="宋体" w:hint="default"/>
                <w:sz w:val="18"/>
                <w:szCs w:val="18"/>
              </w:rPr>
            </w:pPr>
            <w:r>
              <w:rPr>
                <w:rFonts w:ascii="宋体" w:hAnsi="宋体" w:cs="宋体" w:eastAsia="宋体" w:hint="default"/>
                <w:sz w:val="18"/>
                <w:szCs w:val="18"/>
              </w:rPr>
              <w:t>其他收入</w:t>
            </w:r>
          </w:p>
        </w:tc>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7,932,974.22</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8,958,577.22</w:t>
            </w:r>
          </w:p>
        </w:tc>
      </w:tr>
      <w:tr>
        <w:trPr>
          <w:trHeight w:val="346"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0" w:right="0"/>
              <w:jc w:val="center"/>
              <w:rPr>
                <w:rFonts w:ascii="宋体" w:hAnsi="宋体" w:cs="宋体" w:eastAsia="宋体" w:hint="default"/>
                <w:sz w:val="18"/>
                <w:szCs w:val="18"/>
              </w:rPr>
            </w:pPr>
            <w:r>
              <w:rPr>
                <w:rFonts w:ascii="宋体" w:hAnsi="宋体" w:cs="宋体" w:eastAsia="宋体" w:hint="default"/>
                <w:sz w:val="18"/>
                <w:szCs w:val="18"/>
              </w:rPr>
              <w:t>其他收入</w:t>
            </w:r>
          </w:p>
        </w:tc>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7,872,322.21</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3,869,801.12</w:t>
            </w:r>
          </w:p>
        </w:tc>
      </w:tr>
      <w:tr>
        <w:trPr>
          <w:trHeight w:val="350"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64"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60"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42,018.21</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793,996.80</w:t>
            </w:r>
          </w:p>
        </w:tc>
      </w:tr>
      <w:tr>
        <w:trPr>
          <w:trHeight w:val="346"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0"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18,998.49</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26,496.39</w:t>
            </w:r>
          </w:p>
        </w:tc>
      </w:tr>
      <w:tr>
        <w:trPr>
          <w:trHeight w:val="346"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0"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97,555.12</w:t>
            </w:r>
          </w:p>
        </w:tc>
      </w:tr>
      <w:tr>
        <w:trPr>
          <w:trHeight w:val="350"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64"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60"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71,857.92</w:t>
            </w:r>
          </w:p>
        </w:tc>
      </w:tr>
      <w:tr>
        <w:trPr>
          <w:trHeight w:val="346" w:hRule="exact"/>
        </w:trPr>
        <w:tc>
          <w:tcPr>
            <w:tcW w:w="3231" w:type="dxa"/>
            <w:tcBorders>
              <w:top w:val="single" w:sz="6" w:space="0" w:color="000000"/>
              <w:left w:val="single" w:sz="6" w:space="0" w:color="000000"/>
              <w:bottom w:val="single" w:sz="6" w:space="0" w:color="000000"/>
              <w:right w:val="single" w:sz="6" w:space="0" w:color="000000"/>
            </w:tcBorders>
          </w:tcPr>
          <w:p>
            <w:pP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5"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29,291,243.07</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28,440,133.64</w:t>
            </w:r>
          </w:p>
        </w:tc>
      </w:tr>
      <w:tr>
        <w:trPr>
          <w:trHeight w:val="346"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0" w:right="0"/>
              <w:jc w:val="center"/>
              <w:rPr>
                <w:rFonts w:ascii="宋体" w:hAnsi="宋体" w:cs="宋体" w:eastAsia="宋体" w:hint="default"/>
                <w:sz w:val="18"/>
                <w:szCs w:val="18"/>
              </w:rPr>
            </w:pPr>
            <w:r>
              <w:rPr>
                <w:rFonts w:ascii="宋体" w:hAnsi="宋体" w:cs="宋体" w:eastAsia="宋体" w:hint="default"/>
                <w:spacing w:val="-3"/>
                <w:sz w:val="18"/>
                <w:szCs w:val="18"/>
              </w:rPr>
              <w:t>业务成本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服务成本</w:t>
            </w:r>
          </w:p>
        </w:tc>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7,683,942.91</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8,286,806.47</w:t>
            </w:r>
          </w:p>
        </w:tc>
      </w:tr>
      <w:tr>
        <w:trPr>
          <w:trHeight w:val="346"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0" w:right="0"/>
              <w:jc w:val="center"/>
              <w:rPr>
                <w:rFonts w:ascii="宋体" w:hAnsi="宋体" w:cs="宋体" w:eastAsia="宋体" w:hint="default"/>
                <w:sz w:val="18"/>
                <w:szCs w:val="18"/>
              </w:rPr>
            </w:pPr>
            <w:r>
              <w:rPr>
                <w:rFonts w:ascii="宋体" w:hAnsi="宋体" w:cs="宋体" w:eastAsia="宋体" w:hint="default"/>
                <w:sz w:val="18"/>
                <w:szCs w:val="18"/>
              </w:rPr>
              <w:t>托管费</w:t>
            </w:r>
          </w:p>
        </w:tc>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90,566.04</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90,566.04</w:t>
            </w:r>
          </w:p>
        </w:tc>
      </w:tr>
      <w:tr>
        <w:trPr>
          <w:trHeight w:val="350"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64" w:right="0"/>
              <w:jc w:val="left"/>
              <w:rPr>
                <w:rFonts w:ascii="宋体" w:hAnsi="宋体" w:cs="宋体" w:eastAsia="宋体" w:hint="default"/>
                <w:sz w:val="18"/>
                <w:szCs w:val="18"/>
              </w:rPr>
            </w:pPr>
            <w:r>
              <w:rPr>
                <w:rFonts w:ascii="宋体" w:hAnsi="宋体" w:cs="宋体" w:eastAsia="宋体" w:hint="default"/>
                <w:sz w:val="18"/>
                <w:szCs w:val="18"/>
              </w:rPr>
              <w:t>展动科技</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60"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172,980.19</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358,754.43</w:t>
            </w:r>
          </w:p>
        </w:tc>
      </w:tr>
      <w:tr>
        <w:trPr>
          <w:trHeight w:val="346"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北京展视</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0"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1,582,658.53</w:t>
            </w:r>
          </w:p>
        </w:tc>
      </w:tr>
      <w:tr>
        <w:trPr>
          <w:trHeight w:val="346"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上海通信</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0"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6,609.30</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137,917.71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00" w:bottom="1220" w:left="680" w:right="0"/>
        </w:sectPr>
      </w:pPr>
    </w:p>
    <w:p>
      <w:pPr>
        <w:spacing w:line="240" w:lineRule="auto" w:before="8"/>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3231"/>
        <w:gridCol w:w="2243"/>
        <w:gridCol w:w="2382"/>
        <w:gridCol w:w="2387"/>
      </w:tblGrid>
      <w:tr>
        <w:trPr>
          <w:trHeight w:val="329" w:hRule="exact"/>
        </w:trPr>
        <w:tc>
          <w:tcPr>
            <w:tcW w:w="323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3"/>
              <w:ind w:left="36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4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3"/>
              <w:ind w:left="365"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38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3"/>
              <w:ind w:left="917"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38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3"/>
              <w:ind w:left="917"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6"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广州二六三</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0"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1,497.94</w:t>
            </w:r>
          </w:p>
        </w:tc>
      </w:tr>
      <w:tr>
        <w:trPr>
          <w:trHeight w:val="350"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爱涛视讯</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0"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5,618.81</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66,156.97</w:t>
            </w:r>
          </w:p>
        </w:tc>
      </w:tr>
      <w:tr>
        <w:trPr>
          <w:trHeight w:val="346"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0"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83,103.38</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667,331.89</w:t>
            </w:r>
          </w:p>
        </w:tc>
      </w:tr>
      <w:tr>
        <w:trPr>
          <w:trHeight w:val="346" w:hRule="exact"/>
        </w:trPr>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0"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52,067.90</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91,246.90</w:t>
            </w:r>
          </w:p>
        </w:tc>
      </w:tr>
      <w:tr>
        <w:trPr>
          <w:trHeight w:val="350" w:hRule="exact"/>
        </w:trPr>
        <w:tc>
          <w:tcPr>
            <w:tcW w:w="3231" w:type="dxa"/>
            <w:tcBorders>
              <w:top w:val="single" w:sz="6" w:space="0" w:color="000000"/>
              <w:left w:val="single" w:sz="6" w:space="0" w:color="000000"/>
              <w:bottom w:val="single" w:sz="6" w:space="0" w:color="000000"/>
              <w:right w:val="single" w:sz="6" w:space="0" w:color="000000"/>
            </w:tcBorders>
          </w:tcPr>
          <w:p>
            <w:pPr/>
          </w:p>
        </w:tc>
        <w:tc>
          <w:tcPr>
            <w:tcW w:w="2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5"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8,094,888.53</w:t>
            </w:r>
          </w:p>
        </w:tc>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11,282,936.88</w:t>
            </w:r>
          </w:p>
        </w:tc>
      </w:tr>
    </w:tbl>
    <w:p>
      <w:pPr>
        <w:pStyle w:val="BodyText"/>
        <w:spacing w:line="240" w:lineRule="auto" w:before="10"/>
        <w:ind w:left="496" w:right="3662"/>
        <w:jc w:val="left"/>
      </w:pPr>
      <w:r>
        <w:rPr/>
        <w:t>应收款项</w:t>
      </w:r>
    </w:p>
    <w:p>
      <w:pPr>
        <w:spacing w:line="240" w:lineRule="auto" w:before="5"/>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2271"/>
        <w:gridCol w:w="2613"/>
        <w:gridCol w:w="2679"/>
        <w:gridCol w:w="2679"/>
      </w:tblGrid>
      <w:tr>
        <w:trPr>
          <w:trHeight w:val="341" w:hRule="exact"/>
        </w:trPr>
        <w:tc>
          <w:tcPr>
            <w:tcW w:w="2271"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15"/>
              <w:ind w:left="36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13"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15"/>
              <w:ind w:left="121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67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5"/>
              <w:ind w:left="1151"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67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5"/>
              <w:ind w:left="115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6" w:hRule="exact"/>
        </w:trPr>
        <w:tc>
          <w:tcPr>
            <w:tcW w:w="2271" w:type="dxa"/>
            <w:vMerge/>
            <w:tcBorders>
              <w:left w:val="single" w:sz="6" w:space="0" w:color="000000"/>
              <w:bottom w:val="single" w:sz="6" w:space="0" w:color="000000"/>
              <w:right w:val="single" w:sz="6" w:space="0" w:color="000000"/>
            </w:tcBorders>
            <w:shd w:val="clear" w:color="auto" w:fill="BDBDBD"/>
          </w:tcPr>
          <w:p>
            <w:pPr/>
          </w:p>
        </w:tc>
        <w:tc>
          <w:tcPr>
            <w:tcW w:w="2613" w:type="dxa"/>
            <w:vMerge/>
            <w:tcBorders>
              <w:left w:val="single" w:sz="6" w:space="0" w:color="000000"/>
              <w:bottom w:val="single" w:sz="6" w:space="0" w:color="000000"/>
              <w:right w:val="single" w:sz="6" w:space="0" w:color="000000"/>
            </w:tcBorders>
            <w:shd w:val="clear" w:color="auto" w:fill="BDBDBD"/>
          </w:tcPr>
          <w:p>
            <w:pPr/>
          </w:p>
        </w:tc>
        <w:tc>
          <w:tcPr>
            <w:tcW w:w="267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1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67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152" w:right="0"/>
              <w:jc w:val="left"/>
              <w:rPr>
                <w:rFonts w:ascii="宋体" w:hAnsi="宋体" w:cs="宋体" w:eastAsia="宋体" w:hint="default"/>
                <w:sz w:val="18"/>
                <w:szCs w:val="18"/>
              </w:rPr>
            </w:pPr>
            <w:r>
              <w:rPr>
                <w:rFonts w:ascii="宋体" w:hAnsi="宋体" w:cs="宋体" w:eastAsia="宋体" w:hint="default"/>
                <w:sz w:val="18"/>
                <w:szCs w:val="18"/>
              </w:rPr>
              <w:t>账面余额</w:t>
            </w:r>
          </w:p>
        </w:tc>
      </w:tr>
      <w:tr>
        <w:trPr>
          <w:trHeight w:val="34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52"/>
              <w:jc w:val="right"/>
              <w:rPr>
                <w:rFonts w:ascii="宋体" w:hAnsi="宋体" w:cs="宋体" w:eastAsia="宋体" w:hint="default"/>
                <w:sz w:val="18"/>
                <w:szCs w:val="18"/>
              </w:rPr>
            </w:pPr>
            <w:r>
              <w:rPr>
                <w:rFonts w:ascii="宋体" w:hAnsi="宋体" w:cs="宋体" w:eastAsia="宋体" w:hint="default"/>
                <w:spacing w:val="-2"/>
                <w:sz w:val="18"/>
                <w:szCs w:val="18"/>
              </w:rPr>
              <w:t>企业通信</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34,223,193.71</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24,447,898.98</w:t>
            </w:r>
          </w:p>
        </w:tc>
      </w:tr>
      <w:tr>
        <w:trPr>
          <w:trHeight w:val="3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6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52"/>
              <w:jc w:val="right"/>
              <w:rPr>
                <w:rFonts w:ascii="宋体" w:hAnsi="宋体" w:cs="宋体" w:eastAsia="宋体" w:hint="default"/>
                <w:sz w:val="18"/>
                <w:szCs w:val="18"/>
              </w:rPr>
            </w:pPr>
            <w:r>
              <w:rPr>
                <w:rFonts w:ascii="宋体" w:hAnsi="宋体" w:cs="宋体" w:eastAsia="宋体" w:hint="default"/>
                <w:spacing w:val="-2"/>
                <w:sz w:val="18"/>
                <w:szCs w:val="18"/>
              </w:rPr>
              <w:t>上海通信</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13,739,720.62</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9,488,188.34</w:t>
            </w:r>
          </w:p>
        </w:tc>
      </w:tr>
      <w:tr>
        <w:trPr>
          <w:trHeight w:val="34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52"/>
              <w:jc w:val="right"/>
              <w:rPr>
                <w:rFonts w:ascii="宋体" w:hAnsi="宋体" w:cs="宋体" w:eastAsia="宋体" w:hint="default"/>
                <w:sz w:val="18"/>
                <w:szCs w:val="18"/>
              </w:rPr>
            </w:pPr>
            <w:r>
              <w:rPr>
                <w:rFonts w:ascii="宋体" w:hAnsi="宋体" w:cs="宋体" w:eastAsia="宋体" w:hint="default"/>
                <w:spacing w:val="-2"/>
                <w:sz w:val="18"/>
                <w:szCs w:val="18"/>
              </w:rPr>
              <w:t>网络科技</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18,816,051.72</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10,373,231.60</w:t>
            </w:r>
          </w:p>
        </w:tc>
      </w:tr>
      <w:tr>
        <w:trPr>
          <w:trHeight w:val="34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61"/>
              <w:jc w:val="right"/>
              <w:rPr>
                <w:rFonts w:ascii="宋体" w:hAnsi="宋体" w:cs="宋体" w:eastAsia="宋体" w:hint="default"/>
                <w:sz w:val="18"/>
                <w:szCs w:val="18"/>
              </w:rPr>
            </w:pPr>
            <w:r>
              <w:rPr>
                <w:rFonts w:ascii="宋体" w:hAnsi="宋体" w:cs="宋体" w:eastAsia="宋体" w:hint="default"/>
                <w:spacing w:val="-2"/>
                <w:sz w:val="18"/>
                <w:szCs w:val="18"/>
              </w:rPr>
              <w:t>广州二六三</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7,734,046.07</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6,842,412.57</w:t>
            </w:r>
          </w:p>
        </w:tc>
      </w:tr>
      <w:tr>
        <w:trPr>
          <w:trHeight w:val="351" w:hRule="exact"/>
        </w:trPr>
        <w:tc>
          <w:tcPr>
            <w:tcW w:w="2271" w:type="dxa"/>
            <w:tcBorders>
              <w:top w:val="single" w:sz="6" w:space="0" w:color="000000"/>
              <w:left w:val="single" w:sz="6" w:space="0" w:color="000000"/>
              <w:bottom w:val="single" w:sz="6" w:space="0" w:color="000000"/>
              <w:right w:val="single" w:sz="6" w:space="0" w:color="000000"/>
            </w:tcBorders>
          </w:tcPr>
          <w:p>
            <w:pPr/>
          </w:p>
        </w:tc>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69"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74,513,012.12</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51,151,731.49</w:t>
            </w:r>
          </w:p>
        </w:tc>
      </w:tr>
      <w:tr>
        <w:trPr>
          <w:trHeight w:val="34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52"/>
              <w:jc w:val="right"/>
              <w:rPr>
                <w:rFonts w:ascii="宋体" w:hAnsi="宋体" w:cs="宋体" w:eastAsia="宋体" w:hint="default"/>
                <w:sz w:val="18"/>
                <w:szCs w:val="18"/>
              </w:rPr>
            </w:pPr>
            <w:r>
              <w:rPr>
                <w:rFonts w:ascii="宋体" w:hAnsi="宋体" w:cs="宋体" w:eastAsia="宋体" w:hint="default"/>
                <w:spacing w:val="-2"/>
                <w:sz w:val="18"/>
                <w:szCs w:val="18"/>
              </w:rPr>
              <w:t>企业通信</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61,762,550.60</w:t>
            </w:r>
          </w:p>
        </w:tc>
      </w:tr>
      <w:tr>
        <w:trPr>
          <w:trHeight w:val="34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52"/>
              <w:jc w:val="right"/>
              <w:rPr>
                <w:rFonts w:ascii="宋体" w:hAnsi="宋体" w:cs="宋体" w:eastAsia="宋体" w:hint="default"/>
                <w:sz w:val="18"/>
                <w:szCs w:val="18"/>
              </w:rPr>
            </w:pPr>
            <w:r>
              <w:rPr>
                <w:rFonts w:ascii="宋体" w:hAnsi="宋体" w:cs="宋体" w:eastAsia="宋体" w:hint="default"/>
                <w:spacing w:val="-2"/>
                <w:sz w:val="18"/>
                <w:szCs w:val="18"/>
              </w:rPr>
              <w:t>上海通信</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44,560,424.98</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46,489,183.48</w:t>
            </w:r>
          </w:p>
        </w:tc>
      </w:tr>
      <w:tr>
        <w:trPr>
          <w:trHeight w:val="34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52"/>
              <w:jc w:val="right"/>
              <w:rPr>
                <w:rFonts w:ascii="宋体" w:hAnsi="宋体" w:cs="宋体" w:eastAsia="宋体" w:hint="default"/>
                <w:sz w:val="18"/>
                <w:szCs w:val="18"/>
              </w:rPr>
            </w:pPr>
            <w:r>
              <w:rPr>
                <w:rFonts w:ascii="宋体" w:hAnsi="宋体" w:cs="宋体" w:eastAsia="宋体" w:hint="default"/>
                <w:spacing w:val="-2"/>
                <w:sz w:val="18"/>
                <w:szCs w:val="18"/>
              </w:rPr>
              <w:t>网络科技</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673,716.11</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733,646.19</w:t>
            </w:r>
          </w:p>
        </w:tc>
      </w:tr>
      <w:tr>
        <w:trPr>
          <w:trHeight w:val="350"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6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52"/>
              <w:jc w:val="right"/>
              <w:rPr>
                <w:rFonts w:ascii="宋体" w:hAnsi="宋体" w:cs="宋体" w:eastAsia="宋体" w:hint="default"/>
                <w:sz w:val="18"/>
                <w:szCs w:val="18"/>
              </w:rPr>
            </w:pPr>
            <w:r>
              <w:rPr>
                <w:rFonts w:ascii="宋体" w:hAnsi="宋体" w:cs="宋体" w:eastAsia="宋体" w:hint="default"/>
                <w:spacing w:val="-2"/>
                <w:sz w:val="18"/>
                <w:szCs w:val="18"/>
              </w:rPr>
              <w:t>爱涛视讯</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2,232,851.60</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2,238,470.41</w:t>
            </w:r>
          </w:p>
        </w:tc>
      </w:tr>
      <w:tr>
        <w:trPr>
          <w:trHeight w:val="34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61"/>
              <w:jc w:val="right"/>
              <w:rPr>
                <w:rFonts w:ascii="宋体" w:hAnsi="宋体" w:cs="宋体" w:eastAsia="宋体" w:hint="default"/>
                <w:sz w:val="18"/>
                <w:szCs w:val="18"/>
              </w:rPr>
            </w:pPr>
            <w:r>
              <w:rPr>
                <w:rFonts w:ascii="宋体" w:hAnsi="宋体" w:cs="宋体" w:eastAsia="宋体" w:hint="default"/>
                <w:spacing w:val="-2"/>
                <w:sz w:val="18"/>
                <w:szCs w:val="18"/>
              </w:rPr>
              <w:t>广州二六三</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31,483,735.78</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11,245,792.51</w:t>
            </w:r>
          </w:p>
        </w:tc>
      </w:tr>
      <w:tr>
        <w:trPr>
          <w:trHeight w:val="346"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52"/>
              <w:jc w:val="right"/>
              <w:rPr>
                <w:rFonts w:ascii="宋体" w:hAnsi="宋体" w:cs="宋体" w:eastAsia="宋体" w:hint="default"/>
                <w:sz w:val="18"/>
                <w:szCs w:val="18"/>
              </w:rPr>
            </w:pPr>
            <w:r>
              <w:rPr>
                <w:rFonts w:ascii="宋体" w:hAnsi="宋体" w:cs="宋体" w:eastAsia="宋体" w:hint="default"/>
                <w:spacing w:val="-2"/>
                <w:sz w:val="18"/>
                <w:szCs w:val="18"/>
              </w:rPr>
              <w:t>深圳日升</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404,371.80</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134,203.38</w:t>
            </w:r>
          </w:p>
        </w:tc>
      </w:tr>
      <w:tr>
        <w:trPr>
          <w:trHeight w:val="350" w:hRule="exact"/>
        </w:trPr>
        <w:tc>
          <w:tcPr>
            <w:tcW w:w="2271" w:type="dxa"/>
            <w:tcBorders>
              <w:top w:val="single" w:sz="6" w:space="0" w:color="000000"/>
              <w:left w:val="single" w:sz="6" w:space="0" w:color="000000"/>
              <w:bottom w:val="single" w:sz="6" w:space="0" w:color="000000"/>
              <w:right w:val="single" w:sz="6" w:space="0" w:color="000000"/>
            </w:tcBorders>
          </w:tcPr>
          <w:p>
            <w:pPr/>
          </w:p>
        </w:tc>
        <w:tc>
          <w:tcPr>
            <w:tcW w:w="2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69"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79,355,100.27</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122,603,846.57</w:t>
            </w:r>
          </w:p>
        </w:tc>
      </w:tr>
    </w:tbl>
    <w:p>
      <w:pPr>
        <w:pStyle w:val="BodyText"/>
        <w:spacing w:line="240" w:lineRule="auto" w:before="10"/>
        <w:ind w:left="496" w:right="3662"/>
        <w:jc w:val="left"/>
      </w:pPr>
      <w:r>
        <w:rPr/>
        <w:t>应付款项</w:t>
      </w:r>
    </w:p>
    <w:p>
      <w:pPr>
        <w:spacing w:line="240" w:lineRule="auto" w:before="0"/>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2257"/>
        <w:gridCol w:w="2632"/>
        <w:gridCol w:w="2679"/>
        <w:gridCol w:w="2675"/>
      </w:tblGrid>
      <w:tr>
        <w:trPr>
          <w:trHeight w:val="346" w:hRule="exact"/>
        </w:trPr>
        <w:tc>
          <w:tcPr>
            <w:tcW w:w="225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37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3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21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67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152"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67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15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6"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2"/>
              <w:jc w:val="right"/>
              <w:rPr>
                <w:rFonts w:ascii="宋体" w:hAnsi="宋体" w:cs="宋体" w:eastAsia="宋体" w:hint="default"/>
                <w:sz w:val="18"/>
                <w:szCs w:val="18"/>
              </w:rPr>
            </w:pPr>
            <w:r>
              <w:rPr>
                <w:rFonts w:ascii="宋体" w:hAnsi="宋体" w:cs="宋体" w:eastAsia="宋体" w:hint="default"/>
                <w:spacing w:val="-2"/>
                <w:sz w:val="18"/>
                <w:szCs w:val="18"/>
              </w:rPr>
              <w:t>企业通信</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1,031,063.01</w:t>
            </w:r>
          </w:p>
        </w:tc>
        <w:tc>
          <w:tcPr>
            <w:tcW w:w="2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902,574.26</w:t>
            </w:r>
          </w:p>
        </w:tc>
      </w:tr>
      <w:tr>
        <w:trPr>
          <w:trHeight w:val="350" w:hRule="exact"/>
        </w:trPr>
        <w:tc>
          <w:tcPr>
            <w:tcW w:w="2257" w:type="dxa"/>
            <w:tcBorders>
              <w:top w:val="single" w:sz="6" w:space="0" w:color="000000"/>
              <w:left w:val="single" w:sz="6" w:space="0" w:color="000000"/>
              <w:bottom w:val="single" w:sz="6" w:space="0" w:color="000000"/>
              <w:right w:val="single" w:sz="6" w:space="0" w:color="000000"/>
            </w:tcBorders>
          </w:tcPr>
          <w:p>
            <w:pP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69"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1,031,063.01</w:t>
            </w:r>
          </w:p>
        </w:tc>
        <w:tc>
          <w:tcPr>
            <w:tcW w:w="2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902,574.26</w:t>
            </w:r>
          </w:p>
        </w:tc>
      </w:tr>
      <w:tr>
        <w:trPr>
          <w:trHeight w:val="346"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2"/>
              <w:jc w:val="right"/>
              <w:rPr>
                <w:rFonts w:ascii="宋体" w:hAnsi="宋体" w:cs="宋体" w:eastAsia="宋体" w:hint="default"/>
                <w:sz w:val="18"/>
                <w:szCs w:val="18"/>
              </w:rPr>
            </w:pPr>
            <w:r>
              <w:rPr>
                <w:rFonts w:ascii="宋体" w:hAnsi="宋体" w:cs="宋体" w:eastAsia="宋体" w:hint="default"/>
                <w:spacing w:val="-2"/>
                <w:sz w:val="18"/>
                <w:szCs w:val="18"/>
              </w:rPr>
              <w:t>企业通信</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195,100,397.35</w:t>
            </w:r>
          </w:p>
        </w:tc>
        <w:tc>
          <w:tcPr>
            <w:tcW w:w="2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38,847,701.40</w:t>
            </w:r>
          </w:p>
        </w:tc>
      </w:tr>
      <w:tr>
        <w:trPr>
          <w:trHeight w:val="346"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2"/>
              <w:jc w:val="right"/>
              <w:rPr>
                <w:rFonts w:ascii="宋体" w:hAnsi="宋体" w:cs="宋体" w:eastAsia="宋体" w:hint="default"/>
                <w:sz w:val="18"/>
                <w:szCs w:val="18"/>
              </w:rPr>
            </w:pPr>
            <w:r>
              <w:rPr>
                <w:rFonts w:ascii="宋体" w:hAnsi="宋体" w:cs="宋体" w:eastAsia="宋体" w:hint="default"/>
                <w:spacing w:val="-2"/>
                <w:sz w:val="18"/>
                <w:szCs w:val="18"/>
              </w:rPr>
              <w:t>展动科技</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28,695,433.99</w:t>
            </w:r>
          </w:p>
        </w:tc>
      </w:tr>
      <w:tr>
        <w:trPr>
          <w:trHeight w:val="350"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2"/>
              <w:jc w:val="right"/>
              <w:rPr>
                <w:rFonts w:ascii="宋体" w:hAnsi="宋体" w:cs="宋体" w:eastAsia="宋体" w:hint="default"/>
                <w:sz w:val="18"/>
                <w:szCs w:val="18"/>
              </w:rPr>
            </w:pPr>
            <w:r>
              <w:rPr>
                <w:rFonts w:ascii="宋体" w:hAnsi="宋体" w:cs="宋体" w:eastAsia="宋体" w:hint="default"/>
                <w:spacing w:val="-2"/>
                <w:sz w:val="18"/>
                <w:szCs w:val="18"/>
              </w:rPr>
              <w:t>北京展视</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123,963,342.21</w:t>
            </w:r>
          </w:p>
        </w:tc>
        <w:tc>
          <w:tcPr>
            <w:tcW w:w="2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69,561,307.48</w:t>
            </w:r>
          </w:p>
        </w:tc>
      </w:tr>
      <w:tr>
        <w:trPr>
          <w:trHeight w:val="346"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2"/>
              <w:jc w:val="right"/>
              <w:rPr>
                <w:rFonts w:ascii="宋体" w:hAnsi="宋体" w:cs="宋体" w:eastAsia="宋体" w:hint="default"/>
                <w:sz w:val="18"/>
                <w:szCs w:val="18"/>
              </w:rPr>
            </w:pPr>
            <w:r>
              <w:rPr>
                <w:rFonts w:ascii="宋体" w:hAnsi="宋体" w:cs="宋体" w:eastAsia="宋体" w:hint="default"/>
                <w:spacing w:val="-2"/>
                <w:sz w:val="18"/>
                <w:szCs w:val="18"/>
              </w:rPr>
              <w:t>上海通信</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50,667,647.50</w:t>
            </w:r>
          </w:p>
        </w:tc>
        <w:tc>
          <w:tcPr>
            <w:tcW w:w="2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50,077,066.46</w:t>
            </w:r>
          </w:p>
        </w:tc>
      </w:tr>
      <w:tr>
        <w:trPr>
          <w:trHeight w:val="346"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2"/>
              <w:jc w:val="right"/>
              <w:rPr>
                <w:rFonts w:ascii="宋体" w:hAnsi="宋体" w:cs="宋体" w:eastAsia="宋体" w:hint="default"/>
                <w:sz w:val="18"/>
                <w:szCs w:val="18"/>
              </w:rPr>
            </w:pPr>
            <w:r>
              <w:rPr>
                <w:rFonts w:ascii="宋体" w:hAnsi="宋体" w:cs="宋体" w:eastAsia="宋体" w:hint="default"/>
                <w:spacing w:val="-2"/>
                <w:sz w:val="18"/>
                <w:szCs w:val="18"/>
              </w:rPr>
              <w:t>网络科技</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39,107,354.76</w:t>
            </w:r>
          </w:p>
        </w:tc>
        <w:tc>
          <w:tcPr>
            <w:tcW w:w="2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28,265,822.21</w:t>
            </w:r>
          </w:p>
        </w:tc>
      </w:tr>
      <w:tr>
        <w:trPr>
          <w:trHeight w:val="346"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2"/>
              <w:jc w:val="right"/>
              <w:rPr>
                <w:rFonts w:ascii="宋体" w:hAnsi="宋体" w:cs="宋体" w:eastAsia="宋体" w:hint="default"/>
                <w:sz w:val="18"/>
                <w:szCs w:val="18"/>
              </w:rPr>
            </w:pPr>
            <w:r>
              <w:rPr>
                <w:rFonts w:ascii="宋体" w:hAnsi="宋体" w:cs="宋体" w:eastAsia="宋体" w:hint="default"/>
                <w:spacing w:val="-2"/>
                <w:sz w:val="18"/>
                <w:szCs w:val="18"/>
              </w:rPr>
              <w:t>爱涛视讯</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3,041,699.50</w:t>
            </w:r>
          </w:p>
        </w:tc>
        <w:tc>
          <w:tcPr>
            <w:tcW w:w="2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3,041,699.50</w:t>
            </w:r>
          </w:p>
        </w:tc>
      </w:tr>
      <w:tr>
        <w:trPr>
          <w:trHeight w:val="350"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6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62"/>
              <w:jc w:val="right"/>
              <w:rPr>
                <w:rFonts w:ascii="宋体" w:hAnsi="宋体" w:cs="宋体" w:eastAsia="宋体" w:hint="default"/>
                <w:sz w:val="18"/>
                <w:szCs w:val="18"/>
              </w:rPr>
            </w:pPr>
            <w:r>
              <w:rPr>
                <w:rFonts w:ascii="宋体" w:hAnsi="宋体" w:cs="宋体" w:eastAsia="宋体" w:hint="default"/>
                <w:spacing w:val="-2"/>
                <w:sz w:val="18"/>
                <w:szCs w:val="18"/>
              </w:rPr>
              <w:t>软件技术</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140,296,461.31</w:t>
            </w:r>
          </w:p>
        </w:tc>
        <w:tc>
          <w:tcPr>
            <w:tcW w:w="2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45,505,070.37</w:t>
            </w:r>
          </w:p>
        </w:tc>
      </w:tr>
      <w:tr>
        <w:trPr>
          <w:trHeight w:val="346"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70"/>
              <w:jc w:val="right"/>
              <w:rPr>
                <w:rFonts w:ascii="宋体" w:hAnsi="宋体" w:cs="宋体" w:eastAsia="宋体" w:hint="default"/>
                <w:sz w:val="18"/>
                <w:szCs w:val="18"/>
              </w:rPr>
            </w:pPr>
            <w:r>
              <w:rPr>
                <w:rFonts w:ascii="宋体" w:hAnsi="宋体" w:cs="宋体" w:eastAsia="宋体" w:hint="default"/>
                <w:spacing w:val="-2"/>
                <w:sz w:val="18"/>
                <w:szCs w:val="18"/>
              </w:rPr>
              <w:t>广州二六三</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306,636.81</w:t>
            </w:r>
          </w:p>
        </w:tc>
        <w:tc>
          <w:tcPr>
            <w:tcW w:w="2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46" w:hRule="exact"/>
        </w:trPr>
        <w:tc>
          <w:tcPr>
            <w:tcW w:w="2257" w:type="dxa"/>
            <w:tcBorders>
              <w:top w:val="single" w:sz="6" w:space="0" w:color="000000"/>
              <w:left w:val="single" w:sz="6" w:space="0" w:color="000000"/>
              <w:bottom w:val="single" w:sz="6" w:space="0" w:color="000000"/>
              <w:right w:val="single" w:sz="6" w:space="0" w:color="000000"/>
            </w:tcBorders>
          </w:tcPr>
          <w:p>
            <w:pP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9"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552,483,539.44</w:t>
            </w:r>
          </w:p>
        </w:tc>
        <w:tc>
          <w:tcPr>
            <w:tcW w:w="2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263,994,101.41</w:t>
            </w:r>
          </w:p>
        </w:tc>
      </w:tr>
      <w:tr>
        <w:trPr>
          <w:trHeight w:val="350"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2"/>
              <w:jc w:val="right"/>
              <w:rPr>
                <w:rFonts w:ascii="宋体" w:hAnsi="宋体" w:cs="宋体" w:eastAsia="宋体" w:hint="default"/>
                <w:sz w:val="18"/>
                <w:szCs w:val="18"/>
              </w:rPr>
            </w:pPr>
            <w:r>
              <w:rPr>
                <w:rFonts w:ascii="宋体" w:hAnsi="宋体" w:cs="宋体" w:eastAsia="宋体" w:hint="default"/>
                <w:spacing w:val="-2"/>
                <w:sz w:val="18"/>
                <w:szCs w:val="18"/>
              </w:rPr>
              <w:t>企业通信</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46"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2"/>
              <w:jc w:val="right"/>
              <w:rPr>
                <w:rFonts w:ascii="宋体" w:hAnsi="宋体" w:cs="宋体" w:eastAsia="宋体" w:hint="default"/>
                <w:sz w:val="18"/>
                <w:szCs w:val="18"/>
              </w:rPr>
            </w:pPr>
            <w:r>
              <w:rPr>
                <w:rFonts w:ascii="宋体" w:hAnsi="宋体" w:cs="宋体" w:eastAsia="宋体" w:hint="default"/>
                <w:spacing w:val="-2"/>
                <w:sz w:val="18"/>
                <w:szCs w:val="18"/>
              </w:rPr>
              <w:t>网络科技</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510,350.95</w:t>
            </w:r>
          </w:p>
        </w:tc>
        <w:tc>
          <w:tcPr>
            <w:tcW w:w="2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510,350.95</w:t>
            </w:r>
          </w:p>
        </w:tc>
      </w:tr>
      <w:tr>
        <w:trPr>
          <w:trHeight w:val="346" w:hRule="exact"/>
        </w:trPr>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62"/>
              <w:jc w:val="right"/>
              <w:rPr>
                <w:rFonts w:ascii="宋体" w:hAnsi="宋体" w:cs="宋体" w:eastAsia="宋体" w:hint="default"/>
                <w:sz w:val="18"/>
                <w:szCs w:val="18"/>
              </w:rPr>
            </w:pPr>
            <w:r>
              <w:rPr>
                <w:rFonts w:ascii="宋体" w:hAnsi="宋体" w:cs="宋体" w:eastAsia="宋体" w:hint="default"/>
                <w:spacing w:val="-2"/>
                <w:sz w:val="18"/>
                <w:szCs w:val="18"/>
              </w:rPr>
              <w:t>上海通信</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20,879.09</w:t>
            </w:r>
          </w:p>
        </w:tc>
        <w:tc>
          <w:tcPr>
            <w:tcW w:w="2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20,879.09</w:t>
            </w:r>
          </w:p>
        </w:tc>
      </w:tr>
      <w:tr>
        <w:trPr>
          <w:trHeight w:val="351" w:hRule="exact"/>
        </w:trPr>
        <w:tc>
          <w:tcPr>
            <w:tcW w:w="2257" w:type="dxa"/>
            <w:tcBorders>
              <w:top w:val="single" w:sz="6" w:space="0" w:color="000000"/>
              <w:left w:val="single" w:sz="6" w:space="0" w:color="000000"/>
              <w:bottom w:val="single" w:sz="6" w:space="0" w:color="000000"/>
              <w:right w:val="single" w:sz="6" w:space="0" w:color="000000"/>
            </w:tcBorders>
          </w:tcPr>
          <w:p>
            <w:pP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9"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531,230.04</w:t>
            </w:r>
          </w:p>
        </w:tc>
        <w:tc>
          <w:tcPr>
            <w:tcW w:w="2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531,230.04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00" w:bottom="1220" w:left="680" w:right="0"/>
        </w:sect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Heading2"/>
        <w:spacing w:line="240" w:lineRule="auto" w:before="5"/>
        <w:ind w:left="136" w:right="3662"/>
        <w:jc w:val="left"/>
        <w:rPr>
          <w:b w:val="0"/>
          <w:bCs w:val="0"/>
        </w:rPr>
      </w:pPr>
      <w:bookmarkStart w:name="十八、补充资料" w:id="478"/>
      <w:bookmarkEnd w:id="478"/>
      <w:r>
        <w:rPr>
          <w:b w:val="0"/>
          <w:bCs w:val="0"/>
        </w:rPr>
      </w:r>
      <w:r>
        <w:rPr/>
        <w:t>十八、补充资料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36" w:right="3662"/>
        <w:jc w:val="left"/>
        <w:rPr>
          <w:b w:val="0"/>
          <w:bCs w:val="0"/>
        </w:rPr>
      </w:pPr>
      <w:bookmarkStart w:name="1、当期非经常性损益明细表" w:id="479"/>
      <w:bookmarkEnd w:id="47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136" w:right="366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6"/>
        <w:ind w:left="0" w:right="857"/>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3327"/>
        <w:gridCol w:w="3059"/>
        <w:gridCol w:w="3188"/>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9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-1,425,364.89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0" w:right="152"/>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密切相关，按照国家统一标准定额或定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3,091,847.09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0" w:right="152"/>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保值业务外，持有交易性金融资产、衍</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生金融资产、交易性金融负债、衍生金</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融负债产生的公允价值变动损益，以及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处置交易性金融资产、衍生金融资产、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交易性金融负债、衍生金融负债和其他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债权投资取得的投资收益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186,011,895.49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00" w:lineRule="auto"/>
              <w:ind w:left="100" w:right="98"/>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、主要系本报告期内，其他非流动金</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融资产公允价值变动损益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17,600.96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w w:val="101"/>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、主要系报告期内，银行理财产</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品产生的投资收益</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747.73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165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100" w:right="152"/>
              <w:jc w:val="left"/>
              <w:rPr>
                <w:rFonts w:ascii="宋体" w:hAnsi="宋体" w:cs="宋体" w:eastAsia="宋体" w:hint="default"/>
                <w:sz w:val="18"/>
                <w:szCs w:val="18"/>
              </w:rPr>
            </w:pPr>
            <w:r>
              <w:rPr>
                <w:rFonts w:ascii="宋体" w:hAnsi="宋体" w:cs="宋体" w:eastAsia="宋体" w:hint="default"/>
                <w:spacing w:val="-3"/>
                <w:sz w:val="18"/>
                <w:szCs w:val="18"/>
              </w:rPr>
              <w:t>单独进行减值测试的应收款项、合同资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产减值准备转回</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2,054,025.60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100"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、主要系本报告期内，单项金额重大</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并单独计提坏账准备的应收账款收回</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Times New Roman" w:hAnsi="Times New Roman" w:cs="Times New Roman" w:eastAsia="Times New Roman" w:hint="default"/>
                <w:sz w:val="18"/>
                <w:szCs w:val="18"/>
              </w:rPr>
              <w:t>396.72 </w:t>
            </w:r>
            <w:r>
              <w:rPr>
                <w:rFonts w:ascii="宋体" w:hAnsi="宋体" w:cs="宋体" w:eastAsia="宋体" w:hint="default"/>
                <w:spacing w:val="-9"/>
                <w:sz w:val="18"/>
                <w:szCs w:val="18"/>
              </w:rPr>
              <w:t>万美金；</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、主要系本报告期内，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单项金额重大并单独计提坏账准备的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应收账款收回</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71.42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0" w:right="152"/>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-6,172,612.01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45,612,255.62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6,508.18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137,941,027.48</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4"/>
        <w:ind w:left="136" w:right="0"/>
        <w:jc w:val="left"/>
      </w:pPr>
      <w:r>
        <w:rPr>
          <w:spacing w:val="-3"/>
        </w:rPr>
        <w:t>对公司根据《公开发行证券的公司信息披露解释性公告第 </w:t>
      </w:r>
      <w:r>
        <w:rPr>
          <w:rFonts w:ascii="Times New Roman" w:hAnsi="Times New Roman" w:cs="Times New Roman" w:eastAsia="Times New Roman" w:hint="default"/>
        </w:rPr>
        <w:t>1  </w:t>
      </w:r>
      <w:r>
        <w:rPr>
          <w:rFonts w:ascii="Times New Roman" w:hAnsi="Times New Roman" w:cs="Times New Roman" w:eastAsia="Times New Roman" w:hint="default"/>
          <w:spacing w:val="19"/>
        </w:rPr>
        <w:t> </w:t>
      </w:r>
      <w:r>
        <w:rPr>
          <w:spacing w:val="-4"/>
        </w:rPr>
        <w:t>号</w:t>
      </w:r>
      <w:r>
        <w:rPr>
          <w:rFonts w:ascii="Times New Roman" w:hAnsi="Times New Roman" w:cs="Times New Roman" w:eastAsia="Times New Roman" w:hint="default"/>
          <w:spacing w:val="-4"/>
        </w:rPr>
        <w:t>——</w:t>
      </w:r>
      <w:r>
        <w:rPr>
          <w:spacing w:val="-4"/>
        </w:rPr>
        <w:t>非经常性损益》定义界定的非经常性损益项目，以及把《公开发</w:t>
      </w:r>
    </w:p>
    <w:p>
      <w:pPr>
        <w:pStyle w:val="BodyText"/>
        <w:spacing w:line="240" w:lineRule="auto" w:before="63"/>
        <w:ind w:left="136" w:right="0"/>
        <w:jc w:val="left"/>
      </w:pPr>
      <w:r>
        <w:rPr>
          <w:spacing w:val="-3"/>
        </w:rPr>
        <w:t>行证券的公司信息披露解释性公告第 </w:t>
      </w:r>
      <w:r>
        <w:rPr>
          <w:rFonts w:ascii="Times New Roman" w:hAnsi="Times New Roman" w:cs="Times New Roman" w:eastAsia="Times New Roman" w:hint="default"/>
        </w:rPr>
        <w:t>1  </w:t>
      </w:r>
      <w:r>
        <w:rPr>
          <w:rFonts w:ascii="Times New Roman" w:hAnsi="Times New Roman" w:cs="Times New Roman" w:eastAsia="Times New Roman" w:hint="default"/>
          <w:spacing w:val="32"/>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非经常性损益》中列举的非经常性损益项目界定为经常性损益的项目，应说明原因。</w:t>
      </w:r>
    </w:p>
    <w:p>
      <w:pPr>
        <w:pStyle w:val="BodyText"/>
        <w:spacing w:line="240" w:lineRule="auto" w:before="101"/>
        <w:ind w:left="136" w:right="366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left="136" w:right="3662"/>
        <w:jc w:val="left"/>
        <w:rPr>
          <w:b w:val="0"/>
          <w:bCs w:val="0"/>
        </w:rPr>
      </w:pPr>
      <w:bookmarkStart w:name="2、净资产收益率及每股收益" w:id="480"/>
      <w:bookmarkEnd w:id="48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2"/>
        <w:rPr>
          <w:rFonts w:ascii="宋体" w:hAnsi="宋体" w:cs="宋体" w:eastAsia="宋体" w:hint="default"/>
          <w:b/>
          <w:bCs/>
          <w:sz w:val="25"/>
          <w:szCs w:val="25"/>
        </w:rPr>
      </w:pPr>
    </w:p>
    <w:tbl>
      <w:tblPr>
        <w:tblW w:w="0" w:type="auto"/>
        <w:jc w:val="left"/>
        <w:tblInd w:w="131" w:type="dxa"/>
        <w:tblLayout w:type="fixed"/>
        <w:tblCellMar>
          <w:top w:w="0" w:type="dxa"/>
          <w:left w:w="0" w:type="dxa"/>
          <w:bottom w:w="0" w:type="dxa"/>
          <w:right w:w="0" w:type="dxa"/>
        </w:tblCellMar>
        <w:tblLook w:val="01E0"/>
      </w:tblPr>
      <w:tblGrid>
        <w:gridCol w:w="2665"/>
        <w:gridCol w:w="3078"/>
        <w:gridCol w:w="1916"/>
        <w:gridCol w:w="1911"/>
      </w:tblGrid>
      <w:tr>
        <w:trPr>
          <w:trHeight w:val="398" w:hRule="exact"/>
        </w:trPr>
        <w:tc>
          <w:tcPr>
            <w:tcW w:w="2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87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63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3" w:hRule="exact"/>
        </w:trPr>
        <w:tc>
          <w:tcPr>
            <w:tcW w:w="2665" w:type="dxa"/>
            <w:vMerge/>
            <w:tcBorders>
              <w:left w:val="single" w:sz="4" w:space="0" w:color="000000"/>
              <w:bottom w:val="single" w:sz="4" w:space="0" w:color="000000"/>
              <w:right w:val="single" w:sz="4" w:space="0" w:color="000000"/>
            </w:tcBorders>
            <w:shd w:val="clear" w:color="auto" w:fill="D2D2D2"/>
          </w:tcPr>
          <w:p>
            <w:pPr/>
          </w:p>
        </w:tc>
        <w:tc>
          <w:tcPr>
            <w:tcW w:w="3078"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
              <w:jc w:val="right"/>
              <w:rPr>
                <w:rFonts w:ascii="宋体" w:hAnsi="宋体" w:cs="宋体" w:eastAsia="宋体" w:hint="default"/>
                <w:sz w:val="18"/>
                <w:szCs w:val="18"/>
              </w:rPr>
            </w:pPr>
            <w:r>
              <w:rPr>
                <w:rFonts w:ascii="宋体" w:hAnsi="宋体" w:cs="宋体" w:eastAsia="宋体" w:hint="default"/>
                <w:spacing w:val="-9"/>
                <w:sz w:val="18"/>
                <w:szCs w:val="18"/>
              </w:rPr>
              <w:t>基本每股收益（元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股）</w:t>
            </w:r>
            <w:r>
              <w:rPr>
                <w:rFonts w:ascii="宋体" w:hAnsi="宋体" w:cs="宋体" w:eastAsia="宋体" w:hint="default"/>
                <w:sz w:val="18"/>
                <w:szCs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spacing w:val="-9"/>
                <w:sz w:val="18"/>
                <w:szCs w:val="18"/>
              </w:rPr>
              <w:t>稀释每股收益（元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股）</w:t>
            </w:r>
            <w:r>
              <w:rPr>
                <w:rFonts w:ascii="宋体" w:hAnsi="宋体" w:cs="宋体" w:eastAsia="宋体" w:hint="default"/>
                <w:sz w:val="18"/>
                <w:szCs w:val="18"/>
              </w:rPr>
            </w:r>
          </w:p>
        </w:tc>
      </w:tr>
      <w:tr>
        <w:trPr>
          <w:trHeight w:val="715"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0" w:right="209"/>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润</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8.72%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0.13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0.13</w:t>
            </w:r>
          </w:p>
        </w:tc>
      </w:tr>
      <w:tr>
        <w:trPr>
          <w:trHeight w:val="716"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0" w:right="209"/>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司普通股股东的净利润</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0.03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0.03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2" w:top="1100" w:bottom="1220" w:left="680" w:right="0"/>
        </w:sect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514.5500pt;height:.5pt;mso-position-horizontal-relative:char;mso-position-vertical-relative:line" coordorigin="0,0" coordsize="10291,10">
            <v:group style="position:absolute;left:5;top:5;width:10281;height:2" coordorigin="5,5" coordsize="10281,2">
              <v:shape style="position:absolute;left:5;top:5;width:10281;height:2" coordorigin="5,5" coordsize="10281,0" path="m5,5l10285,5e" filled="false" stroked="true" strokeweight=".48pt" strokecolor="#000000">
                <v:path arrowok="t"/>
              </v:shape>
            </v:group>
          </v:group>
        </w:pict>
      </w:r>
      <w:r>
        <w:rPr>
          <w:rFonts w:ascii="宋体" w:hAnsi="宋体" w:cs="宋体" w:eastAsia="宋体" w:hint="default"/>
          <w:sz w:val="2"/>
          <w:szCs w:val="2"/>
        </w:rPr>
      </w:r>
    </w:p>
    <w:p>
      <w:pPr>
        <w:pStyle w:val="Heading4"/>
        <w:spacing w:line="240" w:lineRule="auto" w:before="35"/>
        <w:ind w:left="136" w:right="3662"/>
        <w:jc w:val="left"/>
        <w:rPr>
          <w:b w:val="0"/>
          <w:bCs w:val="0"/>
        </w:rPr>
      </w:pPr>
      <w:bookmarkStart w:name="3、境内外会计准则下会计数据差异" w:id="481"/>
      <w:bookmarkEnd w:id="48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136" w:right="851"/>
        <w:jc w:val="left"/>
        <w:rPr>
          <w:b w:val="0"/>
          <w:bCs w:val="0"/>
        </w:rPr>
      </w:pPr>
      <w:bookmarkStart w:name="（1）同时按照国际会计准则与按中国会计准则披露的财务报告中净利润和净资产差异情况" w:id="482"/>
      <w:bookmarkEnd w:id="48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136" w:right="366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left="136" w:right="851"/>
        <w:jc w:val="left"/>
        <w:rPr>
          <w:b w:val="0"/>
          <w:bCs w:val="0"/>
        </w:rPr>
      </w:pPr>
      <w:bookmarkStart w:name="（2）同时按照境外会计准则与按中国会计准则披露的财务报告中净利润和净资产差异情况" w:id="483"/>
      <w:bookmarkEnd w:id="48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36" w:right="366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5"/>
          <w:szCs w:val="25"/>
        </w:rPr>
      </w:pPr>
    </w:p>
    <w:p>
      <w:pPr>
        <w:pStyle w:val="Heading4"/>
        <w:spacing w:line="254" w:lineRule="auto"/>
        <w:ind w:left="136" w:right="851"/>
        <w:jc w:val="left"/>
        <w:rPr>
          <w:b w:val="0"/>
          <w:bCs w:val="0"/>
        </w:rPr>
      </w:pPr>
      <w:bookmarkStart w:name="（3）境内外会计准则下会计数据差异原因说明，对已经境外审计机构审计的数据进行差异" w:id="484"/>
      <w:bookmarkEnd w:id="484"/>
      <w:r>
        <w:rPr>
          <w:b w:val="0"/>
          <w:bCs w:val="0"/>
        </w:rPr>
      </w:r>
      <w:r>
        <w:rPr>
          <w:spacing w:val="-1"/>
        </w:rPr>
        <w:t>（</w:t>
      </w:r>
      <w:r>
        <w:rPr>
          <w:rFonts w:ascii="Times New Roman" w:hAnsi="Times New Roman" w:cs="Times New Roman" w:eastAsia="Times New Roman" w:hint="default"/>
          <w:spacing w:val="-1"/>
        </w:rPr>
        <w:t>3</w:t>
      </w:r>
      <w:r>
        <w:rPr>
          <w:spacing w:val="-1"/>
        </w:rPr>
        <w:t>）境内外会计准则下会计数据差异原因说明，对已经境外审计机构审计的数据进行差异调节的，应注明该境</w:t>
      </w:r>
      <w:r>
        <w:rPr>
          <w:spacing w:val="-65"/>
        </w:rPr>
        <w:t> </w:t>
      </w:r>
      <w:r>
        <w:rPr>
          <w:spacing w:val="-65"/>
        </w:rPr>
      </w:r>
      <w:r>
        <w:rPr/>
        <w:t>外机构的名称</w:t>
      </w:r>
      <w:r>
        <w:rPr>
          <w:b w:val="0"/>
          <w:bCs w:val="0"/>
        </w:rPr>
      </w:r>
    </w:p>
    <w:p>
      <w:pPr>
        <w:spacing w:line="240" w:lineRule="auto" w:before="13"/>
        <w:rPr>
          <w:rFonts w:ascii="宋体" w:hAnsi="宋体" w:cs="宋体" w:eastAsia="宋体" w:hint="default"/>
          <w:b/>
          <w:bCs/>
          <w:sz w:val="24"/>
          <w:szCs w:val="24"/>
        </w:rPr>
      </w:pPr>
    </w:p>
    <w:p>
      <w:pPr>
        <w:pStyle w:val="Heading4"/>
        <w:spacing w:line="240" w:lineRule="auto"/>
        <w:ind w:left="136" w:right="3662"/>
        <w:jc w:val="left"/>
        <w:rPr>
          <w:b w:val="0"/>
          <w:bCs w:val="0"/>
        </w:rPr>
      </w:pPr>
      <w:bookmarkStart w:name="4、其他" w:id="485"/>
      <w:bookmarkEnd w:id="485"/>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0" w:footer="1022" w:top="1100" w:bottom="1220" w:left="680" w:right="0"/>
        </w:sect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85.5pt;height:.5pt;mso-position-horizontal-relative:char;mso-position-vertical-relative:line" coordorigin="0,0" coordsize="9710,10">
            <v:group style="position:absolute;left:5;top:5;width:9700;height:2" coordorigin="5,5" coordsize="9700,2">
              <v:shape style="position:absolute;left:5;top:5;width:9700;height:2" coordorigin="5,5" coordsize="9700,0" path="m5,5l9705,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1"/>
        <w:spacing w:line="240" w:lineRule="auto"/>
        <w:ind w:left="3283" w:right="0"/>
        <w:jc w:val="left"/>
        <w:rPr>
          <w:b w:val="0"/>
          <w:bCs w:val="0"/>
        </w:rPr>
      </w:pPr>
      <w:bookmarkStart w:name="第十三节 备查文件目录" w:id="486"/>
      <w:bookmarkEnd w:id="486"/>
      <w:r>
        <w:rPr>
          <w:b w:val="0"/>
          <w:bCs w:val="0"/>
        </w:rPr>
      </w:r>
      <w:bookmarkStart w:name="_bookmark12" w:id="487"/>
      <w:bookmarkEnd w:id="487"/>
      <w:r>
        <w:rPr>
          <w:b w:val="0"/>
          <w:bCs w:val="0"/>
        </w:rPr>
      </w:r>
      <w:r>
        <w:rPr/>
        <w:t>第十三节</w:t>
      </w:r>
      <w:r>
        <w:rPr>
          <w:spacing w:val="1"/>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324" w:lineRule="auto"/>
        <w:ind w:left="153" w:right="2924"/>
        <w:jc w:val="left"/>
      </w:pPr>
      <w:r>
        <w:rPr>
          <w:spacing w:val="-3"/>
        </w:rPr>
        <w:t>一、载有法定代表人、主管会计负责人、会计机构负责人签名并盖章的财务报表；</w:t>
      </w:r>
      <w:r>
        <w:rPr>
          <w:spacing w:val="14"/>
        </w:rPr>
        <w:t> </w:t>
      </w:r>
      <w:r>
        <w:rPr>
          <w:spacing w:val="14"/>
        </w:rPr>
      </w:r>
      <w:r>
        <w:rPr>
          <w:spacing w:val="-3"/>
        </w:rPr>
        <w:t>二、载有会计师事务所盖章、注册会计师签名并盖章的审计报告原件；</w:t>
      </w:r>
      <w:r>
        <w:rPr>
          <w:spacing w:val="2"/>
        </w:rPr>
        <w:t> </w:t>
      </w:r>
      <w:r>
        <w:rPr>
          <w:spacing w:val="2"/>
        </w:rPr>
      </w:r>
      <w:r>
        <w:rPr>
          <w:spacing w:val="-3"/>
        </w:rPr>
        <w:t>三、报告期内在中国证监会指定报纸上公开披露过的所有公司文件的正本及公告的原稿；</w:t>
      </w:r>
      <w:r>
        <w:rPr>
          <w:spacing w:val="25"/>
        </w:rPr>
        <w:t> </w:t>
      </w:r>
      <w:r>
        <w:rPr>
          <w:spacing w:val="25"/>
        </w:rPr>
      </w:r>
      <w:r>
        <w:rPr>
          <w:spacing w:val="-3"/>
        </w:rPr>
        <w:t>四、载有公司法定代表人签名的公司</w:t>
      </w:r>
      <w:r>
        <w:rPr>
          <w:rFonts w:ascii="Times New Roman" w:hAnsi="Times New Roman" w:cs="Times New Roman" w:eastAsia="Times New Roman" w:hint="default"/>
          <w:spacing w:val="-3"/>
        </w:rPr>
        <w:t>2019</w:t>
      </w:r>
      <w:r>
        <w:rPr>
          <w:spacing w:val="-3"/>
        </w:rPr>
        <w:t>年年度报告文本。</w:t>
      </w:r>
      <w:r>
        <w:rPr>
          <w:spacing w:val="-4"/>
        </w:rPr>
        <w:t> </w:t>
      </w:r>
      <w:r>
        <w:rPr>
          <w:spacing w:val="-4"/>
        </w:rPr>
      </w:r>
      <w:r>
        <w:rPr>
          <w:spacing w:val="-3"/>
        </w:rPr>
        <w:t>五、以上备查文件的备置地点：公司法务证券部。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2"/>
          <w:szCs w:val="22"/>
        </w:rPr>
      </w:pPr>
    </w:p>
    <w:p>
      <w:pPr>
        <w:pStyle w:val="Heading5"/>
        <w:spacing w:line="403" w:lineRule="auto"/>
        <w:ind w:left="6578" w:right="0" w:firstLine="129"/>
        <w:jc w:val="left"/>
      </w:pPr>
      <w:r>
        <w:rPr/>
        <w:t>法定代表人：李小龙</w:t>
      </w:r>
      <w:r>
        <w:rPr>
          <w:w w:val="100"/>
        </w:rPr>
        <w:t> </w:t>
      </w:r>
      <w:r>
        <w:rPr>
          <w:spacing w:val="-2"/>
        </w:rPr>
        <w:t>二六三网络通信股份有限公司</w:t>
      </w:r>
    </w:p>
    <w:p>
      <w:pPr>
        <w:pStyle w:val="Heading5"/>
        <w:spacing w:line="240" w:lineRule="auto" w:before="43"/>
        <w:ind w:right="2255"/>
        <w:jc w:val="right"/>
      </w:pP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30</w:t>
      </w:r>
      <w:r>
        <w:rPr>
          <w:spacing w:val="-1"/>
        </w:rPr>
        <w:t>日</w:t>
      </w:r>
    </w:p>
    <w:sectPr>
      <w:pgSz w:w="11910" w:h="16840"/>
      <w:pgMar w:header="0" w:footer="1022" w:top="1100" w:bottom="122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46576" type="#_x0000_t75" stroked="false">
          <v:imagedata r:id="rId1" o:title=""/>
        </v:shape>
      </w:pict>
    </w:r>
    <w:r>
      <w:rPr/>
      <w:pict>
        <v:shape style="position:absolute;margin-left:294.559998pt;margin-top:793.501343pt;width:6.6pt;height:11.15pt;mso-position-horizontal-relative:page;mso-position-vertical-relative:page;z-index:-946552"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w w:val="101"/>
                  </w:rPr>
                  <w:t>1</w:t>
                </w:r>
                <w:r>
                  <w:rPr>
                    <w:rFonts w:ascii="Times New Roman"/>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46048" type="#_x0000_t75" stroked="false">
          <v:imagedata r:id="rId1" o:title=""/>
        </v:shape>
      </w:pict>
    </w:r>
    <w:r>
      <w:rPr/>
      <w:pict>
        <v:shape style="position:absolute;margin-left:291.160004pt;margin-top:779.797363pt;width:13.15pt;height:11.15pt;mso-position-horizontal-relative:page;mso-position-vertical-relative:page;z-index:-94602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89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46000" type="#_x0000_t75" stroked="false">
          <v:imagedata r:id="rId1" o:title=""/>
        </v:shape>
      </w:pict>
    </w:r>
    <w:r>
      <w:rPr/>
      <w:pict>
        <v:shape style="position:absolute;margin-left:291.160004pt;margin-top:779.797363pt;width:13.15pt;height:11.15pt;mso-position-horizontal-relative:page;mso-position-vertical-relative:page;z-index:-94597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45952" type="#_x0000_t75" stroked="false">
          <v:imagedata r:id="rId1" o:title=""/>
        </v:shape>
      </w:pict>
    </w:r>
    <w:r>
      <w:rPr/>
      <w:pict>
        <v:shape style="position:absolute;margin-left:291.160004pt;margin-top:779.797363pt;width:13.15pt;height:11.15pt;mso-position-horizontal-relative:page;mso-position-vertical-relative:page;z-index:-94592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95</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45904" type="#_x0000_t75" stroked="false">
          <v:imagedata r:id="rId1" o:title=""/>
        </v:shape>
      </w:pict>
    </w:r>
    <w:r>
      <w:rPr/>
      <w:pict>
        <v:shape style="position:absolute;margin-left:291.160004pt;margin-top:779.797363pt;width:13.15pt;height:11.15pt;mso-position-horizontal-relative:page;mso-position-vertical-relative:page;z-index:-94588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96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45856" type="#_x0000_t75" stroked="false">
          <v:imagedata r:id="rId1" o:title=""/>
        </v:shape>
      </w:pict>
    </w:r>
    <w:r>
      <w:rPr/>
      <w:pict>
        <v:shape style="position:absolute;margin-left:291.160004pt;margin-top:779.797363pt;width:13.15pt;height:11.15pt;mso-position-horizontal-relative:page;mso-position-vertical-relative:page;z-index:-94583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98</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45808" type="#_x0000_t75" stroked="false">
          <v:imagedata r:id="rId1" o:title=""/>
        </v:shape>
      </w:pict>
    </w:r>
    <w:r>
      <w:rPr/>
      <w:pict>
        <v:shape style="position:absolute;margin-left:290pt;margin-top:779.797363pt;width:15.7pt;height:11.15pt;mso-position-horizontal-relative:page;mso-position-vertical-relative:page;z-index:-945784"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45760" type="#_x0000_t75" stroked="false">
          <v:imagedata r:id="rId1" o:title=""/>
        </v:shape>
      </w:pict>
    </w:r>
    <w:r>
      <w:rPr/>
      <w:pict>
        <v:shape style="position:absolute;margin-left:289pt;margin-top:779.797363pt;width:17.7pt;height:11.15pt;mso-position-horizontal-relative:page;mso-position-vertical-relative:page;z-index:-94573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45712" type="#_x0000_t75" stroked="false">
          <v:imagedata r:id="rId1" o:title=""/>
        </v:shape>
      </w:pict>
    </w:r>
    <w:r>
      <w:rPr/>
      <w:pict>
        <v:shape style="position:absolute;margin-left:289pt;margin-top:779.797363pt;width:17.7pt;height:11.15pt;mso-position-horizontal-relative:page;mso-position-vertical-relative:page;z-index:-94568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46528" type="#_x0000_t75" stroked="false">
          <v:imagedata r:id="rId1" o:title=""/>
        </v:shape>
      </w:pict>
    </w:r>
    <w:r>
      <w:rPr/>
      <w:pict>
        <v:shape style="position:absolute;margin-left:291.160004pt;margin-top:779.797363pt;width:13.15pt;height:11.15pt;mso-position-horizontal-relative:page;mso-position-vertical-relative:page;z-index:-94650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45664" type="#_x0000_t75" stroked="false">
          <v:imagedata r:id="rId1" o:title=""/>
        </v:shape>
      </w:pict>
    </w:r>
    <w:r>
      <w:rPr/>
      <w:pict>
        <v:shape style="position:absolute;margin-left:289pt;margin-top:779.797363pt;width:17.7pt;height:11.15pt;mso-position-horizontal-relative:page;mso-position-vertical-relative:page;z-index:-94564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129</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45616" type="#_x0000_t75" stroked="false">
          <v:imagedata r:id="rId1" o:title=""/>
        </v:shape>
      </w:pict>
    </w:r>
    <w:r>
      <w:rPr/>
      <w:pict>
        <v:shape style="position:absolute;margin-left:287.559998pt;margin-top:779.797363pt;width:19.150pt;height:11.15pt;mso-position-horizontal-relative:page;mso-position-vertical-relative:page;z-index:-945592" type="#_x0000_t202" filled="false" stroked="false">
          <v:textbox inset="0,0,0,0">
            <w:txbxContent>
              <w:p>
                <w:pPr>
                  <w:pStyle w:val="BodyText"/>
                  <w:spacing w:line="206" w:lineRule="exact"/>
                  <w:ind w:left="68"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134</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45568" type="#_x0000_t75" stroked="false">
          <v:imagedata r:id="rId1" o:title=""/>
        </v:shape>
      </w:pict>
    </w:r>
    <w:r>
      <w:rPr/>
      <w:pict>
        <v:shape style="position:absolute;margin-left:287.559998pt;margin-top:779.797363pt;width:17.7pt;height:11.15pt;mso-position-horizontal-relative:page;mso-position-vertical-relative:page;z-index:-94554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161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45520" type="#_x0000_t75" stroked="false">
          <v:imagedata r:id="rId1" o:title=""/>
        </v:shape>
      </w:pict>
    </w:r>
    <w:r>
      <w:rPr/>
      <w:pict>
        <v:shape style="position:absolute;margin-left:287.559998pt;margin-top:779.797363pt;width:19.150pt;height:11.15pt;mso-position-horizontal-relative:page;mso-position-vertical-relative:page;z-index:-94549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176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99585pt;margin-top:570.315369pt;width:42.059457pt;height:18.942809pt;mso-position-horizontal-relative:page;mso-position-vertical-relative:page;z-index:-946456" type="#_x0000_t75" stroked="false">
          <v:imagedata r:id="rId1" o:title=""/>
        </v:shape>
      </w:pict>
    </w:r>
    <w:r>
      <w:rPr/>
      <w:pict>
        <v:shape style="position:absolute;margin-left:414.519989pt;margin-top:533.317383pt;width:13.15pt;height:11.15pt;mso-position-horizontal-relative:page;mso-position-vertical-relative:page;z-index:-94643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46360" type="#_x0000_t75" stroked="false">
          <v:imagedata r:id="rId1" o:title=""/>
        </v:shape>
      </w:pict>
    </w:r>
    <w:r>
      <w:rPr/>
      <w:pict>
        <v:shape style="position:absolute;margin-left:291.160004pt;margin-top:779.797363pt;width:13.15pt;height:11.15pt;mso-position-horizontal-relative:page;mso-position-vertical-relative:page;z-index:-94633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24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99585pt;margin-top:570.315369pt;width:42.059457pt;height:18.942809pt;mso-position-horizontal-relative:page;mso-position-vertical-relative:page;z-index:-946288" type="#_x0000_t75" stroked="false">
          <v:imagedata r:id="rId1" o:title=""/>
        </v:shape>
      </w:pict>
    </w:r>
    <w:r>
      <w:rPr/>
      <w:pict>
        <v:shape style="position:absolute;margin-left:414.519989pt;margin-top:533.317383pt;width:13.15pt;height:11.15pt;mso-position-horizontal-relative:page;mso-position-vertical-relative:page;z-index:-94626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45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946192" type="#_x0000_t75" stroked="false">
          <v:imagedata r:id="rId1" o:title=""/>
        </v:shape>
      </w:pict>
    </w:r>
    <w:r>
      <w:rPr/>
      <w:pict>
        <v:shape style="position:absolute;margin-left:291.160004pt;margin-top:779.797363pt;width:13.15pt;height:11.15pt;mso-position-horizontal-relative:page;mso-position-vertical-relative:page;z-index:-94616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49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99585pt;margin-top:570.315369pt;width:42.059457pt;height:18.942809pt;mso-position-horizontal-relative:page;mso-position-vertical-relative:page;z-index:-946120" type="#_x0000_t75" stroked="false">
          <v:imagedata r:id="rId1" o:title=""/>
        </v:shape>
      </w:pict>
    </w:r>
    <w:r>
      <w:rPr/>
      <w:pict>
        <v:shape style="position:absolute;margin-left:414.519989pt;margin-top:533.317383pt;width:13.15pt;height:11.15pt;mso-position-horizontal-relative:page;mso-position-vertical-relative:page;z-index:-94609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85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19995pt;margin-top:38.222485pt;width:204.9pt;height:11.65pt;mso-position-horizontal-relative:page;mso-position-vertical-relative:page;z-index:-946600" type="#_x0000_t202" filled="false" stroked="false">
          <v:textbox inset="0,0,0,0">
            <w:txbxContent>
              <w:p>
                <w:pPr>
                  <w:pStyle w:val="BodyText"/>
                  <w:spacing w:line="216" w:lineRule="exact"/>
                  <w:ind w:left="20" w:right="0"/>
                  <w:jc w:val="left"/>
                </w:pPr>
                <w:r>
                  <w:rPr/>
                  <w:t>二六三网络通信股份有限公司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530029pt;margin-top:44.702511pt;width:204.85pt;height:11.65pt;mso-position-horizontal-relative:page;mso-position-vertical-relative:page;z-index:-946480" type="#_x0000_t202" filled="false" stroked="false">
          <v:textbox inset="0,0,0,0">
            <w:txbxContent>
              <w:p>
                <w:pPr>
                  <w:pStyle w:val="BodyText"/>
                  <w:spacing w:line="216" w:lineRule="exact"/>
                  <w:ind w:left="20" w:right="0"/>
                  <w:jc w:val="left"/>
                </w:pPr>
                <w:r>
                  <w:rPr/>
                  <w:t>二六三网络通信股份有限公司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6.659985pt;width:485pt;height:.1pt;mso-position-horizontal-relative:page;mso-position-vertical-relative:page;z-index:-946408" coordorigin="1104,1133" coordsize="9700,2">
          <v:shape style="position:absolute;left:1104;top:1133;width:9700;height:2" coordorigin="1104,1133" coordsize="9700,0" path="m1104,1133l10804,1133e" filled="false" stroked="true" strokeweight=".48pt" strokecolor="#000000">
            <v:path arrowok="t"/>
          </v:shape>
          <w10:wrap type="none"/>
        </v:group>
      </w:pict>
    </w:r>
    <w:r>
      <w:rPr/>
      <w:pict>
        <v:shape style="position:absolute;margin-left:335.119995pt;margin-top:44.702484pt;width:204.9pt;height:11.65pt;mso-position-horizontal-relative:page;mso-position-vertical-relative:page;z-index:-946384" type="#_x0000_t202" filled="false" stroked="false">
          <v:textbox inset="0,0,0,0">
            <w:txbxContent>
              <w:p>
                <w:pPr>
                  <w:pStyle w:val="BodyText"/>
                  <w:spacing w:line="216" w:lineRule="exact"/>
                  <w:ind w:left="20" w:right="0"/>
                  <w:jc w:val="left"/>
                </w:pPr>
                <w:r>
                  <w:rPr/>
                  <w:t>二六三网络通信股份有限公司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530029pt;margin-top:44.702511pt;width:204.85pt;height:11.65pt;mso-position-horizontal-relative:page;mso-position-vertical-relative:page;z-index:-946312" type="#_x0000_t202" filled="false" stroked="false">
          <v:textbox inset="0,0,0,0">
            <w:txbxContent>
              <w:p>
                <w:pPr>
                  <w:pStyle w:val="BodyText"/>
                  <w:spacing w:line="216" w:lineRule="exact"/>
                  <w:ind w:left="20" w:right="0"/>
                  <w:jc w:val="left"/>
                </w:pPr>
                <w:r>
                  <w:rPr/>
                  <w:t>二六三网络通信股份有限公司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6.659985pt;width:485pt;height:.1pt;mso-position-horizontal-relative:page;mso-position-vertical-relative:page;z-index:-946240" coordorigin="1104,1133" coordsize="9700,2">
          <v:shape style="position:absolute;left:1104;top:1133;width:9700;height:2" coordorigin="1104,1133" coordsize="9700,0" path="m1104,1133l10804,1133e" filled="false" stroked="true" strokeweight=".48pt" strokecolor="#000000">
            <v:path arrowok="t"/>
          </v:shape>
          <w10:wrap type="none"/>
        </v:group>
      </w:pict>
    </w:r>
    <w:r>
      <w:rPr/>
      <w:pict>
        <v:shape style="position:absolute;margin-left:335.119995pt;margin-top:44.702484pt;width:204.9pt;height:11.65pt;mso-position-horizontal-relative:page;mso-position-vertical-relative:page;z-index:-946216" type="#_x0000_t202" filled="false" stroked="false">
          <v:textbox inset="0,0,0,0">
            <w:txbxContent>
              <w:p>
                <w:pPr>
                  <w:pStyle w:val="BodyText"/>
                  <w:spacing w:line="216" w:lineRule="exact"/>
                  <w:ind w:left="20" w:right="0"/>
                  <w:jc w:val="left"/>
                </w:pPr>
                <w:r>
                  <w:rPr/>
                  <w:t>二六三网络通信股份有限公司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530029pt;margin-top:44.702511pt;width:204.9pt;height:11.65pt;mso-position-horizontal-relative:page;mso-position-vertical-relative:page;z-index:-946144" type="#_x0000_t202" filled="false" stroked="false">
          <v:textbox inset="0,0,0,0">
            <w:txbxContent>
              <w:p>
                <w:pPr>
                  <w:pStyle w:val="BodyText"/>
                  <w:spacing w:line="216" w:lineRule="exact"/>
                  <w:ind w:left="20" w:right="0"/>
                  <w:jc w:val="left"/>
                </w:pPr>
                <w:r>
                  <w:rPr/>
                  <w:t>二六三网络通信股份有限公司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8.339996pt;margin-top:44.702484pt;width:204.9pt;height:11.65pt;mso-position-horizontal-relative:page;mso-position-vertical-relative:page;z-index:-946072" type="#_x0000_t202" filled="false" stroked="false">
          <v:textbox inset="0,0,0,0">
            <w:txbxContent>
              <w:p>
                <w:pPr>
                  <w:pStyle w:val="BodyText"/>
                  <w:spacing w:line="216" w:lineRule="exact"/>
                  <w:ind w:left="20" w:right="0"/>
                  <w:jc w:val="left"/>
                </w:pPr>
                <w:r>
                  <w:rPr/>
                  <w:t>二六三网络通信股份有限公司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2"/>
      <w:ind w:left="153"/>
    </w:pPr>
    <w:rPr>
      <w:rFonts w:ascii="宋体" w:hAnsi="宋体" w:eastAsia="宋体"/>
      <w:b/>
      <w:bCs/>
      <w:sz w:val="24"/>
      <w:szCs w:val="24"/>
    </w:rPr>
  </w:style>
  <w:style w:styleId="BodyText" w:type="paragraph">
    <w:name w:val="Body Text"/>
    <w:basedOn w:val="Normal"/>
    <w:uiPriority w:val="1"/>
    <w:qFormat/>
    <w:pPr>
      <w:ind w:left="134"/>
    </w:pPr>
    <w:rPr>
      <w:rFonts w:ascii="宋体" w:hAnsi="宋体" w:eastAsia="宋体"/>
      <w:sz w:val="18"/>
      <w:szCs w:val="18"/>
    </w:rPr>
  </w:style>
  <w:style w:styleId="Heading1" w:type="paragraph">
    <w:name w:val="Heading 1"/>
    <w:basedOn w:val="Normal"/>
    <w:uiPriority w:val="1"/>
    <w:qFormat/>
    <w:pPr>
      <w:spacing w:before="2"/>
      <w:ind w:left="260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Heading4" w:type="paragraph">
    <w:name w:val="Heading 4"/>
    <w:basedOn w:val="Normal"/>
    <w:uiPriority w:val="1"/>
    <w:qFormat/>
    <w:pPr>
      <w:ind w:left="134"/>
      <w:outlineLvl w:val="4"/>
    </w:pPr>
    <w:rPr>
      <w:rFonts w:ascii="宋体" w:hAnsi="宋体" w:eastAsia="宋体"/>
      <w:b/>
      <w:bCs/>
      <w:sz w:val="21"/>
      <w:szCs w:val="21"/>
    </w:rPr>
  </w:style>
  <w:style w:styleId="Heading5" w:type="paragraph">
    <w:name w:val="Heading 5"/>
    <w:basedOn w:val="Normal"/>
    <w:uiPriority w:val="1"/>
    <w:qFormat/>
    <w:pPr>
      <w:outlineLvl w:val="5"/>
    </w:pPr>
    <w:rPr>
      <w:rFonts w:ascii="宋体" w:hAnsi="宋体" w:eastAsia="宋体"/>
      <w:sz w:val="21"/>
      <w:szCs w:val="21"/>
    </w:rPr>
  </w:style>
  <w:style w:styleId="Heading6" w:type="paragraph">
    <w:name w:val="Heading 6"/>
    <w:basedOn w:val="Normal"/>
    <w:uiPriority w:val="1"/>
    <w:qFormat/>
    <w:pPr>
      <w:spacing w:before="10"/>
      <w:ind w:left="136"/>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net263.com/" TargetMode="External"/><Relationship Id="rId10" Type="http://schemas.openxmlformats.org/officeDocument/2006/relationships/hyperlink" Target="mailto:invest263@net263.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image" Target="media/image3.jpeg"/><Relationship Id="rId17" Type="http://schemas.openxmlformats.org/officeDocument/2006/relationships/hyperlink" Target="http://www.chinfo.com/" TargetMode="Externa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header" Target="header5.xml"/><Relationship Id="rId21" Type="http://schemas.openxmlformats.org/officeDocument/2006/relationships/footer" Target="footer6.xml"/><Relationship Id="rId22" Type="http://schemas.openxmlformats.org/officeDocument/2006/relationships/hyperlink" Target="http://www.chinfo.com.cn/" TargetMode="External"/><Relationship Id="rId23" Type="http://schemas.openxmlformats.org/officeDocument/2006/relationships/image" Target="media/image1.jpeg"/><Relationship Id="rId24" Type="http://schemas.openxmlformats.org/officeDocument/2006/relationships/header" Target="header6.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image" Target="media/image4.jpeg"/><Relationship Id="rId28" Type="http://schemas.openxmlformats.org/officeDocument/2006/relationships/header" Target="header7.xml"/><Relationship Id="rId29" Type="http://schemas.openxmlformats.org/officeDocument/2006/relationships/footer" Target="footer9.xml"/><Relationship Id="rId30" Type="http://schemas.openxmlformats.org/officeDocument/2006/relationships/header" Target="header8.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footer" Target="footer15.xml"/><Relationship Id="rId37" Type="http://schemas.openxmlformats.org/officeDocument/2006/relationships/footer" Target="footer16.xml"/><Relationship Id="rId38" Type="http://schemas.openxmlformats.org/officeDocument/2006/relationships/header" Target="header9.xml"/><Relationship Id="rId39" Type="http://schemas.openxmlformats.org/officeDocument/2006/relationships/footer" Target="footer17.xml"/><Relationship Id="rId40" Type="http://schemas.openxmlformats.org/officeDocument/2006/relationships/footer" Target="footer18.xml"/><Relationship Id="rId41" Type="http://schemas.openxmlformats.org/officeDocument/2006/relationships/header" Target="header10.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header" Target="header11.xml"/><Relationship Id="rId45" Type="http://schemas.openxmlformats.org/officeDocument/2006/relationships/footer" Target="footer21.xml"/><Relationship Id="rId46" Type="http://schemas.openxmlformats.org/officeDocument/2006/relationships/footer" Target="footer22.xml"/><Relationship Id="rId47" Type="http://schemas.openxmlformats.org/officeDocument/2006/relationships/header" Target="header12.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header" Target="header13.xml"/><Relationship Id="rId51" Type="http://schemas.openxmlformats.org/officeDocument/2006/relationships/footer" Target="footer25.xml"/><Relationship Id="rId52" Type="http://schemas.openxmlformats.org/officeDocument/2006/relationships/footer" Target="footer2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6.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2020-05-19T22:45:08Z</dcterms:created>
  <dcterms:modified xsi:type="dcterms:W3CDTF">2020-05-19T22:45:08Z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Office Word 2007</vt:lpwstr>
  </property>
  <property fmtid="{D5CDD505-2E9C-101B-9397-08002B2CF9AE}" pid="4" name="LastSaved">
    <vt:filetime>2020-05-19T00:00:00Z</vt:filetime>
  </property>
</Properties>
</file>