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8"/>
          <w:szCs w:val="28"/>
        </w:rPr>
      </w:pPr>
    </w:p>
    <w:p>
      <w:pPr>
        <w:spacing w:line="621" w:lineRule="exact" w:before="0"/>
        <w:ind w:left="1620" w:right="1616" w:firstLine="0"/>
        <w:jc w:val="center"/>
        <w:rPr>
          <w:rFonts w:ascii="黑体" w:hAnsi="黑体" w:cs="黑体" w:eastAsia="黑体" w:hint="default"/>
          <w:sz w:val="52"/>
          <w:szCs w:val="52"/>
        </w:rPr>
      </w:pPr>
      <w:r>
        <w:rPr>
          <w:rFonts w:ascii="黑体" w:hAnsi="黑体" w:cs="黑体" w:eastAsia="黑体" w:hint="default"/>
          <w:b/>
          <w:bCs/>
          <w:sz w:val="52"/>
          <w:szCs w:val="52"/>
        </w:rPr>
        <w:t>福建榕基软件股份有限公司</w:t>
      </w:r>
      <w:r>
        <w:rPr>
          <w:rFonts w:ascii="黑体" w:hAnsi="黑体" w:cs="黑体" w:eastAsia="黑体" w:hint="default"/>
          <w:sz w:val="52"/>
          <w:szCs w:val="52"/>
        </w:rPr>
      </w:r>
    </w:p>
    <w:p>
      <w:pPr>
        <w:spacing w:before="81"/>
        <w:ind w:left="1620" w:right="1620" w:firstLine="0"/>
        <w:jc w:val="center"/>
        <w:rPr>
          <w:rFonts w:ascii="Times New Roman" w:hAnsi="Times New Roman" w:cs="Times New Roman" w:eastAsia="Times New Roman" w:hint="default"/>
          <w:sz w:val="30"/>
          <w:szCs w:val="30"/>
        </w:rPr>
      </w:pPr>
      <w:r>
        <w:rPr>
          <w:rFonts w:ascii="Times New Roman"/>
          <w:b/>
          <w:sz w:val="30"/>
        </w:rPr>
        <w:t>Fujian Rongji Software Co.,</w:t>
      </w:r>
      <w:r>
        <w:rPr>
          <w:rFonts w:ascii="Times New Roman"/>
          <w:b/>
          <w:spacing w:val="-17"/>
          <w:sz w:val="30"/>
        </w:rPr>
        <w:t> </w:t>
      </w:r>
      <w:r>
        <w:rPr>
          <w:rFonts w:ascii="Times New Roman"/>
          <w:b/>
          <w:sz w:val="30"/>
        </w:rPr>
        <w:t>Ltd.</w:t>
      </w:r>
      <w:r>
        <w:rPr>
          <w:rFonts w:ascii="Times New Roman"/>
          <w:sz w:val="30"/>
        </w:rPr>
      </w:r>
    </w:p>
    <w:p>
      <w:pPr>
        <w:spacing w:before="67"/>
        <w:ind w:left="1620" w:right="1620" w:firstLine="0"/>
        <w:jc w:val="center"/>
        <w:rPr>
          <w:rFonts w:ascii="黑体" w:hAnsi="黑体" w:cs="黑体" w:eastAsia="黑体" w:hint="default"/>
          <w:sz w:val="32"/>
          <w:szCs w:val="32"/>
        </w:rPr>
      </w:pPr>
      <w:r>
        <w:rPr>
          <w:rFonts w:ascii="黑体" w:hAnsi="黑体" w:cs="黑体" w:eastAsia="黑体" w:hint="default"/>
          <w:b/>
          <w:bCs/>
          <w:spacing w:val="12"/>
          <w:sz w:val="32"/>
          <w:szCs w:val="32"/>
        </w:rPr>
        <w:t>（福州市鼓楼区铜盘路福州软件园产业基地）</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27"/>
          <w:szCs w:val="27"/>
        </w:rPr>
      </w:pPr>
    </w:p>
    <w:p>
      <w:pPr>
        <w:spacing w:line="1857" w:lineRule="exact"/>
        <w:ind w:left="3949" w:right="0" w:firstLine="0"/>
        <w:rPr>
          <w:rFonts w:ascii="黑体" w:hAnsi="黑体" w:cs="黑体" w:eastAsia="黑体" w:hint="default"/>
          <w:sz w:val="20"/>
          <w:szCs w:val="20"/>
        </w:rPr>
      </w:pPr>
      <w:r>
        <w:rPr>
          <w:rFonts w:ascii="黑体" w:hAnsi="黑体" w:cs="黑体" w:eastAsia="黑体" w:hint="default"/>
          <w:position w:val="-36"/>
          <w:sz w:val="20"/>
          <w:szCs w:val="20"/>
        </w:rPr>
        <w:drawing>
          <wp:inline distT="0" distB="0" distL="0" distR="0">
            <wp:extent cx="1291997" cy="117938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291997" cy="1179385"/>
                    </a:xfrm>
                    <a:prstGeom prst="rect">
                      <a:avLst/>
                    </a:prstGeom>
                  </pic:spPr>
                </pic:pic>
              </a:graphicData>
            </a:graphic>
          </wp:inline>
        </w:drawing>
      </w:r>
      <w:r>
        <w:rPr>
          <w:rFonts w:ascii="黑体" w:hAnsi="黑体" w:cs="黑体" w:eastAsia="黑体" w:hint="default"/>
          <w:position w:val="-36"/>
          <w:sz w:val="20"/>
          <w:szCs w:val="20"/>
        </w:rPr>
      </w: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27"/>
          <w:szCs w:val="27"/>
        </w:rPr>
      </w:pPr>
    </w:p>
    <w:p>
      <w:pPr>
        <w:spacing w:line="874" w:lineRule="exact" w:before="0"/>
        <w:ind w:left="2713" w:right="147" w:firstLine="0"/>
        <w:jc w:val="left"/>
        <w:rPr>
          <w:rFonts w:ascii="黑体" w:hAnsi="黑体" w:cs="黑体" w:eastAsia="黑体" w:hint="default"/>
          <w:sz w:val="72"/>
          <w:szCs w:val="72"/>
        </w:rPr>
      </w:pPr>
      <w:r>
        <w:rPr>
          <w:rFonts w:ascii="Times New Roman" w:hAnsi="Times New Roman" w:cs="Times New Roman" w:eastAsia="Times New Roman" w:hint="default"/>
          <w:b/>
          <w:bCs/>
          <w:sz w:val="72"/>
          <w:szCs w:val="72"/>
        </w:rPr>
        <w:t>2012</w:t>
      </w:r>
      <w:r>
        <w:rPr>
          <w:rFonts w:ascii="Times New Roman" w:hAnsi="Times New Roman" w:cs="Times New Roman" w:eastAsia="Times New Roman" w:hint="default"/>
          <w:b/>
          <w:bCs/>
          <w:spacing w:val="-10"/>
          <w:sz w:val="72"/>
          <w:szCs w:val="72"/>
        </w:rPr>
        <w:t> </w:t>
      </w:r>
      <w:r>
        <w:rPr>
          <w:rFonts w:ascii="黑体" w:hAnsi="黑体" w:cs="黑体" w:eastAsia="黑体" w:hint="default"/>
          <w:b/>
          <w:bCs/>
          <w:spacing w:val="2"/>
          <w:sz w:val="72"/>
          <w:szCs w:val="72"/>
        </w:rPr>
        <w:t>年度报告</w:t>
      </w:r>
      <w:r>
        <w:rPr>
          <w:rFonts w:ascii="黑体" w:hAnsi="黑体" w:cs="黑体" w:eastAsia="黑体" w:hint="default"/>
          <w:sz w:val="72"/>
          <w:szCs w:val="72"/>
        </w:rPr>
      </w: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6"/>
        <w:rPr>
          <w:rFonts w:ascii="黑体" w:hAnsi="黑体" w:cs="黑体" w:eastAsia="黑体" w:hint="default"/>
          <w:b/>
          <w:bCs/>
          <w:sz w:val="61"/>
          <w:szCs w:val="61"/>
        </w:rPr>
      </w:pPr>
    </w:p>
    <w:p>
      <w:pPr>
        <w:spacing w:line="292" w:lineRule="auto" w:before="0"/>
        <w:ind w:left="6028" w:right="147" w:firstLine="38"/>
        <w:jc w:val="left"/>
        <w:rPr>
          <w:rFonts w:ascii="宋体" w:hAnsi="宋体" w:cs="宋体" w:eastAsia="宋体" w:hint="default"/>
          <w:sz w:val="28"/>
          <w:szCs w:val="28"/>
        </w:rPr>
      </w:pPr>
      <w:r>
        <w:rPr>
          <w:rFonts w:ascii="宋体" w:hAnsi="宋体" w:cs="宋体" w:eastAsia="宋体" w:hint="default"/>
          <w:b/>
          <w:bCs/>
          <w:sz w:val="28"/>
          <w:szCs w:val="28"/>
        </w:rPr>
        <w:t>公告编号：</w:t>
      </w:r>
      <w:r>
        <w:rPr>
          <w:rFonts w:ascii="Arial" w:hAnsi="Arial" w:cs="Arial" w:eastAsia="Arial" w:hint="default"/>
          <w:b/>
          <w:bCs/>
          <w:sz w:val="28"/>
          <w:szCs w:val="28"/>
        </w:rPr>
        <w:t>2013-009</w:t>
      </w:r>
      <w:r>
        <w:rPr>
          <w:rFonts w:ascii="Arial" w:hAnsi="Arial" w:cs="Arial" w:eastAsia="Arial" w:hint="default"/>
          <w:b/>
          <w:bCs/>
          <w:w w:val="100"/>
          <w:sz w:val="28"/>
          <w:szCs w:val="28"/>
        </w:rPr>
        <w:t> </w:t>
      </w:r>
      <w:r>
        <w:rPr>
          <w:rFonts w:ascii="宋体" w:hAnsi="宋体" w:cs="宋体" w:eastAsia="宋体" w:hint="default"/>
          <w:b/>
          <w:bCs/>
          <w:sz w:val="28"/>
          <w:szCs w:val="28"/>
        </w:rPr>
        <w:t>证券代码：</w:t>
      </w:r>
      <w:r>
        <w:rPr>
          <w:rFonts w:ascii="Arial" w:hAnsi="Arial" w:cs="Arial" w:eastAsia="Arial" w:hint="default"/>
          <w:b/>
          <w:bCs/>
          <w:sz w:val="28"/>
          <w:szCs w:val="28"/>
        </w:rPr>
        <w:t>002474</w:t>
      </w:r>
      <w:r>
        <w:rPr>
          <w:rFonts w:ascii="Arial" w:hAnsi="Arial" w:cs="Arial" w:eastAsia="Arial" w:hint="default"/>
          <w:b/>
          <w:bCs/>
          <w:w w:val="100"/>
          <w:sz w:val="28"/>
          <w:szCs w:val="28"/>
        </w:rPr>
        <w:t> </w:t>
      </w:r>
      <w:r>
        <w:rPr>
          <w:rFonts w:ascii="宋体" w:hAnsi="宋体" w:cs="宋体" w:eastAsia="宋体" w:hint="default"/>
          <w:b/>
          <w:bCs/>
          <w:sz w:val="28"/>
          <w:szCs w:val="28"/>
        </w:rPr>
        <w:t>证券简称：榕基软件</w:t>
      </w:r>
      <w:r>
        <w:rPr>
          <w:rFonts w:ascii="宋体" w:hAnsi="宋体" w:cs="宋体" w:eastAsia="宋体" w:hint="default"/>
          <w:b/>
          <w:bCs/>
          <w:w w:val="99"/>
          <w:sz w:val="28"/>
          <w:szCs w:val="28"/>
        </w:rPr>
        <w:t> </w:t>
      </w:r>
      <w:r>
        <w:rPr>
          <w:rFonts w:ascii="宋体" w:hAnsi="宋体" w:cs="宋体" w:eastAsia="宋体" w:hint="default"/>
          <w:b/>
          <w:bCs/>
          <w:sz w:val="28"/>
          <w:szCs w:val="28"/>
        </w:rPr>
        <w:t>披露日期：</w:t>
      </w:r>
      <w:r>
        <w:rPr>
          <w:rFonts w:ascii="Arial" w:hAnsi="Arial" w:cs="Arial" w:eastAsia="Arial" w:hint="default"/>
          <w:b/>
          <w:bCs/>
          <w:sz w:val="28"/>
          <w:szCs w:val="28"/>
        </w:rPr>
        <w:t>2013</w:t>
      </w:r>
      <w:r>
        <w:rPr>
          <w:rFonts w:ascii="Arial" w:hAnsi="Arial" w:cs="Arial" w:eastAsia="Arial" w:hint="default"/>
          <w:b/>
          <w:bCs/>
          <w:spacing w:val="-9"/>
          <w:sz w:val="28"/>
          <w:szCs w:val="28"/>
        </w:rPr>
        <w:t> </w:t>
      </w:r>
      <w:r>
        <w:rPr>
          <w:rFonts w:ascii="宋体" w:hAnsi="宋体" w:cs="宋体" w:eastAsia="宋体" w:hint="default"/>
          <w:b/>
          <w:bCs/>
          <w:sz w:val="28"/>
          <w:szCs w:val="28"/>
        </w:rPr>
        <w:t>年</w:t>
      </w:r>
      <w:r>
        <w:rPr>
          <w:rFonts w:ascii="宋体" w:hAnsi="宋体" w:cs="宋体" w:eastAsia="宋体" w:hint="default"/>
          <w:b/>
          <w:bCs/>
          <w:spacing w:val="-72"/>
          <w:sz w:val="28"/>
          <w:szCs w:val="28"/>
        </w:rPr>
        <w:t> </w:t>
      </w:r>
      <w:r>
        <w:rPr>
          <w:rFonts w:ascii="Arial" w:hAnsi="Arial" w:cs="Arial" w:eastAsia="Arial" w:hint="default"/>
          <w:b/>
          <w:bCs/>
          <w:sz w:val="28"/>
          <w:szCs w:val="28"/>
        </w:rPr>
        <w:t>3</w:t>
      </w:r>
      <w:r>
        <w:rPr>
          <w:rFonts w:ascii="Arial" w:hAnsi="Arial" w:cs="Arial" w:eastAsia="Arial" w:hint="default"/>
          <w:b/>
          <w:bCs/>
          <w:spacing w:val="-9"/>
          <w:sz w:val="28"/>
          <w:szCs w:val="28"/>
        </w:rPr>
        <w:t> </w:t>
      </w:r>
      <w:r>
        <w:rPr>
          <w:rFonts w:ascii="宋体" w:hAnsi="宋体" w:cs="宋体" w:eastAsia="宋体" w:hint="default"/>
          <w:b/>
          <w:bCs/>
          <w:sz w:val="28"/>
          <w:szCs w:val="28"/>
        </w:rPr>
        <w:t>月</w:t>
      </w:r>
      <w:r>
        <w:rPr>
          <w:rFonts w:ascii="宋体" w:hAnsi="宋体" w:cs="宋体" w:eastAsia="宋体" w:hint="default"/>
          <w:b/>
          <w:bCs/>
          <w:spacing w:val="-70"/>
          <w:sz w:val="28"/>
          <w:szCs w:val="28"/>
        </w:rPr>
        <w:t> </w:t>
      </w:r>
      <w:r>
        <w:rPr>
          <w:rFonts w:ascii="Arial" w:hAnsi="Arial" w:cs="Arial" w:eastAsia="Arial" w:hint="default"/>
          <w:b/>
          <w:bCs/>
          <w:sz w:val="28"/>
          <w:szCs w:val="28"/>
        </w:rPr>
        <w:t>20</w:t>
      </w:r>
      <w:r>
        <w:rPr>
          <w:rFonts w:ascii="Arial" w:hAnsi="Arial" w:cs="Arial" w:eastAsia="Arial" w:hint="default"/>
          <w:b/>
          <w:bCs/>
          <w:spacing w:val="-9"/>
          <w:sz w:val="28"/>
          <w:szCs w:val="28"/>
        </w:rPr>
        <w:t> </w:t>
      </w:r>
      <w:r>
        <w:rPr>
          <w:rFonts w:ascii="宋体" w:hAnsi="宋体" w:cs="宋体" w:eastAsia="宋体" w:hint="default"/>
          <w:b/>
          <w:bCs/>
          <w:sz w:val="28"/>
          <w:szCs w:val="28"/>
        </w:rPr>
        <w:t>日</w:t>
      </w:r>
      <w:r>
        <w:rPr>
          <w:rFonts w:ascii="宋体" w:hAnsi="宋体" w:cs="宋体" w:eastAsia="宋体" w:hint="default"/>
          <w:sz w:val="28"/>
          <w:szCs w:val="28"/>
        </w:rPr>
      </w:r>
    </w:p>
    <w:p>
      <w:pPr>
        <w:spacing w:after="0" w:line="292" w:lineRule="auto"/>
        <w:jc w:val="left"/>
        <w:rPr>
          <w:rFonts w:ascii="宋体" w:hAnsi="宋体" w:cs="宋体" w:eastAsia="宋体" w:hint="default"/>
          <w:sz w:val="28"/>
          <w:szCs w:val="28"/>
        </w:rPr>
        <w:sectPr>
          <w:headerReference w:type="default" r:id="rId5"/>
          <w:footerReference w:type="default" r:id="rId6"/>
          <w:type w:val="continuous"/>
          <w:pgSz w:w="11910" w:h="16840"/>
          <w:pgMar w:header="745" w:footer="982" w:top="106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46"/>
        <w:ind w:left="2802" w:right="147"/>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7"/>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7"/>
        <w:ind w:left="152" w:right="151"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spacing w:val="2"/>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0"/>
        <w:ind w:left="152" w:right="153"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公司负责人鲁峰、主管会计工作负责人侯伟及会计机构负责人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镇千金声明：保证年度报告中财务报告的真实、准确、完整。</w:t>
      </w:r>
      <w:r>
        <w:rPr>
          <w:rFonts w:ascii="宋体" w:hAnsi="宋体" w:cs="宋体" w:eastAsia="宋体" w:hint="default"/>
          <w:sz w:val="28"/>
          <w:szCs w:val="28"/>
        </w:rPr>
      </w:r>
    </w:p>
    <w:p>
      <w:pPr>
        <w:spacing w:line="475" w:lineRule="auto" w:before="148"/>
        <w:ind w:left="714" w:right="147"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年</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0" w:lineRule="exact" w:before="0"/>
        <w:ind w:left="152" w:right="0" w:firstLine="0"/>
        <w:jc w:val="left"/>
        <w:rPr>
          <w:rFonts w:ascii="Times New Roman" w:hAnsi="Times New Roman" w:cs="Times New Roman" w:eastAsia="Times New Roman" w:hint="default"/>
          <w:sz w:val="28"/>
          <w:szCs w:val="28"/>
        </w:rPr>
      </w:pPr>
      <w:r>
        <w:rPr>
          <w:rFonts w:ascii="宋体" w:hAnsi="宋体" w:cs="宋体" w:eastAsia="宋体" w:hint="default"/>
          <w:b/>
          <w:bCs/>
          <w:w w:val="99"/>
          <w:sz w:val="28"/>
          <w:szCs w:val="28"/>
        </w:rPr>
        <w:t>司总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本为基数，向全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26"/>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7"/>
          <w:sz w:val="28"/>
          <w:szCs w:val="28"/>
        </w:rPr>
        <w:t> </w:t>
      </w:r>
      <w:r>
        <w:rPr>
          <w:rFonts w:ascii="宋体" w:hAnsi="宋体" w:cs="宋体" w:eastAsia="宋体" w:hint="default"/>
          <w:b/>
          <w:bCs/>
          <w:w w:val="99"/>
          <w:sz w:val="28"/>
          <w:szCs w:val="28"/>
        </w:rPr>
        <w:t>股派</w:t>
      </w:r>
      <w:r>
        <w:rPr>
          <w:rFonts w:ascii="宋体" w:hAnsi="宋体" w:cs="宋体" w:eastAsia="宋体" w:hint="default"/>
          <w:b/>
          <w:bCs/>
          <w:spacing w:val="2"/>
          <w:w w:val="99"/>
          <w:sz w:val="28"/>
          <w:szCs w:val="28"/>
        </w:rPr>
        <w:t>发</w:t>
      </w:r>
      <w:r>
        <w:rPr>
          <w:rFonts w:ascii="宋体" w:hAnsi="宋体" w:cs="宋体" w:eastAsia="宋体" w:hint="default"/>
          <w:b/>
          <w:bCs/>
          <w:w w:val="99"/>
          <w:sz w:val="28"/>
          <w:szCs w:val="28"/>
        </w:rPr>
        <w:t>现金红利</w:t>
      </w:r>
      <w:r>
        <w:rPr>
          <w:rFonts w:ascii="宋体" w:hAnsi="宋体" w:cs="宋体" w:eastAsia="宋体" w:hint="default"/>
          <w:b/>
          <w:bCs/>
          <w:spacing w:val="-27"/>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2"/>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26"/>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w w:val="100"/>
          <w:sz w:val="28"/>
          <w:szCs w:val="28"/>
        </w:rPr>
      </w:r>
    </w:p>
    <w:p>
      <w:pPr>
        <w:spacing w:line="446" w:lineRule="auto" w:before="236"/>
        <w:ind w:left="714" w:right="147" w:hanging="562"/>
        <w:jc w:val="left"/>
        <w:rPr>
          <w:rFonts w:ascii="宋体" w:hAnsi="宋体" w:cs="宋体" w:eastAsia="宋体" w:hint="default"/>
          <w:sz w:val="28"/>
          <w:szCs w:val="28"/>
        </w:rPr>
      </w:pPr>
      <w:r>
        <w:rPr>
          <w:rFonts w:ascii="宋体" w:hAnsi="宋体" w:cs="宋体" w:eastAsia="宋体" w:hint="default"/>
          <w:b/>
          <w:bCs/>
          <w:spacing w:val="-8"/>
          <w:w w:val="99"/>
          <w:sz w:val="28"/>
          <w:szCs w:val="28"/>
        </w:rPr>
        <w:t>股（含税），以资本公积金向全体股东每</w:t>
      </w:r>
      <w:r>
        <w:rPr>
          <w:rFonts w:ascii="宋体" w:hAnsi="宋体" w:cs="宋体" w:eastAsia="宋体" w:hint="default"/>
          <w:b/>
          <w:bCs/>
          <w:spacing w:val="-70"/>
          <w:w w:val="99"/>
          <w:sz w:val="28"/>
          <w:szCs w:val="28"/>
        </w:rPr>
        <w:t> </w:t>
      </w:r>
      <w:r>
        <w:rPr>
          <w:rFonts w:ascii="Times New Roman" w:hAnsi="Times New Roman" w:cs="Times New Roman" w:eastAsia="Times New Roman" w:hint="default"/>
          <w:b/>
          <w:bCs/>
          <w:spacing w:val="-1"/>
          <w:w w:val="100"/>
          <w:sz w:val="28"/>
          <w:szCs w:val="28"/>
        </w:rPr>
        <w:t>10</w:t>
      </w:r>
      <w:r>
        <w:rPr>
          <w:rFonts w:ascii="Times New Roman" w:hAnsi="Times New Roman" w:cs="Times New Roman" w:eastAsia="Times New Roman" w:hint="default"/>
          <w:b/>
          <w:bCs/>
          <w:w w:val="100"/>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70"/>
          <w:w w:val="99"/>
          <w:sz w:val="28"/>
          <w:szCs w:val="28"/>
        </w:rPr>
        <w:t> </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pacing w:val="-2"/>
          <w:w w:val="100"/>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134"/>
          <w:w w:val="99"/>
          <w:sz w:val="28"/>
          <w:szCs w:val="28"/>
        </w:rPr>
        <w:t> </w:t>
      </w:r>
      <w:r>
        <w:rPr>
          <w:rFonts w:ascii="宋体" w:hAnsi="宋体" w:cs="宋体" w:eastAsia="宋体" w:hint="default"/>
          <w:b/>
          <w:bCs/>
          <w:spacing w:val="2"/>
          <w:sz w:val="28"/>
          <w:szCs w:val="28"/>
        </w:rPr>
        <w:t>本报告中涉及未来发展规划等事项的前瞻性陈述，不构成公司对投资者的</w:t>
      </w:r>
      <w:r>
        <w:rPr>
          <w:rFonts w:ascii="宋体" w:hAnsi="宋体" w:cs="宋体" w:eastAsia="宋体" w:hint="default"/>
          <w:spacing w:val="2"/>
          <w:sz w:val="28"/>
          <w:szCs w:val="28"/>
        </w:rPr>
      </w:r>
    </w:p>
    <w:p>
      <w:pPr>
        <w:spacing w:before="16"/>
        <w:ind w:left="152" w:right="147" w:firstLine="0"/>
        <w:jc w:val="left"/>
        <w:rPr>
          <w:rFonts w:ascii="宋体" w:hAnsi="宋体" w:cs="宋体" w:eastAsia="宋体" w:hint="default"/>
          <w:sz w:val="28"/>
          <w:szCs w:val="28"/>
        </w:rPr>
      </w:pPr>
      <w:r>
        <w:rPr>
          <w:rFonts w:ascii="宋体" w:hAnsi="宋体" w:cs="宋体" w:eastAsia="宋体" w:hint="default"/>
          <w:b/>
          <w:bCs/>
          <w:sz w:val="28"/>
          <w:szCs w:val="28"/>
        </w:rPr>
        <w:t>实质承诺，请投资者注意投资风险。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2" w:header="745" w:top="1060" w:bottom="118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spacing w:line="460" w:lineRule="exact" w:before="0"/>
        <w:ind w:left="1620" w:right="162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71" w:val="right" w:leader="dot"/>
            </w:tabs>
            <w:spacing w:line="240" w:lineRule="auto" w:before="0"/>
            <w:ind w:left="152" w:right="0"/>
            <w:jc w:val="left"/>
            <w:rPr>
              <w:rFonts w:ascii="Times New Roman" w:hAnsi="Times New Roman" w:cs="Times New Roman" w:eastAsia="Times New Roman" w:hint="default"/>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69" w:val="right" w:leader="dot"/>
            </w:tabs>
            <w:spacing w:line="240" w:lineRule="auto"/>
            <w:ind w:left="152" w:right="0"/>
            <w:jc w:val="left"/>
            <w:rPr>
              <w:rFonts w:ascii="Times New Roman" w:hAnsi="Times New Roman" w:cs="Times New Roman" w:eastAsia="Times New Roman" w:hint="default"/>
            </w:rPr>
          </w:pPr>
          <w:hyperlink w:history="true" w:anchor="_bookmark1">
            <w:r>
              <w:rPr/>
              <w:t>第二节</w:t>
            </w:r>
            <w:r>
              <w:rPr>
                <w:spacing w:val="1"/>
              </w:rPr>
              <w:t> </w:t>
            </w:r>
            <w:r>
              <w:rPr/>
              <w:t>公司简介</w:t>
            </w:r>
            <w:r>
              <w:rPr>
                <w:rFonts w:ascii="Times New Roman" w:hAnsi="Times New Roman" w:cs="Times New Roman" w:eastAsia="Times New Roman" w:hint="default"/>
              </w:rPr>
              <w:tab/>
              <w:t>7</w:t>
            </w:r>
          </w:hyperlink>
        </w:p>
        <w:p>
          <w:pPr>
            <w:pStyle w:val="TOC1"/>
            <w:tabs>
              <w:tab w:pos="9771" w:val="right" w:leader="dot"/>
            </w:tabs>
            <w:spacing w:line="240" w:lineRule="auto" w:before="101"/>
            <w:ind w:left="152" w:right="0"/>
            <w:jc w:val="left"/>
            <w:rPr>
              <w:rFonts w:ascii="Times New Roman" w:hAnsi="Times New Roman" w:cs="Times New Roman" w:eastAsia="Times New Roman" w:hint="default"/>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9</w:t>
            </w:r>
          </w:hyperlink>
        </w:p>
        <w:p>
          <w:pPr>
            <w:pStyle w:val="TOC1"/>
            <w:tabs>
              <w:tab w:pos="9777" w:val="right" w:leader="dot"/>
            </w:tabs>
            <w:spacing w:line="240" w:lineRule="auto"/>
            <w:ind w:left="152" w:right="0"/>
            <w:jc w:val="left"/>
            <w:rPr>
              <w:rFonts w:ascii="Times New Roman" w:hAnsi="Times New Roman" w:cs="Times New Roman" w:eastAsia="Times New Roman" w:hint="default"/>
            </w:rPr>
          </w:pPr>
          <w:hyperlink w:history="true" w:anchor="_bookmark3">
            <w:r>
              <w:rPr/>
              <w:t>第四节</w:t>
            </w:r>
            <w:r>
              <w:rPr>
                <w:spacing w:val="1"/>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6"/>
              </w:rPr>
              <w:t>11</w:t>
            </w:r>
            <w:r>
              <w:rPr>
                <w:rFonts w:ascii="Times New Roman" w:hAnsi="Times New Roman" w:cs="Times New Roman" w:eastAsia="Times New Roman" w:hint="default"/>
              </w:rPr>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30</w:t>
            </w:r>
          </w:hyperlink>
        </w:p>
        <w:p>
          <w:pPr>
            <w:pStyle w:val="TOC1"/>
            <w:tabs>
              <w:tab w:pos="9784" w:val="right" w:leader="dot"/>
            </w:tabs>
            <w:spacing w:line="240" w:lineRule="auto" w:before="101"/>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36</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41</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公司治理</w:t>
            </w:r>
            <w:r>
              <w:rPr>
                <w:rFonts w:ascii="Times New Roman" w:hAnsi="Times New Roman" w:cs="Times New Roman" w:eastAsia="Times New Roman" w:hint="default"/>
              </w:rPr>
              <w:tab/>
              <w:t>48</w:t>
            </w:r>
          </w:hyperlink>
        </w:p>
        <w:p>
          <w:pPr>
            <w:pStyle w:val="TOC1"/>
            <w:tabs>
              <w:tab w:pos="9784" w:val="right" w:leader="dot"/>
            </w:tabs>
            <w:spacing w:line="240" w:lineRule="auto" w:before="101"/>
            <w:ind w:right="0"/>
            <w:jc w:val="left"/>
            <w:rPr>
              <w:rFonts w:ascii="Times New Roman" w:hAnsi="Times New Roman" w:cs="Times New Roman" w:eastAsia="Times New Roman" w:hint="default"/>
            </w:rPr>
          </w:pPr>
          <w:hyperlink w:history="true" w:anchor="_bookmark8">
            <w:r>
              <w:rPr/>
              <w:t>第九节</w:t>
            </w:r>
            <w:r>
              <w:rPr>
                <w:spacing w:val="1"/>
              </w:rPr>
              <w:t> </w:t>
            </w:r>
            <w:r>
              <w:rPr/>
              <w:t>内部控制</w:t>
            </w:r>
            <w:r>
              <w:rPr>
                <w:rFonts w:ascii="Times New Roman" w:hAnsi="Times New Roman" w:cs="Times New Roman" w:eastAsia="Times New Roman" w:hint="default"/>
              </w:rPr>
              <w:tab/>
              <w:t>55</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财务报告</w:t>
            </w:r>
            <w:r>
              <w:rPr>
                <w:rFonts w:ascii="Times New Roman" w:hAnsi="Times New Roman" w:cs="Times New Roman" w:eastAsia="Times New Roman" w:hint="default"/>
              </w:rPr>
              <w:tab/>
              <w:t>57</w:t>
            </w:r>
          </w:hyperlink>
        </w:p>
        <w:p>
          <w:pPr>
            <w:pStyle w:val="TOC1"/>
            <w:tabs>
              <w:tab w:pos="9784" w:val="right" w:leader="dot"/>
            </w:tabs>
            <w:spacing w:line="240" w:lineRule="auto"/>
            <w:ind w:right="0"/>
            <w:jc w:val="left"/>
            <w:rPr>
              <w:rFonts w:ascii="Times New Roman" w:hAnsi="Times New Roman" w:cs="Times New Roman" w:eastAsia="Times New Roman" w:hint="default"/>
            </w:rPr>
          </w:pPr>
          <w:r>
            <w:rPr/>
            <w:t>第十一节</w:t>
          </w:r>
          <w:r>
            <w:rPr>
              <w:spacing w:val="1"/>
            </w:rPr>
            <w:t> </w:t>
          </w:r>
          <w:r>
            <w:rPr/>
            <w:t>备查文件目录</w:t>
          </w:r>
          <w:r>
            <w:rPr>
              <w:rFonts w:ascii="Times New Roman" w:hAnsi="Times New Roman" w:cs="Times New Roman" w:eastAsia="Times New Roman" w:hint="default"/>
            </w:rPr>
            <w:tab/>
            <w:t>139</w:t>
          </w:r>
        </w:p>
      </w:sdtContent>
    </w:sdt>
    <w:p>
      <w:pPr>
        <w:spacing w:after="0" w:line="240" w:lineRule="auto"/>
        <w:jc w:val="left"/>
        <w:rPr>
          <w:rFonts w:ascii="Times New Roman" w:hAnsi="Times New Roman" w:cs="Times New Roman" w:eastAsia="Times New Roman" w:hint="default"/>
        </w:rPr>
        <w:sectPr>
          <w:pgSz w:w="11910" w:h="16840"/>
          <w:pgMar w:header="745" w:footer="982" w:top="1060" w:bottom="1180" w:left="980" w:right="980"/>
        </w:sectPr>
      </w:pPr>
    </w:p>
    <w:p>
      <w:pPr>
        <w:spacing w:before="944"/>
        <w:ind w:left="1618" w:right="162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0"/>
          <w:szCs w:val="20"/>
        </w:rPr>
      </w:pPr>
    </w:p>
    <w:p>
      <w:pPr>
        <w:pStyle w:val="BodyText"/>
        <w:spacing w:line="240" w:lineRule="auto"/>
        <w:ind w:left="0" w:right="160"/>
        <w:jc w:val="right"/>
      </w:pPr>
      <w:r>
        <w:rPr/>
        <w:pict>
          <v:shape style="position:absolute;margin-left:56.400002pt;margin-top:-371.328278pt;width:479.2pt;height:594.2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5"/>
                    <w:gridCol w:w="599"/>
                    <w:gridCol w:w="5435"/>
                  </w:tblGrid>
                  <w:tr>
                    <w:trPr>
                      <w:trHeight w:val="403" w:hRule="exact"/>
                    </w:trPr>
                    <w:tc>
                      <w:tcPr>
                        <w:tcW w:w="3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公司、本公司、榕基软件</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上海榕基</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创华公司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福州创华电气自动化有限公司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浙江榕基</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五一公司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榕基五一（北京）信息技术有限公司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河南榕基</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河南榕基信息技术有限公司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中榕基公司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北京中榕基信息技术有限公司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马鞍山榕基</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马鞍山榕基软件信息科技有限公司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福建榕基投资有限公司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亿榕信息</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福建证监局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中国证券监督管理委员会福建监管局</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公司主营业务领域、四大业务领域</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电子政务、信息安全、质检三电工程、协同管理等</w:t>
                        </w:r>
                      </w:p>
                    </w:tc>
                  </w:tr>
                  <w:tr>
                    <w:trPr>
                      <w:trHeight w:val="629" w:hRule="exact"/>
                    </w:trPr>
                    <w:tc>
                      <w:tcPr>
                        <w:tcW w:w="3535" w:type="dxa"/>
                        <w:vMerge w:val="restart"/>
                        <w:tcBorders>
                          <w:top w:val="single" w:sz="4" w:space="0" w:color="000000"/>
                          <w:left w:val="single" w:sz="4" w:space="0" w:color="000000"/>
                          <w:right w:val="single" w:sz="9"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316" w:lineRule="auto" w:before="49"/>
                          <w:ind w:left="28" w:right="19"/>
                          <w:jc w:val="left"/>
                          <w:rPr>
                            <w:rFonts w:ascii="宋体" w:hAnsi="宋体" w:cs="宋体" w:eastAsia="宋体" w:hint="default"/>
                            <w:sz w:val="18"/>
                            <w:szCs w:val="18"/>
                          </w:rPr>
                        </w:pPr>
                        <w:r>
                          <w:rPr>
                            <w:rFonts w:ascii="宋体" w:hAnsi="宋体" w:cs="宋体" w:eastAsia="宋体" w:hint="default"/>
                            <w:spacing w:val="-2"/>
                            <w:sz w:val="18"/>
                            <w:szCs w:val="18"/>
                          </w:rPr>
                          <w:t>公共管理组织在政务活动中，综合运用现代信息技术，实现服务职能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和管理职能重组优化的运作模式。电子政务有狭义和广义之分。狭义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的电子政务专指政府部门的管理和服务，广义的电子政务包括各类行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政管理活动，例如电子政府（狭义电子政务）、电子党务、电子政协</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电子人大</w:t>
                        </w:r>
                      </w:p>
                    </w:tc>
                  </w:tr>
                  <w:tr>
                    <w:trPr>
                      <w:trHeight w:val="394" w:hRule="exact"/>
                    </w:trPr>
                    <w:tc>
                      <w:tcPr>
                        <w:tcW w:w="3535" w:type="dxa"/>
                        <w:vMerge/>
                        <w:tcBorders>
                          <w:left w:val="single" w:sz="4" w:space="0" w:color="000000"/>
                          <w:right w:val="single" w:sz="9" w:space="0" w:color="D4D4D4"/>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629" w:hRule="exact"/>
                    </w:trPr>
                    <w:tc>
                      <w:tcPr>
                        <w:tcW w:w="3535" w:type="dxa"/>
                        <w:vMerge/>
                        <w:tcBorders>
                          <w:left w:val="single" w:sz="4" w:space="0" w:color="000000"/>
                          <w:bottom w:val="single" w:sz="4" w:space="0" w:color="000000"/>
                          <w:right w:val="single" w:sz="9" w:space="0" w:color="D4D4D4"/>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金环工程</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国家环保部提高环境保护监管和综合决策能力的重要的信息化工程</w:t>
                        </w:r>
                      </w:p>
                    </w:tc>
                  </w:tr>
                  <w:tr>
                    <w:trPr>
                      <w:trHeight w:val="161" w:hRule="exact"/>
                    </w:trPr>
                    <w:tc>
                      <w:tcPr>
                        <w:tcW w:w="3535" w:type="dxa"/>
                        <w:vMerge w:val="restart"/>
                        <w:tcBorders>
                          <w:top w:val="single" w:sz="4" w:space="0" w:color="000000"/>
                          <w:left w:val="single" w:sz="4" w:space="0" w:color="000000"/>
                          <w:right w:val="single" w:sz="9" w:space="0" w:color="D4D4D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天平工程</w:t>
                        </w:r>
                      </w:p>
                    </w:tc>
                    <w:tc>
                      <w:tcPr>
                        <w:tcW w:w="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300" w:lineRule="auto" w:before="49"/>
                          <w:ind w:left="28" w:right="187"/>
                          <w:jc w:val="left"/>
                          <w:rPr>
                            <w:rFonts w:ascii="宋体" w:hAnsi="宋体" w:cs="宋体" w:eastAsia="宋体" w:hint="default"/>
                            <w:sz w:val="18"/>
                            <w:szCs w:val="18"/>
                          </w:rPr>
                        </w:pPr>
                        <w:r>
                          <w:rPr>
                            <w:rFonts w:ascii="宋体" w:hAnsi="宋体" w:cs="宋体" w:eastAsia="宋体" w:hint="default"/>
                            <w:sz w:val="18"/>
                            <w:szCs w:val="18"/>
                          </w:rPr>
                          <w:t>最高人民法院在</w:t>
                        </w:r>
                        <w:r>
                          <w:rPr>
                            <w:rFonts w:ascii="Times New Roman" w:hAnsi="Times New Roman" w:cs="Times New Roman" w:eastAsia="Times New Roman" w:hint="default"/>
                            <w:sz w:val="18"/>
                            <w:szCs w:val="18"/>
                          </w:rPr>
                          <w:t>“</w:t>
                        </w:r>
                        <w:r>
                          <w:rPr>
                            <w:rFonts w:ascii="宋体" w:hAnsi="宋体" w:cs="宋体" w:eastAsia="宋体" w:hint="default"/>
                            <w:sz w:val="18"/>
                            <w:szCs w:val="18"/>
                          </w:rPr>
                          <w:t>十二五</w:t>
                        </w:r>
                        <w:r>
                          <w:rPr>
                            <w:rFonts w:ascii="Times New Roman" w:hAnsi="Times New Roman" w:cs="Times New Roman" w:eastAsia="Times New Roman" w:hint="default"/>
                            <w:sz w:val="18"/>
                            <w:szCs w:val="18"/>
                          </w:rPr>
                          <w:t>”</w:t>
                        </w:r>
                        <w:r>
                          <w:rPr>
                            <w:rFonts w:ascii="宋体" w:hAnsi="宋体" w:cs="宋体" w:eastAsia="宋体" w:hint="default"/>
                            <w:sz w:val="18"/>
                            <w:szCs w:val="18"/>
                          </w:rPr>
                          <w:t>期间，推进全国法院信息化建设的重大举 措，是国家电子政务重点业务信息系统建设项目</w:t>
                        </w:r>
                      </w:p>
                    </w:tc>
                  </w:tr>
                  <w:tr>
                    <w:trPr>
                      <w:trHeight w:val="394" w:hRule="exact"/>
                    </w:trPr>
                    <w:tc>
                      <w:tcPr>
                        <w:tcW w:w="3535" w:type="dxa"/>
                        <w:vMerge/>
                        <w:tcBorders>
                          <w:left w:val="single" w:sz="4" w:space="0" w:color="000000"/>
                          <w:right w:val="single" w:sz="9" w:space="0" w:color="D4D4D4"/>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161" w:hRule="exact"/>
                    </w:trPr>
                    <w:tc>
                      <w:tcPr>
                        <w:tcW w:w="3535" w:type="dxa"/>
                        <w:vMerge/>
                        <w:tcBorders>
                          <w:left w:val="single" w:sz="4" w:space="0" w:color="000000"/>
                          <w:bottom w:val="single" w:sz="4" w:space="0" w:color="000000"/>
                          <w:right w:val="single" w:sz="9" w:space="0" w:color="D4D4D4"/>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r>
                    <w:trPr>
                      <w:trHeight w:val="473" w:hRule="exact"/>
                    </w:trPr>
                    <w:tc>
                      <w:tcPr>
                        <w:tcW w:w="3535" w:type="dxa"/>
                        <w:vMerge w:val="restart"/>
                        <w:tcBorders>
                          <w:top w:val="single" w:sz="4" w:space="0" w:color="000000"/>
                          <w:left w:val="single" w:sz="4" w:space="0" w:color="000000"/>
                          <w:right w:val="single" w:sz="9"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金质工程</w:t>
                        </w:r>
                      </w:p>
                    </w:tc>
                    <w:tc>
                      <w:tcPr>
                        <w:tcW w:w="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312" w:lineRule="auto" w:before="49"/>
                          <w:ind w:left="28" w:right="-10"/>
                          <w:jc w:val="both"/>
                          <w:rPr>
                            <w:rFonts w:ascii="宋体" w:hAnsi="宋体" w:cs="宋体" w:eastAsia="宋体" w:hint="default"/>
                            <w:sz w:val="18"/>
                            <w:szCs w:val="18"/>
                          </w:rPr>
                        </w:pPr>
                        <w:r>
                          <w:rPr>
                            <w:rFonts w:ascii="宋体" w:hAnsi="宋体" w:cs="宋体" w:eastAsia="宋体" w:hint="default"/>
                            <w:sz w:val="18"/>
                            <w:szCs w:val="18"/>
                          </w:rPr>
                          <w:t>质量监督检验检疫信息化工程，国家电子政务建设的重要组成部分。 </w:t>
                        </w:r>
                        <w:r>
                          <w:rPr>
                            <w:rFonts w:ascii="Times New Roman" w:hAnsi="Times New Roman" w:cs="Times New Roman" w:eastAsia="Times New Roman" w:hint="default"/>
                            <w:sz w:val="18"/>
                            <w:szCs w:val="18"/>
                          </w:rPr>
                          <w:t>“</w:t>
                        </w:r>
                        <w:r>
                          <w:rPr>
                            <w:rFonts w:ascii="宋体" w:hAnsi="宋体" w:cs="宋体" w:eastAsia="宋体" w:hint="default"/>
                            <w:sz w:val="18"/>
                            <w:szCs w:val="18"/>
                          </w:rPr>
                          <w:t>金质工程</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的建设促进了各级质检机关向管理服务型转变，形成全国 统一的质检网络，促进质检系统执法电子化、信息化，为生产企业和 进出口企业带来更大的方便与效益</w:t>
                        </w:r>
                      </w:p>
                    </w:tc>
                  </w:tr>
                  <w:tr>
                    <w:trPr>
                      <w:trHeight w:val="391" w:hRule="exact"/>
                    </w:trPr>
                    <w:tc>
                      <w:tcPr>
                        <w:tcW w:w="3535" w:type="dxa"/>
                        <w:vMerge/>
                        <w:tcBorders>
                          <w:left w:val="single" w:sz="4" w:space="0" w:color="000000"/>
                          <w:right w:val="single" w:sz="9" w:space="0" w:color="D4D4D4"/>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473" w:hRule="exact"/>
                    </w:trPr>
                    <w:tc>
                      <w:tcPr>
                        <w:tcW w:w="3535" w:type="dxa"/>
                        <w:vMerge/>
                        <w:tcBorders>
                          <w:left w:val="single" w:sz="4" w:space="0" w:color="000000"/>
                          <w:bottom w:val="single" w:sz="4" w:space="0" w:color="000000"/>
                          <w:right w:val="single" w:sz="9" w:space="0" w:color="D4D4D4"/>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r>
                    <w:trPr>
                      <w:trHeight w:val="473" w:hRule="exact"/>
                    </w:trPr>
                    <w:tc>
                      <w:tcPr>
                        <w:tcW w:w="3535" w:type="dxa"/>
                        <w:vMerge w:val="restart"/>
                        <w:tcBorders>
                          <w:top w:val="single" w:sz="4" w:space="0" w:color="000000"/>
                          <w:left w:val="single" w:sz="4" w:space="0" w:color="000000"/>
                          <w:right w:val="single" w:sz="9"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中国电子检验检疫主干系统</w:t>
                        </w:r>
                      </w:p>
                    </w:tc>
                    <w:tc>
                      <w:tcPr>
                        <w:tcW w:w="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312" w:lineRule="auto" w:before="49"/>
                          <w:ind w:left="28" w:right="19"/>
                          <w:jc w:val="left"/>
                          <w:rPr>
                            <w:rFonts w:ascii="宋体" w:hAnsi="宋体" w:cs="宋体" w:eastAsia="宋体" w:hint="default"/>
                            <w:sz w:val="18"/>
                            <w:szCs w:val="18"/>
                          </w:rPr>
                        </w:pPr>
                        <w:r>
                          <w:rPr>
                            <w:rFonts w:ascii="宋体" w:hAnsi="宋体" w:cs="宋体" w:eastAsia="宋体" w:hint="default"/>
                            <w:sz w:val="18"/>
                            <w:szCs w:val="18"/>
                          </w:rPr>
                          <w:t>中国电子检验检疫在全国范围的信息化平台及应用系统；进一步完 善、整合和推广中国电子检验检疫</w:t>
                        </w:r>
                        <w:r>
                          <w:rPr>
                            <w:rFonts w:ascii="Times New Roman" w:hAnsi="Times New Roman" w:cs="Times New Roman" w:eastAsia="Times New Roman" w:hint="default"/>
                            <w:sz w:val="18"/>
                            <w:szCs w:val="18"/>
                          </w:rPr>
                          <w:t>“</w:t>
                        </w:r>
                        <w:r>
                          <w:rPr>
                            <w:rFonts w:ascii="宋体" w:hAnsi="宋体" w:cs="宋体" w:eastAsia="宋体" w:hint="default"/>
                            <w:sz w:val="18"/>
                            <w:szCs w:val="18"/>
                          </w:rPr>
                          <w:t>十一五</w:t>
                        </w:r>
                        <w:r>
                          <w:rPr>
                            <w:rFonts w:ascii="Times New Roman" w:hAnsi="Times New Roman" w:cs="Times New Roman" w:eastAsia="Times New Roman" w:hint="default"/>
                            <w:sz w:val="18"/>
                            <w:szCs w:val="18"/>
                          </w:rPr>
                          <w:t>”</w:t>
                        </w:r>
                        <w:r>
                          <w:rPr>
                            <w:rFonts w:ascii="宋体" w:hAnsi="宋体" w:cs="宋体" w:eastAsia="宋体" w:hint="default"/>
                            <w:sz w:val="18"/>
                            <w:szCs w:val="18"/>
                          </w:rPr>
                          <w:t>时期建成的各项信息化应 </w:t>
                        </w:r>
                        <w:r>
                          <w:rPr>
                            <w:rFonts w:ascii="宋体" w:hAnsi="宋体" w:cs="宋体" w:eastAsia="宋体" w:hint="default"/>
                            <w:spacing w:val="-2"/>
                            <w:sz w:val="18"/>
                            <w:szCs w:val="18"/>
                          </w:rPr>
                          <w:t>用而建成高速、泛在的信息基础云设施、实现数据大集中、应用大集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中、支撑平台大集中的项目</w:t>
                        </w:r>
                      </w:p>
                    </w:tc>
                  </w:tr>
                  <w:tr>
                    <w:trPr>
                      <w:trHeight w:val="394" w:hRule="exact"/>
                    </w:trPr>
                    <w:tc>
                      <w:tcPr>
                        <w:tcW w:w="3535" w:type="dxa"/>
                        <w:vMerge/>
                        <w:tcBorders>
                          <w:left w:val="single" w:sz="4" w:space="0" w:color="000000"/>
                          <w:right w:val="single" w:sz="9" w:space="0" w:color="D4D4D4"/>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473" w:hRule="exact"/>
                    </w:trPr>
                    <w:tc>
                      <w:tcPr>
                        <w:tcW w:w="3535" w:type="dxa"/>
                        <w:vMerge/>
                        <w:tcBorders>
                          <w:left w:val="single" w:sz="4" w:space="0" w:color="000000"/>
                          <w:bottom w:val="single" w:sz="4" w:space="0" w:color="000000"/>
                          <w:right w:val="single" w:sz="9" w:space="0" w:color="D4D4D4"/>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44"/>
        <w:ind w:left="0" w:right="158"/>
        <w:jc w:val="right"/>
      </w:pPr>
      <w:r>
        <w:rPr/>
        <w:pict>
          <v:shape style="position:absolute;margin-left:56.400002pt;margin-top:-230.52829pt;width:479.2pt;height:368.6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三电工程</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金质工程</w:t>
                        </w:r>
                        <w:r>
                          <w:rPr>
                            <w:rFonts w:ascii="Times New Roman" w:hAnsi="Times New Roman" w:cs="Times New Roman" w:eastAsia="Times New Roman" w:hint="default"/>
                            <w:sz w:val="18"/>
                            <w:szCs w:val="18"/>
                          </w:rPr>
                          <w:t>”</w:t>
                        </w:r>
                        <w:r>
                          <w:rPr>
                            <w:rFonts w:ascii="宋体" w:hAnsi="宋体" w:cs="宋体" w:eastAsia="宋体" w:hint="default"/>
                            <w:sz w:val="18"/>
                            <w:szCs w:val="18"/>
                          </w:rPr>
                          <w:t>的重要组成部分，包括</w:t>
                        </w:r>
                        <w:r>
                          <w:rPr>
                            <w:rFonts w:ascii="Times New Roman" w:hAnsi="Times New Roman" w:cs="Times New Roman" w:eastAsia="Times New Roman" w:hint="default"/>
                            <w:sz w:val="18"/>
                            <w:szCs w:val="18"/>
                          </w:rPr>
                          <w:t>“</w:t>
                        </w:r>
                        <w:r>
                          <w:rPr>
                            <w:rFonts w:ascii="宋体" w:hAnsi="宋体" w:cs="宋体" w:eastAsia="宋体" w:hint="default"/>
                            <w:sz w:val="18"/>
                            <w:szCs w:val="18"/>
                          </w:rPr>
                          <w:t>电子申报、电子监管、电子放行</w:t>
                        </w:r>
                        <w:r>
                          <w:rPr>
                            <w:rFonts w:ascii="Times New Roman" w:hAnsi="Times New Roman" w:cs="Times New Roman" w:eastAsia="Times New Roman"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三大电子化业务应用</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电子申报</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质量监督检验检疫原产地证电子签证及检验检疫电子报检</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电子监管</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以检验检疫综合业务管理系统为基础，利用信息化手段对企业生产加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工过程、实验室检测、产品质量控制等检验检疫及监督管理工作实施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电子化管理</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电子放行</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both"/>
                          <w:rPr>
                            <w:rFonts w:ascii="宋体" w:hAnsi="宋体" w:cs="宋体" w:eastAsia="宋体" w:hint="default"/>
                            <w:sz w:val="18"/>
                            <w:szCs w:val="18"/>
                          </w:rPr>
                        </w:pPr>
                        <w:r>
                          <w:rPr>
                            <w:rFonts w:ascii="宋体" w:hAnsi="宋体" w:cs="宋体" w:eastAsia="宋体" w:hint="default"/>
                            <w:spacing w:val="-2"/>
                            <w:sz w:val="18"/>
                            <w:szCs w:val="18"/>
                          </w:rPr>
                          <w:t>利用口岸电子执法系统和检验检疫广域网，实现检验检疫机构与海关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之间，检验检疫产地机构与口岸机构之间，在通关放行信息上的互联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互通</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协同管理软件</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基于网络的、实现组织内部多人或者多组织共同完成管理事务、提高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组织的灵活性和应变能力的软件</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SG-186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工程</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宋体" w:hAnsi="宋体" w:cs="宋体" w:eastAsia="宋体" w:hint="default"/>
                            <w:spacing w:val="-1"/>
                            <w:sz w:val="18"/>
                            <w:szCs w:val="18"/>
                          </w:rPr>
                          <w:t>国家电网公司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十一五</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信息化规划项目，包括一体化企业级信息集成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平台、八大业务应用和六个信息化保障体系</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SG-ERP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工程</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国家电网公司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十二五</w:t>
                        </w:r>
                        <w:r>
                          <w:rPr>
                            <w:rFonts w:ascii="Times New Roman" w:hAnsi="Times New Roman" w:cs="Times New Roman" w:eastAsia="Times New Roman" w:hint="default"/>
                            <w:sz w:val="18"/>
                            <w:szCs w:val="18"/>
                          </w:rPr>
                          <w:t>”</w:t>
                        </w:r>
                        <w:r>
                          <w:rPr>
                            <w:rFonts w:ascii="宋体" w:hAnsi="宋体" w:cs="宋体" w:eastAsia="宋体" w:hint="default"/>
                            <w:sz w:val="18"/>
                            <w:szCs w:val="18"/>
                          </w:rPr>
                          <w:t>信息化规划项目，</w:t>
                        </w:r>
                        <w:r>
                          <w:rPr>
                            <w:rFonts w:ascii="Times New Roman" w:hAnsi="Times New Roman" w:cs="Times New Roman" w:eastAsia="Times New Roman" w:hint="default"/>
                            <w:sz w:val="18"/>
                            <w:szCs w:val="18"/>
                          </w:rPr>
                          <w:t>“SG-ERP”</w:t>
                        </w:r>
                        <w:r>
                          <w:rPr>
                            <w:rFonts w:ascii="宋体" w:hAnsi="宋体" w:cs="宋体" w:eastAsia="宋体" w:hint="default"/>
                            <w:sz w:val="18"/>
                            <w:szCs w:val="18"/>
                          </w:rPr>
                          <w:t>中的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即继承</w:t>
                        </w:r>
                        <w:r>
                          <w:rPr>
                            <w:rFonts w:ascii="宋体" w:hAnsi="宋体" w:cs="宋体" w:eastAsia="宋体" w:hint="default"/>
                            <w:w w:val="99"/>
                            <w:sz w:val="18"/>
                            <w:szCs w:val="18"/>
                          </w:rPr>
                          <w:t> </w:t>
                        </w:r>
                        <w:r>
                          <w:rPr>
                            <w:rFonts w:ascii="宋体" w:hAnsi="宋体" w:cs="宋体" w:eastAsia="宋体" w:hint="default"/>
                            <w:spacing w:val="-7"/>
                            <w:sz w:val="18"/>
                            <w:szCs w:val="18"/>
                          </w:rPr>
                          <w:t>完善、发展，是在</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SG186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的基础上将要建立的覆盖面更广，集成度更 深，智能化更高，安全性更强，可视化更优的新型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架构工程</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SaaS</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Software-as-a-service</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的缩写，是一种通过互联网提供软件的模式，用</w:t>
                        </w:r>
                        <w:r>
                          <w:rPr>
                            <w:rFonts w:ascii="宋体" w:hAnsi="宋体" w:cs="宋体" w:eastAsia="宋体" w:hint="default"/>
                            <w:w w:val="99"/>
                            <w:sz w:val="18"/>
                            <w:szCs w:val="18"/>
                          </w:rPr>
                          <w:t> 户以向提供商租用基于</w:t>
                        </w:r>
                        <w:r>
                          <w:rPr>
                            <w:rFonts w:ascii="宋体" w:hAnsi="宋体" w:cs="宋体" w:eastAsia="宋体" w:hint="default"/>
                            <w:spacing w:val="-44"/>
                            <w:w w:val="99"/>
                            <w:sz w:val="18"/>
                            <w:szCs w:val="18"/>
                          </w:rPr>
                          <w:t> </w:t>
                        </w:r>
                        <w:r>
                          <w:rPr>
                            <w:rFonts w:ascii="Times New Roman" w:hAnsi="Times New Roman" w:cs="Times New Roman" w:eastAsia="Times New Roman" w:hint="default"/>
                            <w:spacing w:val="-6"/>
                            <w:w w:val="99"/>
                            <w:sz w:val="18"/>
                            <w:szCs w:val="18"/>
                          </w:rPr>
                          <w:t>Web</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5"/>
                            <w:w w:val="99"/>
                            <w:sz w:val="18"/>
                            <w:szCs w:val="18"/>
                          </w:rPr>
                          <w:t>的软件替代购买软件，来进行其经营管理</w:t>
                        </w:r>
                        <w:r>
                          <w:rPr>
                            <w:rFonts w:ascii="宋体" w:hAnsi="宋体" w:cs="宋体" w:eastAsia="宋体" w:hint="default"/>
                            <w:w w:val="99"/>
                            <w:sz w:val="18"/>
                            <w:szCs w:val="18"/>
                          </w:rPr>
                          <w:t> </w:t>
                        </w:r>
                        <w:r>
                          <w:rPr>
                            <w:rFonts w:ascii="宋体" w:hAnsi="宋体" w:cs="宋体" w:eastAsia="宋体" w:hint="default"/>
                            <w:sz w:val="18"/>
                            <w:szCs w:val="18"/>
                          </w:rPr>
                          <w:t>活动，且无需对软件进行维护，服务提供商负责管理和维护软件</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PaaS</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Platform-as-a-Service</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的缩写，意思是平台即服务，是提供云计算时代</w:t>
                        </w:r>
                        <w:r>
                          <w:rPr>
                            <w:rFonts w:ascii="宋体" w:hAnsi="宋体" w:cs="宋体" w:eastAsia="宋体" w:hint="default"/>
                            <w:w w:val="99"/>
                            <w:sz w:val="18"/>
                            <w:szCs w:val="18"/>
                          </w:rPr>
                          <w:t> </w:t>
                        </w:r>
                        <w:r>
                          <w:rPr>
                            <w:rFonts w:ascii="宋体" w:hAnsi="宋体" w:cs="宋体" w:eastAsia="宋体" w:hint="default"/>
                            <w:sz w:val="18"/>
                            <w:szCs w:val="18"/>
                          </w:rPr>
                          <w:t>相应的服务器平台或者开发环境的一种服务</w:t>
                        </w:r>
                      </w:p>
                    </w:tc>
                  </w:tr>
                </w:tbl>
                <w:p>
                  <w:pPr/>
                </w:p>
              </w:txbxContent>
            </v:textbox>
            <w10:wrap type="none"/>
          </v:shape>
        </w:pict>
      </w:r>
      <w:r>
        <w:rPr/>
        <w:t>、</w:t>
      </w:r>
    </w:p>
    <w:p>
      <w:pPr>
        <w:spacing w:after="0" w:line="240" w:lineRule="auto"/>
        <w:jc w:val="righ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0"/>
        <w:ind w:left="3987" w:right="4090"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spacing w:line="398" w:lineRule="auto" w:before="0"/>
        <w:ind w:left="152" w:right="103" w:firstLine="561"/>
        <w:jc w:val="left"/>
        <w:rPr>
          <w:rFonts w:ascii="宋体" w:hAnsi="宋体" w:cs="宋体" w:eastAsia="宋体" w:hint="default"/>
          <w:sz w:val="28"/>
          <w:szCs w:val="28"/>
        </w:rPr>
      </w:pPr>
      <w:r>
        <w:rPr>
          <w:rFonts w:ascii="宋体" w:hAnsi="宋体" w:cs="宋体" w:eastAsia="宋体" w:hint="default"/>
          <w:b/>
          <w:bCs/>
          <w:spacing w:val="-2"/>
          <w:sz w:val="28"/>
          <w:szCs w:val="28"/>
        </w:rPr>
        <w:t>公司存在的风险因素主要有人才管理风险、行业技术风险和运营管理风险，</w:t>
      </w:r>
      <w:r>
        <w:rPr>
          <w:rFonts w:ascii="宋体" w:hAnsi="宋体" w:cs="宋体" w:eastAsia="宋体" w:hint="default"/>
          <w:b/>
          <w:bCs/>
          <w:w w:val="99"/>
          <w:sz w:val="28"/>
          <w:szCs w:val="28"/>
        </w:rPr>
        <w:t> </w:t>
      </w:r>
      <w:r>
        <w:rPr>
          <w:rFonts w:ascii="宋体" w:hAnsi="宋体" w:cs="宋体" w:eastAsia="宋体" w:hint="default"/>
          <w:b/>
          <w:bCs/>
          <w:spacing w:val="6"/>
          <w:sz w:val="28"/>
          <w:szCs w:val="28"/>
        </w:rPr>
        <w:t>有关主要风险因素及公司应对措施已在本报告第四节</w:t>
      </w:r>
      <w:r>
        <w:rPr>
          <w:rFonts w:ascii="Times New Roman" w:hAnsi="Times New Roman" w:cs="Times New Roman" w:eastAsia="Times New Roman" w:hint="default"/>
          <w:b/>
          <w:bCs/>
          <w:spacing w:val="6"/>
          <w:sz w:val="28"/>
          <w:szCs w:val="28"/>
        </w:rPr>
        <w:t>“</w:t>
      </w:r>
      <w:r>
        <w:rPr>
          <w:rFonts w:ascii="宋体" w:hAnsi="宋体" w:cs="宋体" w:eastAsia="宋体" w:hint="default"/>
          <w:b/>
          <w:bCs/>
          <w:spacing w:val="6"/>
          <w:sz w:val="28"/>
          <w:szCs w:val="28"/>
        </w:rPr>
        <w:t>董事会报告</w:t>
      </w:r>
      <w:r>
        <w:rPr>
          <w:rFonts w:ascii="Times New Roman" w:hAnsi="Times New Roman" w:cs="Times New Roman" w:eastAsia="Times New Roman" w:hint="default"/>
          <w:b/>
          <w:bCs/>
          <w:spacing w:val="6"/>
          <w:sz w:val="28"/>
          <w:szCs w:val="28"/>
        </w:rPr>
        <w:t>”</w:t>
      </w:r>
      <w:r>
        <w:rPr>
          <w:rFonts w:ascii="宋体" w:hAnsi="宋体" w:cs="宋体" w:eastAsia="宋体" w:hint="default"/>
          <w:b/>
          <w:bCs/>
          <w:spacing w:val="6"/>
          <w:sz w:val="28"/>
          <w:szCs w:val="28"/>
        </w:rPr>
        <w:t>中</w:t>
      </w:r>
      <w:r>
        <w:rPr>
          <w:rFonts w:ascii="Times New Roman" w:hAnsi="Times New Roman" w:cs="Times New Roman" w:eastAsia="Times New Roman" w:hint="default"/>
          <w:b/>
          <w:bCs/>
          <w:spacing w:val="6"/>
          <w:sz w:val="28"/>
          <w:szCs w:val="28"/>
        </w:rPr>
        <w:t>“</w:t>
      </w:r>
      <w:r>
        <w:rPr>
          <w:rFonts w:ascii="宋体" w:hAnsi="宋体" w:cs="宋体" w:eastAsia="宋体" w:hint="default"/>
          <w:b/>
          <w:bCs/>
          <w:spacing w:val="6"/>
          <w:sz w:val="28"/>
          <w:szCs w:val="28"/>
        </w:rPr>
        <w:t>公司未</w:t>
      </w:r>
      <w:r>
        <w:rPr>
          <w:rFonts w:ascii="宋体" w:hAnsi="宋体" w:cs="宋体" w:eastAsia="宋体" w:hint="default"/>
          <w:b/>
          <w:bCs/>
          <w:spacing w:val="-136"/>
          <w:sz w:val="28"/>
          <w:szCs w:val="28"/>
        </w:rPr>
        <w:t> </w:t>
      </w:r>
      <w:r>
        <w:rPr>
          <w:rFonts w:ascii="宋体" w:hAnsi="宋体" w:cs="宋体" w:eastAsia="宋体" w:hint="default"/>
          <w:b/>
          <w:bCs/>
          <w:spacing w:val="-136"/>
          <w:sz w:val="28"/>
          <w:szCs w:val="28"/>
        </w:rPr>
      </w:r>
      <w:r>
        <w:rPr>
          <w:rFonts w:ascii="宋体" w:hAnsi="宋体" w:cs="宋体" w:eastAsia="宋体" w:hint="default"/>
          <w:b/>
          <w:bCs/>
          <w:sz w:val="28"/>
          <w:szCs w:val="28"/>
        </w:rPr>
        <w:t>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详细阐述。</w:t>
      </w:r>
      <w:r>
        <w:rPr>
          <w:rFonts w:ascii="宋体" w:hAnsi="宋体" w:cs="宋体" w:eastAsia="宋体" w:hint="default"/>
          <w:sz w:val="28"/>
          <w:szCs w:val="28"/>
        </w:rPr>
      </w:r>
    </w:p>
    <w:p>
      <w:pPr>
        <w:spacing w:after="0" w:line="398" w:lineRule="auto"/>
        <w:jc w:val="left"/>
        <w:rPr>
          <w:rFonts w:ascii="宋体" w:hAnsi="宋体" w:cs="宋体" w:eastAsia="宋体" w:hint="default"/>
          <w:sz w:val="28"/>
          <w:szCs w:val="28"/>
        </w:rPr>
        <w:sectPr>
          <w:pgSz w:w="11910" w:h="16840"/>
          <w:pgMar w:header="745" w:footer="982" w:top="1060" w:bottom="1180" w:left="980" w:right="880"/>
        </w:sectPr>
      </w:pPr>
    </w:p>
    <w:p>
      <w:pPr>
        <w:spacing w:line="240" w:lineRule="auto" w:before="0"/>
        <w:rPr>
          <w:rFonts w:ascii="宋体" w:hAnsi="宋体" w:cs="宋体" w:eastAsia="宋体" w:hint="default"/>
          <w:b/>
          <w:bCs/>
          <w:sz w:val="20"/>
          <w:szCs w:val="20"/>
        </w:rPr>
      </w:pPr>
      <w:r>
        <w:rPr/>
        <w:pict>
          <v:group style="position:absolute;margin-left:171pt;margin-top:269.159973pt;width:362.8pt;height:20.8pt;mso-position-horizontal-relative:page;mso-position-vertical-relative:page;z-index:-749608" coordorigin="3420,5383" coordsize="7256,416">
            <v:group style="position:absolute;left:3432;top:5395;width:2;height:392" coordorigin="3432,5395" coordsize="2,392">
              <v:shape style="position:absolute;left:3432;top:5395;width:2;height:392" coordorigin="3432,5395" coordsize="0,392" path="m3432,5395l3432,5786e" filled="false" stroked="true" strokeweight="1.2pt" strokecolor="#ffffff">
                <v:path arrowok="t"/>
              </v:shape>
            </v:group>
            <v:group style="position:absolute;left:3444;top:5395;width:7232;height:392" coordorigin="3444,5395" coordsize="7232,392">
              <v:shape style="position:absolute;left:3444;top:5395;width:7232;height:392" coordorigin="3444,5395" coordsize="7232,392" path="m3444,5786l10675,5786,10675,5395,3444,5395,3444,5786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1620"/>
        <w:jc w:val="center"/>
        <w:rPr>
          <w:b w:val="0"/>
          <w:bCs w:val="0"/>
        </w:rPr>
      </w:pPr>
      <w:bookmarkStart w:name="三、信息披露及备置地点" w:id="3"/>
      <w:bookmarkEnd w:id="3"/>
      <w:r>
        <w:rPr>
          <w:b w:val="0"/>
          <w:bCs w:val="0"/>
        </w:rPr>
      </w:r>
      <w:bookmarkStart w:name="第二节 公司简介" w:id="4"/>
      <w:bookmarkEnd w:id="4"/>
      <w:r>
        <w:rPr>
          <w:b w:val="0"/>
          <w:bCs w:val="0"/>
        </w:rPr>
      </w:r>
      <w:bookmarkStart w:name="_bookmark1" w:id="5"/>
      <w:bookmarkEnd w:id="5"/>
      <w:r>
        <w:rPr>
          <w:b w:val="0"/>
          <w:bCs w:val="0"/>
        </w:rPr>
      </w:r>
      <w:r>
        <w:rPr/>
        <w:t>第二节</w:t>
      </w:r>
      <w:r>
        <w:rPr>
          <w:spacing w:val="-4"/>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7"/>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5"/>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5"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49"/>
              <w:ind w:left="28" w:right="0"/>
              <w:jc w:val="left"/>
              <w:rPr>
                <w:rFonts w:ascii="宋体" w:hAnsi="宋体" w:cs="宋体" w:eastAsia="宋体" w:hint="default"/>
                <w:sz w:val="18"/>
                <w:szCs w:val="18"/>
              </w:rPr>
            </w:pPr>
            <w:bookmarkStart w:name="一、公司信息" w:id="6"/>
            <w:bookmarkEnd w:id="6"/>
            <w:r>
              <w:rPr/>
            </w:r>
            <w:r>
              <w:rPr>
                <w:rFonts w:ascii="宋体" w:hAnsi="宋体" w:cs="宋体" w:eastAsia="宋体" w:hint="default"/>
                <w:sz w:val="18"/>
                <w:szCs w:val="18"/>
              </w:rPr>
              <w:t>榕基软件</w:t>
            </w:r>
          </w:p>
        </w:tc>
        <w:tc>
          <w:tcPr>
            <w:tcW w:w="2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002474</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榕基软件</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FUJIAN RONGJI </w:t>
            </w:r>
            <w:r>
              <w:rPr>
                <w:rFonts w:ascii="Times New Roman"/>
                <w:spacing w:val="-3"/>
                <w:sz w:val="18"/>
              </w:rPr>
              <w:t>SOFTWARE </w:t>
            </w:r>
            <w:r>
              <w:rPr>
                <w:rFonts w:ascii="Times New Roman"/>
                <w:sz w:val="18"/>
              </w:rPr>
              <w:t>Co.,</w:t>
            </w:r>
            <w:r>
              <w:rPr>
                <w:rFonts w:ascii="Times New Roman"/>
                <w:spacing w:val="-3"/>
                <w:sz w:val="18"/>
              </w:rPr>
              <w:t> </w:t>
            </w:r>
            <w:r>
              <w:rPr>
                <w:rFonts w:ascii="Times New Roman"/>
                <w:sz w:val="18"/>
              </w:rPr>
              <w:t>Ltd.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45"/>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RONGJI</w:t>
            </w:r>
            <w:r>
              <w:rPr>
                <w:rFonts w:ascii="Times New Roman"/>
                <w:spacing w:val="-4"/>
                <w:sz w:val="18"/>
              </w:rPr>
              <w:t> </w:t>
            </w:r>
            <w:r>
              <w:rPr>
                <w:rFonts w:ascii="Times New Roman"/>
                <w:spacing w:val="-3"/>
                <w:sz w:val="18"/>
              </w:rPr>
              <w:t>SOFTWARE</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鲁峰</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福建省福州市鼓楼区铜盘路福州软件园产业基地</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350003</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福建省福州市鼓楼区铜盘路福州软件园产业基地</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350003</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http://www.rongji.com</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rongji@rongji.com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47"/>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bookmarkStart w:name="二、联系人和联系方式" w:id="7"/>
            <w:bookmarkEnd w:id="7"/>
            <w:r>
              <w:rPr/>
            </w:r>
            <w:r>
              <w:rPr>
                <w:rFonts w:ascii="宋体" w:hAnsi="宋体" w:cs="宋体" w:eastAsia="宋体" w:hint="default"/>
                <w:sz w:val="18"/>
                <w:szCs w:val="18"/>
              </w:rPr>
              <w:t>证券事务代表</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陈略</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4D4D4"/>
          </w:tcPr>
          <w:p>
            <w:pPr/>
          </w:p>
        </w:tc>
        <w:tc>
          <w:tcPr>
            <w:tcW w:w="3190" w:type="dxa"/>
            <w:vMerge w:val="restart"/>
            <w:tcBorders>
              <w:top w:val="single" w:sz="4" w:space="0" w:color="000000"/>
              <w:left w:val="single" w:sz="9" w:space="0" w:color="D4D4D4"/>
              <w:right w:val="single" w:sz="4" w:space="0" w:color="000000"/>
            </w:tcBorders>
          </w:tcPr>
          <w:p>
            <w:pPr>
              <w:pStyle w:val="TableParagraph"/>
              <w:spacing w:line="316" w:lineRule="auto" w:before="49"/>
              <w:ind w:left="17" w:right="95"/>
              <w:jc w:val="left"/>
              <w:rPr>
                <w:rFonts w:ascii="宋体" w:hAnsi="宋体" w:cs="宋体" w:eastAsia="宋体" w:hint="default"/>
                <w:sz w:val="18"/>
                <w:szCs w:val="18"/>
              </w:rPr>
            </w:pPr>
            <w:r>
              <w:rPr>
                <w:rFonts w:ascii="宋体" w:hAnsi="宋体" w:cs="宋体" w:eastAsia="宋体" w:hint="default"/>
                <w:sz w:val="18"/>
                <w:szCs w:val="18"/>
              </w:rPr>
              <w:t>福州市鼓楼区铜盘路福州软件园产业基 地</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福州市鼓楼区铜盘路福州软件园产业基 地</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0591-83517761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0591-87303569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0591-87862566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0591-87862566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hyperlink r:id="rId11">
              <w:r>
                <w:rPr>
                  <w:rFonts w:ascii="Times New Roman"/>
                  <w:sz w:val="18"/>
                </w:rPr>
                <w:t>wanxiaoxiong@rongji.com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chenlve@rongji.com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47"/>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6"/>
        <w:gridCol w:w="5842"/>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47"/>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523" w:right="72" w:hanging="452"/>
              <w:jc w:val="left"/>
              <w:rPr>
                <w:rFonts w:ascii="宋体" w:hAnsi="宋体" w:cs="宋体" w:eastAsia="宋体" w:hint="default"/>
                <w:sz w:val="18"/>
                <w:szCs w:val="18"/>
              </w:rPr>
            </w:pPr>
            <w:bookmarkStart w:name="四、注册变更情况" w:id="8"/>
            <w:bookmarkEnd w:id="8"/>
            <w:r>
              <w:rPr/>
            </w: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4D4D4"/>
          </w:tcPr>
          <w:p>
            <w:pP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9" w:space="0" w:color="D4D4D4"/>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福建省工商行政管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闽工商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350111628507579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62850757-9</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4D4D4"/>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9" w:space="0" w:color="D4D4D4"/>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9" w:space="0" w:color="D4D4D4"/>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福建省工商行政管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350000100001214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350111628507579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62850757-9</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4D4D4"/>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9" w:space="0" w:color="D4D4D4"/>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5"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47"/>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7"/>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bookmarkStart w:name="五、其他有关资料" w:id="9"/>
            <w:bookmarkEnd w:id="9"/>
            <w:r>
              <w:rPr/>
            </w:r>
            <w:r>
              <w:rPr>
                <w:rFonts w:ascii="宋体" w:hAnsi="宋体" w:cs="宋体" w:eastAsia="宋体" w:hint="default"/>
                <w:sz w:val="18"/>
                <w:szCs w:val="18"/>
              </w:rPr>
              <w:t>致同会计师事务所（特殊普通合伙）</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福建省厦门市珍珠湾软件园创新大厦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吴乐霖、廖金辉</w:t>
            </w:r>
          </w:p>
        </w:tc>
      </w:tr>
    </w:tbl>
    <w:p>
      <w:pPr>
        <w:pStyle w:val="BodyText"/>
        <w:spacing w:line="240" w:lineRule="auto" w:before="49"/>
        <w:ind w:right="147"/>
        <w:jc w:val="left"/>
      </w:pPr>
      <w:r>
        <w:rPr/>
        <w:t>公司聘请的报告期内履行持续督导职责的保荐机构</w:t>
      </w:r>
    </w:p>
    <w:p>
      <w:pPr>
        <w:pStyle w:val="BodyText"/>
        <w:spacing w:line="240" w:lineRule="auto" w:before="115"/>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四川省成都市东城根上街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卢学线、庄海峻</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49"/>
        <w:ind w:right="147"/>
        <w:jc w:val="left"/>
      </w:pPr>
      <w:r>
        <w:rPr/>
        <w:t>公司聘请的报告期内履行持续督导职责的财务顾问</w:t>
      </w:r>
    </w:p>
    <w:p>
      <w:pPr>
        <w:pStyle w:val="BodyText"/>
        <w:spacing w:line="240" w:lineRule="auto" w:before="117"/>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1" w:right="147"/>
        <w:jc w:val="left"/>
        <w:rPr>
          <w:b w:val="0"/>
          <w:bCs w:val="0"/>
        </w:rPr>
      </w:pPr>
      <w:bookmarkStart w:name="1、同时按照国际会计准则与按中国会计准则披露的财务报告中净利润和净资产差异情况" w:id="10"/>
      <w:bookmarkEnd w:id="10"/>
      <w:r>
        <w:rPr>
          <w:b w:val="0"/>
          <w:bCs w:val="0"/>
        </w:rPr>
      </w:r>
      <w:bookmarkStart w:name="2、同时按照境外会计准则与按中国会计准则披露的财务报告中净利润和净资产差异情况" w:id="11"/>
      <w:bookmarkEnd w:id="11"/>
      <w:r>
        <w:rPr>
          <w:b w:val="0"/>
          <w:bCs w:val="0"/>
        </w:rPr>
      </w:r>
      <w:bookmarkStart w:name="第三节 会计数据和财务指标摘要" w:id="12"/>
      <w:bookmarkEnd w:id="12"/>
      <w:r>
        <w:rPr>
          <w:b w:val="0"/>
          <w:bCs w:val="0"/>
        </w:rPr>
      </w:r>
      <w:bookmarkStart w:name="_bookmark2" w:id="13"/>
      <w:bookmarkEnd w:id="13"/>
      <w:r>
        <w:rPr>
          <w:b w:val="0"/>
          <w:bCs w:val="0"/>
        </w:rPr>
      </w:r>
      <w:r>
        <w:rPr/>
        <w:t>第三节</w:t>
      </w:r>
      <w:r>
        <w:rPr>
          <w:spacing w:val="-7"/>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47"/>
        <w:jc w:val="left"/>
        <w:rPr>
          <w:b w:val="0"/>
          <w:bCs w:val="0"/>
        </w:rPr>
      </w:pPr>
      <w:r>
        <w:rPr/>
        <w:t>一、主要会计</w:t>
      </w:r>
      <w:bookmarkStart w:name="一、主要会计数据和财务指标" w:id="14"/>
      <w:bookmarkEnd w:id="14"/>
      <w:r>
        <w:rPr/>
        <w:t>数</w:t>
      </w:r>
      <w:r>
        <w:rPr/>
        <w:t>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公司是否因会计政策变更及会计差错更正等追溯调整或重述以前年度会计数据</w:t>
      </w:r>
    </w:p>
    <w:p>
      <w:pPr>
        <w:pStyle w:val="BodyText"/>
        <w:spacing w:line="240" w:lineRule="auto" w:before="117"/>
        <w:ind w:right="14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6"/>
        <w:gridCol w:w="1748"/>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568,319,810.56</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432,930,770.34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31.27%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309,000,869.67</w:t>
            </w:r>
            <w:r>
              <w:rPr>
                <w:rFonts w:ascii="Times New Roman"/>
                <w:sz w:val="18"/>
              </w:rPr>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124,344,607.19</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119,476,714.75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78,092,435.06</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119,754,808.44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112,738,052.70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72,644,533.73</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118,258,078.90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83,817,871.99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83,954,763.75</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0.5995</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0.5761</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0.4637</w:t>
            </w:r>
            <w:r>
              <w:rPr>
                <w:rFonts w:ascii="Times New Roman"/>
                <w:sz w:val="18"/>
              </w:rPr>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0.5995</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0.5761</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0.4637</w:t>
            </w:r>
            <w:r>
              <w:rPr>
                <w:rFonts w:ascii="Times New Roman"/>
                <w:sz w:val="18"/>
              </w:rPr>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17.65%</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748" w:type="dxa"/>
            <w:tcBorders>
              <w:top w:val="single" w:sz="4" w:space="0" w:color="000000"/>
              <w:left w:val="single" w:sz="4" w:space="0" w:color="000000"/>
              <w:bottom w:val="nil" w:sz="6" w:space="0" w:color="auto"/>
              <w:right w:val="single" w:sz="4" w:space="0" w:color="000000"/>
            </w:tcBorders>
            <w:shd w:val="clear" w:color="auto" w:fill="D4D4D4"/>
          </w:tcPr>
          <w:p>
            <w:pPr/>
          </w:p>
        </w:tc>
        <w:tc>
          <w:tcPr>
            <w:tcW w:w="1740" w:type="dxa"/>
            <w:tcBorders>
              <w:top w:val="single" w:sz="4" w:space="0" w:color="000000"/>
              <w:left w:val="single" w:sz="4" w:space="0" w:color="000000"/>
              <w:bottom w:val="nil" w:sz="6" w:space="0" w:color="auto"/>
              <w:right w:val="single" w:sz="4" w:space="0" w:color="000000"/>
            </w:tcBorders>
            <w:shd w:val="clear" w:color="auto" w:fill="D4D4D4"/>
          </w:tcPr>
          <w:p>
            <w:pPr/>
          </w:p>
        </w:tc>
        <w:tc>
          <w:tcPr>
            <w:tcW w:w="173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4D4D4"/>
          </w:tcPr>
          <w:p>
            <w:pPr/>
          </w:p>
        </w:tc>
        <w:tc>
          <w:tcPr>
            <w:tcW w:w="174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4D4D4"/>
          </w:tcPr>
          <w:p>
            <w:pPr/>
          </w:p>
        </w:tc>
        <w:tc>
          <w:tcPr>
            <w:tcW w:w="173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748" w:type="dxa"/>
            <w:tcBorders>
              <w:top w:val="nil" w:sz="6" w:space="0" w:color="auto"/>
              <w:left w:val="single" w:sz="4" w:space="0" w:color="000000"/>
              <w:bottom w:val="single" w:sz="4" w:space="0" w:color="000000"/>
              <w:right w:val="single" w:sz="4" w:space="0" w:color="000000"/>
            </w:tcBorders>
            <w:shd w:val="clear" w:color="auto" w:fill="D4D4D4"/>
          </w:tcPr>
          <w:p>
            <w:pPr/>
          </w:p>
        </w:tc>
        <w:tc>
          <w:tcPr>
            <w:tcW w:w="1740" w:type="dxa"/>
            <w:tcBorders>
              <w:top w:val="nil" w:sz="6" w:space="0" w:color="auto"/>
              <w:left w:val="single" w:sz="4" w:space="0" w:color="000000"/>
              <w:bottom w:val="single" w:sz="4" w:space="0" w:color="000000"/>
              <w:right w:val="single" w:sz="4" w:space="0" w:color="000000"/>
            </w:tcBorders>
            <w:shd w:val="clear" w:color="auto" w:fill="D4D4D4"/>
          </w:tcPr>
          <w:p>
            <w:pPr/>
          </w:p>
        </w:tc>
        <w:tc>
          <w:tcPr>
            <w:tcW w:w="1738" w:type="dxa"/>
            <w:vMerge/>
            <w:tcBorders>
              <w:left w:val="single" w:sz="4" w:space="0" w:color="000000"/>
              <w:bottom w:val="single" w:sz="4" w:space="0" w:color="000000"/>
              <w:right w:val="single" w:sz="4" w:space="0" w:color="000000"/>
            </w:tcBorders>
            <w:shd w:val="clear" w:color="auto" w:fill="D4D4D4"/>
          </w:tcPr>
          <w:p>
            <w:pPr/>
          </w:p>
        </w:tc>
        <w:tc>
          <w:tcPr>
            <w:tcW w:w="173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1,489,736,073.92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1,306,072,731.30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1,225,686,254.39</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3"/>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1,318,910,791.09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1,225,676,183.90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1,167,219,955.92</w:t>
            </w:r>
          </w:p>
        </w:tc>
      </w:tr>
    </w:tbl>
    <w:p>
      <w:pPr>
        <w:spacing w:line="240" w:lineRule="auto" w:before="1"/>
        <w:rPr>
          <w:rFonts w:ascii="宋体" w:hAnsi="宋体" w:cs="宋体" w:eastAsia="宋体" w:hint="default"/>
          <w:sz w:val="18"/>
          <w:szCs w:val="18"/>
        </w:rPr>
      </w:pPr>
    </w:p>
    <w:p>
      <w:pPr>
        <w:pStyle w:val="Heading2"/>
        <w:spacing w:line="240" w:lineRule="auto" w:before="26"/>
        <w:ind w:right="147"/>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7"/>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二、境内外会计准则下会计数据差异" w:id="15"/>
      <w:bookmarkEnd w:id="15"/>
      <w:r>
        <w:rPr/>
      </w: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2"/>
        <w:gridCol w:w="1741"/>
        <w:gridCol w:w="2004"/>
        <w:gridCol w:w="1769"/>
        <w:gridCol w:w="1771"/>
      </w:tblGrid>
      <w:tr>
        <w:trPr>
          <w:trHeight w:val="206" w:hRule="exact"/>
        </w:trPr>
        <w:tc>
          <w:tcPr>
            <w:tcW w:w="2272" w:type="dxa"/>
            <w:tcBorders>
              <w:top w:val="single" w:sz="4" w:space="0" w:color="000000"/>
              <w:left w:val="single" w:sz="4" w:space="0" w:color="000000"/>
              <w:bottom w:val="nil" w:sz="6" w:space="0" w:color="auto"/>
              <w:right w:val="single" w:sz="4" w:space="0" w:color="000000"/>
            </w:tcBorders>
            <w:shd w:val="clear" w:color="auto" w:fill="D4D4D4"/>
          </w:tcPr>
          <w:p>
            <w:pPr/>
          </w:p>
        </w:tc>
        <w:tc>
          <w:tcPr>
            <w:tcW w:w="374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2" w:type="dxa"/>
            <w:vMerge w:val="restart"/>
            <w:tcBorders>
              <w:top w:val="nil" w:sz="6" w:space="0" w:color="auto"/>
              <w:left w:val="single" w:sz="4" w:space="0" w:color="000000"/>
              <w:right w:val="single" w:sz="4" w:space="0" w:color="000000"/>
            </w:tcBorders>
            <w:shd w:val="clear" w:color="auto" w:fill="D4D4D4"/>
          </w:tcPr>
          <w:p>
            <w:pPr/>
          </w:p>
        </w:tc>
        <w:tc>
          <w:tcPr>
            <w:tcW w:w="3745" w:type="dxa"/>
            <w:gridSpan w:val="2"/>
            <w:vMerge/>
            <w:tcBorders>
              <w:left w:val="single" w:sz="4" w:space="0" w:color="000000"/>
              <w:bottom w:val="single" w:sz="4" w:space="0" w:color="000000"/>
              <w:right w:val="single" w:sz="4" w:space="0" w:color="000000"/>
            </w:tcBorders>
            <w:shd w:val="clear" w:color="auto" w:fill="D4D4D4"/>
          </w:tcPr>
          <w:p>
            <w:pPr/>
          </w:p>
        </w:tc>
        <w:tc>
          <w:tcPr>
            <w:tcW w:w="3540" w:type="dxa"/>
            <w:gridSpan w:val="2"/>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2272" w:type="dxa"/>
            <w:vMerge/>
            <w:tcBorders>
              <w:left w:val="single" w:sz="4" w:space="0" w:color="000000"/>
              <w:bottom w:val="nil" w:sz="6" w:space="0" w:color="auto"/>
              <w:right w:val="single" w:sz="4" w:space="0" w:color="000000"/>
            </w:tcBorders>
            <w:shd w:val="clear" w:color="auto" w:fill="D4D4D4"/>
          </w:tcPr>
          <w:p>
            <w:pPr/>
          </w:p>
        </w:tc>
        <w:tc>
          <w:tcPr>
            <w:tcW w:w="174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2" w:type="dxa"/>
            <w:tcBorders>
              <w:top w:val="nil" w:sz="6" w:space="0" w:color="auto"/>
              <w:left w:val="single" w:sz="4" w:space="0" w:color="000000"/>
              <w:bottom w:val="single" w:sz="4" w:space="0" w:color="000000"/>
              <w:right w:val="single" w:sz="4" w:space="0" w:color="000000"/>
            </w:tcBorders>
            <w:shd w:val="clear" w:color="auto" w:fill="D4D4D4"/>
          </w:tcPr>
          <w:p>
            <w:pPr/>
          </w:p>
        </w:tc>
        <w:tc>
          <w:tcPr>
            <w:tcW w:w="1741" w:type="dxa"/>
            <w:vMerge/>
            <w:tcBorders>
              <w:left w:val="single" w:sz="4" w:space="0" w:color="000000"/>
              <w:bottom w:val="single" w:sz="4" w:space="0" w:color="000000"/>
              <w:right w:val="single" w:sz="4" w:space="0" w:color="000000"/>
            </w:tcBorders>
            <w:shd w:val="clear" w:color="auto" w:fill="D4D4D4"/>
          </w:tcPr>
          <w:p>
            <w:pPr/>
          </w:p>
        </w:tc>
        <w:tc>
          <w:tcPr>
            <w:tcW w:w="2004" w:type="dxa"/>
            <w:vMerge/>
            <w:tcBorders>
              <w:left w:val="single" w:sz="4" w:space="0" w:color="000000"/>
              <w:bottom w:val="single" w:sz="4" w:space="0" w:color="000000"/>
              <w:right w:val="single" w:sz="4" w:space="0" w:color="000000"/>
            </w:tcBorders>
            <w:shd w:val="clear" w:color="auto" w:fill="D4D4D4"/>
          </w:tcPr>
          <w:p>
            <w:pPr/>
          </w:p>
        </w:tc>
        <w:tc>
          <w:tcPr>
            <w:tcW w:w="1769" w:type="dxa"/>
            <w:vMerge/>
            <w:tcBorders>
              <w:left w:val="single" w:sz="4" w:space="0" w:color="000000"/>
              <w:bottom w:val="single" w:sz="4" w:space="0" w:color="000000"/>
              <w:right w:val="single" w:sz="4" w:space="0" w:color="000000"/>
            </w:tcBorders>
            <w:shd w:val="clear" w:color="auto" w:fill="D4D4D4"/>
          </w:tcPr>
          <w:p>
            <w:pPr/>
          </w:p>
        </w:tc>
        <w:tc>
          <w:tcPr>
            <w:tcW w:w="1771"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574" w:right="0"/>
              <w:jc w:val="left"/>
              <w:rPr>
                <w:rFonts w:ascii="Times New Roman" w:hAnsi="Times New Roman" w:cs="Times New Roman" w:eastAsia="Times New Roman" w:hint="default"/>
                <w:sz w:val="18"/>
                <w:szCs w:val="18"/>
              </w:rPr>
            </w:pPr>
            <w:r>
              <w:rPr>
                <w:rFonts w:ascii="Times New Roman"/>
                <w:sz w:val="18"/>
              </w:rPr>
              <w:t>124,344,607.19</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119,476,714.75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1,318,910,791.09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1,225,676,183.90</w:t>
            </w:r>
          </w:p>
        </w:tc>
      </w:tr>
      <w:tr>
        <w:trPr>
          <w:trHeight w:val="402" w:hRule="exact"/>
        </w:trPr>
        <w:tc>
          <w:tcPr>
            <w:tcW w:w="9557"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72"/>
        <w:gridCol w:w="1741"/>
        <w:gridCol w:w="2004"/>
        <w:gridCol w:w="1769"/>
        <w:gridCol w:w="1771"/>
      </w:tblGrid>
      <w:tr>
        <w:trPr>
          <w:trHeight w:val="206" w:hRule="exact"/>
        </w:trPr>
        <w:tc>
          <w:tcPr>
            <w:tcW w:w="2272" w:type="dxa"/>
            <w:tcBorders>
              <w:top w:val="single" w:sz="4" w:space="0" w:color="000000"/>
              <w:left w:val="single" w:sz="4" w:space="0" w:color="000000"/>
              <w:bottom w:val="nil" w:sz="6" w:space="0" w:color="auto"/>
              <w:right w:val="single" w:sz="4" w:space="0" w:color="000000"/>
            </w:tcBorders>
            <w:shd w:val="clear" w:color="auto" w:fill="D4D4D4"/>
          </w:tcPr>
          <w:p>
            <w:pPr/>
          </w:p>
        </w:tc>
        <w:tc>
          <w:tcPr>
            <w:tcW w:w="374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2" w:type="dxa"/>
            <w:vMerge w:val="restart"/>
            <w:tcBorders>
              <w:top w:val="nil" w:sz="6" w:space="0" w:color="auto"/>
              <w:left w:val="single" w:sz="4" w:space="0" w:color="000000"/>
              <w:right w:val="single" w:sz="4" w:space="0" w:color="000000"/>
            </w:tcBorders>
            <w:shd w:val="clear" w:color="auto" w:fill="D4D4D4"/>
          </w:tcPr>
          <w:p>
            <w:pPr/>
          </w:p>
        </w:tc>
        <w:tc>
          <w:tcPr>
            <w:tcW w:w="3745" w:type="dxa"/>
            <w:gridSpan w:val="2"/>
            <w:vMerge/>
            <w:tcBorders>
              <w:left w:val="single" w:sz="4" w:space="0" w:color="000000"/>
              <w:bottom w:val="single" w:sz="4" w:space="0" w:color="000000"/>
              <w:right w:val="single" w:sz="4" w:space="0" w:color="000000"/>
            </w:tcBorders>
            <w:shd w:val="clear" w:color="auto" w:fill="D4D4D4"/>
          </w:tcPr>
          <w:p>
            <w:pPr/>
          </w:p>
        </w:tc>
        <w:tc>
          <w:tcPr>
            <w:tcW w:w="3540" w:type="dxa"/>
            <w:gridSpan w:val="2"/>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2272" w:type="dxa"/>
            <w:vMerge/>
            <w:tcBorders>
              <w:left w:val="single" w:sz="4" w:space="0" w:color="000000"/>
              <w:bottom w:val="nil" w:sz="6" w:space="0" w:color="auto"/>
              <w:right w:val="single" w:sz="4" w:space="0" w:color="000000"/>
            </w:tcBorders>
            <w:shd w:val="clear" w:color="auto" w:fill="D4D4D4"/>
          </w:tcPr>
          <w:p>
            <w:pPr/>
          </w:p>
        </w:tc>
        <w:tc>
          <w:tcPr>
            <w:tcW w:w="174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2" w:type="dxa"/>
            <w:tcBorders>
              <w:top w:val="nil" w:sz="6" w:space="0" w:color="auto"/>
              <w:left w:val="single" w:sz="4" w:space="0" w:color="000000"/>
              <w:bottom w:val="single" w:sz="4" w:space="0" w:color="000000"/>
              <w:right w:val="single" w:sz="4" w:space="0" w:color="000000"/>
            </w:tcBorders>
            <w:shd w:val="clear" w:color="auto" w:fill="D4D4D4"/>
          </w:tcPr>
          <w:p>
            <w:pPr/>
          </w:p>
        </w:tc>
        <w:tc>
          <w:tcPr>
            <w:tcW w:w="1741" w:type="dxa"/>
            <w:vMerge/>
            <w:tcBorders>
              <w:left w:val="single" w:sz="4" w:space="0" w:color="000000"/>
              <w:bottom w:val="single" w:sz="4" w:space="0" w:color="000000"/>
              <w:right w:val="single" w:sz="4" w:space="0" w:color="000000"/>
            </w:tcBorders>
            <w:shd w:val="clear" w:color="auto" w:fill="D4D4D4"/>
          </w:tcPr>
          <w:p>
            <w:pPr/>
          </w:p>
        </w:tc>
        <w:tc>
          <w:tcPr>
            <w:tcW w:w="2004" w:type="dxa"/>
            <w:vMerge/>
            <w:tcBorders>
              <w:left w:val="single" w:sz="4" w:space="0" w:color="000000"/>
              <w:bottom w:val="single" w:sz="4" w:space="0" w:color="000000"/>
              <w:right w:val="single" w:sz="4" w:space="0" w:color="000000"/>
            </w:tcBorders>
            <w:shd w:val="clear" w:color="auto" w:fill="D4D4D4"/>
          </w:tcPr>
          <w:p>
            <w:pPr/>
          </w:p>
        </w:tc>
        <w:tc>
          <w:tcPr>
            <w:tcW w:w="1769" w:type="dxa"/>
            <w:vMerge/>
            <w:tcBorders>
              <w:left w:val="single" w:sz="4" w:space="0" w:color="000000"/>
              <w:bottom w:val="single" w:sz="4" w:space="0" w:color="000000"/>
              <w:right w:val="single" w:sz="4" w:space="0" w:color="000000"/>
            </w:tcBorders>
            <w:shd w:val="clear" w:color="auto" w:fill="D4D4D4"/>
          </w:tcPr>
          <w:p>
            <w:pPr/>
          </w:p>
        </w:tc>
        <w:tc>
          <w:tcPr>
            <w:tcW w:w="1771"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574" w:right="0"/>
              <w:jc w:val="left"/>
              <w:rPr>
                <w:rFonts w:ascii="Times New Roman" w:hAnsi="Times New Roman" w:cs="Times New Roman" w:eastAsia="Times New Roman" w:hint="default"/>
                <w:sz w:val="18"/>
                <w:szCs w:val="18"/>
              </w:rPr>
            </w:pPr>
            <w:r>
              <w:rPr>
                <w:rFonts w:ascii="Times New Roman"/>
                <w:sz w:val="18"/>
              </w:rPr>
              <w:t>124,344,607.19</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119,476,714.75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1,318,910,791.09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1,225,676,183.90</w:t>
            </w:r>
          </w:p>
        </w:tc>
      </w:tr>
      <w:tr>
        <w:trPr>
          <w:trHeight w:val="402" w:hRule="exact"/>
        </w:trPr>
        <w:tc>
          <w:tcPr>
            <w:tcW w:w="9557"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pStyle w:val="BodyText"/>
        <w:spacing w:line="240" w:lineRule="auto" w:before="8"/>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3</w:t>
      </w:r>
      <w:r>
        <w:rPr/>
        <w:t>、境内外会计准则</w:t>
      </w:r>
      <w:bookmarkStart w:name="3、境内外会计准则下会计数据差异原因说明" w:id="16"/>
      <w:bookmarkEnd w:id="16"/>
      <w:r>
        <w:rPr/>
        <w:t>下会</w:t>
      </w:r>
      <w:r>
        <w:rPr/>
        <w:t>计数据差异原因说明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3"/>
        <w:rPr>
          <w:rFonts w:ascii="宋体" w:hAnsi="宋体" w:cs="宋体" w:eastAsia="宋体" w:hint="default"/>
          <w:sz w:val="25"/>
          <w:szCs w:val="25"/>
        </w:rPr>
      </w:pPr>
    </w:p>
    <w:p>
      <w:pPr>
        <w:pStyle w:val="Heading2"/>
        <w:spacing w:line="240" w:lineRule="auto"/>
        <w:ind w:right="147"/>
        <w:jc w:val="left"/>
        <w:rPr>
          <w:b w:val="0"/>
          <w:bCs w:val="0"/>
        </w:rPr>
      </w:pPr>
      <w:r>
        <w:rPr/>
        <w:t>三、非经常性损益项目及金额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三、非经常性损益项目及金额" w:id="17"/>
      <w:bookmarkEnd w:id="17"/>
      <w:r>
        <w:rPr/>
      </w: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-121,872.12</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-44,995.30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-6,862.81</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5,108,000.20</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7,551,000.27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5,988,149.85</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49,789.03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-22,210.13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232,326.26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441,351.02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745,005.29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765,186.40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4,767.34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127.50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525.57</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4,589,798.75</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6,738,662.05</w:t>
            </w:r>
            <w:r>
              <w:rPr>
                <w:rFonts w:ascii="Times New Roman"/>
                <w:sz w:val="18"/>
              </w:rPr>
            </w:r>
          </w:p>
        </w:tc>
        <w:tc>
          <w:tcPr>
            <w:tcW w:w="152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5,447,901.33</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4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90" w:right="3627"/>
        <w:jc w:val="center"/>
        <w:rPr>
          <w:b w:val="0"/>
          <w:bCs w:val="0"/>
        </w:rPr>
      </w:pPr>
      <w:bookmarkStart w:name="第四节 董事会报告" w:id="18"/>
      <w:bookmarkEnd w:id="18"/>
      <w:r>
        <w:rPr>
          <w:b w:val="0"/>
          <w:bCs w:val="0"/>
        </w:rPr>
      </w:r>
      <w:bookmarkStart w:name="_bookmark3" w:id="19"/>
      <w:bookmarkEnd w:id="19"/>
      <w:r>
        <w:rPr>
          <w:b w:val="0"/>
          <w:bCs w:val="0"/>
        </w:rPr>
      </w:r>
      <w:r>
        <w:rPr/>
        <w:t>第四节</w:t>
      </w:r>
      <w:r>
        <w:rPr>
          <w:spacing w:val="-2"/>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2" w:right="0"/>
        <w:jc w:val="left"/>
      </w:pPr>
      <w:r>
        <w:rPr>
          <w:rFonts w:ascii="宋体" w:hAnsi="宋体" w:cs="宋体" w:eastAsia="宋体" w:hint="default"/>
        </w:rPr>
        <w:t>1</w:t>
      </w:r>
      <w:r>
        <w:rPr/>
        <w:t>、</w:t>
      </w:r>
      <w:bookmarkStart w:name="一、概述" w:id="20"/>
      <w:bookmarkEnd w:id="20"/>
      <w:r>
        <w:rPr/>
        <w:t>总体经营情况</w:t>
      </w:r>
    </w:p>
    <w:p>
      <w:pPr>
        <w:pStyle w:val="BodyText"/>
        <w:spacing w:line="314" w:lineRule="auto" w:before="117"/>
        <w:ind w:right="190" w:firstLine="419"/>
        <w:jc w:val="both"/>
      </w:pPr>
      <w:r>
        <w:rPr>
          <w:rFonts w:ascii="Times New Roman" w:hAnsi="Times New Roman" w:cs="Times New Roman" w:eastAsia="Times New Roman" w:hint="default"/>
        </w:rPr>
        <w:t>2012</w:t>
      </w:r>
      <w:r>
        <w:rPr/>
        <w:t>年，面对复杂多变的经济形势和激烈的行业竞争，公司进一步推动</w:t>
      </w:r>
      <w:r>
        <w:rPr>
          <w:rFonts w:ascii="Times New Roman" w:hAnsi="Times New Roman" w:cs="Times New Roman" w:eastAsia="Times New Roman" w:hint="default"/>
        </w:rPr>
        <w:t>“</w:t>
      </w:r>
      <w:r>
        <w:rPr/>
        <w:t>行业化、产品化、服务化</w:t>
      </w:r>
      <w:r>
        <w:rPr>
          <w:rFonts w:ascii="Times New Roman" w:hAnsi="Times New Roman" w:cs="Times New Roman" w:eastAsia="Times New Roman" w:hint="default"/>
        </w:rPr>
        <w:t>”</w:t>
      </w:r>
      <w:r>
        <w:rPr/>
        <w:t>发展战略，通过持 </w:t>
      </w:r>
      <w:r>
        <w:rPr>
          <w:spacing w:val="-2"/>
        </w:rPr>
        <w:t>续加大产品研发投入，加强产品研发力度，同时强化全国区域和行业市场建设，提升了电子政务、信息安全、质检三电工程</w:t>
      </w:r>
      <w:r>
        <w:rPr>
          <w:spacing w:val="-67"/>
        </w:rPr>
        <w:t> </w:t>
      </w:r>
      <w:r>
        <w:rPr>
          <w:spacing w:val="-67"/>
        </w:rPr>
      </w:r>
      <w:r>
        <w:rPr>
          <w:spacing w:val="-2"/>
        </w:rPr>
        <w:t>和协同管理四大业务领域软件产品和服务的产业化速度，拓展了行业应用深度和广度，扩大了市场营销网络，继续巩固和进</w:t>
      </w:r>
      <w:r>
        <w:rPr>
          <w:spacing w:val="-63"/>
        </w:rPr>
        <w:t> </w:t>
      </w:r>
      <w:r>
        <w:rPr>
          <w:spacing w:val="-63"/>
        </w:rPr>
      </w:r>
      <w:r>
        <w:rPr>
          <w:spacing w:val="-2"/>
        </w:rPr>
        <w:t>一步提高了四大业务领域的市场占有率和竞争优势，逐步发展新的利润增长点。经过公司经营管理班子和全体员工的共同努</w:t>
      </w:r>
      <w:r>
        <w:rPr>
          <w:spacing w:val="-64"/>
        </w:rPr>
        <w:t> </w:t>
      </w:r>
      <w:r>
        <w:rPr>
          <w:spacing w:val="-64"/>
        </w:rPr>
      </w:r>
      <w:r>
        <w:rPr/>
        <w:t>力，企业经营稳步推进。</w:t>
      </w:r>
    </w:p>
    <w:p>
      <w:pPr>
        <w:pStyle w:val="BodyText"/>
        <w:spacing w:line="240" w:lineRule="auto" w:before="59"/>
        <w:ind w:left="572" w:right="0"/>
        <w:jc w:val="left"/>
      </w:pPr>
      <w:r>
        <w:rPr>
          <w:rFonts w:ascii="宋体" w:hAnsi="宋体" w:cs="宋体" w:eastAsia="宋体" w:hint="default"/>
        </w:rPr>
        <w:t>2</w:t>
      </w:r>
      <w:r>
        <w:rPr/>
        <w:t>、</w:t>
      </w:r>
      <w:r>
        <w:rPr>
          <w:rFonts w:ascii="Times New Roman" w:hAnsi="Times New Roman" w:cs="Times New Roman" w:eastAsia="Times New Roman" w:hint="default"/>
        </w:rPr>
        <w:t>2012</w:t>
      </w:r>
      <w:r>
        <w:rPr/>
        <w:t>年公司重要经营管理事项回顾</w:t>
      </w:r>
    </w:p>
    <w:p>
      <w:pPr>
        <w:pStyle w:val="BodyText"/>
        <w:spacing w:line="300" w:lineRule="auto" w:before="103"/>
        <w:ind w:right="192" w:firstLine="419"/>
        <w:jc w:val="both"/>
      </w:pPr>
      <w:r>
        <w:rPr>
          <w:spacing w:val="-2"/>
        </w:rPr>
        <w:t>（</w:t>
      </w:r>
      <w:r>
        <w:rPr>
          <w:rFonts w:ascii="宋体" w:hAnsi="宋体" w:cs="宋体" w:eastAsia="宋体" w:hint="default"/>
          <w:spacing w:val="-2"/>
        </w:rPr>
        <w:t>1</w:t>
      </w:r>
      <w:r>
        <w:rPr>
          <w:spacing w:val="-2"/>
        </w:rPr>
        <w:t>）公司积极回馈股东，维护广大投资者利益，树立良好形象。</w:t>
      </w:r>
      <w:r>
        <w:rPr>
          <w:rFonts w:ascii="Times New Roman" w:hAnsi="Times New Roman" w:cs="Times New Roman" w:eastAsia="Times New Roman" w:hint="default"/>
          <w:spacing w:val="-2"/>
        </w:rPr>
        <w:t>2012</w:t>
      </w:r>
      <w:r>
        <w:rPr>
          <w:spacing w:val="-2"/>
        </w:rPr>
        <w:t>年公司制定了《公司分红政策及未来三年股东回</w:t>
      </w:r>
      <w:r>
        <w:rPr/>
        <w:t> 报规划（</w:t>
      </w:r>
      <w:r>
        <w:rPr>
          <w:rFonts w:ascii="Times New Roman" w:hAnsi="Times New Roman" w:cs="Times New Roman" w:eastAsia="Times New Roman" w:hint="default"/>
        </w:rPr>
        <w:t>2012-2014</w:t>
      </w:r>
      <w:r>
        <w:rPr/>
        <w:t>）》，完善和修改了公司章程中关于利润分配的相关条款。同时顺利完成了</w:t>
      </w:r>
      <w:r>
        <w:rPr>
          <w:rFonts w:ascii="Times New Roman" w:hAnsi="Times New Roman" w:cs="Times New Roman" w:eastAsia="Times New Roman" w:hint="default"/>
        </w:rPr>
        <w:t>2011</w:t>
      </w:r>
      <w:r>
        <w:rPr/>
        <w:t>年年度权益分配方案： 以</w:t>
      </w:r>
      <w:r>
        <w:rPr>
          <w:rFonts w:ascii="Times New Roman" w:hAnsi="Times New Roman" w:cs="Times New Roman" w:eastAsia="Times New Roman" w:hint="default"/>
        </w:rPr>
        <w:t>2011</w:t>
      </w:r>
      <w:r>
        <w:rPr/>
        <w:t>年年末总股本</w:t>
      </w:r>
      <w:r>
        <w:rPr>
          <w:rFonts w:ascii="Times New Roman" w:hAnsi="Times New Roman" w:cs="Times New Roman" w:eastAsia="Times New Roman" w:hint="default"/>
        </w:rPr>
        <w:t>103,700,000</w:t>
      </w:r>
      <w:r>
        <w:rPr/>
        <w:t>股为基数，向全体股东每</w:t>
      </w:r>
      <w:r>
        <w:rPr>
          <w:rFonts w:ascii="Times New Roman" w:hAnsi="Times New Roman" w:cs="Times New Roman" w:eastAsia="Times New Roman" w:hint="default"/>
        </w:rPr>
        <w:t>10</w:t>
      </w:r>
      <w:r>
        <w:rPr/>
        <w:t>股派现金</w:t>
      </w:r>
      <w:r>
        <w:rPr>
          <w:rFonts w:ascii="Times New Roman" w:hAnsi="Times New Roman" w:cs="Times New Roman" w:eastAsia="Times New Roman" w:hint="default"/>
        </w:rPr>
        <w:t>3</w:t>
      </w:r>
      <w:r>
        <w:rPr/>
        <w:t>元（含税），共派发股利</w:t>
      </w:r>
      <w:r>
        <w:rPr>
          <w:rFonts w:ascii="Times New Roman" w:hAnsi="Times New Roman" w:cs="Times New Roman" w:eastAsia="Times New Roman" w:hint="default"/>
        </w:rPr>
        <w:t>31,110,000.00</w:t>
      </w:r>
      <w:r>
        <w:rPr/>
        <w:t>元，同时，以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103,700,000</w:t>
      </w:r>
      <w:r>
        <w:rPr/>
        <w:t>股为基数进行资本公积转增股本，每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4</w:t>
      </w:r>
      <w:r>
        <w:rPr/>
        <w:t>月，公司</w:t>
      </w:r>
      <w:r>
        <w:rPr>
          <w:rFonts w:ascii="Times New Roman" w:hAnsi="Times New Roman" w:cs="Times New Roman" w:eastAsia="Times New Roman" w:hint="default"/>
        </w:rPr>
        <w:t>2011</w:t>
      </w:r>
      <w:r>
        <w:rPr/>
        <w:t>年年度权益分配方 案实施完毕。</w:t>
      </w:r>
    </w:p>
    <w:p>
      <w:pPr>
        <w:pStyle w:val="BodyText"/>
        <w:spacing w:line="300" w:lineRule="auto" w:before="72"/>
        <w:ind w:right="195" w:firstLine="419"/>
        <w:jc w:val="both"/>
      </w:pPr>
      <w:r>
        <w:rPr>
          <w:spacing w:val="-2"/>
        </w:rPr>
        <w:t>（</w:t>
      </w:r>
      <w:r>
        <w:rPr>
          <w:rFonts w:ascii="宋体" w:hAnsi="宋体" w:cs="宋体" w:eastAsia="宋体" w:hint="default"/>
          <w:spacing w:val="-2"/>
        </w:rPr>
        <w:t>2</w:t>
      </w:r>
      <w:r>
        <w:rPr>
          <w:spacing w:val="-2"/>
        </w:rPr>
        <w:t>）</w:t>
      </w:r>
      <w:r>
        <w:rPr>
          <w:rFonts w:ascii="Times New Roman" w:hAnsi="Times New Roman" w:cs="Times New Roman" w:eastAsia="Times New Roman" w:hint="default"/>
          <w:spacing w:val="-2"/>
        </w:rPr>
        <w:t>2012</w:t>
      </w:r>
      <w:r>
        <w:rPr>
          <w:spacing w:val="-2"/>
        </w:rPr>
        <w:t>年度，公司四大业务领域的产品分别获得重要荣誉，其中：榕基环保数据分析平台、榕基</w:t>
      </w:r>
      <w:r>
        <w:rPr>
          <w:rFonts w:ascii="Times New Roman" w:hAnsi="Times New Roman" w:cs="Times New Roman" w:eastAsia="Times New Roman" w:hint="default"/>
          <w:spacing w:val="-2"/>
        </w:rPr>
        <w:t>RJ-EASY</w:t>
      </w:r>
      <w:r>
        <w:rPr>
          <w:spacing w:val="-2"/>
        </w:rPr>
        <w:t>质检企业</w:t>
      </w:r>
      <w:r>
        <w:rPr/>
        <w:t> 端软件系统荣获</w:t>
      </w:r>
      <w:r>
        <w:rPr>
          <w:rFonts w:ascii="Times New Roman" w:hAnsi="Times New Roman" w:cs="Times New Roman" w:eastAsia="Times New Roman" w:hint="default"/>
        </w:rPr>
        <w:t>“</w:t>
      </w:r>
      <w:r>
        <w:rPr/>
        <w:t>福建名牌产品</w:t>
      </w:r>
      <w:r>
        <w:rPr>
          <w:rFonts w:ascii="Times New Roman" w:hAnsi="Times New Roman" w:cs="Times New Roman" w:eastAsia="Times New Roman" w:hint="default"/>
        </w:rPr>
        <w:t>”</w:t>
      </w:r>
      <w:r>
        <w:rPr/>
        <w:t>称号，榕基</w:t>
      </w:r>
      <w:r>
        <w:rPr>
          <w:rFonts w:ascii="Times New Roman" w:hAnsi="Times New Roman" w:cs="Times New Roman" w:eastAsia="Times New Roman" w:hint="default"/>
        </w:rPr>
        <w:t>RJ-EASY</w:t>
      </w:r>
      <w:r>
        <w:rPr/>
        <w:t>质检企业端软件系统和榕基</w:t>
      </w:r>
      <w:r>
        <w:rPr>
          <w:rFonts w:ascii="Times New Roman" w:hAnsi="Times New Roman" w:cs="Times New Roman" w:eastAsia="Times New Roman" w:hint="default"/>
        </w:rPr>
        <w:t>RJ-iTask</w:t>
      </w:r>
      <w:r>
        <w:rPr/>
        <w:t>任务管理平台分别荣获第</w:t>
      </w:r>
      <w:r>
        <w:rPr>
          <w:rFonts w:ascii="Times New Roman" w:hAnsi="Times New Roman" w:cs="Times New Roman" w:eastAsia="Times New Roman" w:hint="default"/>
        </w:rPr>
        <w:t>16</w:t>
      </w:r>
      <w:r>
        <w:rPr/>
        <w:t>届软博 会金奖和创新奖。</w:t>
      </w:r>
    </w:p>
    <w:p>
      <w:pPr>
        <w:pStyle w:val="BodyText"/>
        <w:spacing w:line="240" w:lineRule="auto" w:before="70"/>
        <w:ind w:left="572" w:right="0"/>
        <w:jc w:val="left"/>
      </w:pPr>
      <w:r>
        <w:rPr/>
        <w:t>（</w:t>
      </w:r>
      <w:r>
        <w:rPr>
          <w:rFonts w:ascii="宋体" w:hAnsi="宋体" w:cs="宋体" w:eastAsia="宋体" w:hint="default"/>
        </w:rPr>
        <w:t>3</w:t>
      </w:r>
      <w:r>
        <w:rPr/>
        <w:t>）</w:t>
      </w:r>
      <w:r>
        <w:rPr>
          <w:rFonts w:ascii="Times New Roman" w:hAnsi="Times New Roman" w:cs="Times New Roman" w:eastAsia="Times New Roman" w:hint="default"/>
        </w:rPr>
        <w:t>1</w:t>
      </w:r>
      <w:r>
        <w:rPr/>
        <w:t>月，公司被福建省信息化局授予</w:t>
      </w:r>
      <w:r>
        <w:rPr>
          <w:rFonts w:ascii="Times New Roman" w:hAnsi="Times New Roman" w:cs="Times New Roman" w:eastAsia="Times New Roman" w:hint="default"/>
        </w:rPr>
        <w:t>2011</w:t>
      </w:r>
      <w:r>
        <w:rPr/>
        <w:t>年度</w:t>
      </w:r>
      <w:r>
        <w:rPr>
          <w:rFonts w:ascii="Times New Roman" w:hAnsi="Times New Roman" w:cs="Times New Roman" w:eastAsia="Times New Roman" w:hint="default"/>
        </w:rPr>
        <w:t>“</w:t>
      </w:r>
      <w:r>
        <w:rPr/>
        <w:t>福建省软件骨干企业</w:t>
      </w:r>
      <w:r>
        <w:rPr>
          <w:rFonts w:ascii="Times New Roman" w:hAnsi="Times New Roman" w:cs="Times New Roman" w:eastAsia="Times New Roman" w:hint="default"/>
        </w:rPr>
        <w:t>”</w:t>
      </w:r>
      <w:r>
        <w:rPr/>
        <w:t>称号。</w:t>
      </w:r>
    </w:p>
    <w:p>
      <w:pPr>
        <w:pStyle w:val="BodyText"/>
        <w:spacing w:line="300" w:lineRule="auto" w:before="103"/>
        <w:ind w:left="153" w:right="195" w:firstLine="419"/>
        <w:jc w:val="both"/>
      </w:pPr>
      <w:r>
        <w:rPr>
          <w:spacing w:val="-1"/>
        </w:rPr>
        <w:t>（</w:t>
      </w:r>
      <w:r>
        <w:rPr>
          <w:rFonts w:ascii="宋体" w:hAnsi="宋体" w:cs="宋体" w:eastAsia="宋体" w:hint="default"/>
          <w:spacing w:val="-1"/>
        </w:rPr>
        <w:t>4</w:t>
      </w:r>
      <w:r>
        <w:rPr>
          <w:spacing w:val="-1"/>
        </w:rPr>
        <w:t>）</w:t>
      </w:r>
      <w:r>
        <w:rPr>
          <w:rFonts w:ascii="Times New Roman" w:hAnsi="Times New Roman" w:cs="Times New Roman" w:eastAsia="Times New Roman" w:hint="default"/>
          <w:spacing w:val="-1"/>
        </w:rPr>
        <w:t>4</w:t>
      </w:r>
      <w:r>
        <w:rPr>
          <w:spacing w:val="-1"/>
        </w:rPr>
        <w:t>月，公司获得</w:t>
      </w:r>
      <w:r>
        <w:rPr>
          <w:rFonts w:ascii="Times New Roman" w:hAnsi="Times New Roman" w:cs="Times New Roman" w:eastAsia="Times New Roman" w:hint="default"/>
          <w:spacing w:val="-1"/>
        </w:rPr>
        <w:t>“ISO14001:2004</w:t>
      </w:r>
      <w:r>
        <w:rPr>
          <w:spacing w:val="-1"/>
        </w:rPr>
        <w:t>环境管理体系</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“ISO18000</w:t>
      </w:r>
      <w:r>
        <w:rPr>
          <w:spacing w:val="-1"/>
        </w:rPr>
        <w:t>职业健康安全管理体系</w:t>
      </w:r>
      <w:r>
        <w:rPr>
          <w:rFonts w:ascii="Times New Roman" w:hAnsi="Times New Roman" w:cs="Times New Roman" w:eastAsia="Times New Roman" w:hint="default"/>
          <w:spacing w:val="-1"/>
        </w:rPr>
        <w:t>”</w:t>
      </w:r>
      <w:r>
        <w:rPr>
          <w:spacing w:val="-1"/>
        </w:rPr>
        <w:t>认证证书，通过了一体化质量</w:t>
      </w:r>
      <w:r>
        <w:rPr/>
        <w:t> 管理、环境管理和职业健康安全管理体系认证。</w:t>
      </w:r>
    </w:p>
    <w:p>
      <w:pPr>
        <w:pStyle w:val="BodyText"/>
        <w:spacing w:line="240" w:lineRule="auto" w:before="72"/>
        <w:ind w:left="572" w:right="0"/>
        <w:jc w:val="left"/>
      </w:pPr>
      <w:r>
        <w:rPr/>
        <w:t>（</w:t>
      </w:r>
      <w:r>
        <w:rPr>
          <w:rFonts w:ascii="宋体" w:hAnsi="宋体" w:cs="宋体" w:eastAsia="宋体" w:hint="default"/>
        </w:rPr>
        <w:t>5</w:t>
      </w:r>
      <w:r>
        <w:rPr/>
        <w:t>）</w:t>
      </w:r>
      <w:r>
        <w:rPr>
          <w:rFonts w:ascii="Times New Roman" w:hAnsi="Times New Roman" w:cs="Times New Roman" w:eastAsia="Times New Roman" w:hint="default"/>
        </w:rPr>
        <w:t>4</w:t>
      </w:r>
      <w:r>
        <w:rPr/>
        <w:t>月，公司董事长、总裁鲁峰先生入选首批</w:t>
      </w:r>
      <w:r>
        <w:rPr>
          <w:rFonts w:ascii="Times New Roman" w:hAnsi="Times New Roman" w:cs="Times New Roman" w:eastAsia="Times New Roman" w:hint="default"/>
        </w:rPr>
        <w:t>“</w:t>
      </w:r>
      <w:r>
        <w:rPr/>
        <w:t>海西创业英才</w:t>
      </w:r>
      <w:r>
        <w:rPr>
          <w:rFonts w:ascii="Times New Roman" w:hAnsi="Times New Roman" w:cs="Times New Roman" w:eastAsia="Times New Roman" w:hint="default"/>
        </w:rPr>
        <w:t>”</w:t>
      </w:r>
      <w:r>
        <w:rPr/>
        <w:t>。</w:t>
      </w:r>
    </w:p>
    <w:p>
      <w:pPr>
        <w:pStyle w:val="BodyText"/>
        <w:spacing w:line="240" w:lineRule="auto" w:before="101"/>
        <w:ind w:left="573" w:right="0"/>
        <w:jc w:val="left"/>
      </w:pPr>
      <w:r>
        <w:rPr/>
        <w:t>（</w:t>
      </w:r>
      <w:r>
        <w:rPr>
          <w:rFonts w:ascii="宋体" w:hAnsi="宋体" w:cs="宋体" w:eastAsia="宋体" w:hint="default"/>
        </w:rPr>
        <w:t>6</w:t>
      </w:r>
      <w:r>
        <w:rPr/>
        <w:t>）</w:t>
      </w:r>
      <w:r>
        <w:rPr>
          <w:rFonts w:ascii="Times New Roman" w:hAnsi="Times New Roman" w:cs="Times New Roman" w:eastAsia="Times New Roman" w:hint="default"/>
        </w:rPr>
        <w:t>5</w:t>
      </w:r>
      <w:r>
        <w:rPr/>
        <w:t>月，公司承建河南省旅游服务中心云计算平台建设项目，该项目是云计算解决方案在智慧旅游领域的首次应用。</w:t>
      </w:r>
    </w:p>
    <w:p>
      <w:pPr>
        <w:pStyle w:val="BodyText"/>
        <w:spacing w:line="300" w:lineRule="auto" w:before="103"/>
        <w:ind w:left="153" w:right="192" w:firstLine="419"/>
        <w:jc w:val="both"/>
      </w:pPr>
      <w:r>
        <w:rPr/>
        <w:t>（</w:t>
      </w:r>
      <w:r>
        <w:rPr>
          <w:rFonts w:ascii="宋体" w:hAnsi="宋体" w:cs="宋体" w:eastAsia="宋体" w:hint="default"/>
        </w:rPr>
        <w:t>7</w:t>
      </w:r>
      <w:r>
        <w:rPr/>
        <w:t>）</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RJ-ICOM</w:t>
      </w:r>
      <w:r>
        <w:rPr>
          <w:rFonts w:ascii="Times New Roman" w:hAnsi="Times New Roman" w:cs="Times New Roman" w:eastAsia="Times New Roman" w:hint="default"/>
          <w:spacing w:val="-7"/>
        </w:rPr>
        <w:t> </w:t>
      </w:r>
      <w:r>
        <w:rPr/>
        <w:t>榕基内控运维管理系统研发及产业化项目，获国家发改委批准列入</w:t>
      </w:r>
      <w:r>
        <w:rPr>
          <w:rFonts w:ascii="Times New Roman" w:hAnsi="Times New Roman" w:cs="Times New Roman" w:eastAsia="Times New Roman" w:hint="default"/>
        </w:rPr>
        <w:t>2011</w:t>
      </w:r>
      <w:r>
        <w:rPr/>
        <w:t>年信息安全专项，并获得 专项资金支持，将有助于信息安全业务的推广。</w:t>
      </w:r>
    </w:p>
    <w:p>
      <w:pPr>
        <w:pStyle w:val="BodyText"/>
        <w:spacing w:line="300" w:lineRule="auto" w:before="72"/>
        <w:ind w:left="153" w:right="252" w:firstLine="419"/>
        <w:jc w:val="both"/>
      </w:pPr>
      <w:r>
        <w:rPr/>
        <w:t>（</w:t>
      </w:r>
      <w:r>
        <w:rPr>
          <w:rFonts w:ascii="宋体" w:hAnsi="宋体" w:cs="宋体" w:eastAsia="宋体" w:hint="default"/>
        </w:rPr>
        <w:t>8</w:t>
      </w:r>
      <w:r>
        <w:rPr/>
        <w:t>）</w:t>
      </w:r>
      <w:r>
        <w:rPr>
          <w:rFonts w:ascii="Times New Roman" w:hAnsi="Times New Roman" w:cs="Times New Roman" w:eastAsia="Times New Roman" w:hint="default"/>
        </w:rPr>
        <w:t>7</w:t>
      </w:r>
      <w:r>
        <w:rPr/>
        <w:t>月，公司中标国家质检总局中国电子检验检疫主干系统开发项目，标志着公司全面步入国家</w:t>
      </w:r>
      <w:r>
        <w:rPr>
          <w:rFonts w:ascii="Times New Roman" w:hAnsi="Times New Roman" w:cs="Times New Roman" w:eastAsia="Times New Roman" w:hint="default"/>
        </w:rPr>
        <w:t>“</w:t>
      </w:r>
      <w:r>
        <w:rPr/>
        <w:t>金质工程</w:t>
      </w:r>
      <w:r>
        <w:rPr>
          <w:rFonts w:ascii="Times New Roman" w:hAnsi="Times New Roman" w:cs="Times New Roman" w:eastAsia="Times New Roman" w:hint="default"/>
        </w:rPr>
        <w:t>”</w:t>
      </w:r>
      <w:r>
        <w:rPr/>
        <w:t>核心业 务信息化领域。</w:t>
      </w:r>
    </w:p>
    <w:p>
      <w:pPr>
        <w:pStyle w:val="BodyText"/>
        <w:spacing w:line="240" w:lineRule="auto" w:before="70"/>
        <w:ind w:left="573" w:right="0"/>
        <w:jc w:val="left"/>
      </w:pPr>
      <w:r>
        <w:rPr/>
        <w:t>（</w:t>
      </w:r>
      <w:r>
        <w:rPr>
          <w:rFonts w:ascii="宋体" w:hAnsi="宋体" w:cs="宋体" w:eastAsia="宋体" w:hint="default"/>
        </w:rPr>
        <w:t>9</w:t>
      </w:r>
      <w:r>
        <w:rPr/>
        <w:t>）</w:t>
      </w:r>
      <w:r>
        <w:rPr>
          <w:rFonts w:ascii="Times New Roman" w:hAnsi="Times New Roman" w:cs="Times New Roman" w:eastAsia="Times New Roman" w:hint="default"/>
        </w:rPr>
        <w:t>7</w:t>
      </w:r>
      <w:r>
        <w:rPr/>
        <w:t>月，成立福建榕基投资有限公司，注册资本</w:t>
      </w:r>
      <w:r>
        <w:rPr>
          <w:rFonts w:ascii="Times New Roman" w:hAnsi="Times New Roman" w:cs="Times New Roman" w:eastAsia="Times New Roman" w:hint="default"/>
        </w:rPr>
        <w:t>5,000</w:t>
      </w:r>
      <w:r>
        <w:rPr/>
        <w:t>万元人民币。</w:t>
      </w:r>
    </w:p>
    <w:p>
      <w:pPr>
        <w:pStyle w:val="BodyText"/>
        <w:spacing w:line="300" w:lineRule="auto" w:before="103"/>
        <w:ind w:left="153" w:right="193" w:firstLine="419"/>
        <w:jc w:val="both"/>
      </w:pPr>
      <w:r>
        <w:rPr>
          <w:spacing w:val="-2"/>
        </w:rPr>
        <w:t>（</w:t>
      </w:r>
      <w:r>
        <w:rPr>
          <w:rFonts w:ascii="宋体" w:hAnsi="宋体" w:cs="宋体" w:eastAsia="宋体" w:hint="default"/>
          <w:spacing w:val="-2"/>
        </w:rPr>
        <w:t>10</w:t>
      </w:r>
      <w:r>
        <w:rPr>
          <w:spacing w:val="-2"/>
        </w:rPr>
        <w:t>）</w:t>
      </w:r>
      <w:r>
        <w:rPr>
          <w:rFonts w:ascii="Times New Roman" w:hAnsi="Times New Roman" w:cs="Times New Roman" w:eastAsia="Times New Roman" w:hint="default"/>
          <w:spacing w:val="-2"/>
        </w:rPr>
        <w:t>7</w:t>
      </w:r>
      <w:r>
        <w:rPr>
          <w:spacing w:val="-2"/>
        </w:rPr>
        <w:t>月，榕基（马鞍山）软件园一期工程项目开工。项目将构建一流的研发中心、客户技术服务中心，以进一步提</w:t>
      </w:r>
      <w:r>
        <w:rPr/>
        <w:t> 升客户技术服务水平和品质，更好为客户提供优质服务，推进公司实现区域布局的发展战略。</w:t>
      </w:r>
    </w:p>
    <w:p>
      <w:pPr>
        <w:pStyle w:val="BodyText"/>
        <w:spacing w:line="240" w:lineRule="auto" w:before="72"/>
        <w:ind w:left="573" w:right="0"/>
        <w:jc w:val="left"/>
      </w:pPr>
      <w:r>
        <w:rPr/>
        <w:t>（</w:t>
      </w:r>
      <w:r>
        <w:rPr>
          <w:rFonts w:ascii="宋体" w:hAnsi="宋体" w:cs="宋体" w:eastAsia="宋体" w:hint="default"/>
        </w:rPr>
        <w:t>11</w:t>
      </w:r>
      <w:r>
        <w:rPr/>
        <w:t>）</w:t>
      </w:r>
      <w:r>
        <w:rPr>
          <w:rFonts w:ascii="Times New Roman" w:hAnsi="Times New Roman" w:cs="Times New Roman" w:eastAsia="Times New Roman" w:hint="default"/>
        </w:rPr>
        <w:t>8</w:t>
      </w:r>
      <w:r>
        <w:rPr/>
        <w:t>月，公司在</w:t>
      </w:r>
      <w:r>
        <w:rPr>
          <w:rFonts w:ascii="Times New Roman" w:hAnsi="Times New Roman" w:cs="Times New Roman" w:eastAsia="Times New Roman" w:hint="default"/>
        </w:rPr>
        <w:t>“2012</w:t>
      </w:r>
      <w:r>
        <w:rPr/>
        <w:t>年电子政务应用发展研讨会</w:t>
      </w:r>
      <w:r>
        <w:rPr>
          <w:rFonts w:ascii="Times New Roman" w:hAnsi="Times New Roman" w:cs="Times New Roman" w:eastAsia="Times New Roman" w:hint="default"/>
        </w:rPr>
        <w:t>”</w:t>
      </w:r>
      <w:r>
        <w:rPr/>
        <w:t>上荣获</w:t>
      </w:r>
      <w:r>
        <w:rPr>
          <w:rFonts w:ascii="Times New Roman" w:hAnsi="Times New Roman" w:cs="Times New Roman" w:eastAsia="Times New Roman" w:hint="default"/>
        </w:rPr>
        <w:t>“</w:t>
      </w:r>
      <w:r>
        <w:rPr/>
        <w:t>全国电子政务十大杰出</w:t>
      </w:r>
      <w:r>
        <w:rPr>
          <w:rFonts w:ascii="Times New Roman" w:hAnsi="Times New Roman" w:cs="Times New Roman" w:eastAsia="Times New Roman" w:hint="default"/>
        </w:rPr>
        <w:t>IT</w:t>
      </w:r>
      <w:r>
        <w:rPr/>
        <w:t>品牌</w:t>
      </w:r>
      <w:r>
        <w:rPr>
          <w:rFonts w:ascii="Times New Roman" w:hAnsi="Times New Roman" w:cs="Times New Roman" w:eastAsia="Times New Roman" w:hint="default"/>
        </w:rPr>
        <w:t>”</w:t>
      </w:r>
      <w:r>
        <w:rPr/>
        <w:t>。</w:t>
      </w:r>
    </w:p>
    <w:p>
      <w:pPr>
        <w:pStyle w:val="BodyText"/>
        <w:spacing w:line="240" w:lineRule="auto" w:before="101"/>
        <w:ind w:left="573" w:right="0"/>
        <w:jc w:val="left"/>
      </w:pPr>
      <w:r>
        <w:rPr/>
        <w:t>（</w:t>
      </w:r>
      <w:r>
        <w:rPr>
          <w:rFonts w:ascii="宋体" w:hAnsi="宋体" w:cs="宋体" w:eastAsia="宋体" w:hint="default"/>
        </w:rPr>
        <w:t>12</w:t>
      </w:r>
      <w:r>
        <w:rPr/>
        <w:t>）</w:t>
      </w:r>
      <w:r>
        <w:rPr>
          <w:rFonts w:ascii="Times New Roman" w:hAnsi="Times New Roman" w:cs="Times New Roman" w:eastAsia="Times New Roman" w:hint="default"/>
        </w:rPr>
        <w:t>10</w:t>
      </w:r>
      <w:r>
        <w:rPr/>
        <w:t>月，公司获得第一届</w:t>
      </w:r>
      <w:r>
        <w:rPr>
          <w:rFonts w:ascii="Times New Roman" w:hAnsi="Times New Roman" w:cs="Times New Roman" w:eastAsia="Times New Roman" w:hint="default"/>
        </w:rPr>
        <w:t>“</w:t>
      </w:r>
      <w:r>
        <w:rPr/>
        <w:t>福州市政府质量奖</w:t>
      </w:r>
      <w:r>
        <w:rPr>
          <w:rFonts w:ascii="Times New Roman" w:hAnsi="Times New Roman" w:cs="Times New Roman" w:eastAsia="Times New Roman" w:hint="default"/>
        </w:rPr>
        <w:t>”</w:t>
      </w:r>
      <w:r>
        <w:rPr/>
        <w:t>，成为福建省首家获此殊荣的软件企业。</w:t>
      </w:r>
    </w:p>
    <w:p>
      <w:pPr>
        <w:pStyle w:val="BodyText"/>
        <w:spacing w:line="300" w:lineRule="auto" w:before="103"/>
        <w:ind w:left="153" w:right="230" w:firstLine="420"/>
        <w:jc w:val="both"/>
      </w:pPr>
      <w:r>
        <w:rPr/>
        <w:t>（</w:t>
      </w:r>
      <w:r>
        <w:rPr>
          <w:rFonts w:ascii="宋体" w:hAnsi="宋体" w:cs="宋体" w:eastAsia="宋体" w:hint="default"/>
        </w:rPr>
        <w:t>13</w:t>
      </w:r>
      <w:r>
        <w:rPr/>
        <w:t>）</w:t>
      </w:r>
      <w:r>
        <w:rPr>
          <w:rFonts w:ascii="Times New Roman" w:hAnsi="Times New Roman" w:cs="Times New Roman" w:eastAsia="Times New Roman" w:hint="default"/>
        </w:rPr>
        <w:t>11</w:t>
      </w:r>
      <w:r>
        <w:rPr/>
        <w:t>月，五一公司与全球最大的综合布线厂商康普公司签订战略合作协议，成为康普授权的中国经销商，这是公 司通过商业模式创新实现规模化发展的重要发展战略。</w:t>
      </w:r>
    </w:p>
    <w:p>
      <w:pPr>
        <w:pStyle w:val="BodyText"/>
        <w:spacing w:line="300" w:lineRule="auto" w:before="72"/>
        <w:ind w:left="153" w:right="252" w:firstLine="419"/>
        <w:jc w:val="both"/>
      </w:pPr>
      <w:r>
        <w:rPr/>
        <w:t>（</w:t>
      </w:r>
      <w:r>
        <w:rPr>
          <w:rFonts w:ascii="宋体" w:hAnsi="宋体" w:cs="宋体" w:eastAsia="宋体" w:hint="default"/>
        </w:rPr>
        <w:t>14</w:t>
      </w:r>
      <w:r>
        <w:rPr/>
        <w:t>）</w:t>
      </w:r>
      <w:r>
        <w:rPr>
          <w:rFonts w:ascii="Times New Roman" w:hAnsi="Times New Roman" w:cs="Times New Roman" w:eastAsia="Times New Roman" w:hint="default"/>
        </w:rPr>
        <w:t>12</w:t>
      </w:r>
      <w:r>
        <w:rPr/>
        <w:t>月，公司被科技部、国务院国资委和中华全国总工会联合认定为</w:t>
      </w:r>
      <w:r>
        <w:rPr>
          <w:rFonts w:ascii="Times New Roman" w:hAnsi="Times New Roman" w:cs="Times New Roman" w:eastAsia="Times New Roman" w:hint="default"/>
        </w:rPr>
        <w:t>“</w:t>
      </w:r>
      <w:r>
        <w:rPr/>
        <w:t>国家创新型试点企业</w:t>
      </w:r>
      <w:r>
        <w:rPr>
          <w:rFonts w:ascii="Times New Roman" w:hAnsi="Times New Roman" w:cs="Times New Roman" w:eastAsia="Times New Roman" w:hint="default"/>
        </w:rPr>
        <w:t>”</w:t>
      </w:r>
      <w:r>
        <w:rPr/>
        <w:t>，这是国家对公司持 续创新能力和行业关键技术水平的充分认可。</w:t>
      </w:r>
    </w:p>
    <w:p>
      <w:pPr>
        <w:pStyle w:val="BodyText"/>
        <w:spacing w:line="309" w:lineRule="auto" w:before="70"/>
        <w:ind w:left="153" w:right="190" w:firstLine="419"/>
        <w:jc w:val="both"/>
      </w:pPr>
      <w:r>
        <w:rPr>
          <w:spacing w:val="-1"/>
        </w:rPr>
        <w:t>（</w:t>
      </w:r>
      <w:r>
        <w:rPr>
          <w:rFonts w:ascii="宋体" w:hAnsi="宋体" w:cs="宋体" w:eastAsia="宋体" w:hint="default"/>
          <w:spacing w:val="-1"/>
        </w:rPr>
        <w:t>15</w:t>
      </w:r>
      <w:r>
        <w:rPr>
          <w:spacing w:val="-1"/>
        </w:rPr>
        <w:t>）</w:t>
      </w:r>
      <w:r>
        <w:rPr>
          <w:rFonts w:ascii="Times New Roman" w:hAnsi="Times New Roman" w:cs="Times New Roman" w:eastAsia="Times New Roman" w:hint="default"/>
          <w:spacing w:val="-1"/>
        </w:rPr>
        <w:t>12</w:t>
      </w:r>
      <w:r>
        <w:rPr>
          <w:spacing w:val="-1"/>
        </w:rPr>
        <w:t>月，公司根据业务需要投资</w:t>
      </w:r>
      <w:r>
        <w:rPr>
          <w:rFonts w:ascii="Times New Roman" w:hAnsi="Times New Roman" w:cs="Times New Roman" w:eastAsia="Times New Roman" w:hint="default"/>
          <w:spacing w:val="-1"/>
        </w:rPr>
        <w:t>3,000</w:t>
      </w:r>
      <w:r>
        <w:rPr>
          <w:spacing w:val="-1"/>
        </w:rPr>
        <w:t>万元在香港设立全资子公司榕基国际控股有限公司。作为公司开拓国际市场</w:t>
      </w:r>
      <w:r>
        <w:rPr/>
        <w:t> </w:t>
      </w:r>
      <w:r>
        <w:rPr>
          <w:spacing w:val="-2"/>
        </w:rPr>
        <w:t>的窗口，香港公司的设立能够更好的促进公司与国际市场的交流与合作，及时获取国际市场的最新信息；有利于开拓国际业</w:t>
      </w:r>
      <w:r>
        <w:rPr>
          <w:spacing w:val="-63"/>
        </w:rPr>
        <w:t> </w:t>
      </w:r>
      <w:r>
        <w:rPr>
          <w:spacing w:val="-63"/>
        </w:rPr>
      </w:r>
      <w:r>
        <w:rPr/>
        <w:t>务，符合公司的国际化发展战略。</w:t>
      </w:r>
    </w:p>
    <w:p>
      <w:pPr>
        <w:spacing w:after="0" w:line="309" w:lineRule="auto"/>
        <w:jc w:val="both"/>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w:t>
      </w:r>
      <w:bookmarkStart w:name="二、主营业务分析" w:id="21"/>
      <w:bookmarkEnd w:id="21"/>
      <w:r>
        <w:rPr/>
        <w:t>、</w:t>
      </w:r>
      <w:r>
        <w:rPr/>
        <w:t>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90" w:firstLine="420"/>
        <w:jc w:val="both"/>
      </w:pPr>
      <w:r>
        <w:rPr>
          <w:rFonts w:ascii="Times New Roman" w:hAnsi="Times New Roman" w:cs="Times New Roman" w:eastAsia="Times New Roman" w:hint="default"/>
        </w:rPr>
        <w:t>2012</w:t>
      </w:r>
      <w:bookmarkStart w:name="1、概述" w:id="22"/>
      <w:bookmarkEnd w:id="22"/>
      <w:r>
        <w:rPr>
          <w:rFonts w:ascii="Times New Roman" w:hAnsi="Times New Roman" w:cs="Times New Roman" w:eastAsia="Times New Roman" w:hint="default"/>
        </w:rPr>
      </w:r>
      <w:r>
        <w:rPr/>
        <w:t>年公司共实现营业收入</w:t>
      </w:r>
      <w:r>
        <w:rPr>
          <w:rFonts w:ascii="Times New Roman" w:hAnsi="Times New Roman" w:cs="Times New Roman" w:eastAsia="Times New Roman" w:hint="default"/>
        </w:rPr>
        <w:t>56,831.98</w:t>
      </w:r>
      <w:r>
        <w:rPr/>
        <w:t>万元，比上年同期增长</w:t>
      </w:r>
      <w:r>
        <w:rPr>
          <w:rFonts w:ascii="Times New Roman" w:hAnsi="Times New Roman" w:cs="Times New Roman" w:eastAsia="Times New Roman" w:hint="default"/>
        </w:rPr>
        <w:t>31.27%</w:t>
      </w:r>
      <w:r>
        <w:rPr/>
        <w:t>，主要是公司加强市场开拓，产品收入得到稳步增 长；营业成本比上年同期增长</w:t>
      </w:r>
      <w:r>
        <w:rPr>
          <w:rFonts w:ascii="Times New Roman" w:hAnsi="Times New Roman" w:cs="Times New Roman" w:eastAsia="Times New Roman" w:hint="default"/>
        </w:rPr>
        <w:t>45.14%</w:t>
      </w:r>
      <w:r>
        <w:rPr/>
        <w:t>，主要是报告期对毛利贡献较低的集成收入较上年同期增长，成本略有波动；销售费 用比上年同期增长</w:t>
      </w:r>
      <w:r>
        <w:rPr>
          <w:rFonts w:ascii="Times New Roman" w:hAnsi="Times New Roman" w:cs="Times New Roman" w:eastAsia="Times New Roman" w:hint="default"/>
        </w:rPr>
        <w:t>20.52%</w:t>
      </w:r>
      <w:r>
        <w:rPr/>
        <w:t>，为拓展市场，加大销售投入，管理费用比上年同期增长</w:t>
      </w:r>
      <w:r>
        <w:rPr>
          <w:rFonts w:ascii="Times New Roman" w:hAnsi="Times New Roman" w:cs="Times New Roman" w:eastAsia="Times New Roman" w:hint="default"/>
        </w:rPr>
        <w:t>67.72%</w:t>
      </w:r>
      <w:r>
        <w:rPr/>
        <w:t>，主要是报告期职工薪酬、研发 支出、无形资产摊销费用等增加；财务费用比上年同期减少</w:t>
      </w:r>
      <w:r>
        <w:rPr>
          <w:rFonts w:ascii="Times New Roman" w:hAnsi="Times New Roman" w:cs="Times New Roman" w:eastAsia="Times New Roman" w:hint="default"/>
        </w:rPr>
        <w:t>47.20%</w:t>
      </w:r>
      <w:r>
        <w:rPr/>
        <w:t>，主要是报告期定期存款利息增加；经营活动产生的现 金流量净额较上年同期增加</w:t>
      </w:r>
      <w:r>
        <w:rPr>
          <w:rFonts w:ascii="Times New Roman" w:hAnsi="Times New Roman" w:cs="Times New Roman" w:eastAsia="Times New Roman" w:hint="default"/>
        </w:rPr>
        <w:t>41.09%</w:t>
      </w:r>
      <w:r>
        <w:rPr/>
        <w:t>，主要是报告期公司收到销售货款增加；投资活动产生的现金流量净额较上年同期减少 </w:t>
      </w:r>
      <w:r>
        <w:rPr>
          <w:rFonts w:ascii="Times New Roman" w:hAnsi="Times New Roman" w:cs="Times New Roman" w:eastAsia="Times New Roman" w:hint="default"/>
          <w:spacing w:val="-1"/>
        </w:rPr>
        <w:t>141.27%</w:t>
      </w:r>
      <w:r>
        <w:rPr>
          <w:spacing w:val="-1"/>
        </w:rPr>
        <w:t>，主要是报告期末定期存款增加；筹资活动产生的现金流量净额较上年同期减少</w:t>
      </w:r>
      <w:r>
        <w:rPr>
          <w:rFonts w:ascii="Times New Roman" w:hAnsi="Times New Roman" w:cs="Times New Roman" w:eastAsia="Times New Roman" w:hint="default"/>
          <w:spacing w:val="-1"/>
        </w:rPr>
        <w:t>50.42%</w:t>
      </w:r>
      <w:r>
        <w:rPr>
          <w:spacing w:val="-1"/>
        </w:rPr>
        <w:t>，主要是报告期发放现金股</w:t>
      </w:r>
      <w:r>
        <w:rPr>
          <w:spacing w:val="-57"/>
        </w:rPr>
        <w:t> </w:t>
      </w:r>
      <w:r>
        <w:rPr>
          <w:spacing w:val="-57"/>
        </w:rPr>
      </w:r>
      <w:r>
        <w:rPr/>
        <w:t>利较上年同期减少。</w:t>
      </w:r>
    </w:p>
    <w:p>
      <w:pPr>
        <w:pStyle w:val="BodyText"/>
        <w:spacing w:line="357" w:lineRule="auto" w:before="72"/>
        <w:ind w:left="572" w:right="234" w:hanging="420"/>
        <w:jc w:val="left"/>
        <w:rPr>
          <w:rFonts w:ascii="Times New Roman" w:hAnsi="Times New Roman" w:cs="Times New Roman" w:eastAsia="Times New Roman" w:hint="default"/>
        </w:rPr>
      </w:pPr>
      <w:r>
        <w:rPr/>
        <w:t>公司回顾总结前期披露的发展战略和经营计划在报告期内的进展情况 公司招股说明书披露的未来两年的发展计划延续至本报告期内。报告期内，公司继续坚持</w:t>
      </w:r>
      <w:r>
        <w:rPr>
          <w:rFonts w:ascii="Times New Roman" w:hAnsi="Times New Roman" w:cs="Times New Roman" w:eastAsia="Times New Roman" w:hint="default"/>
        </w:rPr>
        <w:t>“</w:t>
      </w:r>
      <w:r>
        <w:rPr/>
        <w:t>行业化、产品化、服务化</w:t>
      </w:r>
      <w:r>
        <w:rPr>
          <w:rFonts w:ascii="Times New Roman" w:hAnsi="Times New Roman" w:cs="Times New Roman" w:eastAsia="Times New Roman" w:hint="default"/>
        </w:rPr>
        <w:t>”</w:t>
      </w:r>
    </w:p>
    <w:p>
      <w:pPr>
        <w:pStyle w:val="BodyText"/>
        <w:spacing w:line="201" w:lineRule="exact"/>
        <w:ind w:right="0"/>
        <w:jc w:val="left"/>
      </w:pPr>
      <w:r>
        <w:rPr/>
        <w:t>发展战略，提升电子政务、信息安全、质检三电工程和协同管理四个领域软件产品和服务的产业化速度，拓展行业应用深度</w:t>
      </w:r>
    </w:p>
    <w:p>
      <w:pPr>
        <w:pStyle w:val="BodyText"/>
        <w:spacing w:line="316" w:lineRule="auto" w:before="76"/>
        <w:ind w:right="0"/>
        <w:jc w:val="left"/>
      </w:pPr>
      <w:r>
        <w:rPr>
          <w:spacing w:val="-2"/>
        </w:rPr>
        <w:t>和广度，扩大市场营销网络，继续巩固和进一步提高四个细分业务的市场占有率和竞争优势，逐步发展新的利润增长点。具</w:t>
      </w:r>
      <w:r>
        <w:rPr>
          <w:spacing w:val="-66"/>
        </w:rPr>
        <w:t> </w:t>
      </w:r>
      <w:r>
        <w:rPr>
          <w:spacing w:val="-66"/>
        </w:rPr>
      </w:r>
      <w:r>
        <w:rPr/>
        <w:t>体如下：</w:t>
      </w:r>
    </w:p>
    <w:p>
      <w:pPr>
        <w:pStyle w:val="BodyText"/>
        <w:spacing w:line="240" w:lineRule="auto" w:before="59"/>
        <w:ind w:left="572" w:right="0"/>
        <w:jc w:val="left"/>
      </w:pPr>
      <w:r>
        <w:rPr/>
        <w:t>（</w:t>
      </w:r>
      <w:r>
        <w:rPr>
          <w:rFonts w:ascii="宋体" w:hAnsi="宋体" w:cs="宋体" w:eastAsia="宋体" w:hint="default"/>
        </w:rPr>
        <w:t>1</w:t>
      </w:r>
      <w:r>
        <w:rPr/>
        <w:t>）公司加大、加快募集资金的有效使用，使用情况如下：</w:t>
      </w:r>
    </w:p>
    <w:p>
      <w:pPr>
        <w:spacing w:line="240" w:lineRule="auto" w:before="5"/>
        <w:rPr>
          <w:rFonts w:ascii="宋体" w:hAnsi="宋体" w:cs="宋体" w:eastAsia="宋体" w:hint="default"/>
          <w:sz w:val="8"/>
          <w:szCs w:val="8"/>
        </w:rPr>
      </w:pPr>
    </w:p>
    <w:tbl>
      <w:tblPr>
        <w:tblW w:w="0" w:type="auto"/>
        <w:jc w:val="left"/>
        <w:tblInd w:w="428" w:type="dxa"/>
        <w:tblLayout w:type="fixed"/>
        <w:tblCellMar>
          <w:top w:w="0" w:type="dxa"/>
          <w:left w:w="0" w:type="dxa"/>
          <w:bottom w:w="0" w:type="dxa"/>
          <w:right w:w="0" w:type="dxa"/>
        </w:tblCellMar>
        <w:tblLook w:val="01E0"/>
      </w:tblPr>
      <w:tblGrid>
        <w:gridCol w:w="2693"/>
        <w:gridCol w:w="1843"/>
        <w:gridCol w:w="1418"/>
        <w:gridCol w:w="1702"/>
        <w:gridCol w:w="1274"/>
      </w:tblGrid>
      <w:tr>
        <w:trPr>
          <w:trHeight w:val="659" w:hRule="exact"/>
        </w:trPr>
        <w:tc>
          <w:tcPr>
            <w:tcW w:w="2693"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43"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募集资金承诺投资总额</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418"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本年度投入金额</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702"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316" w:lineRule="auto" w:before="17"/>
              <w:ind w:left="391" w:right="35" w:hanging="360"/>
              <w:jc w:val="left"/>
              <w:rPr>
                <w:rFonts w:ascii="宋体" w:hAnsi="宋体" w:cs="宋体" w:eastAsia="宋体" w:hint="default"/>
                <w:sz w:val="18"/>
                <w:szCs w:val="18"/>
              </w:rPr>
            </w:pPr>
            <w:r>
              <w:rPr>
                <w:rFonts w:ascii="宋体" w:hAnsi="宋体" w:cs="宋体" w:eastAsia="宋体" w:hint="default"/>
                <w:sz w:val="18"/>
                <w:szCs w:val="18"/>
              </w:rPr>
              <w:t>截至期末累计投入金 额（万元）</w:t>
            </w:r>
          </w:p>
        </w:tc>
        <w:tc>
          <w:tcPr>
            <w:tcW w:w="1274"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316" w:lineRule="auto" w:before="17"/>
              <w:ind w:left="314" w:right="89"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截至期末投资 进度</w:t>
            </w:r>
            <w:r>
              <w:rPr>
                <w:rFonts w:ascii="Times New Roman" w:hAnsi="Times New Roman" w:cs="Times New Roman" w:eastAsia="Times New Roman" w:hint="default"/>
                <w:sz w:val="18"/>
                <w:szCs w:val="18"/>
              </w:rPr>
              <w:t>(%)</w:t>
            </w:r>
          </w:p>
        </w:tc>
      </w:tr>
      <w:tr>
        <w:trPr>
          <w:trHeight w:val="347" w:hRule="exact"/>
        </w:trPr>
        <w:tc>
          <w:tcPr>
            <w:tcW w:w="2693"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新一代电子政务应用平台</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6,764.68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371.34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2,363.87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34.94%</w:t>
            </w:r>
          </w:p>
        </w:tc>
      </w:tr>
      <w:tr>
        <w:trPr>
          <w:trHeight w:val="346" w:hRule="exact"/>
        </w:trPr>
        <w:tc>
          <w:tcPr>
            <w:tcW w:w="2693"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信息安全风险综合管理系统</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6,339.33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897.33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2,579.03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40.68%</w:t>
            </w:r>
          </w:p>
        </w:tc>
      </w:tr>
      <w:tr>
        <w:trPr>
          <w:trHeight w:val="660" w:hRule="exact"/>
        </w:trPr>
        <w:tc>
          <w:tcPr>
            <w:tcW w:w="2693"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316" w:lineRule="auto" w:before="20"/>
              <w:ind w:left="4" w:right="151"/>
              <w:jc w:val="left"/>
              <w:rPr>
                <w:rFonts w:ascii="宋体" w:hAnsi="宋体" w:cs="宋体" w:eastAsia="宋体" w:hint="default"/>
                <w:sz w:val="18"/>
                <w:szCs w:val="18"/>
              </w:rPr>
            </w:pPr>
            <w:r>
              <w:rPr>
                <w:rFonts w:ascii="宋体" w:hAnsi="宋体" w:cs="宋体" w:eastAsia="宋体" w:hint="default"/>
                <w:sz w:val="18"/>
                <w:szCs w:val="18"/>
              </w:rPr>
              <w:t>质检三电工程企业端软件运维服 务平台</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9,024.31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1,945.71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3,252.87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36.05%</w:t>
            </w:r>
          </w:p>
        </w:tc>
      </w:tr>
      <w:tr>
        <w:trPr>
          <w:trHeight w:val="348" w:hRule="exact"/>
        </w:trPr>
        <w:tc>
          <w:tcPr>
            <w:tcW w:w="2693"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协同管理软件平台</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7,450.14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347.09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2,422.84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32.52%</w:t>
            </w:r>
          </w:p>
        </w:tc>
      </w:tr>
      <w:tr>
        <w:trPr>
          <w:trHeight w:val="346" w:hRule="exact"/>
        </w:trPr>
        <w:tc>
          <w:tcPr>
            <w:tcW w:w="2693"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技术研发与创新中心</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3,104.37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846.63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1,104.81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35.59%</w:t>
            </w:r>
          </w:p>
        </w:tc>
      </w:tr>
      <w:tr>
        <w:trPr>
          <w:trHeight w:val="348" w:hRule="exact"/>
        </w:trPr>
        <w:tc>
          <w:tcPr>
            <w:tcW w:w="2693"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承诺项目小计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32,682.83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4,408.10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11,723.42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316" w:lineRule="auto" w:before="49"/>
        <w:ind w:right="190" w:firstLine="419"/>
        <w:jc w:val="both"/>
      </w:pPr>
      <w:r>
        <w:rPr/>
        <w:t>公司募集资金投资项目目前尚未达到计划进度原因是：公司募集资金投资于四大业务领域，是对公司现有产品进行技 </w:t>
      </w:r>
      <w:r>
        <w:rPr>
          <w:spacing w:val="-2"/>
        </w:rPr>
        <w:t>术升级、功能扩展、规模扩大和业务延伸，提高产品附加值，扩大市场份额。受到全球经济的影响，一方面由于市场环境发</w:t>
      </w:r>
      <w:r>
        <w:rPr>
          <w:spacing w:val="-68"/>
        </w:rPr>
        <w:t> </w:t>
      </w:r>
      <w:r>
        <w:rPr>
          <w:spacing w:val="-68"/>
        </w:rPr>
      </w:r>
      <w:r>
        <w:rPr>
          <w:spacing w:val="-2"/>
        </w:rPr>
        <w:t>生变化，研发环境建设投入放缓；另一方面为了应对市场需求发生变化和技术发展需要，为了满足客户需求，公司继续加大</w:t>
      </w:r>
      <w:r>
        <w:rPr>
          <w:spacing w:val="-65"/>
        </w:rPr>
        <w:t> </w:t>
      </w:r>
      <w:r>
        <w:rPr>
          <w:spacing w:val="-65"/>
        </w:rPr>
      </w:r>
      <w:r>
        <w:rPr>
          <w:spacing w:val="-2"/>
        </w:rPr>
        <w:t>研发投入促进产品升级换代，适当延长了研发进度；同时募集资金投资项目尚未整体达产，其规模效应还未充分发挥，虽然</w:t>
      </w:r>
      <w:r>
        <w:rPr>
          <w:spacing w:val="-64"/>
        </w:rPr>
        <w:t> </w:t>
      </w:r>
      <w:r>
        <w:rPr>
          <w:spacing w:val="-64"/>
        </w:rPr>
      </w:r>
      <w:r>
        <w:rPr/>
        <w:t>销售出现了一定程度增长，但未完全达到预期。</w:t>
      </w:r>
    </w:p>
    <w:p>
      <w:pPr>
        <w:pStyle w:val="BodyText"/>
        <w:spacing w:line="360" w:lineRule="auto" w:before="57"/>
        <w:ind w:left="572" w:right="0"/>
        <w:jc w:val="left"/>
      </w:pPr>
      <w:r>
        <w:rPr/>
        <w:t>（</w:t>
      </w:r>
      <w:r>
        <w:rPr>
          <w:rFonts w:ascii="宋体" w:hAnsi="宋体" w:cs="宋体" w:eastAsia="宋体" w:hint="default"/>
        </w:rPr>
        <w:t>2</w:t>
      </w:r>
      <w:r>
        <w:rPr/>
        <w:t>）引进和培养高素质的专业性人才，提高人力资源竞争力 软件行业的竞争实质上是人才的竞争，公司始终坚持</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的基本管理思想，建立科学、快速的利益响应机制，</w:t>
      </w:r>
    </w:p>
    <w:p>
      <w:pPr>
        <w:pStyle w:val="BodyText"/>
        <w:spacing w:line="212" w:lineRule="exact"/>
        <w:ind w:right="0"/>
        <w:jc w:val="both"/>
      </w:pPr>
      <w:r>
        <w:rPr/>
        <w:t>稳定公司核心骨干，引进中高层次人才，优化人才结构，并在适当时机建立股权激励机制。</w:t>
      </w:r>
      <w:r>
        <w:rPr>
          <w:rFonts w:ascii="Times New Roman" w:hAnsi="Times New Roman" w:cs="Times New Roman" w:eastAsia="Times New Roman" w:hint="default"/>
        </w:rPr>
        <w:t>2012</w:t>
      </w:r>
      <w:r>
        <w:rPr/>
        <w:t>年底，公司员工</w:t>
      </w:r>
      <w:r>
        <w:rPr>
          <w:rFonts w:ascii="Times New Roman" w:hAnsi="Times New Roman" w:cs="Times New Roman" w:eastAsia="Times New Roman" w:hint="default"/>
        </w:rPr>
        <w:t>724</w:t>
      </w:r>
      <w:r>
        <w:rPr/>
        <w:t>人，较</w:t>
      </w:r>
    </w:p>
    <w:p>
      <w:pPr>
        <w:pStyle w:val="BodyText"/>
        <w:spacing w:line="240" w:lineRule="auto" w:before="62"/>
        <w:ind w:right="0"/>
        <w:jc w:val="both"/>
      </w:pPr>
      <w:r>
        <w:rPr>
          <w:rFonts w:ascii="Times New Roman" w:hAnsi="Times New Roman" w:cs="Times New Roman" w:eastAsia="Times New Roman" w:hint="default"/>
        </w:rPr>
        <w:t>2011</w:t>
      </w:r>
      <w:r>
        <w:rPr/>
        <w:t>年底</w:t>
      </w:r>
      <w:r>
        <w:rPr>
          <w:rFonts w:ascii="Times New Roman" w:hAnsi="Times New Roman" w:cs="Times New Roman" w:eastAsia="Times New Roman" w:hint="default"/>
        </w:rPr>
        <w:t>596</w:t>
      </w:r>
      <w:r>
        <w:rPr/>
        <w:t>人增长了</w:t>
      </w:r>
      <w:r>
        <w:rPr>
          <w:rFonts w:ascii="Times New Roman" w:hAnsi="Times New Roman" w:cs="Times New Roman" w:eastAsia="Times New Roman" w:hint="default"/>
        </w:rPr>
        <w:t>21%</w:t>
      </w:r>
      <w:r>
        <w:rPr/>
        <w:t>。</w:t>
      </w:r>
    </w:p>
    <w:p>
      <w:pPr>
        <w:pStyle w:val="BodyText"/>
        <w:spacing w:line="357" w:lineRule="auto" w:before="103"/>
        <w:ind w:left="572" w:right="0"/>
        <w:jc w:val="left"/>
      </w:pPr>
      <w:r>
        <w:rPr/>
        <w:t>（</w:t>
      </w:r>
      <w:r>
        <w:rPr>
          <w:rFonts w:ascii="宋体" w:hAnsi="宋体" w:cs="宋体" w:eastAsia="宋体" w:hint="default"/>
        </w:rPr>
        <w:t>3</w:t>
      </w:r>
      <w:r>
        <w:rPr/>
        <w:t>）技术开发与创新计划 公司紧跟软件技术的最新发展水平，以长期的实践经验积累和对行业业务模型的深刻理解为基础，加强对所在领域业</w:t>
      </w:r>
    </w:p>
    <w:p>
      <w:pPr>
        <w:pStyle w:val="BodyText"/>
        <w:spacing w:line="224" w:lineRule="exact"/>
        <w:ind w:left="153" w:right="0"/>
        <w:jc w:val="both"/>
      </w:pPr>
      <w:r>
        <w:rPr>
          <w:spacing w:val="-4"/>
        </w:rPr>
        <w:t>务和技术发展趋势的研究和技术储备，以巩固和提高公司的技术竞争力。加强技术研发与创新中心建设，围绕四大业务领域，</w:t>
      </w:r>
    </w:p>
    <w:p>
      <w:pPr>
        <w:pStyle w:val="BodyText"/>
        <w:spacing w:line="300" w:lineRule="auto" w:before="76"/>
        <w:ind w:left="153" w:right="192"/>
        <w:jc w:val="both"/>
      </w:pPr>
      <w:r>
        <w:rPr>
          <w:spacing w:val="-2"/>
        </w:rPr>
        <w:t>进行共性基础平台和关键核心技术研发和创新，积极承担国家部委支持的关键技术和专项的研究。</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月，公司被科技</w:t>
      </w:r>
      <w:r>
        <w:rPr>
          <w:spacing w:val="-63"/>
        </w:rPr>
        <w:t> </w:t>
      </w:r>
      <w:r>
        <w:rPr>
          <w:spacing w:val="-63"/>
        </w:rPr>
      </w:r>
      <w:r>
        <w:rPr>
          <w:spacing w:val="-2"/>
        </w:rPr>
        <w:t>部、国务院国资委和中华全国总工会联合认定为</w:t>
      </w:r>
      <w:r>
        <w:rPr>
          <w:rFonts w:ascii="Times New Roman" w:hAnsi="Times New Roman" w:cs="Times New Roman" w:eastAsia="Times New Roman" w:hint="default"/>
          <w:spacing w:val="-2"/>
        </w:rPr>
        <w:t>“</w:t>
      </w:r>
      <w:r>
        <w:rPr>
          <w:spacing w:val="-2"/>
        </w:rPr>
        <w:t>国家创新型试点企业</w:t>
      </w:r>
      <w:r>
        <w:rPr>
          <w:rFonts w:ascii="Times New Roman" w:hAnsi="Times New Roman" w:cs="Times New Roman" w:eastAsia="Times New Roman" w:hint="default"/>
          <w:spacing w:val="-2"/>
        </w:rPr>
        <w:t>”</w:t>
      </w:r>
      <w:r>
        <w:rPr>
          <w:spacing w:val="-2"/>
        </w:rPr>
        <w:t>，这是国家对公司持续创新能力和行业关键技术水平</w:t>
      </w:r>
      <w:r>
        <w:rPr>
          <w:spacing w:val="-46"/>
        </w:rPr>
        <w:t> </w:t>
      </w:r>
      <w:r>
        <w:rPr>
          <w:spacing w:val="-46"/>
        </w:rPr>
      </w:r>
      <w:r>
        <w:rPr>
          <w:spacing w:val="-2"/>
        </w:rPr>
        <w:t>的充分认可。加强核心技术的专利申请和核心产品的软件著作权登记等知识产权保护工作。</w:t>
      </w:r>
      <w:r>
        <w:rPr>
          <w:rFonts w:ascii="Times New Roman" w:hAnsi="Times New Roman" w:cs="Times New Roman" w:eastAsia="Times New Roman" w:hint="default"/>
          <w:spacing w:val="-2"/>
        </w:rPr>
        <w:t>2012</w:t>
      </w:r>
      <w:r>
        <w:rPr>
          <w:spacing w:val="-2"/>
        </w:rPr>
        <w:t>年，公司共申请</w:t>
      </w:r>
      <w:r>
        <w:rPr>
          <w:rFonts w:ascii="Times New Roman" w:hAnsi="Times New Roman" w:cs="Times New Roman" w:eastAsia="Times New Roman" w:hint="default"/>
          <w:spacing w:val="-2"/>
        </w:rPr>
        <w:t>14</w:t>
      </w:r>
      <w:r>
        <w:rPr>
          <w:spacing w:val="-2"/>
        </w:rPr>
        <w:t>项专利技</w:t>
      </w:r>
      <w:r>
        <w:rPr>
          <w:spacing w:val="-63"/>
        </w:rPr>
        <w:t> </w:t>
      </w:r>
      <w:r>
        <w:rPr>
          <w:spacing w:val="-63"/>
        </w:rPr>
      </w:r>
      <w:r>
        <w:rPr/>
        <w:t>术，</w:t>
      </w:r>
      <w:r>
        <w:rPr>
          <w:rFonts w:ascii="Times New Roman" w:hAnsi="Times New Roman" w:cs="Times New Roman" w:eastAsia="Times New Roman" w:hint="default"/>
        </w:rPr>
        <w:t>8</w:t>
      </w:r>
      <w:r>
        <w:rPr/>
        <w:t>项软件著作权和</w:t>
      </w:r>
      <w:r>
        <w:rPr>
          <w:rFonts w:ascii="Times New Roman" w:hAnsi="Times New Roman" w:cs="Times New Roman" w:eastAsia="Times New Roman" w:hint="default"/>
        </w:rPr>
        <w:t>22</w:t>
      </w:r>
      <w:r>
        <w:rPr/>
        <w:t>项软件产品登记。同时加强软件过程改进管理，持续提高软件过程成熟度。</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月，公司获得</w:t>
      </w:r>
    </w:p>
    <w:p>
      <w:pPr>
        <w:spacing w:after="0" w:line="300"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第一届</w:t>
      </w:r>
      <w:r>
        <w:rPr>
          <w:rFonts w:ascii="Times New Roman" w:hAnsi="Times New Roman" w:cs="Times New Roman" w:eastAsia="Times New Roman" w:hint="default"/>
        </w:rPr>
        <w:t>“</w:t>
      </w:r>
      <w:r>
        <w:rPr/>
        <w:t>福州市政府质量奖</w:t>
      </w:r>
      <w:r>
        <w:rPr>
          <w:rFonts w:ascii="Times New Roman" w:hAnsi="Times New Roman" w:cs="Times New Roman" w:eastAsia="Times New Roman" w:hint="default"/>
        </w:rPr>
        <w:t>”</w:t>
      </w:r>
      <w:r>
        <w:rPr/>
        <w:t>，成为福建省首家获此殊荣的软件企业。</w:t>
      </w:r>
    </w:p>
    <w:p>
      <w:pPr>
        <w:pStyle w:val="BodyText"/>
        <w:spacing w:line="357" w:lineRule="auto" w:before="103"/>
        <w:ind w:left="572" w:right="0"/>
        <w:jc w:val="left"/>
      </w:pPr>
      <w:r>
        <w:rPr/>
        <w:t>（</w:t>
      </w:r>
      <w:r>
        <w:rPr>
          <w:rFonts w:ascii="宋体" w:hAnsi="宋体" w:cs="宋体" w:eastAsia="宋体" w:hint="default"/>
        </w:rPr>
        <w:t>4</w:t>
      </w:r>
      <w:r>
        <w:rPr/>
        <w:t>）完善法人治理结构规划 公司以进一步完善法人治理结构为核心，根据战略发展要求和业务发展需要深化组织结构调整，健全目标清晰、责任</w:t>
      </w:r>
    </w:p>
    <w:p>
      <w:pPr>
        <w:pStyle w:val="BodyText"/>
        <w:spacing w:line="224" w:lineRule="exact"/>
        <w:ind w:right="0"/>
        <w:jc w:val="left"/>
      </w:pPr>
      <w:r>
        <w:rPr/>
        <w:t>明确、流程简洁和促进创新的高效组织模式，注重高级技术人才和高级管理人才的培养，保障公司的可持续性成长。</w:t>
      </w:r>
    </w:p>
    <w:p>
      <w:pPr>
        <w:pStyle w:val="BodyText"/>
        <w:spacing w:line="360" w:lineRule="auto" w:before="117"/>
        <w:ind w:left="440" w:right="256" w:firstLine="131"/>
        <w:jc w:val="left"/>
      </w:pPr>
      <w:r>
        <w:rPr/>
        <w:t>（</w:t>
      </w:r>
      <w:r>
        <w:rPr>
          <w:rFonts w:ascii="宋体" w:hAnsi="宋体" w:cs="宋体" w:eastAsia="宋体" w:hint="default"/>
        </w:rPr>
        <w:t>5</w:t>
      </w:r>
      <w:r>
        <w:rPr/>
        <w:t>）市场营销和服务网络建设 公司已在北京、深圳、杭州和郑州等设立了</w:t>
      </w:r>
      <w:r>
        <w:rPr>
          <w:rFonts w:ascii="Times New Roman" w:hAnsi="Times New Roman" w:cs="Times New Roman" w:eastAsia="Times New Roman" w:hint="default"/>
        </w:rPr>
        <w:t>10</w:t>
      </w:r>
      <w:r>
        <w:rPr/>
        <w:t>多家分子公司，在全国各大中城市设立了</w:t>
      </w:r>
      <w:r>
        <w:rPr>
          <w:rFonts w:ascii="Times New Roman" w:hAnsi="Times New Roman" w:cs="Times New Roman" w:eastAsia="Times New Roman" w:hint="default"/>
        </w:rPr>
        <w:t>100</w:t>
      </w:r>
      <w:r>
        <w:rPr/>
        <w:t>多个运维服务网点，初步建</w:t>
      </w:r>
    </w:p>
    <w:p>
      <w:pPr>
        <w:pStyle w:val="BodyText"/>
        <w:spacing w:line="212" w:lineRule="exact"/>
        <w:ind w:right="0"/>
        <w:jc w:val="left"/>
      </w:pPr>
      <w:r>
        <w:rPr/>
        <w:t>立了以北京为指挥中心、遍布全国的营销和服务网络；加大品牌营销力度，提高公司的知名度和品牌影响力。</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p>
    <w:p>
      <w:pPr>
        <w:pStyle w:val="BodyText"/>
        <w:spacing w:line="316" w:lineRule="auto" w:before="62"/>
        <w:ind w:right="0"/>
        <w:jc w:val="left"/>
      </w:pPr>
      <w:r>
        <w:rPr>
          <w:spacing w:val="-2"/>
        </w:rPr>
        <w:t>五一公司与全球最大的综合布线厂商康普公司签订战略合作协议，成为康普授权的中国经销商，这是公司通过商业模式创新</w:t>
      </w:r>
      <w:r>
        <w:rPr>
          <w:spacing w:val="-64"/>
        </w:rPr>
        <w:t> </w:t>
      </w:r>
      <w:r>
        <w:rPr>
          <w:spacing w:val="-64"/>
        </w:rPr>
      </w:r>
      <w:r>
        <w:rPr/>
        <w:t>实现规模化发展的重要发展战略。</w:t>
      </w:r>
    </w:p>
    <w:p>
      <w:pPr>
        <w:pStyle w:val="BodyText"/>
        <w:spacing w:line="300" w:lineRule="auto" w:before="57"/>
        <w:ind w:right="0" w:firstLine="419"/>
        <w:jc w:val="left"/>
      </w:pPr>
      <w:r>
        <w:rPr>
          <w:spacing w:val="-2"/>
        </w:rPr>
        <w:t>公司在</w:t>
      </w:r>
      <w:r>
        <w:rPr>
          <w:rFonts w:ascii="Times New Roman" w:hAnsi="Times New Roman" w:cs="Times New Roman" w:eastAsia="Times New Roman" w:hint="default"/>
          <w:spacing w:val="-2"/>
        </w:rPr>
        <w:t>2012</w:t>
      </w:r>
      <w:r>
        <w:rPr>
          <w:spacing w:val="-2"/>
        </w:rPr>
        <w:t>年第三季度报告中对公司</w:t>
      </w:r>
      <w:r>
        <w:rPr>
          <w:rFonts w:ascii="Times New Roman" w:hAnsi="Times New Roman" w:cs="Times New Roman" w:eastAsia="Times New Roman" w:hint="default"/>
          <w:spacing w:val="-2"/>
        </w:rPr>
        <w:t>2012</w:t>
      </w:r>
      <w:r>
        <w:rPr>
          <w:spacing w:val="-2"/>
        </w:rPr>
        <w:t>年度归属于上市公司股东的净利润预测较去年同期增长</w:t>
      </w:r>
      <w:r>
        <w:rPr>
          <w:rFonts w:ascii="Times New Roman" w:hAnsi="Times New Roman" w:cs="Times New Roman" w:eastAsia="Times New Roman" w:hint="default"/>
          <w:spacing w:val="-2"/>
        </w:rPr>
        <w:t>0-50%</w:t>
      </w:r>
      <w:r>
        <w:rPr>
          <w:spacing w:val="-2"/>
        </w:rPr>
        <w:t>，实际经营业绩</w:t>
      </w:r>
      <w:r>
        <w:rPr/>
        <w:t> 在预测范围内。</w:t>
      </w:r>
    </w:p>
    <w:p>
      <w:pPr>
        <w:pStyle w:val="BodyText"/>
        <w:spacing w:line="240" w:lineRule="auto" w:before="72"/>
        <w:ind w:right="0"/>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6"/>
        <w:rPr>
          <w:rFonts w:ascii="宋体" w:hAnsi="宋体" w:cs="宋体" w:eastAsia="宋体" w:hint="default"/>
          <w:b/>
          <w:bCs/>
          <w:sz w:val="29"/>
          <w:szCs w:val="29"/>
        </w:rPr>
      </w:pPr>
    </w:p>
    <w:p>
      <w:pPr>
        <w:pStyle w:val="BodyText"/>
        <w:spacing w:line="240" w:lineRule="auto"/>
        <w:ind w:left="0" w:right="318"/>
        <w:jc w:val="right"/>
      </w:pPr>
      <w:bookmarkStart w:name="2、收入" w:id="23"/>
      <w:bookmarkEnd w:id="23"/>
      <w:r>
        <w:rPr/>
      </w:r>
      <w:r>
        <w:rPr/>
        <w:t>单位：元</w:t>
      </w:r>
    </w:p>
    <w:p>
      <w:pPr>
        <w:spacing w:line="240" w:lineRule="auto" w:before="4"/>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1858"/>
        <w:gridCol w:w="1133"/>
        <w:gridCol w:w="1702"/>
        <w:gridCol w:w="1082"/>
        <w:gridCol w:w="1699"/>
        <w:gridCol w:w="1080"/>
        <w:gridCol w:w="1080"/>
      </w:tblGrid>
      <w:tr>
        <w:trPr>
          <w:trHeight w:val="412" w:hRule="exact"/>
        </w:trPr>
        <w:tc>
          <w:tcPr>
            <w:tcW w:w="1858" w:type="dxa"/>
            <w:vMerge w:val="restart"/>
            <w:tcBorders>
              <w:top w:val="single" w:sz="8" w:space="0" w:color="000000"/>
              <w:left w:val="single" w:sz="8" w:space="0" w:color="000000"/>
              <w:right w:val="single" w:sz="8" w:space="0" w:color="000000"/>
            </w:tcBorders>
            <w:shd w:val="clear" w:color="auto" w:fill="C1C1C1"/>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133" w:type="dxa"/>
            <w:vMerge w:val="restart"/>
            <w:tcBorders>
              <w:top w:val="single" w:sz="8" w:space="0" w:color="000000"/>
              <w:left w:val="single" w:sz="8" w:space="0" w:color="000000"/>
              <w:right w:val="single" w:sz="8" w:space="0" w:color="000000"/>
            </w:tcBorders>
            <w:shd w:val="clear" w:color="auto" w:fill="C1C1C1"/>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4" w:type="dxa"/>
            <w:gridSpan w:val="2"/>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79" w:type="dxa"/>
            <w:gridSpan w:val="2"/>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80" w:type="dxa"/>
            <w:vMerge w:val="restart"/>
            <w:tcBorders>
              <w:top w:val="single" w:sz="8" w:space="0" w:color="000000"/>
              <w:left w:val="single" w:sz="8" w:space="0" w:color="000000"/>
              <w:right w:val="single" w:sz="8" w:space="0" w:color="000000"/>
            </w:tcBorders>
            <w:shd w:val="clear" w:color="auto" w:fill="C1C1C1"/>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40" w:lineRule="auto" w:before="116"/>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1036" w:hRule="exact"/>
        </w:trPr>
        <w:tc>
          <w:tcPr>
            <w:tcW w:w="1858" w:type="dxa"/>
            <w:vMerge/>
            <w:tcBorders>
              <w:left w:val="single" w:sz="8" w:space="0" w:color="000000"/>
              <w:bottom w:val="single" w:sz="8" w:space="0" w:color="000000"/>
              <w:right w:val="single" w:sz="8" w:space="0" w:color="000000"/>
            </w:tcBorders>
            <w:shd w:val="clear" w:color="auto" w:fill="C1C1C1"/>
          </w:tcPr>
          <w:p>
            <w:pPr/>
          </w:p>
        </w:tc>
        <w:tc>
          <w:tcPr>
            <w:tcW w:w="1133" w:type="dxa"/>
            <w:vMerge/>
            <w:tcBorders>
              <w:left w:val="single" w:sz="8" w:space="0" w:color="000000"/>
              <w:bottom w:val="single" w:sz="8" w:space="0" w:color="000000"/>
              <w:right w:val="single" w:sz="8" w:space="0" w:color="000000"/>
            </w:tcBorders>
            <w:shd w:val="clear" w:color="auto" w:fill="C1C1C1"/>
          </w:tcPr>
          <w:p>
            <w:pPr/>
          </w:p>
        </w:tc>
        <w:tc>
          <w:tcPr>
            <w:tcW w:w="1702"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2"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314" w:lineRule="auto" w:before="50"/>
              <w:ind w:left="172" w:right="168"/>
              <w:jc w:val="center"/>
              <w:rPr>
                <w:rFonts w:ascii="宋体" w:hAnsi="宋体" w:cs="宋体" w:eastAsia="宋体" w:hint="default"/>
                <w:sz w:val="18"/>
                <w:szCs w:val="18"/>
              </w:rPr>
            </w:pPr>
            <w:r>
              <w:rPr>
                <w:rFonts w:ascii="宋体" w:hAnsi="宋体" w:cs="宋体" w:eastAsia="宋体" w:hint="default"/>
                <w:sz w:val="18"/>
                <w:szCs w:val="18"/>
              </w:rPr>
              <w:t>占营业收 入比重</w:t>
            </w:r>
          </w:p>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99"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314" w:lineRule="auto" w:before="50"/>
              <w:ind w:left="172" w:right="167"/>
              <w:jc w:val="center"/>
              <w:rPr>
                <w:rFonts w:ascii="宋体" w:hAnsi="宋体" w:cs="宋体" w:eastAsia="宋体" w:hint="default"/>
                <w:sz w:val="18"/>
                <w:szCs w:val="18"/>
              </w:rPr>
            </w:pPr>
            <w:r>
              <w:rPr>
                <w:rFonts w:ascii="宋体" w:hAnsi="宋体" w:cs="宋体" w:eastAsia="宋体" w:hint="default"/>
                <w:sz w:val="18"/>
                <w:szCs w:val="18"/>
              </w:rPr>
              <w:t>占营业收 入比重</w:t>
            </w:r>
          </w:p>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80" w:type="dxa"/>
            <w:vMerge/>
            <w:tcBorders>
              <w:left w:val="single" w:sz="8" w:space="0" w:color="000000"/>
              <w:bottom w:val="single" w:sz="8" w:space="0" w:color="000000"/>
              <w:right w:val="single" w:sz="8" w:space="0" w:color="000000"/>
            </w:tcBorders>
            <w:shd w:val="clear" w:color="auto" w:fill="C1C1C1"/>
          </w:tcPr>
          <w:p>
            <w:pPr/>
          </w:p>
        </w:tc>
      </w:tr>
      <w:tr>
        <w:trPr>
          <w:trHeight w:val="485"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374"/>
              <w:jc w:val="right"/>
              <w:rPr>
                <w:rFonts w:ascii="宋体" w:hAnsi="宋体" w:cs="宋体" w:eastAsia="宋体" w:hint="default"/>
                <w:sz w:val="18"/>
                <w:szCs w:val="18"/>
              </w:rPr>
            </w:pPr>
            <w:r>
              <w:rPr>
                <w:rFonts w:ascii="宋体" w:hAnsi="宋体" w:cs="宋体" w:eastAsia="宋体" w:hint="default"/>
                <w:sz w:val="18"/>
                <w:szCs w:val="18"/>
              </w:rPr>
              <w:t>收入</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1"/>
              <w:jc w:val="right"/>
              <w:rPr>
                <w:rFonts w:ascii="Times New Roman" w:hAnsi="Times New Roman" w:cs="Times New Roman" w:eastAsia="Times New Roman" w:hint="default"/>
                <w:sz w:val="18"/>
                <w:szCs w:val="18"/>
              </w:rPr>
            </w:pPr>
            <w:r>
              <w:rPr>
                <w:rFonts w:ascii="Times New Roman"/>
                <w:spacing w:val="-1"/>
                <w:sz w:val="18"/>
              </w:rPr>
              <w:t>372,088,402.95</w:t>
            </w:r>
            <w:r>
              <w:rPr>
                <w:rFonts w:ascii="Times New Roman"/>
                <w:sz w:val="18"/>
              </w:rPr>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88"/>
              <w:jc w:val="right"/>
              <w:rPr>
                <w:rFonts w:ascii="Times New Roman" w:hAnsi="Times New Roman" w:cs="Times New Roman" w:eastAsia="Times New Roman" w:hint="default"/>
                <w:sz w:val="18"/>
                <w:szCs w:val="18"/>
              </w:rPr>
            </w:pPr>
            <w:r>
              <w:rPr>
                <w:rFonts w:ascii="Times New Roman"/>
                <w:sz w:val="18"/>
              </w:rPr>
              <w:t>65.47%</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260,878,700.74</w:t>
            </w:r>
            <w:r>
              <w:rPr>
                <w:rFonts w:ascii="Times New Roman"/>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88"/>
              <w:jc w:val="right"/>
              <w:rPr>
                <w:rFonts w:ascii="Times New Roman" w:hAnsi="Times New Roman" w:cs="Times New Roman" w:eastAsia="Times New Roman" w:hint="default"/>
                <w:sz w:val="18"/>
                <w:szCs w:val="18"/>
              </w:rPr>
            </w:pPr>
            <w:r>
              <w:rPr>
                <w:rFonts w:ascii="Times New Roman"/>
                <w:sz w:val="18"/>
              </w:rPr>
              <w:t>60.26%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88"/>
              <w:jc w:val="right"/>
              <w:rPr>
                <w:rFonts w:ascii="Times New Roman" w:hAnsi="Times New Roman" w:cs="Times New Roman" w:eastAsia="Times New Roman" w:hint="default"/>
                <w:sz w:val="18"/>
                <w:szCs w:val="18"/>
              </w:rPr>
            </w:pPr>
            <w:r>
              <w:rPr>
                <w:rFonts w:ascii="Times New Roman"/>
                <w:sz w:val="18"/>
              </w:rPr>
              <w:t>42.63%</w:t>
            </w:r>
          </w:p>
        </w:tc>
      </w:tr>
      <w:tr>
        <w:trPr>
          <w:trHeight w:val="485"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软件产品及服务收入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374"/>
              <w:jc w:val="right"/>
              <w:rPr>
                <w:rFonts w:ascii="宋体" w:hAnsi="宋体" w:cs="宋体" w:eastAsia="宋体" w:hint="default"/>
                <w:sz w:val="18"/>
                <w:szCs w:val="18"/>
              </w:rPr>
            </w:pPr>
            <w:r>
              <w:rPr>
                <w:rFonts w:ascii="宋体" w:hAnsi="宋体" w:cs="宋体" w:eastAsia="宋体" w:hint="default"/>
                <w:sz w:val="18"/>
                <w:szCs w:val="18"/>
              </w:rPr>
              <w:t>收入</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1"/>
              <w:jc w:val="right"/>
              <w:rPr>
                <w:rFonts w:ascii="Times New Roman" w:hAnsi="Times New Roman" w:cs="Times New Roman" w:eastAsia="Times New Roman" w:hint="default"/>
                <w:sz w:val="18"/>
                <w:szCs w:val="18"/>
              </w:rPr>
            </w:pPr>
            <w:r>
              <w:rPr>
                <w:rFonts w:ascii="Times New Roman"/>
                <w:spacing w:val="-1"/>
                <w:sz w:val="18"/>
              </w:rPr>
              <w:t>196,231,407.61</w:t>
            </w:r>
            <w:r>
              <w:rPr>
                <w:rFonts w:ascii="Times New Roman"/>
                <w:sz w:val="18"/>
              </w:rPr>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88"/>
              <w:jc w:val="right"/>
              <w:rPr>
                <w:rFonts w:ascii="Times New Roman" w:hAnsi="Times New Roman" w:cs="Times New Roman" w:eastAsia="Times New Roman" w:hint="default"/>
                <w:sz w:val="18"/>
                <w:szCs w:val="18"/>
              </w:rPr>
            </w:pPr>
            <w:r>
              <w:rPr>
                <w:rFonts w:ascii="Times New Roman"/>
                <w:sz w:val="18"/>
              </w:rPr>
              <w:t>34.53%</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172,052,069.60</w:t>
            </w:r>
            <w:r>
              <w:rPr>
                <w:rFonts w:ascii="Times New Roman"/>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88"/>
              <w:jc w:val="right"/>
              <w:rPr>
                <w:rFonts w:ascii="Times New Roman" w:hAnsi="Times New Roman" w:cs="Times New Roman" w:eastAsia="Times New Roman" w:hint="default"/>
                <w:sz w:val="18"/>
                <w:szCs w:val="18"/>
              </w:rPr>
            </w:pPr>
            <w:r>
              <w:rPr>
                <w:rFonts w:ascii="Times New Roman"/>
                <w:sz w:val="18"/>
              </w:rPr>
              <w:t>39.74%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88"/>
              <w:jc w:val="right"/>
              <w:rPr>
                <w:rFonts w:ascii="Times New Roman" w:hAnsi="Times New Roman" w:cs="Times New Roman" w:eastAsia="Times New Roman" w:hint="default"/>
                <w:sz w:val="18"/>
                <w:szCs w:val="18"/>
              </w:rPr>
            </w:pPr>
            <w:r>
              <w:rPr>
                <w:rFonts w:ascii="Times New Roman"/>
                <w:sz w:val="18"/>
              </w:rPr>
              <w:t>14.05%</w:t>
            </w:r>
          </w:p>
        </w:tc>
      </w:tr>
      <w:tr>
        <w:trPr>
          <w:trHeight w:val="413"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568,319,810.56</w:t>
            </w:r>
            <w:r>
              <w:rPr>
                <w:rFonts w:ascii="Times New Roman"/>
                <w:sz w:val="18"/>
              </w:rPr>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z w:val="18"/>
              </w:rPr>
              <w:t>100%</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pacing w:val="-1"/>
                <w:sz w:val="18"/>
              </w:rPr>
              <w:t>432,930,770.34</w:t>
            </w:r>
            <w:r>
              <w:rPr>
                <w:rFonts w:ascii="Times New Roman"/>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31.27%</w:t>
            </w:r>
          </w:p>
        </w:tc>
      </w:tr>
    </w:tbl>
    <w:p>
      <w:pPr>
        <w:pStyle w:val="BodyText"/>
        <w:spacing w:line="240" w:lineRule="auto" w:before="49"/>
        <w:ind w:right="0"/>
        <w:jc w:val="left"/>
      </w:pPr>
      <w:r>
        <w:rPr/>
        <w:t>说明：</w:t>
      </w:r>
    </w:p>
    <w:p>
      <w:pPr>
        <w:pStyle w:val="BodyText"/>
        <w:spacing w:line="300" w:lineRule="auto" w:before="115"/>
        <w:ind w:right="181" w:firstLine="360"/>
        <w:jc w:val="left"/>
      </w:pPr>
      <w:r>
        <w:rPr>
          <w:spacing w:val="-1"/>
        </w:rPr>
        <w:t>（</w:t>
      </w:r>
      <w:r>
        <w:rPr>
          <w:rFonts w:ascii="Times New Roman" w:hAnsi="Times New Roman" w:cs="Times New Roman" w:eastAsia="Times New Roman" w:hint="default"/>
          <w:spacing w:val="-1"/>
        </w:rPr>
        <w:t>1</w:t>
      </w:r>
      <w:r>
        <w:rPr>
          <w:spacing w:val="-1"/>
        </w:rPr>
        <w:t>）主营业务收入为系统集成收入和软件产品及服务收入，报告期主营业务收入同比增加</w:t>
      </w:r>
      <w:r>
        <w:rPr>
          <w:spacing w:val="-32"/>
        </w:rPr>
        <w:t> </w:t>
      </w:r>
      <w:r>
        <w:rPr>
          <w:rFonts w:ascii="Times New Roman" w:hAnsi="Times New Roman" w:cs="Times New Roman" w:eastAsia="Times New Roman" w:hint="default"/>
          <w:spacing w:val="-2"/>
        </w:rPr>
        <w:t>31.27%</w:t>
      </w:r>
      <w:r>
        <w:rPr>
          <w:spacing w:val="-2"/>
        </w:rPr>
        <w:t>，主要系系统集成收</w:t>
      </w:r>
      <w:r>
        <w:rPr/>
        <w:t> 入同比增加</w:t>
      </w:r>
      <w:r>
        <w:rPr>
          <w:spacing w:val="-48"/>
        </w:rPr>
        <w:t> </w:t>
      </w:r>
      <w:r>
        <w:rPr>
          <w:rFonts w:ascii="Times New Roman" w:hAnsi="Times New Roman" w:cs="Times New Roman" w:eastAsia="Times New Roman" w:hint="default"/>
        </w:rPr>
        <w:t>42.36%</w:t>
      </w:r>
      <w:r>
        <w:rPr/>
        <w:t>以及软件产品及服务收入增加</w:t>
      </w:r>
      <w:r>
        <w:rPr>
          <w:spacing w:val="-48"/>
        </w:rPr>
        <w:t> </w:t>
      </w:r>
      <w:r>
        <w:rPr>
          <w:rFonts w:ascii="Times New Roman" w:hAnsi="Times New Roman" w:cs="Times New Roman" w:eastAsia="Times New Roman" w:hint="default"/>
        </w:rPr>
        <w:t>14.05%</w:t>
      </w:r>
      <w:r>
        <w:rPr/>
        <w:t>所致。</w:t>
      </w:r>
    </w:p>
    <w:p>
      <w:pPr>
        <w:pStyle w:val="BodyText"/>
        <w:spacing w:line="300" w:lineRule="auto" w:before="53"/>
        <w:ind w:right="184" w:firstLine="360"/>
        <w:jc w:val="left"/>
      </w:pPr>
      <w:r>
        <w:rPr/>
        <w:t>（</w:t>
      </w:r>
      <w:r>
        <w:rPr>
          <w:rFonts w:ascii="Times New Roman" w:hAnsi="Times New Roman" w:cs="Times New Roman" w:eastAsia="Times New Roman" w:hint="default"/>
        </w:rPr>
        <w:t>2</w:t>
      </w:r>
      <w:r>
        <w:rPr/>
        <w:t>）系统集成收入同比增加较多原因是由于拓展新客户，开发新市场，在弱电信息产品，通用软件等渠道分销新业务 上取得较好的业绩。</w:t>
      </w:r>
    </w:p>
    <w:p>
      <w:pPr>
        <w:pStyle w:val="BodyText"/>
        <w:spacing w:line="300" w:lineRule="auto" w:before="72"/>
        <w:ind w:right="184" w:firstLine="360"/>
        <w:jc w:val="left"/>
      </w:pPr>
      <w:r>
        <w:rPr/>
        <w:t>（</w:t>
      </w:r>
      <w:r>
        <w:rPr>
          <w:rFonts w:ascii="Times New Roman" w:hAnsi="Times New Roman" w:cs="Times New Roman" w:eastAsia="Times New Roman" w:hint="default"/>
        </w:rPr>
        <w:t>3</w:t>
      </w:r>
      <w:r>
        <w:rPr/>
        <w:t>）软件产品及服务收入增加原因是根据市场需求变化，企业加大研发投入，提升产品适应客户需求，软件产品与服 务收入稳定增长。</w:t>
      </w:r>
    </w:p>
    <w:p>
      <w:pPr>
        <w:pStyle w:val="BodyText"/>
        <w:spacing w:line="240" w:lineRule="auto" w:before="70"/>
        <w:ind w:right="0"/>
        <w:jc w:val="left"/>
      </w:pPr>
      <w:r>
        <w:rPr/>
        <w:t>公司实物销售收入是否大于劳务收入</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27"/>
        <w:gridCol w:w="1890"/>
        <w:gridCol w:w="1926"/>
        <w:gridCol w:w="1913"/>
        <w:gridCol w:w="1915"/>
      </w:tblGrid>
      <w:tr>
        <w:trPr>
          <w:trHeight w:val="401" w:hRule="exact"/>
        </w:trPr>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927" w:type="dxa"/>
            <w:vMerge w:val="restart"/>
            <w:tcBorders>
              <w:top w:val="single" w:sz="4" w:space="0" w:color="000000"/>
              <w:left w:val="single" w:sz="4" w:space="0" w:color="000000"/>
              <w:right w:val="single" w:sz="13" w:space="0" w:color="D4D4D4"/>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8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372,088,402.95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260,878,700.74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42.63%</w:t>
            </w:r>
          </w:p>
        </w:tc>
      </w:tr>
      <w:tr>
        <w:trPr>
          <w:trHeight w:val="401" w:hRule="exact"/>
        </w:trPr>
        <w:tc>
          <w:tcPr>
            <w:tcW w:w="1927" w:type="dxa"/>
            <w:vMerge/>
            <w:tcBorders>
              <w:left w:val="single" w:sz="4" w:space="0" w:color="000000"/>
              <w:bottom w:val="single" w:sz="4" w:space="0" w:color="000000"/>
              <w:right w:val="single" w:sz="13" w:space="0" w:color="D4D4D4"/>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101,941,430.74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70,178,043.39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45.26%</w:t>
            </w:r>
          </w:p>
        </w:tc>
      </w:tr>
    </w:tbl>
    <w:p>
      <w:pPr>
        <w:pStyle w:val="BodyText"/>
        <w:spacing w:line="240" w:lineRule="auto" w:before="49"/>
        <w:ind w:right="0"/>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512" w:right="0"/>
        <w:jc w:val="left"/>
      </w:pPr>
      <w:r>
        <w:rPr/>
        <w:t>（</w:t>
      </w:r>
      <w:r>
        <w:rPr>
          <w:rFonts w:ascii="Times New Roman" w:hAnsi="Times New Roman" w:cs="Times New Roman" w:eastAsia="Times New Roman" w:hint="default"/>
          <w:spacing w:val="1"/>
        </w:rPr>
        <w:t>1</w:t>
      </w:r>
      <w:r>
        <w:rPr/>
        <w:t>）销售量同比增加</w:t>
      </w:r>
      <w:r>
        <w:rPr>
          <w:spacing w:val="-45"/>
        </w:rPr>
        <w:t> </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w:t>
      </w:r>
      <w:r>
        <w:rPr/>
        <w:t>，原因详见本章收入说明（</w:t>
      </w:r>
      <w:r>
        <w:rPr>
          <w:rFonts w:ascii="Times New Roman" w:hAnsi="Times New Roman" w:cs="Times New Roman" w:eastAsia="Times New Roman" w:hint="default"/>
          <w:spacing w:val="1"/>
        </w:rPr>
        <w:t>2</w:t>
      </w:r>
      <w:r>
        <w:rPr>
          <w:spacing w:val="-92"/>
        </w:rPr>
        <w:t>）。</w:t>
      </w:r>
      <w:r>
        <w:rPr/>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47" w:firstLine="360"/>
        <w:jc w:val="left"/>
      </w:pPr>
      <w:r>
        <w:rPr>
          <w:spacing w:val="-1"/>
        </w:rPr>
        <w:t>（</w:t>
      </w:r>
      <w:r>
        <w:rPr>
          <w:rFonts w:ascii="Times New Roman" w:hAnsi="Times New Roman" w:cs="Times New Roman" w:eastAsia="Times New Roman" w:hint="default"/>
          <w:spacing w:val="-1"/>
        </w:rPr>
        <w:t>2</w:t>
      </w:r>
      <w:r>
        <w:rPr>
          <w:spacing w:val="-1"/>
        </w:rPr>
        <w:t>）库存量同比增加</w:t>
      </w:r>
      <w:r>
        <w:rPr>
          <w:spacing w:val="-14"/>
        </w:rPr>
        <w:t> </w:t>
      </w:r>
      <w:r>
        <w:rPr>
          <w:rFonts w:ascii="Times New Roman" w:hAnsi="Times New Roman" w:cs="Times New Roman" w:eastAsia="Times New Roman" w:hint="default"/>
          <w:spacing w:val="-2"/>
        </w:rPr>
        <w:t>45.26%</w:t>
      </w:r>
      <w:r>
        <w:rPr>
          <w:spacing w:val="-2"/>
        </w:rPr>
        <w:t>，原因：一方面项目库存增加较多，项目还未建设完毕，货物还未验收；另一方面随着渠</w:t>
      </w:r>
      <w:r>
        <w:rPr/>
        <w:t> 道分销市场拓展，适量增加常备库存。</w:t>
      </w:r>
    </w:p>
    <w:p>
      <w:pPr>
        <w:pStyle w:val="BodyText"/>
        <w:spacing w:line="240" w:lineRule="auto" w:before="72"/>
        <w:ind w:right="147"/>
        <w:jc w:val="left"/>
      </w:pPr>
      <w:r>
        <w:rPr/>
        <w:t>公司重大的在手订单情况</w:t>
      </w:r>
    </w:p>
    <w:p>
      <w:pPr>
        <w:pStyle w:val="BodyText"/>
        <w:spacing w:line="340" w:lineRule="auto" w:before="115"/>
        <w:ind w:right="54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公司报告期内产品或服务发生重大变化或调整有关情况</w:t>
      </w:r>
    </w:p>
    <w:p>
      <w:pPr>
        <w:pStyle w:val="BodyText"/>
        <w:spacing w:line="338" w:lineRule="auto" w:before="41"/>
        <w:ind w:left="153" w:right="797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公司主要销售客户情况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184,657,338.70</w:t>
            </w:r>
            <w:r>
              <w:rPr>
                <w:rFonts w:ascii="Times New Roman"/>
                <w:sz w:val="18"/>
              </w:rPr>
            </w:r>
          </w:p>
        </w:tc>
      </w:tr>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32.49%</w:t>
            </w:r>
          </w:p>
        </w:tc>
      </w:tr>
    </w:tbl>
    <w:p>
      <w:pPr>
        <w:pStyle w:val="BodyText"/>
        <w:spacing w:line="240" w:lineRule="auto" w:before="49"/>
        <w:ind w:right="147"/>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1"/>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1"/>
        <w:gridCol w:w="3144"/>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62,512,335.04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41,958,367.52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32,223,072.65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26,772,222.22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21,191,341.27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184,657,338.70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32.49%</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47"/>
        <w:jc w:val="left"/>
      </w:pPr>
      <w:r>
        <w:rPr/>
        <w:t>行业分类</w:t>
      </w:r>
    </w:p>
    <w:p>
      <w:pPr>
        <w:pStyle w:val="BodyText"/>
        <w:spacing w:line="240" w:lineRule="auto" w:before="117"/>
        <w:ind w:left="0" w:right="153"/>
        <w:jc w:val="right"/>
      </w:pPr>
      <w:bookmarkStart w:name="3、成本" w:id="24"/>
      <w:bookmarkEnd w:id="24"/>
      <w:r>
        <w:rPr/>
      </w: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355,937,416.61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245,232,989.62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45.14%</w:t>
            </w:r>
          </w:p>
        </w:tc>
      </w:tr>
    </w:tbl>
    <w:p>
      <w:pPr>
        <w:pStyle w:val="BodyText"/>
        <w:spacing w:line="240" w:lineRule="auto" w:before="49"/>
        <w:ind w:right="147"/>
        <w:jc w:val="left"/>
      </w:pPr>
      <w:r>
        <w:rPr/>
        <w:t>产品分类</w:t>
      </w:r>
    </w:p>
    <w:p>
      <w:pPr>
        <w:pStyle w:val="BodyText"/>
        <w:spacing w:line="240" w:lineRule="auto" w:before="117"/>
        <w:ind w:left="0" w:right="153"/>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321,962,540.47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225,845,603.44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42.56%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软件产品及服务 收入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33,974,876.14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19,387,386.18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355,937,416.61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245,232,989.62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45.14%</w:t>
            </w:r>
          </w:p>
        </w:tc>
      </w:tr>
    </w:tbl>
    <w:p>
      <w:pPr>
        <w:pStyle w:val="BodyText"/>
        <w:spacing w:line="240" w:lineRule="auto" w:before="49"/>
        <w:ind w:right="147"/>
        <w:jc w:val="left"/>
      </w:pPr>
      <w:r>
        <w:rPr/>
        <w:t>说明</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215" w:firstLine="379"/>
        <w:jc w:val="left"/>
      </w:pPr>
      <w:bookmarkStart w:name="6、现金流" w:id="25"/>
      <w:bookmarkEnd w:id="25"/>
      <w:r>
        <w:rPr/>
      </w:r>
      <w:r>
        <w:rPr/>
        <w:t>系统集成业务是根据客户的要求采购相应软、硬件产品后再销售给客户的业务，其成本主要为外购的软、硬件产品的 成本。软件产品与服务业务的成本主要为对应的原材料、人工费用等支出。</w:t>
      </w:r>
    </w:p>
    <w:p>
      <w:pPr>
        <w:pStyle w:val="BodyText"/>
        <w:spacing w:line="240" w:lineRule="auto" w:before="59"/>
        <w:ind w:right="147"/>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193,082,408.82</w:t>
            </w:r>
            <w:r>
              <w:rPr>
                <w:rFonts w:ascii="Times New Roman"/>
                <w:sz w:val="18"/>
              </w:rPr>
            </w:r>
          </w:p>
        </w:tc>
      </w:tr>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tabs>
                <w:tab w:pos="4725" w:val="left" w:leader="none"/>
              </w:tabs>
              <w:spacing w:line="240" w:lineRule="auto" w:before="49"/>
              <w:ind w:left="-125" w:right="1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40.90%</w:t>
            </w:r>
          </w:p>
        </w:tc>
      </w:tr>
    </w:tbl>
    <w:p>
      <w:pPr>
        <w:pStyle w:val="BodyText"/>
        <w:spacing w:line="240" w:lineRule="auto" w:before="49"/>
        <w:ind w:right="147"/>
        <w:jc w:val="left"/>
      </w:pPr>
      <w:r>
        <w:rPr/>
        <w:pict>
          <v:group style="position:absolute;margin-left:269.760010pt;margin-top:-20.638262pt;width:263.9pt;height:20.8pt;mso-position-horizontal-relative:page;mso-position-vertical-relative:paragraph;z-index:-749584" coordorigin="5395,-413" coordsize="5278,416">
            <v:group style="position:absolute;left:5407;top:-401;width:2;height:392" coordorigin="5407,-401" coordsize="2,392">
              <v:shape style="position:absolute;left:5407;top:-401;width:2;height:392" coordorigin="5407,-401" coordsize="0,392" path="m5407,-401l5407,-10e" filled="false" stroked="true" strokeweight="1.2pt" strokecolor="#ffffff">
                <v:path arrowok="t"/>
              </v:shape>
            </v:group>
            <v:group style="position:absolute;left:5419;top:-401;width:5254;height:392" coordorigin="5419,-401" coordsize="5254,392">
              <v:shape style="position:absolute;left:5419;top:-401;width:5254;height:392" coordorigin="5419,-401" coordsize="5254,392" path="m5419,-10l10673,-10,10673,-401,5419,-401,5419,-10xe" filled="true" fillcolor="#ffffff" stroked="false">
                <v:path arrowok="t"/>
                <v:fill type="solid"/>
              </v:shape>
            </v:group>
            <w10:wrap type="none"/>
          </v:group>
        </w:pict>
      </w: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1"/>
        <w:gridCol w:w="3144"/>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67,123,835.00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43,892,255.82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9.30%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31,830,000.00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28,910,000.00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21,326,318.00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193,082,408.82</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40.90%</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4、费用" w:id="26"/>
      <w:bookmarkEnd w:id="26"/>
      <w:r>
        <w:rPr/>
      </w:r>
      <w:r>
        <w:rPr/>
        <w:t>单位：元</w:t>
      </w:r>
    </w:p>
    <w:p>
      <w:pPr>
        <w:spacing w:line="240" w:lineRule="auto" w:before="2"/>
        <w:rPr>
          <w:rFonts w:ascii="宋体" w:hAnsi="宋体" w:cs="宋体" w:eastAsia="宋体" w:hint="default"/>
          <w:sz w:val="6"/>
          <w:szCs w:val="6"/>
        </w:rPr>
      </w:pPr>
    </w:p>
    <w:tbl>
      <w:tblPr>
        <w:tblW w:w="0" w:type="auto"/>
        <w:jc w:val="left"/>
        <w:tblInd w:w="654" w:type="dxa"/>
        <w:tblLayout w:type="fixed"/>
        <w:tblCellMar>
          <w:top w:w="0" w:type="dxa"/>
          <w:left w:w="0" w:type="dxa"/>
          <w:bottom w:w="0" w:type="dxa"/>
          <w:right w:w="0" w:type="dxa"/>
        </w:tblCellMar>
        <w:tblLook w:val="01E0"/>
      </w:tblPr>
      <w:tblGrid>
        <w:gridCol w:w="2261"/>
        <w:gridCol w:w="2194"/>
        <w:gridCol w:w="2124"/>
        <w:gridCol w:w="2042"/>
      </w:tblGrid>
      <w:tr>
        <w:trPr>
          <w:trHeight w:val="414" w:hRule="exact"/>
        </w:trPr>
        <w:tc>
          <w:tcPr>
            <w:tcW w:w="2261"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94"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4"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4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042"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46"/>
              <w:ind w:left="38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47" w:hRule="exact"/>
        </w:trPr>
        <w:tc>
          <w:tcPr>
            <w:tcW w:w="2261"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94" w:type="dxa"/>
            <w:tcBorders>
              <w:top w:val="single" w:sz="11" w:space="0" w:color="000000"/>
              <w:left w:val="single" w:sz="7" w:space="0" w:color="000000"/>
              <w:bottom w:val="single" w:sz="6" w:space="0" w:color="000000"/>
              <w:right w:val="single" w:sz="6"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40,133,879.35</w:t>
            </w:r>
          </w:p>
        </w:tc>
        <w:tc>
          <w:tcPr>
            <w:tcW w:w="2124"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33,300,543.04</w:t>
            </w:r>
          </w:p>
        </w:tc>
        <w:tc>
          <w:tcPr>
            <w:tcW w:w="2042"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z w:val="18"/>
              </w:rPr>
              <w:t>20.52%</w:t>
            </w:r>
          </w:p>
        </w:tc>
      </w:tr>
      <w:tr>
        <w:trPr>
          <w:trHeight w:val="348" w:hRule="exact"/>
        </w:trPr>
        <w:tc>
          <w:tcPr>
            <w:tcW w:w="2261"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9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80,959,230.65</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48,270,144.48</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67.72%</w:t>
            </w:r>
          </w:p>
        </w:tc>
      </w:tr>
      <w:tr>
        <w:trPr>
          <w:trHeight w:val="346" w:hRule="exact"/>
        </w:trPr>
        <w:tc>
          <w:tcPr>
            <w:tcW w:w="2261"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9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-25,463,604.08</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-17,299,176.00</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-47.20%</w:t>
            </w:r>
          </w:p>
        </w:tc>
      </w:tr>
      <w:tr>
        <w:trPr>
          <w:trHeight w:val="348" w:hRule="exact"/>
        </w:trPr>
        <w:tc>
          <w:tcPr>
            <w:tcW w:w="2261"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19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9,600,837.29</w:t>
            </w:r>
            <w:r>
              <w:rPr>
                <w:rFonts w:ascii="Times New Roman"/>
                <w:sz w:val="18"/>
              </w:rPr>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13,367,330.33</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-28.18%</w:t>
            </w:r>
          </w:p>
        </w:tc>
      </w:tr>
    </w:tbl>
    <w:p>
      <w:pPr>
        <w:pStyle w:val="BodyText"/>
        <w:spacing w:line="240" w:lineRule="auto" w:before="49"/>
        <w:ind w:left="512" w:right="147"/>
        <w:jc w:val="left"/>
      </w:pPr>
      <w:r>
        <w:rPr/>
        <w:t>（</w:t>
      </w:r>
      <w:r>
        <w:rPr>
          <w:rFonts w:ascii="Times New Roman" w:hAnsi="Times New Roman" w:cs="Times New Roman" w:eastAsia="Times New Roman" w:hint="default"/>
        </w:rPr>
        <w:t>1</w:t>
      </w:r>
      <w:r>
        <w:rPr/>
        <w:t>）管理费用较上年同期增长</w:t>
      </w:r>
      <w:r>
        <w:rPr>
          <w:spacing w:val="-47"/>
        </w:rPr>
        <w:t> </w:t>
      </w:r>
      <w:r>
        <w:rPr>
          <w:rFonts w:ascii="Times New Roman" w:hAnsi="Times New Roman" w:cs="Times New Roman" w:eastAsia="Times New Roman" w:hint="default"/>
        </w:rPr>
        <w:t>67.72%</w:t>
      </w:r>
      <w:r>
        <w:rPr/>
        <w:t>，主要是报告期职工薪酬、研发支出、无形资产旧摊销费用等增加。</w:t>
      </w:r>
    </w:p>
    <w:p>
      <w:pPr>
        <w:pStyle w:val="BodyText"/>
        <w:spacing w:line="240" w:lineRule="auto" w:before="103"/>
        <w:ind w:left="512" w:right="147"/>
        <w:jc w:val="left"/>
      </w:pPr>
      <w:r>
        <w:rPr/>
        <w:t>（</w:t>
      </w:r>
      <w:r>
        <w:rPr>
          <w:rFonts w:ascii="Times New Roman" w:hAnsi="Times New Roman" w:cs="Times New Roman" w:eastAsia="Times New Roman" w:hint="default"/>
        </w:rPr>
        <w:t>2</w:t>
      </w:r>
      <w:r>
        <w:rPr/>
        <w:t>）财务费用较上年同期减少</w:t>
      </w:r>
      <w:r>
        <w:rPr>
          <w:spacing w:val="-45"/>
        </w:rPr>
        <w:t> </w:t>
      </w:r>
      <w:r>
        <w:rPr>
          <w:rFonts w:ascii="Times New Roman" w:hAnsi="Times New Roman" w:cs="Times New Roman" w:eastAsia="Times New Roman" w:hint="default"/>
        </w:rPr>
        <w:t>47.2%</w:t>
      </w:r>
      <w:r>
        <w:rPr/>
        <w:t>，主要是报告期利息收入增加所致。</w:t>
      </w:r>
    </w:p>
    <w:p>
      <w:pPr>
        <w:spacing w:line="240" w:lineRule="auto" w:before="13"/>
        <w:rPr>
          <w:rFonts w:ascii="宋体" w:hAnsi="宋体" w:cs="宋体" w:eastAsia="宋体" w:hint="default"/>
          <w:sz w:val="25"/>
          <w:szCs w:val="25"/>
        </w:rPr>
      </w:pPr>
    </w:p>
    <w:p>
      <w:pPr>
        <w:pStyle w:val="Heading3"/>
        <w:spacing w:line="240" w:lineRule="auto"/>
        <w:ind w:right="147"/>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75" w:firstLine="419"/>
        <w:jc w:val="left"/>
      </w:pPr>
      <w:r>
        <w:rPr/>
        <w:t>报告期内研发支出主要用于新一代电子政务应用平台、信息安全风险综合管理系统、</w:t>
      </w:r>
      <w:bookmarkStart w:name="5、研发支出" w:id="27"/>
      <w:bookmarkEnd w:id="27"/>
      <w:r>
        <w:rPr/>
        <w:t>质检三电工程企业端软件运维服</w:t>
      </w:r>
      <w:r>
        <w:rPr/>
        <w:t> 务平台、协同管理软件平台和技术研发与创新中心五个项目的研发，研发进展等情况详见募集资金使用报告。</w:t>
      </w:r>
    </w:p>
    <w:p>
      <w:pPr>
        <w:pStyle w:val="BodyText"/>
        <w:spacing w:line="240" w:lineRule="auto" w:before="59"/>
        <w:ind w:left="572" w:right="147"/>
        <w:jc w:val="left"/>
      </w:pPr>
      <w:r>
        <w:rPr/>
        <w:t>本年度研发支出总额为</w:t>
      </w:r>
      <w:r>
        <w:rPr>
          <w:rFonts w:ascii="Times New Roman" w:hAnsi="Times New Roman" w:cs="Times New Roman" w:eastAsia="Times New Roman" w:hint="default"/>
        </w:rPr>
        <w:t>3,923.78</w:t>
      </w:r>
      <w:r>
        <w:rPr/>
        <w:t>万元，分别占公司最近一期经审计净资产、营业收入的</w:t>
      </w:r>
      <w:r>
        <w:rPr>
          <w:rFonts w:ascii="Times New Roman" w:hAnsi="Times New Roman" w:cs="Times New Roman" w:eastAsia="Times New Roman" w:hint="default"/>
        </w:rPr>
        <w:t>2.98%</w:t>
      </w:r>
      <w:r>
        <w:rPr/>
        <w:t>、</w:t>
      </w:r>
      <w:r>
        <w:rPr>
          <w:rFonts w:ascii="Times New Roman" w:hAnsi="Times New Roman" w:cs="Times New Roman" w:eastAsia="Times New Roman" w:hint="default"/>
        </w:rPr>
        <w:t>6.9%</w:t>
      </w:r>
      <w:r>
        <w:rPr/>
        <w:t>。</w:t>
      </w:r>
    </w:p>
    <w:p>
      <w:pPr>
        <w:spacing w:line="240" w:lineRule="auto" w:before="13"/>
        <w:rPr>
          <w:rFonts w:ascii="宋体" w:hAnsi="宋体" w:cs="宋体" w:eastAsia="宋体" w:hint="default"/>
          <w:sz w:val="25"/>
          <w:szCs w:val="25"/>
        </w:rPr>
      </w:pPr>
    </w:p>
    <w:p>
      <w:pPr>
        <w:pStyle w:val="Heading3"/>
        <w:spacing w:line="240" w:lineRule="auto"/>
        <w:ind w:right="147"/>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82"/>
        <w:gridCol w:w="2100"/>
        <w:gridCol w:w="2393"/>
        <w:gridCol w:w="2393"/>
      </w:tblGrid>
      <w:tr>
        <w:trPr>
          <w:trHeight w:val="401" w:hRule="exact"/>
        </w:trPr>
        <w:tc>
          <w:tcPr>
            <w:tcW w:w="2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761,757,579.61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494,207,408.73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54.14%</w:t>
            </w:r>
          </w:p>
        </w:tc>
      </w:tr>
      <w:tr>
        <w:trPr>
          <w:trHeight w:val="401" w:hRule="exact"/>
        </w:trPr>
        <w:tc>
          <w:tcPr>
            <w:tcW w:w="2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643,499,500.71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410,389,536.74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w:t>
            </w:r>
          </w:p>
        </w:tc>
      </w:tr>
      <w:tr>
        <w:trPr>
          <w:trHeight w:val="403" w:hRule="exact"/>
        </w:trPr>
        <w:tc>
          <w:tcPr>
            <w:tcW w:w="2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118,258,078.90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83,817,871.99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41.09%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82"/>
        <w:gridCol w:w="2100"/>
        <w:gridCol w:w="2393"/>
        <w:gridCol w:w="2393"/>
      </w:tblGrid>
      <w:tr>
        <w:trPr>
          <w:trHeight w:val="401" w:hRule="exact"/>
        </w:trPr>
        <w:tc>
          <w:tcPr>
            <w:tcW w:w="2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201,064,220.76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757,711,170.92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-73.46%</w:t>
            </w:r>
          </w:p>
        </w:tc>
      </w:tr>
      <w:tr>
        <w:trPr>
          <w:trHeight w:val="403" w:hRule="exact"/>
        </w:trPr>
        <w:tc>
          <w:tcPr>
            <w:tcW w:w="2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409,217,108.00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253,384,829.44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61.5%</w:t>
            </w:r>
          </w:p>
        </w:tc>
      </w:tr>
      <w:tr>
        <w:trPr>
          <w:trHeight w:val="401" w:hRule="exact"/>
        </w:trPr>
        <w:tc>
          <w:tcPr>
            <w:tcW w:w="2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-208,152,887.24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504,326,341.48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-141.27%</w:t>
            </w:r>
            <w:r>
              <w:rPr>
                <w:rFonts w:ascii="Times New Roman"/>
                <w:sz w:val="18"/>
              </w:rPr>
            </w:r>
          </w:p>
        </w:tc>
      </w:tr>
      <w:tr>
        <w:trPr>
          <w:trHeight w:val="403" w:hRule="exact"/>
        </w:trPr>
        <w:tc>
          <w:tcPr>
            <w:tcW w:w="2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00" w:type="dxa"/>
            <w:tcBorders>
              <w:top w:val="single" w:sz="4" w:space="0" w:color="000000"/>
              <w:left w:val="single" w:sz="10" w:space="0" w:color="D4D4D4"/>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31,110,000.00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131,741,885.00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-76.39%</w:t>
            </w:r>
          </w:p>
        </w:tc>
      </w:tr>
      <w:tr>
        <w:trPr>
          <w:trHeight w:val="403" w:hRule="exact"/>
        </w:trPr>
        <w:tc>
          <w:tcPr>
            <w:tcW w:w="2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-31,110,000.00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-62,741,885.00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50.42%</w:t>
            </w:r>
          </w:p>
        </w:tc>
      </w:tr>
      <w:tr>
        <w:trPr>
          <w:trHeight w:val="403" w:hRule="exact"/>
        </w:trPr>
        <w:tc>
          <w:tcPr>
            <w:tcW w:w="2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-121,004,808.34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525,402,328.47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-123.03%</w:t>
            </w:r>
            <w:r>
              <w:rPr>
                <w:rFonts w:ascii="Times New Roman"/>
                <w:sz w:val="18"/>
              </w:rPr>
            </w:r>
          </w:p>
        </w:tc>
      </w:tr>
    </w:tbl>
    <w:p>
      <w:pPr>
        <w:pStyle w:val="BodyText"/>
        <w:spacing w:line="240" w:lineRule="auto" w:before="49"/>
        <w:ind w:right="147"/>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240" w:lineRule="auto" w:before="101"/>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2" w:right="147"/>
        <w:jc w:val="left"/>
      </w:pPr>
      <w:r>
        <w:rPr/>
        <w:t>（</w:t>
      </w:r>
      <w:r>
        <w:rPr>
          <w:rFonts w:ascii="宋体" w:hAnsi="宋体" w:cs="宋体" w:eastAsia="宋体" w:hint="default"/>
        </w:rPr>
        <w:t>1</w:t>
      </w:r>
      <w:r>
        <w:rPr/>
        <w:t>）经营活动现金流入较去年同期增加</w:t>
      </w:r>
      <w:r>
        <w:rPr>
          <w:rFonts w:ascii="Times New Roman" w:hAnsi="Times New Roman" w:cs="Times New Roman" w:eastAsia="Times New Roman" w:hint="default"/>
        </w:rPr>
        <w:t>54.14%</w:t>
      </w:r>
      <w:r>
        <w:rPr/>
        <w:t>，主要是报告期销售收入增长所致。</w:t>
      </w:r>
    </w:p>
    <w:p>
      <w:pPr>
        <w:pStyle w:val="BodyText"/>
        <w:spacing w:line="240" w:lineRule="auto" w:before="101"/>
        <w:ind w:left="512" w:right="147"/>
        <w:jc w:val="left"/>
      </w:pPr>
      <w:r>
        <w:rPr/>
        <w:t>（</w:t>
      </w:r>
      <w:r>
        <w:rPr>
          <w:rFonts w:ascii="宋体" w:hAnsi="宋体" w:cs="宋体" w:eastAsia="宋体" w:hint="default"/>
        </w:rPr>
        <w:t>2</w:t>
      </w:r>
      <w:r>
        <w:rPr/>
        <w:t>）经营活动现金流出较去年同期增加</w:t>
      </w:r>
      <w:r>
        <w:rPr>
          <w:rFonts w:ascii="Times New Roman" w:hAnsi="Times New Roman" w:cs="Times New Roman" w:eastAsia="Times New Roman" w:hint="default"/>
        </w:rPr>
        <w:t>56.8%</w:t>
      </w:r>
      <w:r>
        <w:rPr/>
        <w:t>，主要是报告期销售收入增长，相应的成本费用增加所致。</w:t>
      </w:r>
    </w:p>
    <w:p>
      <w:pPr>
        <w:pStyle w:val="BodyText"/>
        <w:spacing w:line="240" w:lineRule="auto" w:before="103"/>
        <w:ind w:left="513" w:right="147"/>
        <w:jc w:val="left"/>
      </w:pPr>
      <w:r>
        <w:rPr/>
        <w:t>（</w:t>
      </w:r>
      <w:r>
        <w:rPr>
          <w:rFonts w:ascii="宋体" w:hAnsi="宋体" w:cs="宋体" w:eastAsia="宋体" w:hint="default"/>
        </w:rPr>
        <w:t>3</w:t>
      </w:r>
      <w:r>
        <w:rPr/>
        <w:t>）经营活动产生的现金流量净额较去年同期增加</w:t>
      </w:r>
      <w:r>
        <w:rPr>
          <w:rFonts w:ascii="Times New Roman" w:hAnsi="Times New Roman" w:cs="Times New Roman" w:eastAsia="Times New Roman" w:hint="default"/>
        </w:rPr>
        <w:t>41.09%</w:t>
      </w:r>
      <w:r>
        <w:rPr/>
        <w:t>，主要是报告期预收账款等增加等所致。</w:t>
      </w:r>
    </w:p>
    <w:p>
      <w:pPr>
        <w:pStyle w:val="BodyText"/>
        <w:spacing w:line="240" w:lineRule="auto" w:before="103"/>
        <w:ind w:left="513" w:right="147"/>
        <w:jc w:val="left"/>
      </w:pPr>
      <w:r>
        <w:rPr/>
        <w:t>（</w:t>
      </w:r>
      <w:r>
        <w:rPr>
          <w:rFonts w:ascii="宋体" w:hAnsi="宋体" w:cs="宋体" w:eastAsia="宋体" w:hint="default"/>
        </w:rPr>
        <w:t>4</w:t>
      </w:r>
      <w:r>
        <w:rPr/>
        <w:t>）投资活动现金流入较去年同期减少</w:t>
      </w:r>
      <w:r>
        <w:rPr>
          <w:rFonts w:ascii="Times New Roman" w:hAnsi="Times New Roman" w:cs="Times New Roman" w:eastAsia="Times New Roman" w:hint="default"/>
        </w:rPr>
        <w:t>73.46%</w:t>
      </w:r>
      <w:r>
        <w:rPr/>
        <w:t>，主要是报告期定期存款转出减少所致。</w:t>
      </w:r>
    </w:p>
    <w:p>
      <w:pPr>
        <w:pStyle w:val="BodyText"/>
        <w:spacing w:line="240" w:lineRule="auto" w:before="101"/>
        <w:ind w:left="513" w:right="147"/>
        <w:jc w:val="left"/>
      </w:pPr>
      <w:r>
        <w:rPr/>
        <w:t>（</w:t>
      </w:r>
      <w:r>
        <w:rPr>
          <w:rFonts w:ascii="宋体" w:hAnsi="宋体" w:cs="宋体" w:eastAsia="宋体" w:hint="default"/>
        </w:rPr>
        <w:t>5</w:t>
      </w:r>
      <w:r>
        <w:rPr/>
        <w:t>）投资活动现金流出较去年同期增加</w:t>
      </w:r>
      <w:r>
        <w:rPr>
          <w:rFonts w:ascii="Times New Roman" w:hAnsi="Times New Roman" w:cs="Times New Roman" w:eastAsia="Times New Roman" w:hint="default"/>
        </w:rPr>
        <w:t>61.5%</w:t>
      </w:r>
      <w:r>
        <w:rPr/>
        <w:t>，主要是报告期转存定期存款金额增加所致。</w:t>
      </w:r>
    </w:p>
    <w:p>
      <w:pPr>
        <w:pStyle w:val="BodyText"/>
        <w:spacing w:line="240" w:lineRule="auto" w:before="103"/>
        <w:ind w:left="513" w:right="147"/>
        <w:jc w:val="left"/>
      </w:pPr>
      <w:r>
        <w:rPr/>
        <w:t>（</w:t>
      </w:r>
      <w:r>
        <w:rPr>
          <w:rFonts w:ascii="宋体" w:hAnsi="宋体" w:cs="宋体" w:eastAsia="宋体" w:hint="default"/>
        </w:rPr>
        <w:t>6</w:t>
      </w:r>
      <w:r>
        <w:rPr/>
        <w:t>）投资活动产生的现金流量净额较去年同期减少</w:t>
      </w:r>
      <w:r>
        <w:rPr>
          <w:rFonts w:ascii="Times New Roman" w:hAnsi="Times New Roman" w:cs="Times New Roman" w:eastAsia="Times New Roman" w:hint="default"/>
        </w:rPr>
        <w:t>141.27%</w:t>
      </w:r>
      <w:r>
        <w:rPr/>
        <w:t>，主要是报告期定期存款余额增加所致。</w:t>
      </w:r>
    </w:p>
    <w:p>
      <w:pPr>
        <w:pStyle w:val="BodyText"/>
        <w:spacing w:line="240" w:lineRule="auto" w:before="103"/>
        <w:ind w:left="513" w:right="147"/>
        <w:jc w:val="left"/>
      </w:pPr>
      <w:r>
        <w:rPr/>
        <w:t>（</w:t>
      </w:r>
      <w:r>
        <w:rPr>
          <w:rFonts w:ascii="宋体" w:hAnsi="宋体" w:cs="宋体" w:eastAsia="宋体" w:hint="default"/>
        </w:rPr>
        <w:t>7</w:t>
      </w:r>
      <w:r>
        <w:rPr/>
        <w:t>）筹资活动现金流入较去年同期减少</w:t>
      </w:r>
      <w:r>
        <w:rPr>
          <w:rFonts w:ascii="Times New Roman" w:hAnsi="Times New Roman" w:cs="Times New Roman" w:eastAsia="Times New Roman" w:hint="default"/>
        </w:rPr>
        <w:t>100%</w:t>
      </w:r>
      <w:r>
        <w:rPr/>
        <w:t>，主要是报告期发放股利减少及无银行借款所致。</w:t>
      </w:r>
    </w:p>
    <w:p>
      <w:pPr>
        <w:pStyle w:val="BodyText"/>
        <w:spacing w:line="240" w:lineRule="auto" w:before="101"/>
        <w:ind w:left="513" w:right="147"/>
        <w:jc w:val="left"/>
      </w:pPr>
      <w:r>
        <w:rPr/>
        <w:t>（</w:t>
      </w:r>
      <w:r>
        <w:rPr>
          <w:rFonts w:ascii="宋体" w:hAnsi="宋体" w:cs="宋体" w:eastAsia="宋体" w:hint="default"/>
        </w:rPr>
        <w:t>8</w:t>
      </w:r>
      <w:r>
        <w:rPr/>
        <w:t>）筹资活动现金流出较去年同期减少</w:t>
      </w:r>
      <w:r>
        <w:rPr>
          <w:rFonts w:ascii="Times New Roman" w:hAnsi="Times New Roman" w:cs="Times New Roman" w:eastAsia="Times New Roman" w:hint="default"/>
        </w:rPr>
        <w:t>76.39%</w:t>
      </w:r>
      <w:r>
        <w:rPr/>
        <w:t>，主要是报告期发放股利减少及无偿还银行借款所致。</w:t>
      </w:r>
    </w:p>
    <w:p>
      <w:pPr>
        <w:pStyle w:val="BodyText"/>
        <w:spacing w:line="340" w:lineRule="auto" w:before="103"/>
        <w:ind w:left="153" w:right="1928" w:firstLine="360"/>
        <w:jc w:val="left"/>
      </w:pPr>
      <w:r>
        <w:rPr/>
        <w:t>（</w:t>
      </w:r>
      <w:r>
        <w:rPr>
          <w:rFonts w:ascii="宋体" w:hAnsi="宋体" w:cs="宋体" w:eastAsia="宋体" w:hint="default"/>
        </w:rPr>
        <w:t>9</w:t>
      </w:r>
      <w:r>
        <w:rPr/>
        <w:t>）筹资活动产生的现金流量净额较去年同期增加</w:t>
      </w:r>
      <w:r>
        <w:rPr>
          <w:rFonts w:ascii="Times New Roman" w:hAnsi="Times New Roman" w:cs="Times New Roman" w:eastAsia="Times New Roman" w:hint="default"/>
        </w:rPr>
        <w:t>50.42%</w:t>
      </w:r>
      <w:r>
        <w:rPr/>
        <w:t>，主要是报告期发放股利减少所致。 报告期内公司经营活动的现金流量与本年度净利润存在重大差异的原因说明</w:t>
      </w:r>
    </w:p>
    <w:p>
      <w:pPr>
        <w:pStyle w:val="BodyText"/>
        <w:spacing w:line="240" w:lineRule="auto" w:before="39"/>
        <w:ind w:left="153"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4"/>
          <w:szCs w:val="24"/>
        </w:rPr>
      </w:pPr>
    </w:p>
    <w:p>
      <w:pPr>
        <w:pStyle w:val="Heading2"/>
        <w:spacing w:line="240" w:lineRule="auto"/>
        <w:ind w:right="147"/>
        <w:jc w:val="left"/>
        <w:rPr>
          <w:b w:val="0"/>
          <w:bCs w:val="0"/>
        </w:rPr>
      </w:pPr>
      <w:r>
        <w:rPr/>
        <w:t>三、主营业务构成情况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3"/>
        <w:jc w:val="right"/>
      </w:pPr>
      <w:bookmarkStart w:name="三、主营业务构成情况" w:id="28"/>
      <w:bookmarkEnd w:id="28"/>
      <w:r>
        <w:rPr/>
      </w: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62" w:right="48"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56"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568,319,810.56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355,937,416.61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31.27%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-5.98%</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372,088,402.95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321,962,540.47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软件产品及服务 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196,231,407.61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33,974,876.14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-6.05%</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144,151,736.91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118,106,439.69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-10.95%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96,612,844.57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58,405,647.52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-15.72%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213,416,112.32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105,788,321.57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43.05%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45,675,058.38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28,251,675.62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-22.42%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68,464,058.38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45,385,332.21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33.71%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126.07%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184.65%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4" w:right="0"/>
              <w:jc w:val="left"/>
              <w:rPr>
                <w:rFonts w:ascii="Times New Roman" w:hAnsi="Times New Roman" w:cs="Times New Roman" w:eastAsia="Times New Roman" w:hint="default"/>
                <w:sz w:val="18"/>
                <w:szCs w:val="18"/>
              </w:rPr>
            </w:pPr>
            <w:r>
              <w:rPr>
                <w:rFonts w:ascii="Times New Roman"/>
                <w:sz w:val="18"/>
              </w:rPr>
              <w:t>-13.64%</w:t>
            </w:r>
          </w:p>
        </w:tc>
      </w:tr>
    </w:tbl>
    <w:p>
      <w:pPr>
        <w:pStyle w:val="BodyText"/>
        <w:spacing w:line="240" w:lineRule="auto" w:before="49"/>
        <w:ind w:right="147"/>
        <w:jc w:val="left"/>
      </w:pPr>
      <w:bookmarkStart w:name="五、核心竞争力分析" w:id="29"/>
      <w:bookmarkEnd w:id="29"/>
      <w:r>
        <w:rPr/>
      </w:r>
      <w:r>
        <w:rPr/>
        <w:t>公司主营业务数据统计口径在报告期发生调整的情况下，公司最近</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7"/>
        <w:jc w:val="left"/>
        <w:rPr>
          <w:b w:val="0"/>
          <w:bCs w:val="0"/>
        </w:rPr>
      </w:pPr>
      <w:r>
        <w:rPr/>
        <w:t>四、资产、负</w:t>
      </w:r>
      <w:bookmarkStart w:name="四、资产、负债状况分析" w:id="30"/>
      <w:bookmarkEnd w:id="30"/>
      <w:r>
        <w:rPr/>
        <w:t>债</w:t>
      </w:r>
      <w:r>
        <w:rPr/>
        <w:t>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7"/>
        <w:jc w:val="left"/>
        <w:rPr>
          <w:b w:val="0"/>
          <w:bCs w:val="0"/>
        </w:rPr>
      </w:pPr>
      <w:r>
        <w:rPr>
          <w:rFonts w:ascii="Times New Roman" w:hAnsi="Times New Roman" w:cs="Times New Roman" w:eastAsia="Times New Roman" w:hint="default"/>
        </w:rPr>
        <w:t>1</w:t>
      </w:r>
      <w:r>
        <w:rPr/>
        <w:t>、资产项目重大变</w:t>
      </w:r>
      <w:bookmarkStart w:name="1、资产项目重大变动情况" w:id="31"/>
      <w:bookmarkEnd w:id="31"/>
      <w:r>
        <w:rPr/>
        <w:t>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3"/>
        <w:gridCol w:w="1430"/>
        <w:gridCol w:w="1133"/>
        <w:gridCol w:w="1416"/>
        <w:gridCol w:w="1135"/>
        <w:gridCol w:w="852"/>
        <w:gridCol w:w="2338"/>
      </w:tblGrid>
      <w:tr>
        <w:trPr>
          <w:trHeight w:val="206" w:hRule="exact"/>
        </w:trPr>
        <w:tc>
          <w:tcPr>
            <w:tcW w:w="1253" w:type="dxa"/>
            <w:vMerge w:val="restart"/>
            <w:tcBorders>
              <w:top w:val="single" w:sz="4" w:space="0" w:color="000000"/>
              <w:left w:val="single" w:sz="4" w:space="0" w:color="000000"/>
              <w:right w:val="single" w:sz="4" w:space="0" w:color="000000"/>
            </w:tcBorders>
            <w:shd w:val="clear" w:color="auto" w:fill="D4D4D4"/>
          </w:tcPr>
          <w:p>
            <w:pPr/>
          </w:p>
        </w:tc>
        <w:tc>
          <w:tcPr>
            <w:tcW w:w="256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5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年末</w:t>
            </w:r>
          </w:p>
        </w:tc>
        <w:tc>
          <w:tcPr>
            <w:tcW w:w="852" w:type="dxa"/>
            <w:tcBorders>
              <w:top w:val="single" w:sz="4" w:space="0" w:color="000000"/>
              <w:left w:val="single" w:sz="4" w:space="0" w:color="000000"/>
              <w:bottom w:val="nil" w:sz="6" w:space="0" w:color="auto"/>
              <w:right w:val="single" w:sz="4" w:space="0" w:color="000000"/>
            </w:tcBorders>
            <w:shd w:val="clear" w:color="auto" w:fill="D4D4D4"/>
          </w:tcPr>
          <w:p>
            <w:pPr/>
          </w:p>
        </w:tc>
        <w:tc>
          <w:tcPr>
            <w:tcW w:w="2338" w:type="dxa"/>
            <w:vMerge w:val="restart"/>
            <w:tcBorders>
              <w:top w:val="single" w:sz="4" w:space="0" w:color="000000"/>
              <w:left w:val="single" w:sz="4" w:space="0" w:color="000000"/>
              <w:right w:val="single" w:sz="4" w:space="0" w:color="000000"/>
            </w:tcBorders>
            <w:shd w:val="clear" w:color="auto" w:fill="D4D4D4"/>
          </w:tcPr>
          <w:p>
            <w:pPr/>
          </w:p>
        </w:tc>
      </w:tr>
      <w:tr>
        <w:trPr>
          <w:trHeight w:val="173" w:hRule="exact"/>
        </w:trPr>
        <w:tc>
          <w:tcPr>
            <w:tcW w:w="1253" w:type="dxa"/>
            <w:vMerge/>
            <w:tcBorders>
              <w:left w:val="single" w:sz="4" w:space="0" w:color="000000"/>
              <w:bottom w:val="nil" w:sz="6" w:space="0" w:color="auto"/>
              <w:right w:val="single" w:sz="4" w:space="0" w:color="000000"/>
            </w:tcBorders>
            <w:shd w:val="clear" w:color="auto" w:fill="D4D4D4"/>
          </w:tcPr>
          <w:p>
            <w:pPr/>
          </w:p>
        </w:tc>
        <w:tc>
          <w:tcPr>
            <w:tcW w:w="2563" w:type="dxa"/>
            <w:gridSpan w:val="2"/>
            <w:vMerge/>
            <w:tcBorders>
              <w:left w:val="single" w:sz="4" w:space="0" w:color="000000"/>
              <w:bottom w:val="single" w:sz="4" w:space="0" w:color="000000"/>
              <w:right w:val="single" w:sz="4" w:space="0" w:color="000000"/>
            </w:tcBorders>
            <w:shd w:val="clear" w:color="auto" w:fill="D4D4D4"/>
          </w:tcPr>
          <w:p>
            <w:pPr/>
          </w:p>
        </w:tc>
        <w:tc>
          <w:tcPr>
            <w:tcW w:w="2551" w:type="dxa"/>
            <w:gridSpan w:val="2"/>
            <w:vMerge/>
            <w:tcBorders>
              <w:left w:val="single" w:sz="4" w:space="0" w:color="000000"/>
              <w:bottom w:val="single" w:sz="4" w:space="0" w:color="000000"/>
              <w:right w:val="single" w:sz="4" w:space="0" w:color="000000"/>
            </w:tcBorders>
            <w:shd w:val="clear" w:color="auto" w:fill="D4D4D4"/>
          </w:tcPr>
          <w:p>
            <w:pPr/>
          </w:p>
        </w:tc>
        <w:tc>
          <w:tcPr>
            <w:tcW w:w="85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38" w:type="dxa"/>
            <w:vMerge/>
            <w:tcBorders>
              <w:left w:val="single" w:sz="4" w:space="0" w:color="000000"/>
              <w:bottom w:val="nil" w:sz="6" w:space="0" w:color="auto"/>
              <w:right w:val="single" w:sz="4" w:space="0" w:color="000000"/>
            </w:tcBorders>
            <w:shd w:val="clear" w:color="auto" w:fill="D4D4D4"/>
          </w:tcPr>
          <w:p>
            <w:pPr/>
          </w:p>
        </w:tc>
      </w:tr>
      <w:tr>
        <w:trPr>
          <w:trHeight w:val="182" w:hRule="exact"/>
        </w:trPr>
        <w:tc>
          <w:tcPr>
            <w:tcW w:w="1253" w:type="dxa"/>
            <w:vMerge w:val="restart"/>
            <w:tcBorders>
              <w:top w:val="nil" w:sz="6" w:space="0" w:color="auto"/>
              <w:left w:val="single" w:sz="4" w:space="0" w:color="000000"/>
              <w:right w:val="single" w:sz="4" w:space="0" w:color="000000"/>
            </w:tcBorders>
            <w:shd w:val="clear" w:color="auto" w:fill="D4D4D4"/>
          </w:tcPr>
          <w:p>
            <w:pPr/>
          </w:p>
        </w:tc>
        <w:tc>
          <w:tcPr>
            <w:tcW w:w="1430" w:type="dxa"/>
            <w:tcBorders>
              <w:top w:val="single" w:sz="4" w:space="0" w:color="000000"/>
              <w:left w:val="single" w:sz="4" w:space="0" w:color="000000"/>
              <w:bottom w:val="nil" w:sz="6" w:space="0" w:color="auto"/>
              <w:right w:val="single" w:sz="4" w:space="0" w:color="000000"/>
            </w:tcBorders>
            <w:shd w:val="clear" w:color="auto" w:fill="D4D4D4"/>
          </w:tcPr>
          <w:p>
            <w:pPr/>
          </w:p>
        </w:tc>
        <w:tc>
          <w:tcPr>
            <w:tcW w:w="113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0"/>
              <w:ind w:left="218" w:right="108"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3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0"/>
              <w:ind w:left="220" w:right="108"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2" w:type="dxa"/>
            <w:vMerge/>
            <w:tcBorders>
              <w:left w:val="single" w:sz="4" w:space="0" w:color="000000"/>
              <w:right w:val="single" w:sz="4" w:space="0" w:color="000000"/>
            </w:tcBorders>
            <w:shd w:val="clear" w:color="auto" w:fill="D4D4D4"/>
          </w:tcPr>
          <w:p>
            <w:pPr/>
          </w:p>
        </w:tc>
        <w:tc>
          <w:tcPr>
            <w:tcW w:w="233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2"/>
              <w:ind w:left="62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253" w:type="dxa"/>
            <w:vMerge/>
            <w:tcBorders>
              <w:left w:val="single" w:sz="4" w:space="0" w:color="000000"/>
              <w:bottom w:val="nil" w:sz="6" w:space="0" w:color="auto"/>
              <w:right w:val="single" w:sz="4" w:space="0" w:color="000000"/>
            </w:tcBorders>
            <w:shd w:val="clear" w:color="auto" w:fill="D4D4D4"/>
          </w:tcPr>
          <w:p>
            <w:pPr/>
          </w:p>
        </w:tc>
        <w:tc>
          <w:tcPr>
            <w:tcW w:w="143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vMerge/>
            <w:tcBorders>
              <w:left w:val="single" w:sz="4" w:space="0" w:color="000000"/>
              <w:right w:val="single" w:sz="4" w:space="0" w:color="000000"/>
            </w:tcBorders>
            <w:shd w:val="clear" w:color="auto" w:fill="D4D4D4"/>
          </w:tcPr>
          <w:p>
            <w:pPr/>
          </w:p>
        </w:tc>
        <w:tc>
          <w:tcPr>
            <w:tcW w:w="141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vMerge/>
            <w:tcBorders>
              <w:left w:val="single" w:sz="4" w:space="0" w:color="000000"/>
              <w:right w:val="single" w:sz="4" w:space="0" w:color="000000"/>
            </w:tcBorders>
            <w:shd w:val="clear" w:color="auto" w:fill="D4D4D4"/>
          </w:tcPr>
          <w:p>
            <w:pPr/>
          </w:p>
        </w:tc>
        <w:tc>
          <w:tcPr>
            <w:tcW w:w="852" w:type="dxa"/>
            <w:vMerge/>
            <w:tcBorders>
              <w:left w:val="single" w:sz="4" w:space="0" w:color="000000"/>
              <w:right w:val="single" w:sz="4" w:space="0" w:color="000000"/>
            </w:tcBorders>
            <w:shd w:val="clear" w:color="auto" w:fill="D4D4D4"/>
          </w:tcPr>
          <w:p>
            <w:pPr/>
          </w:p>
        </w:tc>
        <w:tc>
          <w:tcPr>
            <w:tcW w:w="2338" w:type="dxa"/>
            <w:vMerge/>
            <w:tcBorders>
              <w:left w:val="single" w:sz="4" w:space="0" w:color="000000"/>
              <w:bottom w:val="nil" w:sz="6" w:space="0" w:color="auto"/>
              <w:right w:val="single" w:sz="4" w:space="0" w:color="000000"/>
            </w:tcBorders>
            <w:shd w:val="clear" w:color="auto" w:fill="D4D4D4"/>
          </w:tcPr>
          <w:p>
            <w:pPr/>
          </w:p>
        </w:tc>
      </w:tr>
      <w:tr>
        <w:trPr>
          <w:trHeight w:val="179" w:hRule="exact"/>
        </w:trPr>
        <w:tc>
          <w:tcPr>
            <w:tcW w:w="1253" w:type="dxa"/>
            <w:vMerge w:val="restart"/>
            <w:tcBorders>
              <w:top w:val="nil" w:sz="6" w:space="0" w:color="auto"/>
              <w:left w:val="single" w:sz="4" w:space="0" w:color="000000"/>
              <w:right w:val="single" w:sz="4" w:space="0" w:color="000000"/>
            </w:tcBorders>
            <w:shd w:val="clear" w:color="auto" w:fill="D4D4D4"/>
          </w:tcPr>
          <w:p>
            <w:pPr/>
          </w:p>
        </w:tc>
        <w:tc>
          <w:tcPr>
            <w:tcW w:w="1430" w:type="dxa"/>
            <w:vMerge/>
            <w:tcBorders>
              <w:left w:val="single" w:sz="4" w:space="0" w:color="000000"/>
              <w:bottom w:val="nil" w:sz="6" w:space="0" w:color="auto"/>
              <w:right w:val="single" w:sz="4" w:space="0" w:color="000000"/>
            </w:tcBorders>
            <w:shd w:val="clear" w:color="auto" w:fill="D4D4D4"/>
          </w:tcPr>
          <w:p>
            <w:pPr/>
          </w:p>
        </w:tc>
        <w:tc>
          <w:tcPr>
            <w:tcW w:w="1133" w:type="dxa"/>
            <w:vMerge/>
            <w:tcBorders>
              <w:left w:val="single" w:sz="4" w:space="0" w:color="000000"/>
              <w:right w:val="single" w:sz="4" w:space="0" w:color="000000"/>
            </w:tcBorders>
            <w:shd w:val="clear" w:color="auto" w:fill="D4D4D4"/>
          </w:tcPr>
          <w:p>
            <w:pPr/>
          </w:p>
        </w:tc>
        <w:tc>
          <w:tcPr>
            <w:tcW w:w="1416" w:type="dxa"/>
            <w:vMerge/>
            <w:tcBorders>
              <w:left w:val="single" w:sz="4" w:space="0" w:color="000000"/>
              <w:bottom w:val="nil" w:sz="6" w:space="0" w:color="auto"/>
              <w:right w:val="single" w:sz="4" w:space="0" w:color="000000"/>
            </w:tcBorders>
            <w:shd w:val="clear" w:color="auto" w:fill="D4D4D4"/>
          </w:tcPr>
          <w:p>
            <w:pPr/>
          </w:p>
        </w:tc>
        <w:tc>
          <w:tcPr>
            <w:tcW w:w="1135" w:type="dxa"/>
            <w:vMerge/>
            <w:tcBorders>
              <w:left w:val="single" w:sz="4" w:space="0" w:color="000000"/>
              <w:right w:val="single" w:sz="4" w:space="0" w:color="000000"/>
            </w:tcBorders>
            <w:shd w:val="clear" w:color="auto" w:fill="D4D4D4"/>
          </w:tcPr>
          <w:p>
            <w:pPr/>
          </w:p>
        </w:tc>
        <w:tc>
          <w:tcPr>
            <w:tcW w:w="852" w:type="dxa"/>
            <w:vMerge/>
            <w:tcBorders>
              <w:left w:val="single" w:sz="4" w:space="0" w:color="000000"/>
              <w:bottom w:val="nil" w:sz="6" w:space="0" w:color="auto"/>
              <w:right w:val="single" w:sz="4" w:space="0" w:color="000000"/>
            </w:tcBorders>
            <w:shd w:val="clear" w:color="auto" w:fill="D4D4D4"/>
          </w:tcPr>
          <w:p>
            <w:pPr/>
          </w:p>
        </w:tc>
        <w:tc>
          <w:tcPr>
            <w:tcW w:w="2338" w:type="dxa"/>
            <w:vMerge w:val="restart"/>
            <w:tcBorders>
              <w:top w:val="nil" w:sz="6" w:space="0" w:color="auto"/>
              <w:left w:val="single" w:sz="4" w:space="0" w:color="000000"/>
              <w:right w:val="single" w:sz="4" w:space="0" w:color="000000"/>
            </w:tcBorders>
            <w:shd w:val="clear" w:color="auto" w:fill="D4D4D4"/>
          </w:tcPr>
          <w:p>
            <w:pPr/>
          </w:p>
        </w:tc>
      </w:tr>
      <w:tr>
        <w:trPr>
          <w:trHeight w:val="172" w:hRule="exact"/>
        </w:trPr>
        <w:tc>
          <w:tcPr>
            <w:tcW w:w="1253" w:type="dxa"/>
            <w:vMerge/>
            <w:tcBorders>
              <w:left w:val="single" w:sz="4" w:space="0" w:color="000000"/>
              <w:bottom w:val="single" w:sz="4" w:space="0" w:color="000000"/>
              <w:right w:val="single" w:sz="4" w:space="0" w:color="000000"/>
            </w:tcBorders>
            <w:shd w:val="clear" w:color="auto" w:fill="D4D4D4"/>
          </w:tcPr>
          <w:p>
            <w:pPr/>
          </w:p>
        </w:tc>
        <w:tc>
          <w:tcPr>
            <w:tcW w:w="1430" w:type="dxa"/>
            <w:tcBorders>
              <w:top w:val="nil" w:sz="6" w:space="0" w:color="auto"/>
              <w:left w:val="single" w:sz="4" w:space="0" w:color="000000"/>
              <w:bottom w:val="single" w:sz="4" w:space="0" w:color="000000"/>
              <w:right w:val="single" w:sz="4" w:space="0" w:color="000000"/>
            </w:tcBorders>
            <w:shd w:val="clear" w:color="auto" w:fill="D4D4D4"/>
          </w:tcPr>
          <w:p>
            <w:pPr/>
          </w:p>
        </w:tc>
        <w:tc>
          <w:tcPr>
            <w:tcW w:w="1133" w:type="dxa"/>
            <w:vMerge/>
            <w:tcBorders>
              <w:left w:val="single" w:sz="4" w:space="0" w:color="000000"/>
              <w:bottom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35" w:type="dxa"/>
            <w:vMerge/>
            <w:tcBorders>
              <w:left w:val="single" w:sz="4" w:space="0" w:color="000000"/>
              <w:bottom w:val="single" w:sz="4" w:space="0" w:color="000000"/>
              <w:right w:val="single" w:sz="4" w:space="0" w:color="000000"/>
            </w:tcBorders>
            <w:shd w:val="clear" w:color="auto" w:fill="D4D4D4"/>
          </w:tcPr>
          <w:p>
            <w:pPr/>
          </w:p>
        </w:tc>
        <w:tc>
          <w:tcPr>
            <w:tcW w:w="852" w:type="dxa"/>
            <w:tcBorders>
              <w:top w:val="nil" w:sz="6" w:space="0" w:color="auto"/>
              <w:left w:val="single" w:sz="4" w:space="0" w:color="000000"/>
              <w:bottom w:val="single" w:sz="4" w:space="0" w:color="000000"/>
              <w:right w:val="single" w:sz="4" w:space="0" w:color="000000"/>
            </w:tcBorders>
            <w:shd w:val="clear" w:color="auto" w:fill="D4D4D4"/>
          </w:tcPr>
          <w:p>
            <w:pPr/>
          </w:p>
        </w:tc>
        <w:tc>
          <w:tcPr>
            <w:tcW w:w="233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1,071,886,397.96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71.95%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1,044,731,930.00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79.99%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期末定期存款增加</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46,093,815.83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47,293,011.60</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253" w:type="dxa"/>
            <w:tcBorders>
              <w:top w:val="single" w:sz="4" w:space="0" w:color="000000"/>
              <w:left w:val="single" w:sz="4" w:space="0" w:color="000000"/>
              <w:bottom w:val="nil" w:sz="6" w:space="0" w:color="auto"/>
              <w:right w:val="single" w:sz="4" w:space="0" w:color="000000"/>
            </w:tcBorders>
            <w:shd w:val="clear" w:color="auto" w:fill="D4D4D4"/>
          </w:tcPr>
          <w:p>
            <w:pPr/>
          </w:p>
        </w:tc>
        <w:tc>
          <w:tcPr>
            <w:tcW w:w="1430"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134,949,426.71</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6" w:right="0"/>
              <w:jc w:val="left"/>
              <w:rPr>
                <w:rFonts w:ascii="Times New Roman" w:hAnsi="Times New Roman" w:cs="Times New Roman" w:eastAsia="Times New Roman" w:hint="default"/>
                <w:sz w:val="18"/>
                <w:szCs w:val="18"/>
              </w:rPr>
            </w:pPr>
            <w:r>
              <w:rPr>
                <w:rFonts w:ascii="Times New Roman"/>
                <w:sz w:val="18"/>
              </w:rPr>
              <w:t>9.06%</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70,178,043.39</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8" w:right="0"/>
              <w:jc w:val="left"/>
              <w:rPr>
                <w:rFonts w:ascii="Times New Roman" w:hAnsi="Times New Roman" w:cs="Times New Roman" w:eastAsia="Times New Roman" w:hint="default"/>
                <w:sz w:val="18"/>
                <w:szCs w:val="18"/>
              </w:rPr>
            </w:pPr>
            <w:r>
              <w:rPr>
                <w:rFonts w:ascii="Times New Roman"/>
                <w:sz w:val="18"/>
              </w:rPr>
              <w:t>5.37%</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3.69%</w:t>
            </w:r>
          </w:p>
        </w:tc>
        <w:tc>
          <w:tcPr>
            <w:tcW w:w="2338"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宋体" w:hAnsi="宋体" w:cs="宋体" w:eastAsia="宋体" w:hint="default"/>
                <w:spacing w:val="-5"/>
                <w:sz w:val="18"/>
                <w:szCs w:val="18"/>
              </w:rPr>
              <w:t>报告期中标的项目增多，发出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商品增加及</w:t>
            </w:r>
            <w:r>
              <w:rPr>
                <w:rFonts w:ascii="Times New Roman" w:hAnsi="Times New Roman" w:cs="Times New Roman" w:eastAsia="Times New Roman" w:hint="default"/>
                <w:sz w:val="18"/>
                <w:szCs w:val="18"/>
              </w:rPr>
              <w:t>“</w:t>
            </w:r>
            <w:r>
              <w:rPr>
                <w:rFonts w:ascii="宋体" w:hAnsi="宋体" w:cs="宋体" w:eastAsia="宋体" w:hint="default"/>
                <w:sz w:val="18"/>
                <w:szCs w:val="18"/>
              </w:rPr>
              <w:t>马鞍山智慧园项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开发成本增加</w:t>
            </w:r>
          </w:p>
        </w:tc>
      </w:tr>
      <w:tr>
        <w:trPr>
          <w:trHeight w:val="391" w:hRule="exact"/>
        </w:trPr>
        <w:tc>
          <w:tcPr>
            <w:tcW w:w="125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30" w:type="dxa"/>
            <w:vMerge/>
            <w:tcBorders>
              <w:left w:val="single" w:sz="10" w:space="0" w:color="D4D4D4"/>
              <w:right w:val="single" w:sz="4" w:space="0" w:color="000000"/>
            </w:tcBorders>
          </w:tcPr>
          <w:p>
            <w:pPr/>
          </w:p>
        </w:tc>
        <w:tc>
          <w:tcPr>
            <w:tcW w:w="1133"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8" w:type="dxa"/>
            <w:vMerge/>
            <w:tcBorders>
              <w:left w:val="single" w:sz="4" w:space="0" w:color="000000"/>
              <w:right w:val="single" w:sz="4" w:space="0" w:color="000000"/>
            </w:tcBorders>
          </w:tcPr>
          <w:p>
            <w:pPr/>
          </w:p>
        </w:tc>
      </w:tr>
      <w:tr>
        <w:trPr>
          <w:trHeight w:val="317" w:hRule="exact"/>
        </w:trPr>
        <w:tc>
          <w:tcPr>
            <w:tcW w:w="1253" w:type="dxa"/>
            <w:tcBorders>
              <w:top w:val="nil" w:sz="6" w:space="0" w:color="auto"/>
              <w:left w:val="single" w:sz="4" w:space="0" w:color="000000"/>
              <w:bottom w:val="single" w:sz="4" w:space="0" w:color="000000"/>
              <w:right w:val="single" w:sz="4" w:space="0" w:color="000000"/>
            </w:tcBorders>
            <w:shd w:val="clear" w:color="auto" w:fill="D4D4D4"/>
          </w:tcPr>
          <w:p>
            <w:pPr/>
          </w:p>
        </w:tc>
        <w:tc>
          <w:tcPr>
            <w:tcW w:w="1430" w:type="dxa"/>
            <w:vMerge/>
            <w:tcBorders>
              <w:left w:val="single" w:sz="10" w:space="0" w:color="D4D4D4"/>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18,408,881.37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15,151,420.52</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38,911,413.17</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36,919,473.74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30" w:type="dxa"/>
            <w:tcBorders>
              <w:top w:val="single" w:sz="4" w:space="0" w:color="000000"/>
              <w:left w:val="single" w:sz="10" w:space="0" w:color="D4D4D4"/>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673,031.50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814"/>
        <w:jc w:val="left"/>
      </w:pPr>
      <w:r>
        <w:rPr/>
        <w:t>无。 报告期内公司主要资产计量属性是否发生重大变化</w:t>
      </w:r>
    </w:p>
    <w:p>
      <w:pPr>
        <w:pStyle w:val="BodyText"/>
        <w:spacing w:line="240" w:lineRule="auto" w:before="25"/>
        <w:ind w:right="14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47"/>
        <w:jc w:val="left"/>
        <w:rPr>
          <w:b w:val="0"/>
          <w:bCs w:val="0"/>
        </w:rPr>
      </w:pP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3" w:firstLine="419"/>
        <w:jc w:val="both"/>
      </w:pPr>
      <w:r>
        <w:rPr/>
        <w:t>公司自成立以来专注于软件产品的开发与销售、计算机系统集成及技术支持与服务，经过</w:t>
      </w:r>
      <w:bookmarkStart w:name="2、负债项目重大变动情况" w:id="32"/>
      <w:bookmarkEnd w:id="32"/>
      <w:r>
        <w:rPr/>
        <w:t>多年的</w:t>
      </w:r>
      <w:r>
        <w:rPr/>
        <w:t>不</w:t>
      </w:r>
      <w:bookmarkStart w:name="3、以公允价值计量的资产和负债" w:id="33"/>
      <w:bookmarkEnd w:id="33"/>
      <w:r>
        <w:rPr/>
        <w:t>懈努</w:t>
      </w:r>
      <w:r>
        <w:rPr/>
        <w:t>力，已在客户</w:t>
      </w:r>
      <w:r>
        <w:rPr/>
        <w:t> </w:t>
      </w:r>
      <w:r>
        <w:rPr>
          <w:spacing w:val="-2"/>
        </w:rPr>
        <w:t>资源、核心技术、行业经验、人力资源、销售和服务网络等方面形成了公司的核心竞争力，成为国内知名的软件产品和服务</w:t>
      </w:r>
      <w:r>
        <w:rPr>
          <w:spacing w:val="-65"/>
        </w:rPr>
        <w:t> </w:t>
      </w:r>
      <w:r>
        <w:rPr>
          <w:spacing w:val="-65"/>
        </w:rPr>
      </w:r>
      <w:r>
        <w:rPr/>
        <w:t>提供商。</w:t>
      </w:r>
    </w:p>
    <w:p>
      <w:pPr>
        <w:pStyle w:val="BodyText"/>
        <w:spacing w:line="357" w:lineRule="auto" w:before="59"/>
        <w:ind w:left="572" w:right="147" w:firstLine="84"/>
        <w:jc w:val="left"/>
      </w:pPr>
      <w:r>
        <w:rPr/>
        <w:t>（一）客户资源 公司经过近</w:t>
      </w:r>
      <w:r>
        <w:rPr>
          <w:rFonts w:ascii="Times New Roman" w:hAnsi="Times New Roman" w:cs="Times New Roman" w:eastAsia="Times New Roman" w:hint="default"/>
        </w:rPr>
        <w:t>20</w:t>
      </w:r>
      <w:r>
        <w:rPr/>
        <w:t>年的发展和积累，客户涵盖了政府、军事机关、质检、能源和电信等重要机关和行业，拥有了广泛、优</w:t>
      </w:r>
    </w:p>
    <w:p>
      <w:pPr>
        <w:pStyle w:val="BodyText"/>
        <w:spacing w:line="201" w:lineRule="exact"/>
        <w:ind w:right="0"/>
        <w:jc w:val="left"/>
      </w:pPr>
      <w:r>
        <w:rPr/>
        <w:t>质的客户资源，公司客户群整体质量突出。公司始终强调品牌建设，重视客户需求，技术支持和服务到位，客户满意度和忠</w:t>
      </w:r>
    </w:p>
    <w:p>
      <w:pPr>
        <w:pStyle w:val="BodyText"/>
        <w:spacing w:line="240" w:lineRule="auto" w:before="76"/>
        <w:ind w:right="147"/>
        <w:jc w:val="left"/>
      </w:pPr>
      <w:r>
        <w:rPr/>
        <w:t>诚度较高，客户对公司各类产品形成了较强的粘性，稳定客户的保有率不断提高。</w:t>
      </w:r>
    </w:p>
    <w:p>
      <w:pPr>
        <w:pStyle w:val="BodyText"/>
        <w:spacing w:line="240" w:lineRule="auto" w:before="117"/>
        <w:ind w:left="656" w:right="147"/>
        <w:jc w:val="left"/>
      </w:pPr>
      <w:r>
        <w:rPr/>
        <w:t>（二）技术领先性和创新性</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4" w:lineRule="auto" w:before="44"/>
        <w:ind w:right="137" w:firstLine="419"/>
        <w:jc w:val="both"/>
      </w:pPr>
      <w:bookmarkStart w:name="（2）持有金融企业股权情况" w:id="34"/>
      <w:bookmarkEnd w:id="34"/>
      <w:r>
        <w:rPr/>
      </w:r>
      <w:bookmarkStart w:name="（3）证券投资情况" w:id="35"/>
      <w:bookmarkEnd w:id="35"/>
      <w:r>
        <w:rPr/>
      </w:r>
      <w:r>
        <w:rPr/>
        <w:t>公司作为中国软件产品开发与销售的先行者之一，建立了以企业技术中心为核心的创新体系，多次承担国家</w:t>
      </w:r>
      <w:r>
        <w:rPr>
          <w:rFonts w:ascii="Times New Roman" w:hAnsi="Times New Roman" w:cs="Times New Roman" w:eastAsia="Times New Roman" w:hint="default"/>
        </w:rPr>
        <w:t>863</w:t>
      </w:r>
      <w:r>
        <w:rPr/>
        <w:t>项目、 </w:t>
      </w:r>
      <w:r>
        <w:rPr>
          <w:spacing w:val="-2"/>
        </w:rPr>
        <w:t>电子信息产业发展基金、创新基金以及高科技产业化专项基金项目课题，在所处领域中拥有多项国内领先的创新技术，已形</w:t>
      </w:r>
      <w:r>
        <w:rPr>
          <w:spacing w:val="-63"/>
        </w:rPr>
        <w:t> </w:t>
      </w:r>
      <w:r>
        <w:rPr>
          <w:spacing w:val="-63"/>
        </w:rPr>
      </w:r>
      <w:r>
        <w:rPr/>
        <w:t>成较强的核心技术竞争力。公司连续</w:t>
      </w:r>
      <w:r>
        <w:rPr>
          <w:rFonts w:ascii="Times New Roman" w:hAnsi="Times New Roman" w:cs="Times New Roman" w:eastAsia="Times New Roman" w:hint="default"/>
        </w:rPr>
        <w:t>10</w:t>
      </w:r>
      <w:r>
        <w:rPr/>
        <w:t>年被评为</w:t>
      </w:r>
      <w:r>
        <w:rPr>
          <w:rFonts w:ascii="Times New Roman" w:hAnsi="Times New Roman" w:cs="Times New Roman" w:eastAsia="Times New Roman" w:hint="default"/>
        </w:rPr>
        <w:t>“</w:t>
      </w:r>
      <w:r>
        <w:rPr/>
        <w:t>国家规划布局内重点软件企业</w:t>
      </w: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国家</w:t>
      </w:r>
      <w:r>
        <w:rPr>
          <w:rFonts w:ascii="Times New Roman" w:hAnsi="Times New Roman" w:cs="Times New Roman" w:eastAsia="Times New Roman" w:hint="default"/>
        </w:rPr>
        <w:t>863</w:t>
      </w:r>
      <w:r>
        <w:rPr/>
        <w:t>计划成果产业化基地</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国家 火炬计划重点高新技术企业</w:t>
      </w:r>
      <w:r>
        <w:rPr>
          <w:rFonts w:ascii="Times New Roman" w:hAnsi="Times New Roman" w:cs="Times New Roman" w:eastAsia="Times New Roman" w:hint="default"/>
        </w:rPr>
        <w:t>”</w:t>
      </w:r>
      <w:r>
        <w:rPr/>
        <w:t>，被认定为</w:t>
      </w:r>
      <w:r>
        <w:rPr>
          <w:rFonts w:ascii="Times New Roman" w:hAnsi="Times New Roman" w:cs="Times New Roman" w:eastAsia="Times New Roman" w:hint="default"/>
        </w:rPr>
        <w:t>“</w:t>
      </w:r>
      <w:r>
        <w:rPr/>
        <w:t>福建省省级企业技术中心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福建省软件技术研发中心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福州软件园博士后工作 站榕基分站</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福建省创新型企业</w:t>
      </w:r>
      <w:r>
        <w:rPr>
          <w:rFonts w:ascii="Times New Roman" w:hAnsi="Times New Roman" w:cs="Times New Roman" w:eastAsia="Times New Roman" w:hint="default"/>
        </w:rPr>
        <w:t>”</w:t>
      </w:r>
      <w:r>
        <w:rPr/>
        <w:t>，曾荣获</w:t>
      </w:r>
      <w:r>
        <w:rPr>
          <w:rFonts w:ascii="Times New Roman" w:hAnsi="Times New Roman" w:cs="Times New Roman" w:eastAsia="Times New Roman" w:hint="default"/>
        </w:rPr>
        <w:t>“</w:t>
      </w:r>
      <w:r>
        <w:rPr/>
        <w:t>中国十大创新软件企业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福建省知识产权优势企业</w:t>
      </w:r>
      <w:r>
        <w:rPr>
          <w:rFonts w:ascii="Times New Roman" w:hAnsi="Times New Roman" w:cs="Times New Roman" w:eastAsia="Times New Roman" w:hint="default"/>
        </w:rPr>
        <w:t>”</w:t>
      </w:r>
      <w:r>
        <w:rPr/>
        <w:t>。</w:t>
      </w:r>
    </w:p>
    <w:p>
      <w:pPr>
        <w:pStyle w:val="BodyText"/>
        <w:spacing w:line="309" w:lineRule="auto" w:before="50"/>
        <w:ind w:right="188" w:firstLine="419"/>
        <w:jc w:val="both"/>
      </w:pPr>
      <w:r>
        <w:rPr>
          <w:spacing w:val="-1"/>
        </w:rPr>
        <w:t>公司目前拥有</w:t>
      </w:r>
      <w:r>
        <w:rPr>
          <w:rFonts w:ascii="Times New Roman" w:hAnsi="Times New Roman" w:cs="Times New Roman" w:eastAsia="Times New Roman" w:hint="default"/>
          <w:spacing w:val="-1"/>
        </w:rPr>
        <w:t>“</w:t>
      </w:r>
      <w:r>
        <w:rPr>
          <w:spacing w:val="-1"/>
        </w:rPr>
        <w:t>榕基</w:t>
      </w:r>
      <w:r>
        <w:rPr>
          <w:rFonts w:ascii="Times New Roman" w:hAnsi="Times New Roman" w:cs="Times New Roman" w:eastAsia="Times New Roman" w:hint="default"/>
          <w:spacing w:val="-1"/>
        </w:rPr>
        <w:t>”</w:t>
      </w:r>
      <w:r>
        <w:rPr>
          <w:spacing w:val="-1"/>
        </w:rPr>
        <w:t>品牌的自主知识产权包括已拥有专利</w:t>
      </w:r>
      <w:r>
        <w:rPr>
          <w:rFonts w:ascii="Times New Roman" w:hAnsi="Times New Roman" w:cs="Times New Roman" w:eastAsia="Times New Roman" w:hint="default"/>
          <w:spacing w:val="-1"/>
        </w:rPr>
        <w:t>7</w:t>
      </w:r>
      <w:r>
        <w:rPr>
          <w:spacing w:val="-1"/>
        </w:rPr>
        <w:t>项、在申请专利</w:t>
      </w:r>
      <w:r>
        <w:rPr>
          <w:rFonts w:ascii="Times New Roman" w:hAnsi="Times New Roman" w:cs="Times New Roman" w:eastAsia="Times New Roman" w:hint="default"/>
          <w:spacing w:val="-1"/>
        </w:rPr>
        <w:t>20</w:t>
      </w:r>
      <w:r>
        <w:rPr>
          <w:spacing w:val="-1"/>
        </w:rPr>
        <w:t>项，</w:t>
      </w:r>
      <w:r>
        <w:rPr>
          <w:rFonts w:ascii="Times New Roman" w:hAnsi="Times New Roman" w:cs="Times New Roman" w:eastAsia="Times New Roman" w:hint="default"/>
          <w:spacing w:val="-1"/>
        </w:rPr>
        <w:t>80</w:t>
      </w:r>
      <w:r>
        <w:rPr>
          <w:spacing w:val="-1"/>
        </w:rPr>
        <w:t>项计算机软件著作权及</w:t>
      </w:r>
      <w:r>
        <w:rPr>
          <w:rFonts w:ascii="Times New Roman" w:hAnsi="Times New Roman" w:cs="Times New Roman" w:eastAsia="Times New Roman" w:hint="default"/>
          <w:spacing w:val="-1"/>
        </w:rPr>
        <w:t>67</w:t>
      </w:r>
      <w:r>
        <w:rPr>
          <w:spacing w:val="-1"/>
        </w:rPr>
        <w:t>项软件产</w:t>
      </w:r>
      <w:r>
        <w:rPr/>
        <w:t> </w:t>
      </w:r>
      <w:r>
        <w:rPr>
          <w:spacing w:val="-2"/>
        </w:rPr>
        <w:t>品登记证书。公司多个自主知识产权的软件产品和技术达到国内领先水平和国际先进水平，近年来有多个自主产品被列入国</w:t>
      </w:r>
      <w:r>
        <w:rPr>
          <w:spacing w:val="-64"/>
        </w:rPr>
        <w:t> </w:t>
      </w:r>
      <w:r>
        <w:rPr>
          <w:spacing w:val="-64"/>
        </w:rPr>
      </w:r>
      <w:r>
        <w:rPr/>
        <w:t>家和省部级创新产品，获得多项国家、省、市科技进步奖和优秀产品等荣誉。</w:t>
      </w:r>
    </w:p>
    <w:p>
      <w:pPr>
        <w:pStyle w:val="BodyText"/>
        <w:spacing w:line="360" w:lineRule="auto" w:before="62"/>
        <w:ind w:left="572" w:right="0" w:firstLine="84"/>
        <w:jc w:val="left"/>
      </w:pPr>
      <w:r>
        <w:rPr/>
        <w:t>（三）行业经验 公司作为四大主营业务领域的龙头企业和骨干企业，承担了金质工程、金环工程、天平工程、</w:t>
      </w:r>
      <w:r>
        <w:rPr>
          <w:rFonts w:ascii="Times New Roman" w:hAnsi="Times New Roman" w:cs="Times New Roman" w:eastAsia="Times New Roman" w:hint="default"/>
        </w:rPr>
        <w:t>SG186</w:t>
      </w:r>
      <w:r>
        <w:rPr/>
        <w:t>工程、信息安全</w:t>
      </w:r>
    </w:p>
    <w:p>
      <w:pPr>
        <w:pStyle w:val="BodyText"/>
        <w:spacing w:line="199" w:lineRule="exact"/>
        <w:ind w:right="0"/>
        <w:jc w:val="both"/>
      </w:pPr>
      <w:r>
        <w:rPr/>
        <w:t>内控运维等国家重大信息化项目以及多个行业核心业务支撑系统和关键共性技术平台，具有典型示范和辐射带动作用。中国</w:t>
      </w:r>
    </w:p>
    <w:p>
      <w:pPr>
        <w:pStyle w:val="BodyText"/>
        <w:spacing w:line="309" w:lineRule="auto" w:before="76"/>
        <w:ind w:right="191"/>
        <w:jc w:val="both"/>
      </w:pPr>
      <w:r>
        <w:rPr>
          <w:spacing w:val="-2"/>
        </w:rPr>
        <w:t>电子检验检疫主干系统是</w:t>
      </w:r>
      <w:r>
        <w:rPr>
          <w:rFonts w:ascii="Times New Roman" w:hAnsi="Times New Roman" w:cs="Times New Roman" w:eastAsia="Times New Roman" w:hint="default"/>
          <w:spacing w:val="-2"/>
        </w:rPr>
        <w:t>“</w:t>
      </w:r>
      <w:r>
        <w:rPr>
          <w:spacing w:val="-2"/>
        </w:rPr>
        <w:t>金质工程</w:t>
      </w:r>
      <w:r>
        <w:rPr>
          <w:rFonts w:ascii="Times New Roman" w:hAnsi="Times New Roman" w:cs="Times New Roman" w:eastAsia="Times New Roman" w:hint="default"/>
          <w:spacing w:val="-2"/>
        </w:rPr>
        <w:t>”</w:t>
      </w:r>
      <w:r>
        <w:rPr>
          <w:spacing w:val="-2"/>
        </w:rPr>
        <w:t>的核心业务，将建设全流程、全业务、全覆盖的中国电子检验检疫业务系统，实现数据</w:t>
      </w:r>
      <w:r>
        <w:rPr>
          <w:spacing w:val="-45"/>
        </w:rPr>
        <w:t> </w:t>
      </w:r>
      <w:r>
        <w:rPr>
          <w:spacing w:val="-45"/>
        </w:rPr>
      </w:r>
      <w:r>
        <w:rPr>
          <w:spacing w:val="-2"/>
        </w:rPr>
        <w:t>和应用全国大集中管理。公司是该项目的唯一中标方，将籍此全面进入质检行业的信息化业务，实现质检领域业务的进一步</w:t>
      </w:r>
      <w:r>
        <w:rPr>
          <w:spacing w:val="-63"/>
        </w:rPr>
        <w:t> </w:t>
      </w:r>
      <w:r>
        <w:rPr>
          <w:spacing w:val="-63"/>
        </w:rPr>
      </w:r>
      <w:r>
        <w:rPr/>
        <w:t>拓展。</w:t>
      </w:r>
    </w:p>
    <w:p>
      <w:pPr>
        <w:pStyle w:val="BodyText"/>
        <w:spacing w:line="357" w:lineRule="auto" w:before="65"/>
        <w:ind w:left="440" w:right="0" w:firstLine="216"/>
        <w:jc w:val="left"/>
      </w:pPr>
      <w:r>
        <w:rPr/>
        <w:t>（四）人力资源 </w:t>
      </w:r>
      <w:r>
        <w:rPr>
          <w:spacing w:val="-1"/>
        </w:rPr>
        <w:t>人力资源是软件企业的核心资源之一，是软件企业核心竞争力的主要体现。公司在多年的经营实践中形成了稳定的、受</w:t>
      </w:r>
    </w:p>
    <w:p>
      <w:pPr>
        <w:pStyle w:val="BodyText"/>
        <w:spacing w:line="224" w:lineRule="exact"/>
        <w:ind w:right="0"/>
        <w:jc w:val="both"/>
      </w:pPr>
      <w:r>
        <w:rPr>
          <w:spacing w:val="-4"/>
        </w:rPr>
        <w:t>过良好教育又具有行业经验的核心管理团队和优秀的、富有经验的研发技术团队。公司建立了人员招聘体系、职务职责体系、</w:t>
      </w:r>
    </w:p>
    <w:p>
      <w:pPr>
        <w:pStyle w:val="BodyText"/>
        <w:spacing w:line="316" w:lineRule="auto" w:before="76"/>
        <w:ind w:right="193"/>
        <w:jc w:val="both"/>
      </w:pPr>
      <w:r>
        <w:rPr>
          <w:spacing w:val="-2"/>
        </w:rPr>
        <w:t>薪酬福利体系、绩效考核体系、研发和创新激励体系等一系列机制，吸引、培养了一支技术水平高、经验丰富、富有团队协</w:t>
      </w:r>
      <w:r>
        <w:rPr>
          <w:spacing w:val="-68"/>
        </w:rPr>
        <w:t> </w:t>
      </w:r>
      <w:r>
        <w:rPr>
          <w:spacing w:val="-68"/>
        </w:rPr>
      </w:r>
      <w:r>
        <w:rPr/>
        <w:t>作精神，且对公司的企业文化有较高的认同感的研发技术团队，为公司规模化发展提供了有力的保障。</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bookmarkStart w:name="六、投资状况分析" w:id="36"/>
            <w:bookmarkEnd w:id="36"/>
            <w:r>
              <w:rPr/>
            </w:r>
            <w:bookmarkStart w:name="1、对外股权投资情况" w:id="37"/>
            <w:bookmarkEnd w:id="37"/>
            <w:r>
              <w:rPr/>
            </w:r>
            <w:bookmarkStart w:name="（1）对外投资情况" w:id="38"/>
            <w:bookmarkEnd w:id="38"/>
            <w:r>
              <w:rPr/>
            </w:r>
            <w:r>
              <w:rPr>
                <w:rFonts w:ascii="宋体" w:hAnsi="宋体" w:cs="宋体" w:eastAsia="宋体" w:hint="default"/>
                <w:sz w:val="18"/>
                <w:szCs w:val="18"/>
              </w:rPr>
              <w:t>变动幅度</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500,290,000.00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-90.01%</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027"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福建榕基投资有限公司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6"/>
              <w:jc w:val="both"/>
              <w:rPr>
                <w:rFonts w:ascii="宋体" w:hAnsi="宋体" w:cs="宋体" w:eastAsia="宋体" w:hint="default"/>
                <w:sz w:val="18"/>
                <w:szCs w:val="18"/>
              </w:rPr>
            </w:pPr>
            <w:r>
              <w:rPr>
                <w:rFonts w:ascii="宋体" w:hAnsi="宋体" w:cs="宋体" w:eastAsia="宋体" w:hint="default"/>
                <w:sz w:val="18"/>
                <w:szCs w:val="18"/>
              </w:rPr>
              <w:t>对信息传输、计算机服务和软件业、制 造业、服务业、教育业、农业、工业、 交通运输业的投资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47"/>
        <w:jc w:val="left"/>
        <w:rPr>
          <w:b w:val="0"/>
          <w:bCs w:val="0"/>
        </w:rPr>
      </w:pPr>
      <w:r>
        <w:rPr>
          <w:rFonts w:ascii="Times New Roman" w:hAnsi="Times New Roman" w:cs="Times New Roman" w:eastAsia="Times New Roman" w:hint="default"/>
        </w:rPr>
        <w:t>2</w:t>
      </w:r>
      <w:bookmarkStart w:name="2、委托理财、衍生品投资和委托贷款情况" w:id="39"/>
      <w:bookmarkEnd w:id="39"/>
      <w:r>
        <w:rPr>
          <w:rFonts w:ascii="Times New Roman" w:hAnsi="Times New Roman" w:cs="Times New Roman" w:eastAsia="Times New Roman" w:hint="default"/>
        </w:rPr>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bookmarkStart w:name="（1）委托理财情况" w:id="40"/>
      <w:bookmarkEnd w:id="40"/>
      <w:r>
        <w:rPr>
          <w:rFonts w:ascii="Times New Roman" w:hAnsi="Times New Roman" w:cs="Times New Roman" w:eastAsia="Times New Roman" w:hint="default"/>
        </w:rPr>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2</w:t>
      </w:r>
      <w:r>
        <w:rPr/>
        <w:t>）衍生品投资情</w:t>
      </w:r>
      <w:bookmarkStart w:name="（2）衍生品投资情况" w:id="41"/>
      <w:bookmarkEnd w:id="41"/>
      <w:r>
        <w:rPr/>
        <w:t>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报告期末衍生品投资的持仓情况</w:t>
      </w:r>
    </w:p>
    <w:p>
      <w:pPr>
        <w:pStyle w:val="BodyText"/>
        <w:spacing w:line="240" w:lineRule="auto" w:before="115"/>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47"/>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委托贷款情况" w:id="42"/>
      <w:bookmarkEnd w:id="42"/>
      <w:r>
        <w:rPr/>
      </w:r>
      <w:bookmarkStart w:name="3、募集资金使用情况" w:id="43"/>
      <w:bookmarkEnd w:id="43"/>
      <w:r>
        <w:rPr/>
      </w:r>
      <w:bookmarkStart w:name="（1）募集资金总体使用情况" w:id="44"/>
      <w:bookmarkEnd w:id="44"/>
      <w:r>
        <w:rPr/>
      </w:r>
      <w:r>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76"/>
        <w:gridCol w:w="5480"/>
      </w:tblGrid>
      <w:tr>
        <w:trPr>
          <w:trHeight w:val="401" w:hRule="exact"/>
        </w:trPr>
        <w:tc>
          <w:tcPr>
            <w:tcW w:w="40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90,566.32</w:t>
            </w:r>
          </w:p>
        </w:tc>
      </w:tr>
      <w:tr>
        <w:trPr>
          <w:trHeight w:val="403" w:hRule="exact"/>
        </w:trPr>
        <w:tc>
          <w:tcPr>
            <w:tcW w:w="40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4,408.1</w:t>
            </w:r>
          </w:p>
        </w:tc>
      </w:tr>
      <w:tr>
        <w:trPr>
          <w:trHeight w:val="406" w:hRule="exact"/>
        </w:trPr>
        <w:tc>
          <w:tcPr>
            <w:tcW w:w="40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29,235.92</w:t>
            </w:r>
          </w:p>
        </w:tc>
      </w:tr>
      <w:tr>
        <w:trPr>
          <w:trHeight w:val="39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2）募集资金承诺项目情况" w:id="45"/>
      <w:bookmarkEnd w:id="45"/>
      <w:r>
        <w:rPr/>
      </w: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1"/>
        <w:gridCol w:w="778"/>
        <w:gridCol w:w="780"/>
        <w:gridCol w:w="780"/>
        <w:gridCol w:w="780"/>
        <w:gridCol w:w="780"/>
        <w:gridCol w:w="780"/>
        <w:gridCol w:w="780"/>
        <w:gridCol w:w="780"/>
        <w:gridCol w:w="780"/>
        <w:gridCol w:w="780"/>
      </w:tblGrid>
      <w:tr>
        <w:trPr>
          <w:trHeight w:val="1337"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71"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49"/>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新一代电子政务应用 平台</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6,764.68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6,764.68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371.34</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2,363.87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1,570.07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信息安全风险综合管 理系统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6,339.33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6,339.33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897.33</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2,579.03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2,173.91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质检三电工程企业端 软件运维服务平台</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9,024.31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9,024.31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1,945.71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3,252.87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1,067.38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65"/>
        <w:gridCol w:w="199"/>
        <w:gridCol w:w="579"/>
        <w:gridCol w:w="785"/>
        <w:gridCol w:w="780"/>
        <w:gridCol w:w="780"/>
        <w:gridCol w:w="780"/>
        <w:gridCol w:w="786"/>
        <w:gridCol w:w="768"/>
        <w:gridCol w:w="792"/>
        <w:gridCol w:w="774"/>
        <w:gridCol w:w="780"/>
      </w:tblGrid>
      <w:tr>
        <w:trPr>
          <w:trHeight w:val="1025"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协同管理软件平台</w:t>
            </w:r>
          </w:p>
        </w:tc>
        <w:tc>
          <w:tcPr>
            <w:tcW w:w="7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7,450.14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7,450.14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347.09</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2,422.84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32.52%</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1,576.49</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技术研发与创新中心</w:t>
            </w:r>
          </w:p>
        </w:tc>
        <w:tc>
          <w:tcPr>
            <w:tcW w:w="7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3,104.37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3,104.37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846.63</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1,104.81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35.59%</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32,682.83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32,682.83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4,408.1</w:t>
            </w:r>
          </w:p>
        </w:tc>
        <w:tc>
          <w:tcPr>
            <w:tcW w:w="780"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w w:val="95"/>
                <w:sz w:val="18"/>
              </w:rPr>
              <w:t>11,723.42</w:t>
            </w:r>
          </w:p>
        </w:tc>
        <w:tc>
          <w:tcPr>
            <w:tcW w:w="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6,387.85</w:t>
            </w: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投资设立子公司</w:t>
            </w:r>
          </w:p>
        </w:tc>
        <w:tc>
          <w:tcPr>
            <w:tcW w:w="778" w:type="dxa"/>
            <w:gridSpan w:val="2"/>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4,512.5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10.49%</w:t>
            </w:r>
          </w:p>
        </w:tc>
        <w:tc>
          <w:tcPr>
            <w:tcW w:w="76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199" w:type="dxa"/>
            <w:tcBorders>
              <w:top w:val="single" w:sz="4" w:space="0" w:color="000000"/>
              <w:left w:val="single" w:sz="4" w:space="0" w:color="000000"/>
              <w:bottom w:val="single" w:sz="4" w:space="0" w:color="000000"/>
              <w:right w:val="nil" w:sz="6" w:space="0" w:color="auto"/>
            </w:tcBorders>
            <w:shd w:val="clear" w:color="auto" w:fill="D4D4D4"/>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p>
        </w:tc>
        <w:tc>
          <w:tcPr>
            <w:tcW w:w="579"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786"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100%</w:t>
            </w:r>
          </w:p>
        </w:tc>
        <w:tc>
          <w:tcPr>
            <w:tcW w:w="7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11,207.5</w:t>
            </w:r>
          </w:p>
        </w:tc>
        <w:tc>
          <w:tcPr>
            <w:tcW w:w="780"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17,512.5</w:t>
            </w:r>
          </w:p>
        </w:tc>
        <w:tc>
          <w:tcPr>
            <w:tcW w:w="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0" w:space="0" w:color="D4D4D4"/>
              <w:bottom w:val="single" w:sz="4" w:space="0" w:color="000000"/>
              <w:right w:val="single" w:sz="10" w:space="0" w:color="D4D4D4"/>
            </w:tcBorders>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88,682.83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88,682.83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15,615.6</w:t>
            </w:r>
          </w:p>
        </w:tc>
        <w:tc>
          <w:tcPr>
            <w:tcW w:w="780"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29,235.92</w:t>
            </w:r>
          </w:p>
        </w:tc>
        <w:tc>
          <w:tcPr>
            <w:tcW w:w="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6,387.85</w:t>
            </w: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322"/>
              <w:jc w:val="right"/>
              <w:rPr>
                <w:rFonts w:ascii="Times New Roman" w:hAnsi="Times New Roman" w:cs="Times New Roman" w:eastAsia="Times New Roman" w:hint="default"/>
                <w:sz w:val="18"/>
                <w:szCs w:val="18"/>
              </w:rPr>
            </w:pPr>
            <w:r>
              <w:rPr>
                <w:rFonts w:ascii="Times New Roman"/>
                <w:sz w:val="18"/>
              </w:rPr>
              <w:t>--</w:t>
            </w:r>
          </w:p>
        </w:tc>
      </w:tr>
      <w:tr>
        <w:trPr>
          <w:trHeight w:val="317" w:hRule="exact"/>
        </w:trPr>
        <w:tc>
          <w:tcPr>
            <w:tcW w:w="1765" w:type="dxa"/>
            <w:tcBorders>
              <w:top w:val="single" w:sz="4" w:space="0" w:color="000000"/>
              <w:left w:val="single" w:sz="4" w:space="0" w:color="000000"/>
              <w:bottom w:val="nil" w:sz="6" w:space="0" w:color="auto"/>
              <w:right w:val="single" w:sz="4" w:space="0" w:color="000000"/>
            </w:tcBorders>
            <w:shd w:val="clear" w:color="auto" w:fill="D4D4D4"/>
          </w:tcPr>
          <w:p>
            <w:pPr/>
          </w:p>
        </w:tc>
        <w:tc>
          <w:tcPr>
            <w:tcW w:w="7804" w:type="dxa"/>
            <w:gridSpan w:val="11"/>
            <w:vMerge w:val="restart"/>
            <w:tcBorders>
              <w:top w:val="single" w:sz="4" w:space="0" w:color="000000"/>
              <w:left w:val="single" w:sz="10" w:space="0" w:color="D4D4D4"/>
              <w:right w:val="single" w:sz="4" w:space="0" w:color="000000"/>
            </w:tcBorders>
          </w:tcPr>
          <w:p>
            <w:pPr>
              <w:pStyle w:val="TableParagraph"/>
              <w:spacing w:line="314" w:lineRule="auto" w:before="49"/>
              <w:ind w:left="22" w:right="19"/>
              <w:jc w:val="both"/>
              <w:rPr>
                <w:rFonts w:ascii="宋体" w:hAnsi="宋体" w:cs="宋体" w:eastAsia="宋体" w:hint="default"/>
                <w:sz w:val="18"/>
                <w:szCs w:val="18"/>
              </w:rPr>
            </w:pPr>
            <w:r>
              <w:rPr>
                <w:rFonts w:ascii="宋体" w:hAnsi="宋体" w:cs="宋体" w:eastAsia="宋体" w:hint="default"/>
                <w:sz w:val="18"/>
                <w:szCs w:val="18"/>
              </w:rPr>
              <w:t>受到全球经济的影响，一方面由于周边市场环境发生变化，研发环境建设投入放缓；另一方面为了 应对市场需求发生变化和技术发展需要，为了满足客户需求，公司继续加大研发投入促进产品升级 换代，适当延长研发进度；同时募集资金投资项目尚未整体达产，其规模效应还未充分发挥，虽然 </w:t>
            </w:r>
            <w:r>
              <w:rPr>
                <w:rFonts w:ascii="宋体" w:hAnsi="宋体" w:cs="宋体" w:eastAsia="宋体" w:hint="default"/>
                <w:spacing w:val="-2"/>
                <w:sz w:val="18"/>
                <w:szCs w:val="18"/>
              </w:rPr>
              <w:t>销售出现了一定程度增长，却未完全达到预期。基于上述原因，</w:t>
            </w:r>
            <w:r>
              <w:rPr>
                <w:rFonts w:ascii="Times New Roman" w:hAnsi="Times New Roman" w:cs="Times New Roman" w:eastAsia="Times New Roman" w:hint="default"/>
                <w:spacing w:val="-2"/>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年度募集资金投资项目形成的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现有效益未能完全达到招股说明书承诺的项目整体完成后的预期收益。</w:t>
            </w:r>
          </w:p>
        </w:tc>
      </w:tr>
      <w:tr>
        <w:trPr>
          <w:trHeight w:val="1015" w:hRule="exact"/>
        </w:trPr>
        <w:tc>
          <w:tcPr>
            <w:tcW w:w="176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109"/>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1"/>
            <w:vMerge/>
            <w:tcBorders>
              <w:left w:val="single" w:sz="10" w:space="0" w:color="D4D4D4"/>
              <w:right w:val="single" w:sz="4" w:space="0" w:color="000000"/>
            </w:tcBorders>
          </w:tcPr>
          <w:p>
            <w:pPr/>
          </w:p>
        </w:tc>
      </w:tr>
      <w:tr>
        <w:trPr>
          <w:trHeight w:val="317" w:hRule="exact"/>
        </w:trPr>
        <w:tc>
          <w:tcPr>
            <w:tcW w:w="1765" w:type="dxa"/>
            <w:tcBorders>
              <w:top w:val="nil" w:sz="6" w:space="0" w:color="auto"/>
              <w:left w:val="single" w:sz="4" w:space="0" w:color="000000"/>
              <w:bottom w:val="single" w:sz="4" w:space="0" w:color="000000"/>
              <w:right w:val="single" w:sz="4" w:space="0" w:color="000000"/>
            </w:tcBorders>
            <w:shd w:val="clear" w:color="auto" w:fill="D4D4D4"/>
          </w:tcPr>
          <w:p>
            <w:pPr/>
          </w:p>
        </w:tc>
        <w:tc>
          <w:tcPr>
            <w:tcW w:w="7804" w:type="dxa"/>
            <w:gridSpan w:val="11"/>
            <w:vMerge/>
            <w:tcBorders>
              <w:left w:val="single" w:sz="10" w:space="0" w:color="D4D4D4"/>
              <w:bottom w:val="single" w:sz="4" w:space="0" w:color="000000"/>
              <w:right w:val="single" w:sz="4" w:space="0" w:color="000000"/>
            </w:tcBorders>
          </w:tcPr>
          <w:p>
            <w:pPr/>
          </w:p>
        </w:tc>
      </w:tr>
      <w:tr>
        <w:trPr>
          <w:trHeight w:val="715" w:hRule="exact"/>
        </w:trPr>
        <w:tc>
          <w:tcPr>
            <w:tcW w:w="17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09"/>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1"/>
            <w:tcBorders>
              <w:top w:val="single" w:sz="4" w:space="0" w:color="000000"/>
              <w:left w:val="single" w:sz="13" w:space="0" w:color="D4D4D4"/>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65" w:type="dxa"/>
            <w:vMerge w:val="restart"/>
            <w:tcBorders>
              <w:top w:val="single" w:sz="4" w:space="0" w:color="000000"/>
              <w:left w:val="single" w:sz="4" w:space="0" w:color="000000"/>
              <w:right w:val="single" w:sz="4" w:space="0" w:color="000000"/>
            </w:tcBorders>
            <w:shd w:val="clear" w:color="auto" w:fill="D4D4D4"/>
          </w:tcPr>
          <w:p>
            <w:pPr/>
          </w:p>
        </w:tc>
        <w:tc>
          <w:tcPr>
            <w:tcW w:w="780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54" w:hRule="exact"/>
        </w:trPr>
        <w:tc>
          <w:tcPr>
            <w:tcW w:w="1765" w:type="dxa"/>
            <w:vMerge/>
            <w:tcBorders>
              <w:left w:val="single" w:sz="4" w:space="0" w:color="000000"/>
              <w:bottom w:val="nil" w:sz="6" w:space="0" w:color="auto"/>
              <w:right w:val="single" w:sz="4" w:space="0" w:color="000000"/>
            </w:tcBorders>
            <w:shd w:val="clear" w:color="auto" w:fill="D4D4D4"/>
          </w:tcPr>
          <w:p>
            <w:pPr/>
          </w:p>
        </w:tc>
        <w:tc>
          <w:tcPr>
            <w:tcW w:w="7804" w:type="dxa"/>
            <w:gridSpan w:val="11"/>
            <w:vMerge w:val="restart"/>
            <w:tcBorders>
              <w:top w:val="single" w:sz="4" w:space="0" w:color="000000"/>
              <w:left w:val="single" w:sz="10" w:space="0" w:color="D4D4D4"/>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公司实际募集资金净额为 </w:t>
            </w:r>
            <w:r>
              <w:rPr>
                <w:rFonts w:ascii="Times New Roman" w:hAnsi="Times New Roman" w:cs="Times New Roman" w:eastAsia="Times New Roman" w:hint="default"/>
                <w:sz w:val="18"/>
                <w:szCs w:val="18"/>
              </w:rPr>
              <w:t>90,566.32</w:t>
            </w:r>
            <w:r>
              <w:rPr>
                <w:rFonts w:ascii="Times New Roman" w:hAnsi="Times New Roman" w:cs="Times New Roman" w:eastAsia="Times New Roman" w:hint="default"/>
                <w:spacing w:val="-25"/>
                <w:sz w:val="18"/>
                <w:szCs w:val="18"/>
              </w:rPr>
              <w:t> </w:t>
            </w:r>
            <w:r>
              <w:rPr>
                <w:rFonts w:ascii="宋体" w:hAnsi="宋体" w:cs="宋体" w:eastAsia="宋体" w:hint="default"/>
                <w:spacing w:val="-4"/>
                <w:sz w:val="18"/>
                <w:szCs w:val="18"/>
              </w:rPr>
              <w:t>万元，根据公司招股说明书中披露的募集资金用途，公司计划使</w:t>
            </w:r>
          </w:p>
          <w:p>
            <w:pPr>
              <w:pStyle w:val="TableParagraph"/>
              <w:spacing w:line="240" w:lineRule="auto" w:before="60"/>
              <w:ind w:left="22" w:right="0"/>
              <w:jc w:val="both"/>
              <w:rPr>
                <w:rFonts w:ascii="宋体" w:hAnsi="宋体" w:cs="宋体" w:eastAsia="宋体" w:hint="default"/>
                <w:sz w:val="18"/>
                <w:szCs w:val="18"/>
              </w:rPr>
            </w:pPr>
            <w:r>
              <w:rPr>
                <w:rFonts w:ascii="宋体" w:hAnsi="宋体" w:cs="宋体" w:eastAsia="宋体" w:hint="default"/>
                <w:sz w:val="18"/>
                <w:szCs w:val="18"/>
              </w:rPr>
              <w:t>用募集资金为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32,682.83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万元，本次募集资金净额超过计划募集资金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57,883.49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2011 </w:t>
            </w:r>
            <w:r>
              <w:rPr>
                <w:rFonts w:ascii="宋体" w:hAnsi="宋体" w:cs="宋体" w:eastAsia="宋体" w:hint="default"/>
                <w:spacing w:val="-4"/>
                <w:sz w:val="18"/>
                <w:szCs w:val="18"/>
              </w:rPr>
              <w:t>年，公司</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以超募资金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w:t>
            </w:r>
            <w:r>
              <w:rPr>
                <w:rFonts w:ascii="宋体" w:hAnsi="宋体" w:cs="宋体" w:eastAsia="宋体" w:hint="default"/>
                <w:spacing w:val="-3"/>
                <w:sz w:val="18"/>
                <w:szCs w:val="18"/>
              </w:rPr>
              <w:t>资</w:t>
            </w:r>
            <w:r>
              <w:rPr>
                <w:rFonts w:ascii="宋体" w:hAnsi="宋体" w:cs="宋体" w:eastAsia="宋体" w:hint="default"/>
                <w:sz w:val="18"/>
                <w:szCs w:val="18"/>
              </w:rPr>
              <w:t>设立子公司榕基五</w:t>
            </w:r>
            <w:r>
              <w:rPr>
                <w:rFonts w:ascii="宋体" w:hAnsi="宋体" w:cs="宋体" w:eastAsia="宋体" w:hint="default"/>
                <w:spacing w:val="-75"/>
                <w:sz w:val="18"/>
                <w:szCs w:val="18"/>
              </w:rPr>
              <w:t>一</w:t>
            </w:r>
            <w:r>
              <w:rPr>
                <w:rFonts w:ascii="宋体" w:hAnsi="宋体" w:cs="宋体" w:eastAsia="宋体" w:hint="default"/>
                <w:sz w:val="18"/>
                <w:szCs w:val="18"/>
              </w:rPr>
              <w:t>（北京</w:t>
            </w:r>
            <w:r>
              <w:rPr>
                <w:rFonts w:ascii="宋体" w:hAnsi="宋体" w:cs="宋体" w:eastAsia="宋体" w:hint="default"/>
                <w:spacing w:val="-75"/>
                <w:sz w:val="18"/>
                <w:szCs w:val="18"/>
              </w:rPr>
              <w:t>）</w:t>
            </w:r>
            <w:r>
              <w:rPr>
                <w:rFonts w:ascii="宋体" w:hAnsi="宋体" w:cs="宋体" w:eastAsia="宋体" w:hint="default"/>
                <w:sz w:val="18"/>
                <w:szCs w:val="18"/>
              </w:rPr>
              <w:t>信息技术有限公司</w:t>
            </w:r>
            <w:r>
              <w:rPr>
                <w:rFonts w:ascii="宋体" w:hAnsi="宋体" w:cs="宋体" w:eastAsia="宋体" w:hint="default"/>
                <w:spacing w:val="-75"/>
                <w:sz w:val="18"/>
                <w:szCs w:val="18"/>
              </w:rPr>
              <w:t>；</w:t>
            </w:r>
            <w:r>
              <w:rPr>
                <w:rFonts w:ascii="宋体" w:hAnsi="宋体" w:cs="宋体" w:eastAsia="宋体" w:hint="default"/>
                <w:sz w:val="18"/>
                <w:szCs w:val="18"/>
              </w:rPr>
              <w:t>以超募资金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z w:val="18"/>
                <w:szCs w:val="18"/>
              </w:rPr>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万元投资设立子公司河南榕基信息技术有限公司</w:t>
            </w:r>
            <w:r>
              <w:rPr>
                <w:rFonts w:ascii="宋体" w:hAnsi="宋体" w:cs="宋体" w:eastAsia="宋体" w:hint="default"/>
                <w:spacing w:val="-89"/>
                <w:sz w:val="18"/>
                <w:szCs w:val="18"/>
              </w:rPr>
              <w:t>；</w:t>
            </w:r>
            <w:r>
              <w:rPr>
                <w:rFonts w:ascii="宋体" w:hAnsi="宋体" w:cs="宋体" w:eastAsia="宋体" w:hint="default"/>
                <w:sz w:val="18"/>
                <w:szCs w:val="18"/>
              </w:rPr>
              <w:t>以超募资金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万元投资设立北</w:t>
            </w:r>
            <w:r>
              <w:rPr>
                <w:rFonts w:ascii="宋体" w:hAnsi="宋体" w:cs="宋体" w:eastAsia="宋体" w:hint="default"/>
                <w:spacing w:val="-3"/>
                <w:sz w:val="18"/>
                <w:szCs w:val="18"/>
              </w:rPr>
              <w:t>京</w:t>
            </w:r>
            <w:r>
              <w:rPr>
                <w:rFonts w:ascii="宋体" w:hAnsi="宋体" w:cs="宋体" w:eastAsia="宋体" w:hint="default"/>
                <w:sz w:val="18"/>
                <w:szCs w:val="18"/>
              </w:rPr>
              <w:t>中榕基信</w:t>
            </w:r>
          </w:p>
          <w:p>
            <w:pPr>
              <w:pStyle w:val="TableParagraph"/>
              <w:spacing w:line="300" w:lineRule="auto" w:before="63"/>
              <w:ind w:left="22" w:right="-25"/>
              <w:jc w:val="both"/>
              <w:rPr>
                <w:rFonts w:ascii="宋体" w:hAnsi="宋体" w:cs="宋体" w:eastAsia="宋体" w:hint="default"/>
                <w:sz w:val="18"/>
                <w:szCs w:val="18"/>
              </w:rPr>
            </w:pPr>
            <w:r>
              <w:rPr>
                <w:rFonts w:ascii="宋体" w:hAnsi="宋体" w:cs="宋体" w:eastAsia="宋体" w:hint="default"/>
                <w:spacing w:val="-4"/>
                <w:sz w:val="18"/>
                <w:szCs w:val="18"/>
              </w:rPr>
              <w:t>息技术有限公司。</w:t>
            </w:r>
            <w:r>
              <w:rPr>
                <w:rFonts w:ascii="Times New Roman" w:hAnsi="Times New Roman" w:cs="Times New Roman" w:eastAsia="Times New Roman" w:hint="default"/>
                <w:spacing w:val="-4"/>
                <w:sz w:val="18"/>
                <w:szCs w:val="18"/>
              </w:rPr>
              <w:t>2011 </w:t>
            </w:r>
            <w:r>
              <w:rPr>
                <w:rFonts w:ascii="宋体" w:hAnsi="宋体" w:cs="宋体" w:eastAsia="宋体" w:hint="default"/>
                <w:sz w:val="18"/>
                <w:szCs w:val="18"/>
              </w:rPr>
              <w:t>年河南榕基信息技术有限公司使用超募资金支付子公司开办期间的费用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年河南榕基信息技术有限公司支付超募资金购买土地款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4,500.00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年北京中榕 基信息技术有限公司使用超募资金支付费用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 </w:t>
            </w:r>
            <w:r>
              <w:rPr>
                <w:rFonts w:ascii="宋体" w:hAnsi="宋体" w:cs="宋体" w:eastAsia="宋体" w:hint="default"/>
                <w:sz w:val="18"/>
                <w:szCs w:val="18"/>
              </w:rPr>
              <w:t>万元。公司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日第二届董事会第二 次会议决定使用超募资金人民币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万元永久补充流动资金。</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年度，公司使用超募资金 永久补充流动资金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6,300.00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年度，公司使用超募资金永久补充流动资金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6,700.00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公司以超募资金永久补充流动资金已经实施完成。</w:t>
            </w:r>
          </w:p>
        </w:tc>
      </w:tr>
      <w:tr>
        <w:trPr>
          <w:trHeight w:val="703" w:hRule="exact"/>
        </w:trPr>
        <w:tc>
          <w:tcPr>
            <w:tcW w:w="176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4" w:type="dxa"/>
            <w:gridSpan w:val="11"/>
            <w:vMerge/>
            <w:tcBorders>
              <w:left w:val="single" w:sz="10" w:space="0" w:color="D4D4D4"/>
              <w:right w:val="single" w:sz="4" w:space="0" w:color="000000"/>
            </w:tcBorders>
          </w:tcPr>
          <w:p>
            <w:pPr/>
          </w:p>
        </w:tc>
      </w:tr>
      <w:tr>
        <w:trPr>
          <w:trHeight w:val="1454" w:hRule="exact"/>
        </w:trPr>
        <w:tc>
          <w:tcPr>
            <w:tcW w:w="1765" w:type="dxa"/>
            <w:tcBorders>
              <w:top w:val="nil" w:sz="6" w:space="0" w:color="auto"/>
              <w:left w:val="single" w:sz="4" w:space="0" w:color="000000"/>
              <w:bottom w:val="single" w:sz="4" w:space="0" w:color="000000"/>
              <w:right w:val="single" w:sz="4" w:space="0" w:color="000000"/>
            </w:tcBorders>
            <w:shd w:val="clear" w:color="auto" w:fill="D4D4D4"/>
          </w:tcPr>
          <w:p>
            <w:pPr/>
          </w:p>
        </w:tc>
        <w:tc>
          <w:tcPr>
            <w:tcW w:w="7804" w:type="dxa"/>
            <w:gridSpan w:val="11"/>
            <w:vMerge/>
            <w:tcBorders>
              <w:left w:val="single" w:sz="10" w:space="0" w:color="D4D4D4"/>
              <w:bottom w:val="single" w:sz="4" w:space="0" w:color="000000"/>
              <w:right w:val="single" w:sz="4" w:space="0" w:color="000000"/>
            </w:tcBorders>
          </w:tcPr>
          <w:p>
            <w:pPr/>
          </w:p>
        </w:tc>
      </w:tr>
      <w:tr>
        <w:trPr>
          <w:trHeight w:val="401" w:hRule="exact"/>
        </w:trPr>
        <w:tc>
          <w:tcPr>
            <w:tcW w:w="176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24" w:right="109"/>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gridSpan w:val="11"/>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5" w:type="dxa"/>
            <w:vMerge/>
            <w:tcBorders>
              <w:left w:val="single" w:sz="4" w:space="0" w:color="000000"/>
              <w:bottom w:val="single" w:sz="4" w:space="0" w:color="000000"/>
              <w:right w:val="single" w:sz="4" w:space="0" w:color="000000"/>
            </w:tcBorders>
            <w:shd w:val="clear" w:color="auto" w:fill="D4D4D4"/>
          </w:tcPr>
          <w:p>
            <w:pPr/>
          </w:p>
        </w:tc>
        <w:tc>
          <w:tcPr>
            <w:tcW w:w="7804" w:type="dxa"/>
            <w:gridSpan w:val="11"/>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6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24" w:right="109"/>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gridSpan w:val="11"/>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5" w:type="dxa"/>
            <w:vMerge/>
            <w:tcBorders>
              <w:left w:val="single" w:sz="4" w:space="0" w:color="000000"/>
              <w:bottom w:val="single" w:sz="4" w:space="0" w:color="000000"/>
              <w:right w:val="single" w:sz="4" w:space="0" w:color="000000"/>
            </w:tcBorders>
            <w:shd w:val="clear" w:color="auto" w:fill="D4D4D4"/>
          </w:tcPr>
          <w:p>
            <w:pPr/>
          </w:p>
        </w:tc>
        <w:tc>
          <w:tcPr>
            <w:tcW w:w="7804" w:type="dxa"/>
            <w:gridSpan w:val="11"/>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65" w:type="dxa"/>
            <w:tcBorders>
              <w:top w:val="single" w:sz="4" w:space="0" w:color="000000"/>
              <w:left w:val="single" w:sz="4" w:space="0" w:color="000000"/>
              <w:bottom w:val="nil" w:sz="6" w:space="0" w:color="auto"/>
              <w:right w:val="single" w:sz="4" w:space="0" w:color="000000"/>
            </w:tcBorders>
            <w:shd w:val="clear" w:color="auto" w:fill="D4D4D4"/>
          </w:tcPr>
          <w:p>
            <w:pPr/>
          </w:p>
        </w:tc>
        <w:tc>
          <w:tcPr>
            <w:tcW w:w="780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5" w:hRule="exact"/>
        </w:trPr>
        <w:tc>
          <w:tcPr>
            <w:tcW w:w="176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10"/>
              <w:ind w:left="24" w:right="109"/>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gridSpan w:val="11"/>
            <w:vMerge w:val="restart"/>
            <w:tcBorders>
              <w:top w:val="single" w:sz="4" w:space="0" w:color="000000"/>
              <w:left w:val="single" w:sz="10" w:space="0" w:color="D4D4D4"/>
              <w:right w:val="single" w:sz="4" w:space="0" w:color="000000"/>
            </w:tcBorders>
          </w:tcPr>
          <w:p>
            <w:pPr>
              <w:pStyle w:val="TableParagraph"/>
              <w:spacing w:line="307" w:lineRule="auto" w:before="5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月，经天健正信会计师事务所有限公司专项审核，并经公司董事会决议通过，公司独立 董事、监事会、保荐机构同意，本公司用募集资金置换了预先已投入募集资金项目的自筹资金 </w:t>
            </w:r>
            <w:r>
              <w:rPr>
                <w:rFonts w:ascii="Times New Roman" w:hAnsi="Times New Roman" w:cs="Times New Roman" w:eastAsia="Times New Roman" w:hint="default"/>
                <w:sz w:val="18"/>
                <w:szCs w:val="18"/>
              </w:rPr>
              <w:t>38,856,547.62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362" w:hRule="exact"/>
        </w:trPr>
        <w:tc>
          <w:tcPr>
            <w:tcW w:w="1765" w:type="dxa"/>
            <w:tcBorders>
              <w:top w:val="nil" w:sz="6" w:space="0" w:color="auto"/>
              <w:left w:val="single" w:sz="4" w:space="0" w:color="000000"/>
              <w:bottom w:val="single" w:sz="4" w:space="0" w:color="000000"/>
              <w:right w:val="single" w:sz="4" w:space="0" w:color="000000"/>
            </w:tcBorders>
            <w:shd w:val="clear" w:color="auto" w:fill="D4D4D4"/>
          </w:tcPr>
          <w:p>
            <w:pPr/>
          </w:p>
        </w:tc>
        <w:tc>
          <w:tcPr>
            <w:tcW w:w="7804" w:type="dxa"/>
            <w:gridSpan w:val="11"/>
            <w:vMerge/>
            <w:tcBorders>
              <w:left w:val="single" w:sz="10" w:space="0" w:color="D4D4D4"/>
              <w:bottom w:val="single" w:sz="4" w:space="0" w:color="000000"/>
              <w:right w:val="single" w:sz="4" w:space="0" w:color="000000"/>
            </w:tcBorders>
          </w:tcPr>
          <w:p>
            <w:pPr/>
          </w:p>
        </w:tc>
      </w:tr>
      <w:tr>
        <w:trPr>
          <w:trHeight w:val="403" w:hRule="exact"/>
        </w:trPr>
        <w:tc>
          <w:tcPr>
            <w:tcW w:w="17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804" w:type="dxa"/>
            <w:gridSpan w:val="11"/>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49" w:type="dxa"/>
        <w:tblLayout w:type="fixed"/>
        <w:tblCellMar>
          <w:top w:w="0" w:type="dxa"/>
          <w:left w:w="0" w:type="dxa"/>
          <w:bottom w:w="0" w:type="dxa"/>
          <w:right w:w="0" w:type="dxa"/>
        </w:tblCellMar>
        <w:tblLook w:val="01E0"/>
      </w:tblPr>
      <w:tblGrid>
        <w:gridCol w:w="1770"/>
        <w:gridCol w:w="7798"/>
      </w:tblGrid>
      <w:tr>
        <w:trPr>
          <w:trHeight w:val="401"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按规定用于募集资金项目，存放于募集资金专户及转作定期存款</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452" w:right="1824"/>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453"/>
        <w:jc w:val="right"/>
      </w:pPr>
      <w:bookmarkStart w:name="（3）募集资金变更项目情况" w:id="46"/>
      <w:bookmarkEnd w:id="46"/>
      <w:r>
        <w:rPr/>
      </w:r>
      <w:r>
        <w:rPr/>
        <w:t>单位：万元</w:t>
      </w:r>
    </w:p>
    <w:p>
      <w:pPr>
        <w:spacing w:line="240" w:lineRule="auto" w:before="4"/>
        <w:rPr>
          <w:rFonts w:ascii="宋体" w:hAnsi="宋体" w:cs="宋体" w:eastAsia="宋体" w:hint="default"/>
          <w:sz w:val="8"/>
          <w:szCs w:val="8"/>
        </w:rPr>
      </w:pPr>
    </w:p>
    <w:tbl>
      <w:tblPr>
        <w:tblW w:w="0" w:type="auto"/>
        <w:jc w:val="left"/>
        <w:tblInd w:w="460" w:type="dxa"/>
        <w:tblLayout w:type="fixed"/>
        <w:tblCellMar>
          <w:top w:w="0" w:type="dxa"/>
          <w:left w:w="0" w:type="dxa"/>
          <w:bottom w:w="0" w:type="dxa"/>
          <w:right w:w="0" w:type="dxa"/>
        </w:tblCellMar>
        <w:tblLook w:val="01E0"/>
      </w:tblPr>
      <w:tblGrid>
        <w:gridCol w:w="946"/>
        <w:gridCol w:w="959"/>
        <w:gridCol w:w="956"/>
        <w:gridCol w:w="959"/>
        <w:gridCol w:w="956"/>
        <w:gridCol w:w="956"/>
        <w:gridCol w:w="956"/>
        <w:gridCol w:w="955"/>
        <w:gridCol w:w="959"/>
        <w:gridCol w:w="944"/>
      </w:tblGrid>
      <w:tr>
        <w:trPr>
          <w:trHeight w:val="161" w:hRule="exact"/>
        </w:trPr>
        <w:tc>
          <w:tcPr>
            <w:tcW w:w="946" w:type="dxa"/>
            <w:vMerge w:val="restart"/>
            <w:tcBorders>
              <w:top w:val="single" w:sz="4" w:space="0" w:color="000000"/>
              <w:left w:val="single" w:sz="4" w:space="0" w:color="000000"/>
              <w:right w:val="single" w:sz="4" w:space="0" w:color="000000"/>
            </w:tcBorders>
            <w:shd w:val="clear" w:color="auto" w:fill="D4D4D4"/>
          </w:tcPr>
          <w:p>
            <w:pPr/>
          </w:p>
        </w:tc>
        <w:tc>
          <w:tcPr>
            <w:tcW w:w="959" w:type="dxa"/>
            <w:vMerge w:val="restart"/>
            <w:tcBorders>
              <w:top w:val="single" w:sz="4" w:space="0" w:color="000000"/>
              <w:left w:val="single" w:sz="4" w:space="0" w:color="000000"/>
              <w:right w:val="single" w:sz="4" w:space="0" w:color="000000"/>
            </w:tcBorders>
            <w:shd w:val="clear" w:color="auto" w:fill="D4D4D4"/>
          </w:tcPr>
          <w:p>
            <w:pPr/>
          </w:p>
        </w:tc>
        <w:tc>
          <w:tcPr>
            <w:tcW w:w="956" w:type="dxa"/>
            <w:vMerge w:val="restart"/>
            <w:tcBorders>
              <w:top w:val="single" w:sz="4" w:space="0" w:color="000000"/>
              <w:left w:val="single" w:sz="4" w:space="0" w:color="000000"/>
              <w:right w:val="single" w:sz="4" w:space="0" w:color="000000"/>
            </w:tcBorders>
            <w:shd w:val="clear" w:color="auto" w:fill="D4D4D4"/>
          </w:tcPr>
          <w:p>
            <w:pPr>
              <w:pStyle w:val="TableParagraph"/>
              <w:spacing w:line="312" w:lineRule="exact" w:before="9"/>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9" w:type="dxa"/>
            <w:vMerge w:val="restart"/>
            <w:tcBorders>
              <w:top w:val="single" w:sz="4" w:space="0" w:color="000000"/>
              <w:left w:val="single" w:sz="4" w:space="0" w:color="000000"/>
              <w:right w:val="single" w:sz="4" w:space="0" w:color="000000"/>
            </w:tcBorders>
            <w:shd w:val="clear" w:color="auto" w:fill="D4D4D4"/>
          </w:tcPr>
          <w:p>
            <w:pPr/>
          </w:p>
        </w:tc>
        <w:tc>
          <w:tcPr>
            <w:tcW w:w="956" w:type="dxa"/>
            <w:tcBorders>
              <w:top w:val="single" w:sz="4" w:space="0" w:color="000000"/>
              <w:left w:val="single" w:sz="4" w:space="0" w:color="000000"/>
              <w:bottom w:val="nil" w:sz="6" w:space="0" w:color="auto"/>
              <w:right w:val="single" w:sz="4" w:space="0" w:color="000000"/>
            </w:tcBorders>
            <w:shd w:val="clear" w:color="auto" w:fill="D4D4D4"/>
          </w:tcPr>
          <w:p>
            <w:pPr/>
          </w:p>
        </w:tc>
        <w:tc>
          <w:tcPr>
            <w:tcW w:w="956" w:type="dxa"/>
            <w:vMerge w:val="restart"/>
            <w:tcBorders>
              <w:top w:val="single" w:sz="4" w:space="0" w:color="000000"/>
              <w:left w:val="single" w:sz="4" w:space="0" w:color="000000"/>
              <w:right w:val="single" w:sz="4" w:space="0" w:color="000000"/>
            </w:tcBorders>
            <w:shd w:val="clear" w:color="auto" w:fill="D4D4D4"/>
          </w:tcPr>
          <w:p>
            <w:pPr>
              <w:pStyle w:val="TableParagraph"/>
              <w:spacing w:line="312" w:lineRule="exact" w:before="9"/>
              <w:ind w:left="23"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 (1)</w:t>
            </w:r>
          </w:p>
        </w:tc>
        <w:tc>
          <w:tcPr>
            <w:tcW w:w="956" w:type="dxa"/>
            <w:tcBorders>
              <w:top w:val="single" w:sz="4" w:space="0" w:color="000000"/>
              <w:left w:val="single" w:sz="4" w:space="0" w:color="000000"/>
              <w:bottom w:val="nil" w:sz="6" w:space="0" w:color="auto"/>
              <w:right w:val="single" w:sz="4" w:space="0" w:color="000000"/>
            </w:tcBorders>
            <w:shd w:val="clear" w:color="auto" w:fill="D4D4D4"/>
          </w:tcPr>
          <w:p>
            <w:pPr/>
          </w:p>
        </w:tc>
        <w:tc>
          <w:tcPr>
            <w:tcW w:w="955" w:type="dxa"/>
            <w:vMerge w:val="restart"/>
            <w:tcBorders>
              <w:top w:val="single" w:sz="4" w:space="0" w:color="000000"/>
              <w:left w:val="single" w:sz="4" w:space="0" w:color="000000"/>
              <w:right w:val="single" w:sz="4" w:space="0" w:color="000000"/>
            </w:tcBorders>
            <w:shd w:val="clear" w:color="auto" w:fill="D4D4D4"/>
          </w:tcPr>
          <w:p>
            <w:pPr/>
          </w:p>
        </w:tc>
        <w:tc>
          <w:tcPr>
            <w:tcW w:w="959" w:type="dxa"/>
            <w:vMerge w:val="restart"/>
            <w:tcBorders>
              <w:top w:val="single" w:sz="4" w:space="0" w:color="000000"/>
              <w:left w:val="single" w:sz="4" w:space="0" w:color="000000"/>
              <w:right w:val="single" w:sz="4" w:space="0" w:color="000000"/>
            </w:tcBorders>
            <w:shd w:val="clear" w:color="auto" w:fill="D4D4D4"/>
          </w:tcPr>
          <w:p>
            <w:pPr/>
          </w:p>
        </w:tc>
        <w:tc>
          <w:tcPr>
            <w:tcW w:w="94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2" w:right="11"/>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56" w:hRule="exact"/>
        </w:trPr>
        <w:tc>
          <w:tcPr>
            <w:tcW w:w="946" w:type="dxa"/>
            <w:vMerge/>
            <w:tcBorders>
              <w:left w:val="single" w:sz="4" w:space="0" w:color="000000"/>
              <w:bottom w:val="nil" w:sz="6" w:space="0" w:color="auto"/>
              <w:right w:val="single" w:sz="4" w:space="0" w:color="000000"/>
            </w:tcBorders>
            <w:shd w:val="clear" w:color="auto" w:fill="D4D4D4"/>
          </w:tcPr>
          <w:p>
            <w:pPr/>
          </w:p>
        </w:tc>
        <w:tc>
          <w:tcPr>
            <w:tcW w:w="959" w:type="dxa"/>
            <w:vMerge/>
            <w:tcBorders>
              <w:left w:val="single" w:sz="4" w:space="0" w:color="000000"/>
              <w:bottom w:val="nil" w:sz="6" w:space="0" w:color="auto"/>
              <w:right w:val="single" w:sz="4" w:space="0" w:color="000000"/>
            </w:tcBorders>
            <w:shd w:val="clear" w:color="auto" w:fill="D4D4D4"/>
          </w:tcPr>
          <w:p>
            <w:pPr/>
          </w:p>
        </w:tc>
        <w:tc>
          <w:tcPr>
            <w:tcW w:w="956" w:type="dxa"/>
            <w:vMerge/>
            <w:tcBorders>
              <w:left w:val="single" w:sz="4" w:space="0" w:color="000000"/>
              <w:right w:val="single" w:sz="4" w:space="0" w:color="000000"/>
            </w:tcBorders>
            <w:shd w:val="clear" w:color="auto" w:fill="D4D4D4"/>
          </w:tcPr>
          <w:p>
            <w:pPr/>
          </w:p>
        </w:tc>
        <w:tc>
          <w:tcPr>
            <w:tcW w:w="959" w:type="dxa"/>
            <w:vMerge/>
            <w:tcBorders>
              <w:left w:val="single" w:sz="4" w:space="0" w:color="000000"/>
              <w:bottom w:val="nil" w:sz="6" w:space="0" w:color="auto"/>
              <w:right w:val="single" w:sz="4" w:space="0" w:color="000000"/>
            </w:tcBorders>
            <w:shd w:val="clear" w:color="auto" w:fill="D4D4D4"/>
          </w:tcPr>
          <w:p>
            <w:pPr/>
          </w:p>
        </w:tc>
        <w:tc>
          <w:tcPr>
            <w:tcW w:w="956"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vMerge/>
            <w:tcBorders>
              <w:left w:val="single" w:sz="4" w:space="0" w:color="000000"/>
              <w:right w:val="single" w:sz="4" w:space="0" w:color="000000"/>
            </w:tcBorders>
            <w:shd w:val="clear" w:color="auto" w:fill="D4D4D4"/>
          </w:tcPr>
          <w:p>
            <w:pPr/>
          </w:p>
        </w:tc>
        <w:tc>
          <w:tcPr>
            <w:tcW w:w="956"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vMerge/>
            <w:tcBorders>
              <w:left w:val="single" w:sz="4" w:space="0" w:color="000000"/>
              <w:bottom w:val="nil" w:sz="6" w:space="0" w:color="auto"/>
              <w:right w:val="single" w:sz="4" w:space="0" w:color="000000"/>
            </w:tcBorders>
            <w:shd w:val="clear" w:color="auto" w:fill="D4D4D4"/>
          </w:tcPr>
          <w:p>
            <w:pPr/>
          </w:p>
        </w:tc>
        <w:tc>
          <w:tcPr>
            <w:tcW w:w="959" w:type="dxa"/>
            <w:vMerge/>
            <w:tcBorders>
              <w:left w:val="single" w:sz="4" w:space="0" w:color="000000"/>
              <w:bottom w:val="nil" w:sz="6" w:space="0" w:color="auto"/>
              <w:right w:val="single" w:sz="4" w:space="0" w:color="000000"/>
            </w:tcBorders>
            <w:shd w:val="clear" w:color="auto" w:fill="D4D4D4"/>
          </w:tcPr>
          <w:p>
            <w:pPr/>
          </w:p>
        </w:tc>
        <w:tc>
          <w:tcPr>
            <w:tcW w:w="944" w:type="dxa"/>
            <w:vMerge/>
            <w:tcBorders>
              <w:left w:val="single" w:sz="4" w:space="0" w:color="000000"/>
              <w:right w:val="single" w:sz="4" w:space="0" w:color="000000"/>
            </w:tcBorders>
            <w:shd w:val="clear" w:color="auto" w:fill="D4D4D4"/>
          </w:tcPr>
          <w:p>
            <w:pPr/>
          </w:p>
        </w:tc>
      </w:tr>
      <w:tr>
        <w:trPr>
          <w:trHeight w:val="703" w:hRule="exact"/>
        </w:trPr>
        <w:tc>
          <w:tcPr>
            <w:tcW w:w="94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37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vMerge/>
            <w:tcBorders>
              <w:left w:val="single" w:sz="4" w:space="0" w:color="000000"/>
              <w:right w:val="single" w:sz="4" w:space="0" w:color="000000"/>
            </w:tcBorders>
            <w:shd w:val="clear" w:color="auto" w:fill="D4D4D4"/>
          </w:tcPr>
          <w:p>
            <w:pPr/>
          </w:p>
        </w:tc>
        <w:tc>
          <w:tcPr>
            <w:tcW w:w="95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vMerge/>
            <w:tcBorders>
              <w:left w:val="single" w:sz="4" w:space="0" w:color="000000"/>
              <w:right w:val="single" w:sz="4" w:space="0" w:color="000000"/>
            </w:tcBorders>
            <w:shd w:val="clear" w:color="auto" w:fill="D4D4D4"/>
          </w:tcPr>
          <w:p>
            <w:pPr/>
          </w:p>
        </w:tc>
        <w:tc>
          <w:tcPr>
            <w:tcW w:w="956" w:type="dxa"/>
            <w:vMerge/>
            <w:tcBorders>
              <w:left w:val="single" w:sz="4" w:space="0" w:color="000000"/>
              <w:right w:val="single" w:sz="4" w:space="0" w:color="000000"/>
            </w:tcBorders>
            <w:shd w:val="clear" w:color="auto" w:fill="D4D4D4"/>
          </w:tcPr>
          <w:p>
            <w:pPr/>
          </w:p>
        </w:tc>
        <w:tc>
          <w:tcPr>
            <w:tcW w:w="956" w:type="dxa"/>
            <w:vMerge/>
            <w:tcBorders>
              <w:left w:val="single" w:sz="4" w:space="0" w:color="000000"/>
              <w:right w:val="single" w:sz="4" w:space="0" w:color="000000"/>
            </w:tcBorders>
            <w:shd w:val="clear" w:color="auto" w:fill="D4D4D4"/>
          </w:tcPr>
          <w:p>
            <w:pPr/>
          </w:p>
        </w:tc>
        <w:tc>
          <w:tcPr>
            <w:tcW w:w="95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44" w:type="dxa"/>
            <w:vMerge/>
            <w:tcBorders>
              <w:left w:val="single" w:sz="4" w:space="0" w:color="000000"/>
              <w:right w:val="single" w:sz="4" w:space="0" w:color="000000"/>
            </w:tcBorders>
            <w:shd w:val="clear" w:color="auto" w:fill="D4D4D4"/>
          </w:tcPr>
          <w:p>
            <w:pPr/>
          </w:p>
        </w:tc>
      </w:tr>
      <w:tr>
        <w:trPr>
          <w:trHeight w:val="156" w:hRule="exact"/>
        </w:trPr>
        <w:tc>
          <w:tcPr>
            <w:tcW w:w="946" w:type="dxa"/>
            <w:vMerge w:val="restart"/>
            <w:tcBorders>
              <w:top w:val="nil" w:sz="6" w:space="0" w:color="auto"/>
              <w:left w:val="single" w:sz="4" w:space="0" w:color="000000"/>
              <w:right w:val="single" w:sz="4" w:space="0" w:color="000000"/>
            </w:tcBorders>
            <w:shd w:val="clear" w:color="auto" w:fill="D4D4D4"/>
          </w:tcPr>
          <w:p>
            <w:pPr/>
          </w:p>
        </w:tc>
        <w:tc>
          <w:tcPr>
            <w:tcW w:w="959" w:type="dxa"/>
            <w:vMerge w:val="restart"/>
            <w:tcBorders>
              <w:top w:val="nil" w:sz="6" w:space="0" w:color="auto"/>
              <w:left w:val="single" w:sz="4" w:space="0" w:color="000000"/>
              <w:right w:val="single" w:sz="4" w:space="0" w:color="000000"/>
            </w:tcBorders>
            <w:shd w:val="clear" w:color="auto" w:fill="D4D4D4"/>
          </w:tcPr>
          <w:p>
            <w:pPr/>
          </w:p>
        </w:tc>
        <w:tc>
          <w:tcPr>
            <w:tcW w:w="956" w:type="dxa"/>
            <w:vMerge/>
            <w:tcBorders>
              <w:left w:val="single" w:sz="4" w:space="0" w:color="000000"/>
              <w:right w:val="single" w:sz="4" w:space="0" w:color="000000"/>
            </w:tcBorders>
            <w:shd w:val="clear" w:color="auto" w:fill="D4D4D4"/>
          </w:tcPr>
          <w:p>
            <w:pPr/>
          </w:p>
        </w:tc>
        <w:tc>
          <w:tcPr>
            <w:tcW w:w="959" w:type="dxa"/>
            <w:vMerge w:val="restart"/>
            <w:tcBorders>
              <w:top w:val="nil" w:sz="6" w:space="0" w:color="auto"/>
              <w:left w:val="single" w:sz="4" w:space="0" w:color="000000"/>
              <w:right w:val="single" w:sz="4" w:space="0" w:color="000000"/>
            </w:tcBorders>
            <w:shd w:val="clear" w:color="auto" w:fill="D4D4D4"/>
          </w:tcPr>
          <w:p>
            <w:pPr/>
          </w:p>
        </w:tc>
        <w:tc>
          <w:tcPr>
            <w:tcW w:w="956" w:type="dxa"/>
            <w:vMerge/>
            <w:tcBorders>
              <w:left w:val="single" w:sz="4" w:space="0" w:color="000000"/>
              <w:bottom w:val="nil" w:sz="6" w:space="0" w:color="auto"/>
              <w:right w:val="single" w:sz="4" w:space="0" w:color="000000"/>
            </w:tcBorders>
            <w:shd w:val="clear" w:color="auto" w:fill="D4D4D4"/>
          </w:tcPr>
          <w:p>
            <w:pPr/>
          </w:p>
        </w:tc>
        <w:tc>
          <w:tcPr>
            <w:tcW w:w="956" w:type="dxa"/>
            <w:vMerge/>
            <w:tcBorders>
              <w:left w:val="single" w:sz="4" w:space="0" w:color="000000"/>
              <w:right w:val="single" w:sz="4" w:space="0" w:color="000000"/>
            </w:tcBorders>
            <w:shd w:val="clear" w:color="auto" w:fill="D4D4D4"/>
          </w:tcPr>
          <w:p>
            <w:pPr/>
          </w:p>
        </w:tc>
        <w:tc>
          <w:tcPr>
            <w:tcW w:w="956" w:type="dxa"/>
            <w:vMerge/>
            <w:tcBorders>
              <w:left w:val="single" w:sz="4" w:space="0" w:color="000000"/>
              <w:bottom w:val="nil" w:sz="6" w:space="0" w:color="auto"/>
              <w:right w:val="single" w:sz="4" w:space="0" w:color="000000"/>
            </w:tcBorders>
            <w:shd w:val="clear" w:color="auto" w:fill="D4D4D4"/>
          </w:tcPr>
          <w:p>
            <w:pPr/>
          </w:p>
        </w:tc>
        <w:tc>
          <w:tcPr>
            <w:tcW w:w="955" w:type="dxa"/>
            <w:vMerge w:val="restart"/>
            <w:tcBorders>
              <w:top w:val="nil" w:sz="6" w:space="0" w:color="auto"/>
              <w:left w:val="single" w:sz="4" w:space="0" w:color="000000"/>
              <w:right w:val="single" w:sz="4" w:space="0" w:color="000000"/>
            </w:tcBorders>
            <w:shd w:val="clear" w:color="auto" w:fill="D4D4D4"/>
          </w:tcPr>
          <w:p>
            <w:pPr/>
          </w:p>
        </w:tc>
        <w:tc>
          <w:tcPr>
            <w:tcW w:w="959" w:type="dxa"/>
            <w:vMerge w:val="restart"/>
            <w:tcBorders>
              <w:top w:val="nil" w:sz="6" w:space="0" w:color="auto"/>
              <w:left w:val="single" w:sz="4" w:space="0" w:color="000000"/>
              <w:right w:val="single" w:sz="4" w:space="0" w:color="000000"/>
            </w:tcBorders>
            <w:shd w:val="clear" w:color="auto" w:fill="D4D4D4"/>
          </w:tcPr>
          <w:p>
            <w:pPr/>
          </w:p>
        </w:tc>
        <w:tc>
          <w:tcPr>
            <w:tcW w:w="944" w:type="dxa"/>
            <w:vMerge/>
            <w:tcBorders>
              <w:left w:val="single" w:sz="4" w:space="0" w:color="000000"/>
              <w:right w:val="single" w:sz="4" w:space="0" w:color="000000"/>
            </w:tcBorders>
            <w:shd w:val="clear" w:color="auto" w:fill="D4D4D4"/>
          </w:tcPr>
          <w:p>
            <w:pPr/>
          </w:p>
        </w:tc>
      </w:tr>
      <w:tr>
        <w:trPr>
          <w:trHeight w:val="161" w:hRule="exact"/>
        </w:trPr>
        <w:tc>
          <w:tcPr>
            <w:tcW w:w="946" w:type="dxa"/>
            <w:vMerge/>
            <w:tcBorders>
              <w:left w:val="single" w:sz="4" w:space="0" w:color="000000"/>
              <w:bottom w:val="single" w:sz="4" w:space="0" w:color="000000"/>
              <w:right w:val="single" w:sz="4" w:space="0" w:color="000000"/>
            </w:tcBorders>
            <w:shd w:val="clear" w:color="auto" w:fill="D4D4D4"/>
          </w:tcPr>
          <w:p>
            <w:pPr/>
          </w:p>
        </w:tc>
        <w:tc>
          <w:tcPr>
            <w:tcW w:w="959" w:type="dxa"/>
            <w:vMerge/>
            <w:tcBorders>
              <w:left w:val="single" w:sz="4" w:space="0" w:color="000000"/>
              <w:bottom w:val="single" w:sz="4" w:space="0" w:color="000000"/>
              <w:right w:val="single" w:sz="4" w:space="0" w:color="000000"/>
            </w:tcBorders>
            <w:shd w:val="clear" w:color="auto" w:fill="D4D4D4"/>
          </w:tcPr>
          <w:p>
            <w:pPr/>
          </w:p>
        </w:tc>
        <w:tc>
          <w:tcPr>
            <w:tcW w:w="956" w:type="dxa"/>
            <w:vMerge/>
            <w:tcBorders>
              <w:left w:val="single" w:sz="4" w:space="0" w:color="000000"/>
              <w:bottom w:val="single" w:sz="4" w:space="0" w:color="000000"/>
              <w:right w:val="single" w:sz="4" w:space="0" w:color="000000"/>
            </w:tcBorders>
            <w:shd w:val="clear" w:color="auto" w:fill="D4D4D4"/>
          </w:tcPr>
          <w:p>
            <w:pPr/>
          </w:p>
        </w:tc>
        <w:tc>
          <w:tcPr>
            <w:tcW w:w="959" w:type="dxa"/>
            <w:vMerge/>
            <w:tcBorders>
              <w:left w:val="single" w:sz="4" w:space="0" w:color="000000"/>
              <w:bottom w:val="single" w:sz="4" w:space="0" w:color="000000"/>
              <w:right w:val="single" w:sz="4" w:space="0" w:color="000000"/>
            </w:tcBorders>
            <w:shd w:val="clear" w:color="auto" w:fill="D4D4D4"/>
          </w:tcPr>
          <w:p>
            <w:pPr/>
          </w:p>
        </w:tc>
        <w:tc>
          <w:tcPr>
            <w:tcW w:w="956" w:type="dxa"/>
            <w:tcBorders>
              <w:top w:val="nil" w:sz="6" w:space="0" w:color="auto"/>
              <w:left w:val="single" w:sz="4" w:space="0" w:color="000000"/>
              <w:bottom w:val="single" w:sz="4" w:space="0" w:color="000000"/>
              <w:right w:val="single" w:sz="4" w:space="0" w:color="000000"/>
            </w:tcBorders>
            <w:shd w:val="clear" w:color="auto" w:fill="D4D4D4"/>
          </w:tcPr>
          <w:p>
            <w:pPr/>
          </w:p>
        </w:tc>
        <w:tc>
          <w:tcPr>
            <w:tcW w:w="956" w:type="dxa"/>
            <w:vMerge/>
            <w:tcBorders>
              <w:left w:val="single" w:sz="4" w:space="0" w:color="000000"/>
              <w:bottom w:val="single" w:sz="4" w:space="0" w:color="000000"/>
              <w:right w:val="single" w:sz="4" w:space="0" w:color="000000"/>
            </w:tcBorders>
            <w:shd w:val="clear" w:color="auto" w:fill="D4D4D4"/>
          </w:tcPr>
          <w:p>
            <w:pPr/>
          </w:p>
        </w:tc>
        <w:tc>
          <w:tcPr>
            <w:tcW w:w="956" w:type="dxa"/>
            <w:tcBorders>
              <w:top w:val="nil" w:sz="6" w:space="0" w:color="auto"/>
              <w:left w:val="single" w:sz="4" w:space="0" w:color="000000"/>
              <w:bottom w:val="single" w:sz="4" w:space="0" w:color="000000"/>
              <w:right w:val="single" w:sz="4" w:space="0" w:color="000000"/>
            </w:tcBorders>
            <w:shd w:val="clear" w:color="auto" w:fill="D4D4D4"/>
          </w:tcPr>
          <w:p>
            <w:pPr/>
          </w:p>
        </w:tc>
        <w:tc>
          <w:tcPr>
            <w:tcW w:w="955" w:type="dxa"/>
            <w:vMerge/>
            <w:tcBorders>
              <w:left w:val="single" w:sz="4" w:space="0" w:color="000000"/>
              <w:bottom w:val="single" w:sz="4" w:space="0" w:color="000000"/>
              <w:right w:val="single" w:sz="4" w:space="0" w:color="000000"/>
            </w:tcBorders>
            <w:shd w:val="clear" w:color="auto" w:fill="D4D4D4"/>
          </w:tcPr>
          <w:p>
            <w:pPr/>
          </w:p>
        </w:tc>
        <w:tc>
          <w:tcPr>
            <w:tcW w:w="959" w:type="dxa"/>
            <w:vMerge/>
            <w:tcBorders>
              <w:left w:val="single" w:sz="4" w:space="0" w:color="000000"/>
              <w:bottom w:val="single" w:sz="4" w:space="0" w:color="000000"/>
              <w:right w:val="single" w:sz="4" w:space="0" w:color="000000"/>
            </w:tcBorders>
            <w:shd w:val="clear" w:color="auto" w:fill="D4D4D4"/>
          </w:tcPr>
          <w:p>
            <w:pPr/>
          </w:p>
        </w:tc>
        <w:tc>
          <w:tcPr>
            <w:tcW w:w="944"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10" w:space="0" w:color="D4D4D4"/>
              <w:bottom w:val="single" w:sz="4" w:space="0" w:color="000000"/>
              <w:right w:val="single" w:sz="13" w:space="0" w:color="D4D4D4"/>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86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2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86" w:type="dxa"/>
            <w:gridSpan w:val="7"/>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left="452" w:right="1824"/>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52" w:right="1824"/>
        <w:jc w:val="left"/>
      </w:pPr>
      <w:r>
        <w:rPr/>
        <w:t>主要子公司、参股公司情况</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46"/>
        <w:gridCol w:w="898"/>
        <w:gridCol w:w="533"/>
        <w:gridCol w:w="1274"/>
        <w:gridCol w:w="569"/>
        <w:gridCol w:w="1274"/>
        <w:gridCol w:w="1277"/>
        <w:gridCol w:w="1277"/>
        <w:gridCol w:w="1133"/>
        <w:gridCol w:w="1135"/>
      </w:tblGrid>
      <w:tr>
        <w:trPr>
          <w:trHeight w:val="713" w:hRule="exact"/>
        </w:trPr>
        <w:tc>
          <w:tcPr>
            <w:tcW w:w="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1" w:right="79"/>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42" w:right="89" w:hanging="449"/>
              <w:jc w:val="left"/>
              <w:rPr>
                <w:rFonts w:ascii="宋体" w:hAnsi="宋体" w:cs="宋体" w:eastAsia="宋体" w:hint="default"/>
                <w:sz w:val="18"/>
                <w:szCs w:val="18"/>
              </w:rPr>
            </w:pPr>
            <w:r>
              <w:rPr>
                <w:rFonts w:ascii="宋体" w:hAnsi="宋体" w:cs="宋体" w:eastAsia="宋体" w:hint="default"/>
                <w:sz w:val="18"/>
                <w:szCs w:val="18"/>
              </w:rPr>
              <w:t>主要产品或服 务</w:t>
            </w:r>
          </w:p>
        </w:tc>
        <w:tc>
          <w:tcPr>
            <w:tcW w:w="5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0" w:right="96"/>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净资产（元）</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Times New Roman" w:hAnsi="Times New Roman" w:cs="Times New Roman" w:eastAsia="Times New Roman" w:hint="default"/>
                <w:sz w:val="18"/>
                <w:szCs w:val="18"/>
              </w:rPr>
            </w:pPr>
            <w:bookmarkStart w:name="4、主要子公司、参股公司分析" w:id="47"/>
            <w:bookmarkEnd w:id="47"/>
            <w:r>
              <w:rPr/>
            </w: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净利润（元）</w:t>
            </w:r>
          </w:p>
        </w:tc>
      </w:tr>
      <w:tr>
        <w:trPr>
          <w:trHeight w:val="227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91"/>
              <w:jc w:val="both"/>
              <w:rPr>
                <w:rFonts w:ascii="宋体" w:hAnsi="宋体" w:cs="宋体" w:eastAsia="宋体" w:hint="default"/>
                <w:sz w:val="18"/>
                <w:szCs w:val="18"/>
              </w:rPr>
            </w:pPr>
            <w:r>
              <w:rPr>
                <w:rFonts w:ascii="宋体" w:hAnsi="宋体" w:cs="宋体" w:eastAsia="宋体" w:hint="default"/>
                <w:sz w:val="18"/>
                <w:szCs w:val="18"/>
              </w:rPr>
              <w:t>浙江榕基 信息技术 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37"/>
              <w:jc w:val="both"/>
              <w:rPr>
                <w:rFonts w:ascii="宋体" w:hAnsi="宋体" w:cs="宋体" w:eastAsia="宋体" w:hint="default"/>
                <w:sz w:val="18"/>
                <w:szCs w:val="18"/>
              </w:rPr>
            </w:pPr>
            <w:r>
              <w:rPr>
                <w:rFonts w:ascii="宋体" w:hAnsi="宋体" w:cs="宋体" w:eastAsia="宋体" w:hint="default"/>
                <w:sz w:val="18"/>
                <w:szCs w:val="18"/>
              </w:rPr>
              <w:t>计算 机行 业</w:t>
            </w:r>
          </w:p>
        </w:tc>
        <w:tc>
          <w:tcPr>
            <w:tcW w:w="1274" w:type="dxa"/>
            <w:tcBorders>
              <w:top w:val="single" w:sz="4" w:space="0" w:color="000000"/>
              <w:left w:val="single" w:sz="4" w:space="0" w:color="000000"/>
              <w:bottom w:val="single" w:sz="4" w:space="0" w:color="000000"/>
              <w:right w:val="single" w:sz="14" w:space="0" w:color="FFFFFF"/>
            </w:tcBorders>
          </w:tcPr>
          <w:p>
            <w:pPr>
              <w:pStyle w:val="TableParagraph"/>
              <w:spacing w:line="316" w:lineRule="auto" w:before="49"/>
              <w:ind w:left="24" w:right="-33"/>
              <w:jc w:val="left"/>
              <w:rPr>
                <w:rFonts w:ascii="宋体" w:hAnsi="宋体" w:cs="宋体" w:eastAsia="宋体" w:hint="default"/>
                <w:sz w:val="18"/>
                <w:szCs w:val="18"/>
              </w:rPr>
            </w:pPr>
            <w:r>
              <w:rPr>
                <w:rFonts w:ascii="宋体" w:hAnsi="宋体" w:cs="宋体" w:eastAsia="宋体" w:hint="default"/>
                <w:spacing w:val="-6"/>
                <w:sz w:val="18"/>
                <w:szCs w:val="18"/>
              </w:rPr>
              <w:t>技术开发、技术</w:t>
            </w:r>
            <w:r>
              <w:rPr>
                <w:rFonts w:ascii="宋体" w:hAnsi="宋体" w:cs="宋体" w:eastAsia="宋体" w:hint="default"/>
                <w:sz w:val="18"/>
                <w:szCs w:val="18"/>
              </w:rPr>
              <w:t> 服务、技术咨 询、成果转让， 计算机数据处 </w:t>
            </w:r>
            <w:r>
              <w:rPr>
                <w:rFonts w:ascii="宋体" w:hAnsi="宋体" w:cs="宋体" w:eastAsia="宋体" w:hint="default"/>
                <w:spacing w:val="-6"/>
                <w:sz w:val="18"/>
                <w:szCs w:val="18"/>
              </w:rPr>
              <w:t>理、计算机数据</w:t>
            </w:r>
            <w:r>
              <w:rPr>
                <w:rFonts w:ascii="宋体" w:hAnsi="宋体" w:cs="宋体" w:eastAsia="宋体" w:hint="default"/>
                <w:sz w:val="18"/>
                <w:szCs w:val="18"/>
              </w:rPr>
              <w:t> </w:t>
            </w:r>
            <w:r>
              <w:rPr>
                <w:rFonts w:ascii="宋体" w:hAnsi="宋体" w:cs="宋体" w:eastAsia="宋体" w:hint="default"/>
                <w:spacing w:val="-6"/>
                <w:sz w:val="18"/>
                <w:szCs w:val="18"/>
              </w:rPr>
              <w:t>库、计算机维护</w:t>
            </w:r>
            <w:r>
              <w:rPr>
                <w:rFonts w:ascii="宋体" w:hAnsi="宋体" w:cs="宋体" w:eastAsia="宋体" w:hint="default"/>
                <w:sz w:val="18"/>
                <w:szCs w:val="18"/>
              </w:rPr>
              <w:t> 等</w:t>
            </w:r>
          </w:p>
        </w:tc>
        <w:tc>
          <w:tcPr>
            <w:tcW w:w="569"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12,285,768.42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-5,480,079.73</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8,533,024.64</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-3,460,554.57</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-2,944,542.54</w:t>
            </w:r>
            <w:r>
              <w:rPr>
                <w:rFonts w:ascii="Times New Roman"/>
                <w:sz w:val="18"/>
              </w:rPr>
            </w:r>
          </w:p>
        </w:tc>
      </w:tr>
      <w:tr>
        <w:trPr>
          <w:trHeight w:val="164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91"/>
              <w:jc w:val="both"/>
              <w:rPr>
                <w:rFonts w:ascii="宋体" w:hAnsi="宋体" w:cs="宋体" w:eastAsia="宋体" w:hint="default"/>
                <w:sz w:val="18"/>
                <w:szCs w:val="18"/>
              </w:rPr>
            </w:pPr>
            <w:r>
              <w:rPr>
                <w:rFonts w:ascii="宋体" w:hAnsi="宋体" w:cs="宋体" w:eastAsia="宋体" w:hint="default"/>
                <w:sz w:val="18"/>
                <w:szCs w:val="18"/>
              </w:rPr>
              <w:t>上海榕基 软件开发 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37"/>
              <w:jc w:val="both"/>
              <w:rPr>
                <w:rFonts w:ascii="宋体" w:hAnsi="宋体" w:cs="宋体" w:eastAsia="宋体" w:hint="default"/>
                <w:sz w:val="18"/>
                <w:szCs w:val="18"/>
              </w:rPr>
            </w:pPr>
            <w:r>
              <w:rPr>
                <w:rFonts w:ascii="宋体" w:hAnsi="宋体" w:cs="宋体" w:eastAsia="宋体" w:hint="default"/>
                <w:sz w:val="18"/>
                <w:szCs w:val="18"/>
              </w:rPr>
              <w:t>计算 机行 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电子计算机软 硬件领域内的 </w:t>
            </w:r>
            <w:r>
              <w:rPr>
                <w:rFonts w:ascii="宋体" w:hAnsi="宋体" w:cs="宋体" w:eastAsia="宋体" w:hint="default"/>
                <w:spacing w:val="-6"/>
                <w:sz w:val="18"/>
                <w:szCs w:val="18"/>
              </w:rPr>
              <w:t>技术开发，技术</w:t>
            </w:r>
            <w:r>
              <w:rPr>
                <w:rFonts w:ascii="宋体" w:hAnsi="宋体" w:cs="宋体" w:eastAsia="宋体" w:hint="default"/>
                <w:sz w:val="18"/>
                <w:szCs w:val="18"/>
              </w:rPr>
              <w:t> 转让，技术咨 询，技术服务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2,151,370.74</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1,338,173.75</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788,622.50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-981,913.10</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-981,775.60</w:t>
            </w:r>
            <w:r>
              <w:rPr>
                <w:rFonts w:ascii="Times New Roman"/>
                <w:sz w:val="18"/>
              </w:rPr>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榕基五一</w:t>
            </w:r>
          </w:p>
          <w:p>
            <w:pPr>
              <w:pStyle w:val="TableParagraph"/>
              <w:spacing w:line="316" w:lineRule="auto" w:before="76"/>
              <w:ind w:left="24" w:right="22"/>
              <w:jc w:val="left"/>
              <w:rPr>
                <w:rFonts w:ascii="宋体" w:hAnsi="宋体" w:cs="宋体" w:eastAsia="宋体" w:hint="default"/>
                <w:sz w:val="18"/>
                <w:szCs w:val="18"/>
              </w:rPr>
            </w:pPr>
            <w:r>
              <w:rPr>
                <w:rFonts w:ascii="宋体" w:hAnsi="宋体" w:cs="宋体" w:eastAsia="宋体" w:hint="default"/>
                <w:spacing w:val="-3"/>
                <w:sz w:val="18"/>
                <w:szCs w:val="18"/>
              </w:rPr>
              <w:t>（北京）信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息技术有 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7"/>
              <w:jc w:val="both"/>
              <w:rPr>
                <w:rFonts w:ascii="宋体" w:hAnsi="宋体" w:cs="宋体" w:eastAsia="宋体" w:hint="default"/>
                <w:sz w:val="18"/>
                <w:szCs w:val="18"/>
              </w:rPr>
            </w:pPr>
            <w:r>
              <w:rPr>
                <w:rFonts w:ascii="宋体" w:hAnsi="宋体" w:cs="宋体" w:eastAsia="宋体" w:hint="default"/>
                <w:sz w:val="18"/>
                <w:szCs w:val="18"/>
              </w:rPr>
              <w:t>计算 机行 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9"/>
              <w:jc w:val="both"/>
              <w:rPr>
                <w:rFonts w:ascii="宋体" w:hAnsi="宋体" w:cs="宋体" w:eastAsia="宋体" w:hint="default"/>
                <w:sz w:val="18"/>
                <w:szCs w:val="18"/>
              </w:rPr>
            </w:pPr>
            <w:r>
              <w:rPr>
                <w:rFonts w:ascii="宋体" w:hAnsi="宋体" w:cs="宋体" w:eastAsia="宋体" w:hint="default"/>
                <w:spacing w:val="-6"/>
                <w:sz w:val="18"/>
                <w:szCs w:val="18"/>
              </w:rPr>
              <w:t>技术推广，销售</w:t>
            </w:r>
            <w:r>
              <w:rPr>
                <w:rFonts w:ascii="宋体" w:hAnsi="宋体" w:cs="宋体" w:eastAsia="宋体" w:hint="default"/>
                <w:sz w:val="18"/>
                <w:szCs w:val="18"/>
              </w:rPr>
              <w:t> </w:t>
            </w:r>
            <w:r>
              <w:rPr>
                <w:rFonts w:ascii="宋体" w:hAnsi="宋体" w:cs="宋体" w:eastAsia="宋体" w:hint="default"/>
                <w:spacing w:val="-6"/>
                <w:sz w:val="18"/>
                <w:szCs w:val="18"/>
              </w:rPr>
              <w:t>计算机、软件及</w:t>
            </w:r>
            <w:r>
              <w:rPr>
                <w:rFonts w:ascii="宋体" w:hAnsi="宋体" w:cs="宋体" w:eastAsia="宋体" w:hint="default"/>
                <w:sz w:val="18"/>
                <w:szCs w:val="18"/>
              </w:rPr>
              <w:t> </w:t>
            </w:r>
            <w:r>
              <w:rPr>
                <w:rFonts w:ascii="宋体" w:hAnsi="宋体" w:cs="宋体" w:eastAsia="宋体" w:hint="default"/>
                <w:spacing w:val="-6"/>
                <w:sz w:val="18"/>
                <w:szCs w:val="18"/>
              </w:rPr>
              <w:t>辅助设备、机械</w:t>
            </w:r>
            <w:r>
              <w:rPr>
                <w:rFonts w:ascii="宋体" w:hAnsi="宋体" w:cs="宋体" w:eastAsia="宋体" w:hint="default"/>
                <w:sz w:val="18"/>
                <w:szCs w:val="18"/>
              </w:rPr>
              <w:t> 设备、电子产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50,636,122.24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30,915,151.47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57,914,730.43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1,572,774.93</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1,434,909.14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680" w:right="6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946"/>
        <w:gridCol w:w="898"/>
        <w:gridCol w:w="533"/>
        <w:gridCol w:w="1274"/>
        <w:gridCol w:w="569"/>
        <w:gridCol w:w="1274"/>
        <w:gridCol w:w="1277"/>
        <w:gridCol w:w="1277"/>
        <w:gridCol w:w="1133"/>
        <w:gridCol w:w="1135"/>
      </w:tblGrid>
      <w:tr>
        <w:trPr>
          <w:trHeight w:val="674"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58"/>
              <w:jc w:val="left"/>
              <w:rPr>
                <w:rFonts w:ascii="宋体" w:hAnsi="宋体" w:cs="宋体" w:eastAsia="宋体" w:hint="default"/>
                <w:sz w:val="18"/>
                <w:szCs w:val="18"/>
              </w:rPr>
            </w:pPr>
            <w:r>
              <w:rPr>
                <w:rFonts w:ascii="宋体" w:hAnsi="宋体" w:cs="宋体" w:eastAsia="宋体" w:hint="default"/>
                <w:sz w:val="18"/>
                <w:szCs w:val="18"/>
              </w:rPr>
              <w:t>品、器件和元 件、仪器仪表</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1"/>
              <w:jc w:val="both"/>
              <w:rPr>
                <w:rFonts w:ascii="宋体" w:hAnsi="宋体" w:cs="宋体" w:eastAsia="宋体" w:hint="default"/>
                <w:sz w:val="18"/>
                <w:szCs w:val="18"/>
              </w:rPr>
            </w:pPr>
            <w:r>
              <w:rPr>
                <w:rFonts w:ascii="宋体" w:hAnsi="宋体" w:cs="宋体" w:eastAsia="宋体" w:hint="default"/>
                <w:sz w:val="18"/>
                <w:szCs w:val="18"/>
              </w:rPr>
              <w:t>河南榕基 信息技术 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37"/>
              <w:jc w:val="both"/>
              <w:rPr>
                <w:rFonts w:ascii="宋体" w:hAnsi="宋体" w:cs="宋体" w:eastAsia="宋体" w:hint="default"/>
                <w:sz w:val="18"/>
                <w:szCs w:val="18"/>
              </w:rPr>
            </w:pPr>
            <w:r>
              <w:rPr>
                <w:rFonts w:ascii="宋体" w:hAnsi="宋体" w:cs="宋体" w:eastAsia="宋体" w:hint="default"/>
                <w:sz w:val="18"/>
                <w:szCs w:val="18"/>
              </w:rPr>
              <w:t>计算 机行 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信息技术服务， </w:t>
            </w:r>
            <w:r>
              <w:rPr>
                <w:rFonts w:ascii="宋体" w:hAnsi="宋体" w:cs="宋体" w:eastAsia="宋体" w:hint="default"/>
                <w:spacing w:val="-6"/>
                <w:sz w:val="18"/>
                <w:szCs w:val="18"/>
              </w:rPr>
              <w:t>软件开发、销售</w:t>
            </w:r>
            <w:r>
              <w:rPr>
                <w:rFonts w:ascii="宋体" w:hAnsi="宋体" w:cs="宋体" w:eastAsia="宋体" w:hint="default"/>
                <w:sz w:val="18"/>
                <w:szCs w:val="18"/>
              </w:rPr>
              <w:t> </w:t>
            </w:r>
            <w:r>
              <w:rPr>
                <w:rFonts w:ascii="宋体" w:hAnsi="宋体" w:cs="宋体" w:eastAsia="宋体" w:hint="default"/>
                <w:spacing w:val="-6"/>
                <w:sz w:val="18"/>
                <w:szCs w:val="18"/>
              </w:rPr>
              <w:t>及平面设计，系</w:t>
            </w:r>
            <w:r>
              <w:rPr>
                <w:rFonts w:ascii="宋体" w:hAnsi="宋体" w:cs="宋体" w:eastAsia="宋体" w:hint="default"/>
                <w:sz w:val="18"/>
                <w:szCs w:val="18"/>
              </w:rPr>
              <w:t> </w:t>
            </w:r>
            <w:r>
              <w:rPr>
                <w:rFonts w:ascii="宋体" w:hAnsi="宋体" w:cs="宋体" w:eastAsia="宋体" w:hint="default"/>
                <w:spacing w:val="-6"/>
                <w:sz w:val="18"/>
                <w:szCs w:val="18"/>
              </w:rPr>
              <w:t>统集成，硬件及</w:t>
            </w:r>
            <w:r>
              <w:rPr>
                <w:rFonts w:ascii="宋体" w:hAnsi="宋体" w:cs="宋体" w:eastAsia="宋体" w:hint="default"/>
                <w:sz w:val="18"/>
                <w:szCs w:val="18"/>
              </w:rPr>
              <w:t> </w:t>
            </w:r>
            <w:r>
              <w:rPr>
                <w:rFonts w:ascii="宋体" w:hAnsi="宋体" w:cs="宋体" w:eastAsia="宋体" w:hint="default"/>
                <w:spacing w:val="-6"/>
                <w:sz w:val="18"/>
                <w:szCs w:val="18"/>
              </w:rPr>
              <w:t>耗材、办公设备</w:t>
            </w:r>
            <w:r>
              <w:rPr>
                <w:rFonts w:ascii="宋体" w:hAnsi="宋体" w:cs="宋体" w:eastAsia="宋体" w:hint="default"/>
                <w:sz w:val="18"/>
                <w:szCs w:val="18"/>
              </w:rPr>
              <w:t> </w:t>
            </w:r>
            <w:r>
              <w:rPr>
                <w:rFonts w:ascii="宋体" w:hAnsi="宋体" w:cs="宋体" w:eastAsia="宋体" w:hint="default"/>
                <w:spacing w:val="-7"/>
                <w:sz w:val="18"/>
                <w:szCs w:val="18"/>
              </w:rPr>
              <w:t>租赁、销售，网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络技术咨询服 </w:t>
            </w:r>
            <w:r>
              <w:rPr>
                <w:rFonts w:ascii="宋体" w:hAnsi="宋体" w:cs="宋体" w:eastAsia="宋体" w:hint="default"/>
                <w:spacing w:val="-6"/>
                <w:sz w:val="18"/>
                <w:szCs w:val="18"/>
              </w:rPr>
              <w:t>务，办公自动化</w:t>
            </w:r>
            <w:r>
              <w:rPr>
                <w:rFonts w:ascii="宋体" w:hAnsi="宋体" w:cs="宋体" w:eastAsia="宋体" w:hint="default"/>
                <w:sz w:val="18"/>
                <w:szCs w:val="18"/>
              </w:rPr>
              <w:t> 产品销售及服</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108,808,548.76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100,109,152.20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4,855,000.00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45,420.62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47,409.38</w:t>
            </w:r>
          </w:p>
        </w:tc>
      </w:tr>
      <w:tr>
        <w:trPr>
          <w:trHeight w:val="289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91"/>
              <w:jc w:val="both"/>
              <w:rPr>
                <w:rFonts w:ascii="宋体" w:hAnsi="宋体" w:cs="宋体" w:eastAsia="宋体" w:hint="default"/>
                <w:sz w:val="18"/>
                <w:szCs w:val="18"/>
              </w:rPr>
            </w:pPr>
            <w:r>
              <w:rPr>
                <w:rFonts w:ascii="宋体" w:hAnsi="宋体" w:cs="宋体" w:eastAsia="宋体" w:hint="default"/>
                <w:sz w:val="18"/>
                <w:szCs w:val="18"/>
              </w:rPr>
              <w:t>马鞍山榕 基软件信 息科技有 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37"/>
              <w:jc w:val="both"/>
              <w:rPr>
                <w:rFonts w:ascii="宋体" w:hAnsi="宋体" w:cs="宋体" w:eastAsia="宋体" w:hint="default"/>
                <w:sz w:val="18"/>
                <w:szCs w:val="18"/>
              </w:rPr>
            </w:pPr>
            <w:r>
              <w:rPr>
                <w:rFonts w:ascii="宋体" w:hAnsi="宋体" w:cs="宋体" w:eastAsia="宋体" w:hint="default"/>
                <w:sz w:val="18"/>
                <w:szCs w:val="18"/>
              </w:rPr>
              <w:t>计算 机行 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计算机及网络 软件开发项目， 计算机硬件技 </w:t>
            </w:r>
            <w:r>
              <w:rPr>
                <w:rFonts w:ascii="宋体" w:hAnsi="宋体" w:cs="宋体" w:eastAsia="宋体" w:hint="default"/>
                <w:spacing w:val="-6"/>
                <w:sz w:val="18"/>
                <w:szCs w:val="18"/>
              </w:rPr>
              <w:t>术服务，电子计</w:t>
            </w:r>
            <w:r>
              <w:rPr>
                <w:rFonts w:ascii="宋体" w:hAnsi="宋体" w:cs="宋体" w:eastAsia="宋体" w:hint="default"/>
                <w:sz w:val="18"/>
                <w:szCs w:val="18"/>
              </w:rPr>
              <w:t> 算机及配件的 </w:t>
            </w:r>
            <w:r>
              <w:rPr>
                <w:rFonts w:ascii="宋体" w:hAnsi="宋体" w:cs="宋体" w:eastAsia="宋体" w:hint="default"/>
                <w:spacing w:val="-6"/>
                <w:sz w:val="18"/>
                <w:szCs w:val="18"/>
              </w:rPr>
              <w:t>批发，自营或代</w:t>
            </w:r>
            <w:r>
              <w:rPr>
                <w:rFonts w:ascii="宋体" w:hAnsi="宋体" w:cs="宋体" w:eastAsia="宋体" w:hint="default"/>
                <w:sz w:val="18"/>
                <w:szCs w:val="18"/>
              </w:rPr>
              <w:t> 理各类商品和 技术的进出口 业务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6"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62,866,243.47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47,794,632.53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128,205.13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-1,442,967.37</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-802,506.07</w:t>
            </w:r>
            <w:r>
              <w:rPr>
                <w:rFonts w:ascii="Times New Roman"/>
                <w:sz w:val="18"/>
              </w:rPr>
            </w:r>
          </w:p>
        </w:tc>
      </w:tr>
      <w:tr>
        <w:trPr>
          <w:trHeight w:val="320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91"/>
              <w:jc w:val="both"/>
              <w:rPr>
                <w:rFonts w:ascii="宋体" w:hAnsi="宋体" w:cs="宋体" w:eastAsia="宋体" w:hint="default"/>
                <w:sz w:val="18"/>
                <w:szCs w:val="18"/>
              </w:rPr>
            </w:pPr>
            <w:r>
              <w:rPr>
                <w:rFonts w:ascii="宋体" w:hAnsi="宋体" w:cs="宋体" w:eastAsia="宋体" w:hint="default"/>
                <w:sz w:val="18"/>
                <w:szCs w:val="18"/>
              </w:rPr>
              <w:t>北京中榕 基信息技 术有限公 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37"/>
              <w:jc w:val="both"/>
              <w:rPr>
                <w:rFonts w:ascii="宋体" w:hAnsi="宋体" w:cs="宋体" w:eastAsia="宋体" w:hint="default"/>
                <w:sz w:val="18"/>
                <w:szCs w:val="18"/>
              </w:rPr>
            </w:pPr>
            <w:r>
              <w:rPr>
                <w:rFonts w:ascii="宋体" w:hAnsi="宋体" w:cs="宋体" w:eastAsia="宋体" w:hint="default"/>
                <w:sz w:val="18"/>
                <w:szCs w:val="18"/>
              </w:rPr>
              <w:t>计算 机行 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6"/>
                <w:sz w:val="18"/>
                <w:szCs w:val="18"/>
              </w:rPr>
              <w:t>技术开发、技术</w:t>
            </w:r>
            <w:r>
              <w:rPr>
                <w:rFonts w:ascii="宋体" w:hAnsi="宋体" w:cs="宋体" w:eastAsia="宋体" w:hint="default"/>
                <w:sz w:val="18"/>
                <w:szCs w:val="18"/>
              </w:rPr>
              <w:t> 服务、技术推 广，计算机维 </w:t>
            </w:r>
            <w:r>
              <w:rPr>
                <w:rFonts w:ascii="宋体" w:hAnsi="宋体" w:cs="宋体" w:eastAsia="宋体" w:hint="default"/>
                <w:spacing w:val="-6"/>
                <w:sz w:val="18"/>
                <w:szCs w:val="18"/>
              </w:rPr>
              <w:t>修，计算机系统</w:t>
            </w:r>
            <w:r>
              <w:rPr>
                <w:rFonts w:ascii="宋体" w:hAnsi="宋体" w:cs="宋体" w:eastAsia="宋体" w:hint="default"/>
                <w:sz w:val="18"/>
                <w:szCs w:val="18"/>
              </w:rPr>
              <w:t> </w:t>
            </w:r>
            <w:r>
              <w:rPr>
                <w:rFonts w:ascii="宋体" w:hAnsi="宋体" w:cs="宋体" w:eastAsia="宋体" w:hint="default"/>
                <w:spacing w:val="-6"/>
                <w:sz w:val="18"/>
                <w:szCs w:val="18"/>
              </w:rPr>
              <w:t>服务，销售计算</w:t>
            </w:r>
            <w:r>
              <w:rPr>
                <w:rFonts w:ascii="宋体" w:hAnsi="宋体" w:cs="宋体" w:eastAsia="宋体" w:hint="default"/>
                <w:sz w:val="18"/>
                <w:szCs w:val="18"/>
              </w:rPr>
              <w:t> </w:t>
            </w:r>
            <w:r>
              <w:rPr>
                <w:rFonts w:ascii="宋体" w:hAnsi="宋体" w:cs="宋体" w:eastAsia="宋体" w:hint="default"/>
                <w:spacing w:val="-6"/>
                <w:sz w:val="18"/>
                <w:szCs w:val="18"/>
              </w:rPr>
              <w:t>机、软件及辅助</w:t>
            </w:r>
            <w:r>
              <w:rPr>
                <w:rFonts w:ascii="宋体" w:hAnsi="宋体" w:cs="宋体" w:eastAsia="宋体" w:hint="default"/>
                <w:sz w:val="18"/>
                <w:szCs w:val="18"/>
              </w:rPr>
              <w:t> 设备、机械设 备，技术进出 口、货物进出 </w:t>
            </w:r>
            <w:r>
              <w:rPr>
                <w:rFonts w:ascii="宋体" w:hAnsi="宋体" w:cs="宋体" w:eastAsia="宋体" w:hint="default"/>
                <w:spacing w:val="-6"/>
                <w:sz w:val="18"/>
                <w:szCs w:val="18"/>
              </w:rPr>
              <w:t>口、代理进出口</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312,681,057.92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301,808,279.90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1,470,588.24</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2,208,446.98</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1,752,063.86</w:t>
            </w:r>
            <w:r>
              <w:rPr>
                <w:rFonts w:ascii="Times New Roman"/>
                <w:sz w:val="18"/>
              </w:rPr>
            </w:r>
          </w:p>
        </w:tc>
      </w:tr>
      <w:tr>
        <w:trPr>
          <w:trHeight w:val="379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4" w:right="191"/>
              <w:jc w:val="both"/>
              <w:rPr>
                <w:rFonts w:ascii="宋体" w:hAnsi="宋体" w:cs="宋体" w:eastAsia="宋体" w:hint="default"/>
                <w:sz w:val="18"/>
                <w:szCs w:val="18"/>
              </w:rPr>
            </w:pPr>
            <w:r>
              <w:rPr>
                <w:rFonts w:ascii="宋体" w:hAnsi="宋体" w:cs="宋体" w:eastAsia="宋体" w:hint="default"/>
                <w:sz w:val="18"/>
                <w:szCs w:val="18"/>
              </w:rPr>
              <w:t>福建榕基 软件工程 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137"/>
              <w:jc w:val="both"/>
              <w:rPr>
                <w:rFonts w:ascii="宋体" w:hAnsi="宋体" w:cs="宋体" w:eastAsia="宋体" w:hint="default"/>
                <w:sz w:val="18"/>
                <w:szCs w:val="18"/>
              </w:rPr>
            </w:pPr>
            <w:r>
              <w:rPr>
                <w:rFonts w:ascii="宋体" w:hAnsi="宋体" w:cs="宋体" w:eastAsia="宋体" w:hint="default"/>
                <w:sz w:val="18"/>
                <w:szCs w:val="18"/>
              </w:rPr>
              <w:t>计算 机行 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计算机软件的 </w:t>
            </w:r>
            <w:r>
              <w:rPr>
                <w:rFonts w:ascii="宋体" w:hAnsi="宋体" w:cs="宋体" w:eastAsia="宋体" w:hint="default"/>
                <w:spacing w:val="-6"/>
                <w:sz w:val="18"/>
                <w:szCs w:val="18"/>
              </w:rPr>
              <w:t>开发服务，计算</w:t>
            </w:r>
            <w:r>
              <w:rPr>
                <w:rFonts w:ascii="宋体" w:hAnsi="宋体" w:cs="宋体" w:eastAsia="宋体" w:hint="default"/>
                <w:sz w:val="18"/>
                <w:szCs w:val="18"/>
              </w:rPr>
              <w:t> 机硬件技术服 </w:t>
            </w:r>
            <w:r>
              <w:rPr>
                <w:rFonts w:ascii="宋体" w:hAnsi="宋体" w:cs="宋体" w:eastAsia="宋体" w:hint="default"/>
                <w:spacing w:val="-6"/>
                <w:sz w:val="18"/>
                <w:szCs w:val="18"/>
              </w:rPr>
              <w:t>务，计算机网络</w:t>
            </w:r>
            <w:r>
              <w:rPr>
                <w:rFonts w:ascii="宋体" w:hAnsi="宋体" w:cs="宋体" w:eastAsia="宋体" w:hint="default"/>
                <w:sz w:val="18"/>
                <w:szCs w:val="18"/>
              </w:rPr>
              <w:t> 和系统集成的 </w:t>
            </w:r>
            <w:r>
              <w:rPr>
                <w:rFonts w:ascii="宋体" w:hAnsi="宋体" w:cs="宋体" w:eastAsia="宋体" w:hint="default"/>
                <w:spacing w:val="-7"/>
                <w:sz w:val="18"/>
                <w:szCs w:val="18"/>
              </w:rPr>
              <w:t>安装、服务，自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营和代理各类 商品和技术的 </w:t>
            </w:r>
            <w:r>
              <w:rPr>
                <w:rFonts w:ascii="宋体" w:hAnsi="宋体" w:cs="宋体" w:eastAsia="宋体" w:hint="default"/>
                <w:spacing w:val="-6"/>
                <w:sz w:val="18"/>
                <w:szCs w:val="18"/>
              </w:rPr>
              <w:t>进出口，国家限</w:t>
            </w:r>
            <w:r>
              <w:rPr>
                <w:rFonts w:ascii="宋体" w:hAnsi="宋体" w:cs="宋体" w:eastAsia="宋体" w:hint="default"/>
                <w:sz w:val="18"/>
                <w:szCs w:val="18"/>
              </w:rPr>
              <w:t> 定公司经营或 禁止进出口的 商品和技术除</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188" w:right="0"/>
              <w:jc w:val="center"/>
              <w:rPr>
                <w:rFonts w:ascii="Times New Roman" w:hAnsi="Times New Roman" w:cs="Times New Roman" w:eastAsia="Times New Roman" w:hint="default"/>
                <w:sz w:val="18"/>
                <w:szCs w:val="18"/>
              </w:rPr>
            </w:pPr>
            <w:r>
              <w:rPr>
                <w:rFonts w:ascii="Times New Roman"/>
                <w:sz w:val="18"/>
              </w:rPr>
              <w:t>63,078,612.37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190" w:right="0"/>
              <w:jc w:val="center"/>
              <w:rPr>
                <w:rFonts w:ascii="Times New Roman" w:hAnsi="Times New Roman" w:cs="Times New Roman" w:eastAsia="Times New Roman" w:hint="default"/>
                <w:sz w:val="18"/>
                <w:szCs w:val="18"/>
              </w:rPr>
            </w:pPr>
            <w:r>
              <w:rPr>
                <w:rFonts w:ascii="Times New Roman"/>
                <w:sz w:val="18"/>
              </w:rPr>
              <w:t>58,243,523.11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76,629,181.85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8"/>
              <w:jc w:val="right"/>
              <w:rPr>
                <w:rFonts w:ascii="Times New Roman" w:hAnsi="Times New Roman" w:cs="Times New Roman" w:eastAsia="Times New Roman" w:hint="default"/>
                <w:sz w:val="18"/>
                <w:szCs w:val="18"/>
              </w:rPr>
            </w:pPr>
            <w:r>
              <w:rPr>
                <w:rFonts w:ascii="Times New Roman"/>
                <w:spacing w:val="-1"/>
                <w:sz w:val="18"/>
              </w:rPr>
              <w:t>36,099,934.99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spacing w:val="-1"/>
                <w:sz w:val="18"/>
              </w:rPr>
              <w:t>36,372,711.93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680" w:right="680"/>
        </w:sectPr>
      </w:pPr>
    </w:p>
    <w:p>
      <w:pPr>
        <w:spacing w:line="240" w:lineRule="auto" w:before="0"/>
        <w:rPr>
          <w:rFonts w:ascii="Times New Roman" w:hAnsi="Times New Roman" w:cs="Times New Roman" w:eastAsia="Times New Roman" w:hint="default"/>
          <w:sz w:val="20"/>
          <w:szCs w:val="20"/>
        </w:rPr>
      </w:pPr>
      <w:r>
        <w:rPr/>
        <w:pict>
          <v:group style="position:absolute;margin-left:222.600006pt;margin-top:147.23999pt;width:27.85pt;height:56.55pt;mso-position-horizontal-relative:page;mso-position-vertical-relative:page;z-index:-749560" coordorigin="4452,2945" coordsize="557,1131">
            <v:group style="position:absolute;left:4452;top:3295;width:557;height:780" coordorigin="4452,3295" coordsize="557,780">
              <v:shape style="position:absolute;left:4452;top:3295;width:557;height:780" coordorigin="4452,3295" coordsize="557,780" path="m4452,4075l5009,4075,5009,3295,4452,3295,4452,4075xe" filled="true" fillcolor="#ffffff" stroked="false">
                <v:path arrowok="t"/>
                <v:fill type="solid"/>
              </v:shape>
            </v:group>
            <v:group style="position:absolute;left:4476;top:2945;width:509;height:351" coordorigin="4476,2945" coordsize="509,351">
              <v:shape style="position:absolute;left:4476;top:2945;width:509;height:351" coordorigin="4476,2945" coordsize="509,351" path="m4476,3295l4985,3295,4985,2945,4476,2945,4476,329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946"/>
        <w:gridCol w:w="898"/>
        <w:gridCol w:w="533"/>
        <w:gridCol w:w="1274"/>
        <w:gridCol w:w="569"/>
        <w:gridCol w:w="1274"/>
        <w:gridCol w:w="1277"/>
        <w:gridCol w:w="1277"/>
        <w:gridCol w:w="1133"/>
        <w:gridCol w:w="1135"/>
      </w:tblGrid>
      <w:tr>
        <w:trPr>
          <w:trHeight w:val="362"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外</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91"/>
              <w:jc w:val="both"/>
              <w:rPr>
                <w:rFonts w:ascii="宋体" w:hAnsi="宋体" w:cs="宋体" w:eastAsia="宋体" w:hint="default"/>
                <w:sz w:val="18"/>
                <w:szCs w:val="18"/>
              </w:rPr>
            </w:pPr>
            <w:r>
              <w:rPr>
                <w:rFonts w:ascii="宋体" w:hAnsi="宋体" w:cs="宋体" w:eastAsia="宋体" w:hint="default"/>
                <w:sz w:val="18"/>
                <w:szCs w:val="18"/>
              </w:rPr>
              <w:t>福建榕基 投资有限 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37"/>
              <w:jc w:val="left"/>
              <w:rPr>
                <w:rFonts w:ascii="宋体" w:hAnsi="宋体" w:cs="宋体" w:eastAsia="宋体" w:hint="default"/>
                <w:sz w:val="18"/>
                <w:szCs w:val="18"/>
              </w:rPr>
            </w:pPr>
            <w:r>
              <w:rPr>
                <w:rFonts w:ascii="宋体" w:hAnsi="宋体" w:cs="宋体" w:eastAsia="宋体" w:hint="default"/>
                <w:sz w:val="18"/>
                <w:szCs w:val="18"/>
              </w:rPr>
              <w:t>实业 投资</w:t>
            </w:r>
          </w:p>
        </w:tc>
        <w:tc>
          <w:tcPr>
            <w:tcW w:w="1274" w:type="dxa"/>
            <w:tcBorders>
              <w:top w:val="single" w:sz="4" w:space="0" w:color="000000"/>
              <w:left w:val="single" w:sz="4" w:space="0" w:color="000000"/>
              <w:bottom w:val="single" w:sz="4" w:space="0" w:color="000000"/>
              <w:right w:val="single" w:sz="14" w:space="0" w:color="FFFFFF"/>
            </w:tcBorders>
          </w:tcPr>
          <w:p>
            <w:pPr>
              <w:pStyle w:val="TableParagraph"/>
              <w:spacing w:line="316" w:lineRule="auto" w:before="49"/>
              <w:ind w:left="24" w:right="-33"/>
              <w:jc w:val="left"/>
              <w:rPr>
                <w:rFonts w:ascii="宋体" w:hAnsi="宋体" w:cs="宋体" w:eastAsia="宋体" w:hint="default"/>
                <w:sz w:val="18"/>
                <w:szCs w:val="18"/>
              </w:rPr>
            </w:pPr>
            <w:r>
              <w:rPr>
                <w:rFonts w:ascii="宋体" w:hAnsi="宋体" w:cs="宋体" w:eastAsia="宋体" w:hint="default"/>
                <w:spacing w:val="-6"/>
                <w:sz w:val="18"/>
                <w:szCs w:val="18"/>
              </w:rPr>
              <w:t>对信息传输、计</w:t>
            </w:r>
            <w:r>
              <w:rPr>
                <w:rFonts w:ascii="宋体" w:hAnsi="宋体" w:cs="宋体" w:eastAsia="宋体" w:hint="default"/>
                <w:sz w:val="18"/>
                <w:szCs w:val="18"/>
              </w:rPr>
              <w:t> 算机服务和软 件业、制造业、 服务业、教育 </w:t>
            </w:r>
            <w:r>
              <w:rPr>
                <w:rFonts w:ascii="宋体" w:hAnsi="宋体" w:cs="宋体" w:eastAsia="宋体" w:hint="default"/>
                <w:spacing w:val="-19"/>
                <w:sz w:val="18"/>
                <w:szCs w:val="18"/>
              </w:rPr>
              <w:t>业，农业，工业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交通运输业的 投资</w:t>
            </w:r>
          </w:p>
        </w:tc>
        <w:tc>
          <w:tcPr>
            <w:tcW w:w="569"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3"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196" w:lineRule="exact" w:before="63"/>
              <w:ind w:left="13"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50,046,740.74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50,031,305.55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41,740.74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31,305.55</w:t>
            </w:r>
          </w:p>
        </w:tc>
      </w:tr>
      <w:tr>
        <w:trPr>
          <w:trHeight w:val="165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91"/>
              <w:jc w:val="both"/>
              <w:rPr>
                <w:rFonts w:ascii="宋体" w:hAnsi="宋体" w:cs="宋体" w:eastAsia="宋体" w:hint="default"/>
                <w:sz w:val="18"/>
                <w:szCs w:val="18"/>
              </w:rPr>
            </w:pPr>
            <w:r>
              <w:rPr>
                <w:rFonts w:ascii="宋体" w:hAnsi="宋体" w:cs="宋体" w:eastAsia="宋体" w:hint="default"/>
                <w:sz w:val="18"/>
                <w:szCs w:val="18"/>
              </w:rPr>
              <w:t>福州创华 电气自动 化系统有 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37"/>
              <w:jc w:val="both"/>
              <w:rPr>
                <w:rFonts w:ascii="宋体" w:hAnsi="宋体" w:cs="宋体" w:eastAsia="宋体" w:hint="default"/>
                <w:sz w:val="18"/>
                <w:szCs w:val="18"/>
              </w:rPr>
            </w:pPr>
            <w:r>
              <w:rPr>
                <w:rFonts w:ascii="宋体" w:hAnsi="宋体" w:cs="宋体" w:eastAsia="宋体" w:hint="default"/>
                <w:sz w:val="18"/>
                <w:szCs w:val="18"/>
              </w:rPr>
              <w:t>计算 机行 业</w:t>
            </w:r>
          </w:p>
        </w:tc>
        <w:tc>
          <w:tcPr>
            <w:tcW w:w="1274" w:type="dxa"/>
            <w:tcBorders>
              <w:top w:val="single" w:sz="4" w:space="0" w:color="000000"/>
              <w:left w:val="single" w:sz="4" w:space="0" w:color="000000"/>
              <w:bottom w:val="single" w:sz="4" w:space="0" w:color="000000"/>
              <w:right w:val="single" w:sz="14" w:space="0" w:color="FFFFFF"/>
            </w:tcBorders>
          </w:tcPr>
          <w:p>
            <w:pPr>
              <w:pStyle w:val="TableParagraph"/>
              <w:spacing w:line="316" w:lineRule="auto" w:before="49"/>
              <w:ind w:left="24" w:right="-33"/>
              <w:jc w:val="left"/>
              <w:rPr>
                <w:rFonts w:ascii="宋体" w:hAnsi="宋体" w:cs="宋体" w:eastAsia="宋体" w:hint="default"/>
                <w:sz w:val="18"/>
                <w:szCs w:val="18"/>
              </w:rPr>
            </w:pPr>
            <w:r>
              <w:rPr>
                <w:rFonts w:ascii="宋体" w:hAnsi="宋体" w:cs="宋体" w:eastAsia="宋体" w:hint="default"/>
                <w:sz w:val="18"/>
                <w:szCs w:val="18"/>
              </w:rPr>
              <w:t>电气自动化控 </w:t>
            </w:r>
            <w:r>
              <w:rPr>
                <w:rFonts w:ascii="宋体" w:hAnsi="宋体" w:cs="宋体" w:eastAsia="宋体" w:hint="default"/>
                <w:spacing w:val="-6"/>
                <w:sz w:val="18"/>
                <w:szCs w:val="18"/>
              </w:rPr>
              <w:t>制系统服务、计</w:t>
            </w:r>
            <w:r>
              <w:rPr>
                <w:rFonts w:ascii="宋体" w:hAnsi="宋体" w:cs="宋体" w:eastAsia="宋体" w:hint="default"/>
                <w:sz w:val="18"/>
                <w:szCs w:val="18"/>
              </w:rPr>
              <w:t> 算机软件销售， 计算机网络安</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装</w:t>
            </w:r>
          </w:p>
        </w:tc>
        <w:tc>
          <w:tcPr>
            <w:tcW w:w="569"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45,218,893.78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30,276,321.24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82,466.00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4,554,821.54</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4,544,709.04</w:t>
            </w:r>
            <w:r>
              <w:rPr>
                <w:rFonts w:ascii="Times New Roman"/>
                <w:sz w:val="18"/>
              </w:rPr>
            </w:r>
          </w:p>
        </w:tc>
      </w:tr>
      <w:tr>
        <w:trPr>
          <w:trHeight w:val="196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91"/>
              <w:jc w:val="both"/>
              <w:rPr>
                <w:rFonts w:ascii="宋体" w:hAnsi="宋体" w:cs="宋体" w:eastAsia="宋体" w:hint="default"/>
                <w:sz w:val="18"/>
                <w:szCs w:val="18"/>
              </w:rPr>
            </w:pPr>
            <w:r>
              <w:rPr>
                <w:rFonts w:ascii="宋体" w:hAnsi="宋体" w:cs="宋体" w:eastAsia="宋体" w:hint="default"/>
                <w:sz w:val="18"/>
                <w:szCs w:val="18"/>
              </w:rPr>
              <w:t>福建亿榕 信息技术 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37"/>
              <w:jc w:val="both"/>
              <w:rPr>
                <w:rFonts w:ascii="宋体" w:hAnsi="宋体" w:cs="宋体" w:eastAsia="宋体" w:hint="default"/>
                <w:sz w:val="18"/>
                <w:szCs w:val="18"/>
              </w:rPr>
            </w:pPr>
            <w:r>
              <w:rPr>
                <w:rFonts w:ascii="宋体" w:hAnsi="宋体" w:cs="宋体" w:eastAsia="宋体" w:hint="default"/>
                <w:sz w:val="18"/>
                <w:szCs w:val="18"/>
              </w:rPr>
              <w:t>计算 机行 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电力行业协同 </w:t>
            </w:r>
            <w:r>
              <w:rPr>
                <w:rFonts w:ascii="宋体" w:hAnsi="宋体" w:cs="宋体" w:eastAsia="宋体" w:hint="default"/>
                <w:spacing w:val="-6"/>
                <w:sz w:val="18"/>
                <w:szCs w:val="18"/>
              </w:rPr>
              <w:t>办公系统、电力</w:t>
            </w:r>
            <w:r>
              <w:rPr>
                <w:rFonts w:ascii="宋体" w:hAnsi="宋体" w:cs="宋体" w:eastAsia="宋体" w:hint="default"/>
                <w:sz w:val="18"/>
                <w:szCs w:val="18"/>
              </w:rPr>
              <w:t> </w:t>
            </w:r>
            <w:r>
              <w:rPr>
                <w:rFonts w:ascii="宋体" w:hAnsi="宋体" w:cs="宋体" w:eastAsia="宋体" w:hint="default"/>
                <w:spacing w:val="-6"/>
                <w:sz w:val="18"/>
                <w:szCs w:val="18"/>
              </w:rPr>
              <w:t>仪器仪表、电能</w:t>
            </w:r>
            <w:r>
              <w:rPr>
                <w:rFonts w:ascii="宋体" w:hAnsi="宋体" w:cs="宋体" w:eastAsia="宋体" w:hint="default"/>
                <w:sz w:val="18"/>
                <w:szCs w:val="18"/>
              </w:rPr>
              <w:t> 计量设备和电 力信息化建设 咨询服务等</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169,098,866.93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52,596,803.89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133,850,504.73</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10,572,331.67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13,307,030.99</w:t>
            </w:r>
          </w:p>
        </w:tc>
      </w:tr>
    </w:tbl>
    <w:p>
      <w:pPr>
        <w:pStyle w:val="BodyText"/>
        <w:spacing w:line="350" w:lineRule="auto" w:before="49"/>
        <w:ind w:left="452" w:right="1824"/>
        <w:jc w:val="left"/>
      </w:pPr>
      <w:r>
        <w:rPr/>
        <w:t>主要子公司、参股公司情况说明 报告期内，公司不存在单个子公司的净利润或单个参股公司的投资收益对公司净利润影响达到</w:t>
      </w:r>
      <w:r>
        <w:rPr>
          <w:rFonts w:ascii="Times New Roman" w:hAnsi="Times New Roman" w:cs="Times New Roman" w:eastAsia="Times New Roman" w:hint="default"/>
        </w:rPr>
        <w:t>10%</w:t>
      </w:r>
      <w:r>
        <w:rPr/>
        <w:t>以上。 报告期内取得和处置子公司的情况</w:t>
      </w:r>
    </w:p>
    <w:p>
      <w:pPr>
        <w:pStyle w:val="BodyText"/>
        <w:spacing w:line="240" w:lineRule="auto" w:before="32"/>
        <w:ind w:left="452" w:right="18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449" w:type="dxa"/>
        <w:tblLayout w:type="fixed"/>
        <w:tblCellMar>
          <w:top w:w="0" w:type="dxa"/>
          <w:left w:w="0" w:type="dxa"/>
          <w:bottom w:w="0" w:type="dxa"/>
          <w:right w:w="0" w:type="dxa"/>
        </w:tblCellMar>
        <w:tblLook w:val="01E0"/>
      </w:tblPr>
      <w:tblGrid>
        <w:gridCol w:w="2392"/>
        <w:gridCol w:w="2390"/>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10" w:right="108"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10" w:right="110"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福建榕基投资有限公司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促进公司延伸发展</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进一步提高公司整体实力</w:t>
            </w:r>
          </w:p>
        </w:tc>
      </w:tr>
    </w:tbl>
    <w:p>
      <w:pPr>
        <w:spacing w:line="240" w:lineRule="auto" w:before="3"/>
        <w:rPr>
          <w:rFonts w:ascii="宋体" w:hAnsi="宋体" w:cs="宋体" w:eastAsia="宋体" w:hint="default"/>
          <w:sz w:val="19"/>
          <w:szCs w:val="19"/>
        </w:rPr>
      </w:pPr>
    </w:p>
    <w:p>
      <w:pPr>
        <w:pStyle w:val="Heading3"/>
        <w:spacing w:line="240" w:lineRule="auto" w:before="36"/>
        <w:ind w:left="452" w:right="1824"/>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453"/>
        <w:jc w:val="right"/>
      </w:pPr>
      <w:bookmarkStart w:name="5、非募集资金投资的重大项目情况" w:id="48"/>
      <w:bookmarkEnd w:id="48"/>
      <w:r>
        <w:rPr/>
      </w:r>
      <w:r>
        <w:rPr/>
        <w:t>单位：万元</w:t>
      </w:r>
    </w:p>
    <w:p>
      <w:pPr>
        <w:spacing w:line="240" w:lineRule="auto" w:before="2"/>
        <w:rPr>
          <w:rFonts w:ascii="宋体" w:hAnsi="宋体" w:cs="宋体" w:eastAsia="宋体" w:hint="default"/>
          <w:sz w:val="8"/>
          <w:szCs w:val="8"/>
        </w:rPr>
      </w:pPr>
    </w:p>
    <w:tbl>
      <w:tblPr>
        <w:tblW w:w="0" w:type="auto"/>
        <w:jc w:val="left"/>
        <w:tblInd w:w="4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1" w:right="72" w:hanging="360"/>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投资设立马鞍山榕 基软件信息科技有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10"/>
                <w:sz w:val="18"/>
                <w:szCs w:val="18"/>
              </w:rPr>
              <w:t>项目建设初期，未产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生效益。</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6"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5,000</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1298" w:hRule="exact"/>
        </w:trPr>
        <w:tc>
          <w:tcPr>
            <w:tcW w:w="9566" w:type="dxa"/>
            <w:gridSpan w:val="6"/>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9" w:firstLine="362"/>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日召开了第二届董事会第四次会议、于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 </w:t>
            </w:r>
            <w:r>
              <w:rPr>
                <w:rFonts w:ascii="宋体" w:hAnsi="宋体" w:cs="宋体" w:eastAsia="宋体" w:hint="default"/>
                <w:spacing w:val="-2"/>
                <w:sz w:val="18"/>
                <w:szCs w:val="18"/>
              </w:rPr>
              <w:t>审议通过了《关于投资成立榕基软件（马鞍山）信息技术有限公司的议案》，拟在安徽省马鞍山市设立一家全资子公司，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公司名称暂定为榕基软件（马鞍山）信息技术有限公司（以工商部门核准的名称为准），注册资本人民币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亿元，本公司 以自有资金和银行贷款分期出资，占注册资本的</w:t>
            </w:r>
            <w:r>
              <w:rPr>
                <w:rFonts w:ascii="宋体" w:hAnsi="宋体" w:cs="宋体" w:eastAsia="宋体" w:hint="default"/>
                <w:spacing w:val="-55"/>
                <w:sz w:val="18"/>
                <w:szCs w:val="18"/>
              </w:rPr>
              <w:t>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日，马鞍山榕基软件信息科技有限公司完成工商注</w:t>
            </w:r>
          </w:p>
        </w:tc>
      </w:tr>
    </w:tbl>
    <w:p>
      <w:pPr>
        <w:spacing w:after="0" w:line="307" w:lineRule="auto"/>
        <w:jc w:val="both"/>
        <w:rPr>
          <w:rFonts w:ascii="宋体" w:hAnsi="宋体" w:cs="宋体" w:eastAsia="宋体" w:hint="default"/>
          <w:sz w:val="18"/>
          <w:szCs w:val="18"/>
        </w:rPr>
        <w:sectPr>
          <w:pgSz w:w="11910" w:h="16840"/>
          <w:pgMar w:header="745" w:footer="982" w:top="1060" w:bottom="1180" w:left="680" w:right="680"/>
        </w:sectPr>
      </w:pPr>
    </w:p>
    <w:p>
      <w:pPr>
        <w:spacing w:line="240" w:lineRule="auto" w:before="11"/>
        <w:rPr>
          <w:rFonts w:ascii="宋体" w:hAnsi="宋体" w:cs="宋体" w:eastAsia="宋体" w:hint="default"/>
          <w:sz w:val="28"/>
          <w:szCs w:val="28"/>
        </w:rPr>
      </w:pPr>
    </w:p>
    <w:p>
      <w:pPr>
        <w:spacing w:line="986" w:lineRule="exact"/>
        <w:ind w:left="152" w:right="0" w:firstLine="0"/>
        <w:rPr>
          <w:rFonts w:ascii="宋体" w:hAnsi="宋体" w:cs="宋体" w:eastAsia="宋体" w:hint="default"/>
          <w:sz w:val="20"/>
          <w:szCs w:val="20"/>
        </w:rPr>
      </w:pPr>
      <w:r>
        <w:rPr>
          <w:rFonts w:ascii="宋体" w:hAnsi="宋体" w:cs="宋体" w:eastAsia="宋体" w:hint="default"/>
          <w:position w:val="-19"/>
          <w:sz w:val="20"/>
          <w:szCs w:val="20"/>
        </w:rPr>
        <w:pict>
          <v:shape style="width:478.35pt;height:49.35pt;mso-position-horizontal-relative:char;mso-position-vertical-relative:line" type="#_x0000_t202" filled="false" stroked="true" strokeweight=".48pt" strokecolor="#000000">
            <w10:anchorlock/>
            <v:textbox inset="0,0,0,0">
              <w:txbxContent>
                <w:p>
                  <w:pPr>
                    <w:pStyle w:val="BodyText"/>
                    <w:spacing w:line="316" w:lineRule="auto" w:before="8"/>
                    <w:ind w:left="23" w:right="19"/>
                    <w:jc w:val="both"/>
                  </w:pPr>
                  <w:r>
                    <w:rPr>
                      <w:spacing w:val="-4"/>
                    </w:rPr>
                    <w:t>册登记，并取得了《企业法人营业执照》（正、副本），注册资本伍仟万圆整。投资该项目是为了建设国内软件行业领先的</w:t>
                  </w:r>
                  <w:r>
                    <w:rPr>
                      <w:spacing w:val="-85"/>
                    </w:rPr>
                    <w:t> </w:t>
                  </w:r>
                  <w:r>
                    <w:rPr>
                      <w:spacing w:val="-85"/>
                    </w:rPr>
                  </w:r>
                  <w:r>
                    <w:rPr>
                      <w:spacing w:val="-1"/>
                    </w:rPr>
                    <w:t>软件研发基地，打造一流的研发团队，更好的开展自主知识软件产品及客户定制软件产品研发、华东地区服务实施，提升</w:t>
                  </w:r>
                  <w:r>
                    <w:rPr>
                      <w:spacing w:val="-69"/>
                    </w:rPr>
                    <w:t> </w:t>
                  </w:r>
                  <w:r>
                    <w:rPr>
                      <w:spacing w:val="-69"/>
                    </w:rPr>
                  </w:r>
                  <w:r>
                    <w:rPr/>
                    <w:t>公司的创新能力、研发力量及核心竞争力，为满足公司业务持续发展需要奠定良好的基础。</w:t>
                  </w:r>
                </w:p>
              </w:txbxContent>
            </v:textbox>
          </v:shape>
        </w:pict>
      </w:r>
      <w:r>
        <w:rPr>
          <w:rFonts w:ascii="宋体" w:hAnsi="宋体" w:cs="宋体" w:eastAsia="宋体" w:hint="default"/>
          <w:position w:val="-19"/>
          <w:sz w:val="20"/>
          <w:szCs w:val="20"/>
        </w:rPr>
      </w:r>
    </w:p>
    <w:p>
      <w:pPr>
        <w:spacing w:line="240" w:lineRule="auto" w:before="6"/>
        <w:rPr>
          <w:rFonts w:ascii="宋体" w:hAnsi="宋体" w:cs="宋体" w:eastAsia="宋体" w:hint="default"/>
          <w:sz w:val="18"/>
          <w:szCs w:val="18"/>
        </w:rPr>
      </w:pPr>
    </w:p>
    <w:p>
      <w:pPr>
        <w:pStyle w:val="Heading2"/>
        <w:spacing w:line="240" w:lineRule="auto" w:before="26"/>
        <w:ind w:right="147"/>
        <w:jc w:val="left"/>
        <w:rPr>
          <w:b w:val="0"/>
          <w:bCs w:val="0"/>
        </w:rPr>
      </w:pPr>
      <w:r>
        <w:rPr/>
        <w:t>七、公</w:t>
      </w:r>
      <w:bookmarkStart w:name="七、公司控制的特殊目的主体情况" w:id="49"/>
      <w:bookmarkEnd w:id="49"/>
      <w:r>
        <w:rPr/>
        <w:t>司控</w:t>
      </w:r>
      <w:r>
        <w:rPr/>
        <w:t>制的特殊目的主体情况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3"/>
        <w:rPr>
          <w:rFonts w:ascii="宋体" w:hAnsi="宋体" w:cs="宋体" w:eastAsia="宋体" w:hint="default"/>
          <w:sz w:val="25"/>
          <w:szCs w:val="25"/>
        </w:rPr>
      </w:pPr>
    </w:p>
    <w:p>
      <w:pPr>
        <w:pStyle w:val="Heading2"/>
        <w:spacing w:line="240" w:lineRule="auto"/>
        <w:ind w:right="147"/>
        <w:jc w:val="left"/>
        <w:rPr>
          <w:b w:val="0"/>
          <w:bCs w:val="0"/>
        </w:rPr>
      </w:pPr>
      <w:r>
        <w:rPr/>
        <w:t>八、公司未来发展</w:t>
      </w:r>
      <w:bookmarkStart w:name="八、公司未来发展的展望" w:id="50"/>
      <w:bookmarkEnd w:id="50"/>
      <w:r>
        <w:rPr/>
        <w:t>的展望</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62" w:right="147"/>
        <w:jc w:val="left"/>
      </w:pPr>
      <w:r>
        <w:rPr/>
        <w:t>（一）经营环境分析</w:t>
      </w:r>
    </w:p>
    <w:p>
      <w:pPr>
        <w:pStyle w:val="BodyText"/>
        <w:spacing w:line="240" w:lineRule="auto" w:before="117"/>
        <w:ind w:left="565" w:right="147"/>
        <w:jc w:val="left"/>
      </w:pPr>
      <w:r>
        <w:rPr>
          <w:rFonts w:ascii="Times New Roman" w:hAnsi="Times New Roman" w:cs="Times New Roman" w:eastAsia="Times New Roman" w:hint="default"/>
        </w:rPr>
        <w:t>1</w:t>
      </w:r>
      <w:r>
        <w:rPr/>
        <w:t>、宏观经济环境</w:t>
      </w:r>
    </w:p>
    <w:p>
      <w:pPr>
        <w:pStyle w:val="BodyText"/>
        <w:spacing w:line="304" w:lineRule="auto" w:before="101"/>
        <w:ind w:right="150" w:firstLine="419"/>
        <w:jc w:val="both"/>
      </w:pPr>
      <w:r>
        <w:rPr>
          <w:rFonts w:ascii="Times New Roman" w:hAnsi="Times New Roman" w:cs="Times New Roman" w:eastAsia="Times New Roman" w:hint="default"/>
        </w:rPr>
        <w:t>2012</w:t>
      </w:r>
      <w:r>
        <w:rPr/>
        <w:t>年，国际政治经济形势复杂多变，国内经济发展困难增多，我国电子信息产业发展速度有所放缓，但在党中央、 </w:t>
      </w:r>
      <w:r>
        <w:rPr>
          <w:spacing w:val="-2"/>
        </w:rPr>
        <w:t>国务院</w:t>
      </w:r>
      <w:r>
        <w:rPr>
          <w:rFonts w:ascii="Times New Roman" w:hAnsi="Times New Roman" w:cs="Times New Roman" w:eastAsia="Times New Roman" w:hint="default"/>
          <w:spacing w:val="-2"/>
        </w:rPr>
        <w:t>“</w:t>
      </w:r>
      <w:r>
        <w:rPr>
          <w:spacing w:val="-2"/>
        </w:rPr>
        <w:t>稳中求进</w:t>
      </w:r>
      <w:r>
        <w:rPr>
          <w:rFonts w:ascii="Times New Roman" w:hAnsi="Times New Roman" w:cs="Times New Roman" w:eastAsia="Times New Roman" w:hint="default"/>
          <w:spacing w:val="-2"/>
        </w:rPr>
        <w:t>”</w:t>
      </w:r>
      <w:r>
        <w:rPr>
          <w:spacing w:val="-2"/>
        </w:rPr>
        <w:t>的工作总基调指引下，在全行业各方共同努力下，产业发展呈现缓中趋稳态势，生产增速小幅攀升，效益</w:t>
      </w:r>
      <w:r>
        <w:rPr>
          <w:spacing w:val="-42"/>
        </w:rPr>
        <w:t> </w:t>
      </w:r>
      <w:r>
        <w:rPr>
          <w:spacing w:val="-42"/>
        </w:rPr>
      </w:r>
      <w:r>
        <w:rPr>
          <w:spacing w:val="-2"/>
        </w:rPr>
        <w:t>状况不断好转，产业结构调整步伐加快，继续为推动信息化发展和促进两化深度融合发挥积极作用，在国民经济中的重要性</w:t>
      </w:r>
      <w:r>
        <w:rPr>
          <w:spacing w:val="-63"/>
        </w:rPr>
        <w:t> </w:t>
      </w:r>
      <w:r>
        <w:rPr>
          <w:spacing w:val="-63"/>
        </w:rPr>
      </w:r>
      <w:r>
        <w:rPr>
          <w:spacing w:val="-1"/>
        </w:rPr>
        <w:t>进一步提高。</w:t>
      </w:r>
      <w:r>
        <w:rPr>
          <w:rFonts w:ascii="Times New Roman" w:hAnsi="Times New Roman" w:cs="Times New Roman" w:eastAsia="Times New Roman" w:hint="default"/>
          <w:spacing w:val="-1"/>
        </w:rPr>
        <w:t>2012</w:t>
      </w:r>
      <w:r>
        <w:rPr>
          <w:spacing w:val="-1"/>
        </w:rPr>
        <w:t>年，我国电子信息产业销售收入突破十万亿元大关，达到</w:t>
      </w:r>
      <w:r>
        <w:rPr>
          <w:rFonts w:ascii="Times New Roman" w:hAnsi="Times New Roman" w:cs="Times New Roman" w:eastAsia="Times New Roman" w:hint="default"/>
          <w:spacing w:val="-1"/>
        </w:rPr>
        <w:t>11.0</w:t>
      </w:r>
      <w:r>
        <w:rPr>
          <w:spacing w:val="-1"/>
        </w:rPr>
        <w:t>万亿元，增幅超过</w:t>
      </w:r>
      <w:r>
        <w:rPr>
          <w:rFonts w:ascii="Times New Roman" w:hAnsi="Times New Roman" w:cs="Times New Roman" w:eastAsia="Times New Roman" w:hint="default"/>
          <w:spacing w:val="-1"/>
        </w:rPr>
        <w:t>15%</w:t>
      </w:r>
      <w:r>
        <w:rPr>
          <w:spacing w:val="-1"/>
        </w:rPr>
        <w:t>；其中，规模以上制</w:t>
      </w:r>
      <w:r>
        <w:rPr>
          <w:spacing w:val="-45"/>
        </w:rPr>
        <w:t> </w:t>
      </w:r>
      <w:r>
        <w:rPr>
          <w:spacing w:val="-45"/>
        </w:rPr>
      </w:r>
      <w:r>
        <w:rPr/>
        <w:t>造业实现收入</w:t>
      </w:r>
      <w:r>
        <w:rPr>
          <w:rFonts w:ascii="Times New Roman" w:hAnsi="Times New Roman" w:cs="Times New Roman" w:eastAsia="Times New Roman" w:hint="default"/>
        </w:rPr>
        <w:t>84,619</w:t>
      </w:r>
      <w:r>
        <w:rPr/>
        <w:t>亿元，同比增长</w:t>
      </w:r>
      <w:r>
        <w:rPr>
          <w:rFonts w:ascii="Times New Roman" w:hAnsi="Times New Roman" w:cs="Times New Roman" w:eastAsia="Times New Roman" w:hint="default"/>
        </w:rPr>
        <w:t>13.0%</w:t>
      </w:r>
      <w:r>
        <w:rPr/>
        <w:t>；软件业实现收入</w:t>
      </w:r>
      <w:r>
        <w:rPr>
          <w:rFonts w:ascii="Times New Roman" w:hAnsi="Times New Roman" w:cs="Times New Roman" w:eastAsia="Times New Roman" w:hint="default"/>
        </w:rPr>
        <w:t>25,022</w:t>
      </w:r>
      <w:r>
        <w:rPr/>
        <w:t>亿元，比上年增长</w:t>
      </w:r>
      <w:r>
        <w:rPr>
          <w:rFonts w:ascii="Times New Roman" w:hAnsi="Times New Roman" w:cs="Times New Roman" w:eastAsia="Times New Roman" w:hint="default"/>
        </w:rPr>
        <w:t>28.5%</w:t>
      </w:r>
      <w:r>
        <w:rPr/>
        <w:t>。</w:t>
      </w:r>
    </w:p>
    <w:p>
      <w:pPr>
        <w:pStyle w:val="BodyText"/>
        <w:spacing w:line="240" w:lineRule="auto" w:before="50"/>
        <w:ind w:left="606" w:right="147"/>
        <w:jc w:val="left"/>
      </w:pPr>
      <w:r>
        <w:rPr>
          <w:rFonts w:ascii="Times New Roman" w:hAnsi="Times New Roman" w:cs="Times New Roman" w:eastAsia="Times New Roman" w:hint="default"/>
        </w:rPr>
        <w:t>2</w:t>
      </w:r>
      <w:r>
        <w:rPr/>
        <w:t>、发展机遇</w:t>
      </w:r>
    </w:p>
    <w:p>
      <w:pPr>
        <w:pStyle w:val="BodyText"/>
        <w:spacing w:line="338" w:lineRule="auto" w:before="103"/>
        <w:ind w:left="572" w:right="147" w:hanging="111"/>
        <w:jc w:val="left"/>
      </w:pPr>
      <w:r>
        <w:rPr/>
        <w:t>（</w:t>
      </w:r>
      <w:r>
        <w:rPr>
          <w:rFonts w:ascii="Times New Roman" w:hAnsi="Times New Roman" w:cs="Times New Roman" w:eastAsia="Times New Roman" w:hint="default"/>
        </w:rPr>
        <w:t>1</w:t>
      </w:r>
      <w:r>
        <w:rPr/>
        <w:t>）《国家电子政务</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规划》的发布具有重要意义 大力推进国家电子政务发展是国家</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的重要任务，是落实科学发展观、深化改革开放、加快转变经济发展方式</w:t>
      </w:r>
    </w:p>
    <w:p>
      <w:pPr>
        <w:pStyle w:val="BodyText"/>
        <w:spacing w:line="217" w:lineRule="exact"/>
        <w:ind w:right="0"/>
        <w:jc w:val="left"/>
      </w:pPr>
      <w:r>
        <w:rPr/>
        <w:t>的必然要求，是党委、人大、政府、政协、法院、检察院系统各级政务部门政务工作的组成部分，是政务部门提升履行职责</w:t>
      </w:r>
    </w:p>
    <w:p>
      <w:pPr>
        <w:pStyle w:val="BodyText"/>
        <w:spacing w:line="240" w:lineRule="auto" w:before="76"/>
        <w:ind w:right="147"/>
        <w:jc w:val="left"/>
      </w:pPr>
      <w:r>
        <w:rPr/>
        <w:t>能力和水平的重要途径，也是深化行政管理体制改革和建设人民满意的服务型政府的战略举措。</w:t>
      </w:r>
    </w:p>
    <w:p>
      <w:pPr>
        <w:pStyle w:val="BodyText"/>
        <w:spacing w:line="314" w:lineRule="auto" w:before="117"/>
        <w:ind w:right="150" w:firstLine="419"/>
        <w:jc w:val="both"/>
      </w:pP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时期，我国将加快转变政府职能，加大行政审批制度改革力度，进一步加强行政管理创新和服务型政府建设 </w:t>
      </w:r>
      <w:r>
        <w:rPr>
          <w:spacing w:val="-2"/>
        </w:rPr>
        <w:t>要求更高，这些都对电子政务发展提出了更新更高要求。电子政务依托的信息技术手段发生重大变革，超高速宽带网络、新</w:t>
      </w:r>
      <w:r>
        <w:rPr>
          <w:spacing w:val="-64"/>
        </w:rPr>
        <w:t> </w:t>
      </w:r>
      <w:r>
        <w:rPr>
          <w:spacing w:val="-64"/>
        </w:rPr>
      </w:r>
      <w:r>
        <w:rPr>
          <w:spacing w:val="-2"/>
        </w:rPr>
        <w:t>一代移动通信技术、云计算、物联网等新技术、新产业、新应用不断涌现，深刻改变了电子政务发展技术环境及条件。经济</w:t>
      </w:r>
      <w:r>
        <w:rPr>
          <w:spacing w:val="-68"/>
        </w:rPr>
        <w:t> </w:t>
      </w:r>
      <w:r>
        <w:rPr>
          <w:spacing w:val="-68"/>
        </w:rPr>
      </w:r>
      <w:r>
        <w:rPr>
          <w:spacing w:val="-2"/>
        </w:rPr>
        <w:t>社会发展需求和技术创新为国家电子政务发展提供了难得的历史机遇，必须扎实落实科学发展观，努力转变电子政务发展方</w:t>
      </w:r>
      <w:r>
        <w:rPr>
          <w:spacing w:val="-64"/>
        </w:rPr>
        <w:t> </w:t>
      </w:r>
      <w:r>
        <w:rPr>
          <w:spacing w:val="-64"/>
        </w:rPr>
      </w:r>
      <w:r>
        <w:rPr/>
        <w:t>式，大力推进国家电子政务健康持续发展。</w:t>
      </w:r>
    </w:p>
    <w:p>
      <w:pPr>
        <w:pStyle w:val="BodyText"/>
        <w:spacing w:line="240" w:lineRule="auto" w:before="61"/>
        <w:ind w:left="462" w:right="147"/>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SG-ERP</w:t>
      </w:r>
      <w:r>
        <w:rPr/>
        <w:t>信息系统工程全面深化推进</w:t>
      </w:r>
    </w:p>
    <w:p>
      <w:pPr>
        <w:pStyle w:val="BodyText"/>
        <w:spacing w:line="307" w:lineRule="auto" w:before="101"/>
        <w:ind w:right="150" w:firstLine="419"/>
        <w:jc w:val="both"/>
      </w:pPr>
      <w:r>
        <w:rPr>
          <w:spacing w:val="-2"/>
        </w:rPr>
        <w:t>国家电网在</w:t>
      </w:r>
      <w:r>
        <w:rPr>
          <w:rFonts w:ascii="Times New Roman" w:hAnsi="Times New Roman" w:cs="Times New Roman" w:eastAsia="Times New Roman" w:hint="default"/>
          <w:spacing w:val="-2"/>
        </w:rPr>
        <w:t>SG-186</w:t>
      </w:r>
      <w:r>
        <w:rPr>
          <w:spacing w:val="-2"/>
        </w:rPr>
        <w:t>的基础上，推出了</w:t>
      </w:r>
      <w:r>
        <w:rPr>
          <w:rFonts w:ascii="Times New Roman" w:hAnsi="Times New Roman" w:cs="Times New Roman" w:eastAsia="Times New Roman" w:hint="default"/>
          <w:spacing w:val="-2"/>
        </w:rPr>
        <w:t>SG-ERP</w:t>
      </w:r>
      <w:r>
        <w:rPr>
          <w:spacing w:val="-2"/>
        </w:rPr>
        <w:t>工程，旨在建立覆盖面更广，集成度更深，智能化更高，安全性更强，可</w:t>
      </w:r>
      <w:r>
        <w:rPr>
          <w:w w:val="99"/>
        </w:rPr>
        <w:t> </w:t>
      </w:r>
      <w:r>
        <w:rPr/>
        <w:t>视化更优的新型</w:t>
      </w:r>
      <w:r>
        <w:rPr>
          <w:rFonts w:ascii="Times New Roman" w:hAnsi="Times New Roman" w:cs="Times New Roman" w:eastAsia="Times New Roman" w:hint="default"/>
        </w:rPr>
        <w:t>IT</w:t>
      </w:r>
      <w:r>
        <w:rPr/>
        <w:t>架构。</w:t>
      </w:r>
      <w:r>
        <w:rPr>
          <w:rFonts w:ascii="Times New Roman" w:hAnsi="Times New Roman" w:cs="Times New Roman" w:eastAsia="Times New Roman" w:hint="default"/>
        </w:rPr>
        <w:t>SG-ERP</w:t>
      </w:r>
      <w:r>
        <w:rPr/>
        <w:t>工程经历了两年的发展，后续其电网信息系统将在平台集中、业务融合、决策智能、安全</w:t>
      </w:r>
      <w:r>
        <w:rPr>
          <w:spacing w:val="-68"/>
        </w:rPr>
        <w:t> </w:t>
      </w:r>
      <w:r>
        <w:rPr>
          <w:spacing w:val="-68"/>
        </w:rPr>
      </w:r>
      <w:r>
        <w:rPr/>
        <w:t>适用等方面，进一步由</w:t>
      </w:r>
      <w:r>
        <w:rPr>
          <w:rFonts w:ascii="Times New Roman" w:hAnsi="Times New Roman" w:cs="Times New Roman" w:eastAsia="Times New Roman" w:hint="default"/>
        </w:rPr>
        <w:t>SG-186</w:t>
      </w:r>
      <w:r>
        <w:rPr/>
        <w:t>向</w:t>
      </w:r>
      <w:r>
        <w:rPr>
          <w:rFonts w:ascii="Times New Roman" w:hAnsi="Times New Roman" w:cs="Times New Roman" w:eastAsia="Times New Roman" w:hint="default"/>
        </w:rPr>
        <w:t>SG-ERP</w:t>
      </w:r>
      <w:r>
        <w:rPr/>
        <w:t>过渡。在业务融合方面，国家电网将进一步提升和完善业务应用，全面支撑智能电</w:t>
      </w:r>
      <w:r>
        <w:rPr>
          <w:w w:val="99"/>
        </w:rPr>
        <w:t> </w:t>
      </w:r>
      <w:r>
        <w:rPr>
          <w:spacing w:val="-2"/>
        </w:rPr>
        <w:t>网各环节的需求，同时在资产全寿命、能量全过程、客户全方位和核心资源方面进行横向打通，真正实现业务融合和数据共</w:t>
      </w:r>
      <w:r>
        <w:rPr>
          <w:spacing w:val="-65"/>
        </w:rPr>
        <w:t> </w:t>
      </w:r>
      <w:r>
        <w:rPr>
          <w:spacing w:val="-65"/>
        </w:rPr>
      </w:r>
      <w:r>
        <w:rPr>
          <w:spacing w:val="-2"/>
        </w:rPr>
        <w:t>享。在决策智能方面，构建智能完善的决策体系，一是在经营管理上构建各专业领域的智能辅助决策分析体系，二是在公司</w:t>
      </w:r>
      <w:r>
        <w:rPr>
          <w:spacing w:val="-65"/>
        </w:rPr>
        <w:t> </w:t>
      </w:r>
      <w:r>
        <w:rPr>
          <w:spacing w:val="-65"/>
        </w:rPr>
      </w:r>
      <w:r>
        <w:rPr/>
        <w:t>层面建立战略决策分析。目前智能电网有关信息化的各项工作都在稳步推进中。包括为用户提供业务办理的</w:t>
      </w:r>
      <w:r>
        <w:rPr>
          <w:rFonts w:ascii="Times New Roman" w:hAnsi="Times New Roman" w:cs="Times New Roman" w:eastAsia="Times New Roman" w:hint="default"/>
        </w:rPr>
        <w:t>95598</w:t>
      </w:r>
      <w:r>
        <w:rPr/>
        <w:t>互动服务</w:t>
      </w:r>
      <w:r>
        <w:rPr>
          <w:spacing w:val="-86"/>
        </w:rPr>
        <w:t> </w:t>
      </w:r>
      <w:r>
        <w:rPr>
          <w:spacing w:val="-86"/>
        </w:rPr>
      </w:r>
      <w:r>
        <w:rPr/>
        <w:t>网站、电网空间信息服务平台</w:t>
      </w:r>
      <w:r>
        <w:rPr>
          <w:rFonts w:ascii="Times New Roman" w:hAnsi="Times New Roman" w:cs="Times New Roman" w:eastAsia="Times New Roman" w:hint="default"/>
        </w:rPr>
        <w:t>GRS</w:t>
      </w:r>
      <w:r>
        <w:rPr/>
        <w:t>等都处在推进建设阶段。</w:t>
      </w:r>
    </w:p>
    <w:p>
      <w:pPr>
        <w:pStyle w:val="BodyText"/>
        <w:spacing w:line="340" w:lineRule="auto" w:before="48"/>
        <w:ind w:left="573" w:right="139" w:hanging="111"/>
        <w:jc w:val="left"/>
      </w:pPr>
      <w:r>
        <w:rPr/>
        <w:t>（</w:t>
      </w:r>
      <w:r>
        <w:rPr>
          <w:rFonts w:ascii="Times New Roman" w:hAnsi="Times New Roman" w:cs="Times New Roman" w:eastAsia="Times New Roman" w:hint="default"/>
        </w:rPr>
        <w:t>3</w:t>
      </w:r>
      <w:r>
        <w:rPr/>
        <w:t>）金质工程二期建设全面开始 </w:t>
      </w:r>
      <w:r>
        <w:rPr>
          <w:spacing w:val="-4"/>
        </w:rPr>
        <w:t>质检三电工程是我国</w:t>
      </w:r>
      <w:r>
        <w:rPr>
          <w:rFonts w:ascii="Times New Roman" w:hAnsi="Times New Roman" w:cs="Times New Roman" w:eastAsia="Times New Roman" w:hint="default"/>
          <w:spacing w:val="-4"/>
        </w:rPr>
        <w:t>“</w:t>
      </w:r>
      <w:r>
        <w:rPr>
          <w:spacing w:val="-4"/>
        </w:rPr>
        <w:t>金质工程</w:t>
      </w:r>
      <w:r>
        <w:rPr>
          <w:rFonts w:ascii="Times New Roman" w:hAnsi="Times New Roman" w:cs="Times New Roman" w:eastAsia="Times New Roman" w:hint="default"/>
          <w:spacing w:val="-4"/>
        </w:rPr>
        <w:t>”</w:t>
      </w:r>
      <w:r>
        <w:rPr>
          <w:spacing w:val="-4"/>
        </w:rPr>
        <w:t>的重要内容，是国家质检总局及各地分局为进出口企业提供快捷、高效、优质的</w:t>
      </w:r>
      <w:r>
        <w:rPr>
          <w:rFonts w:ascii="Times New Roman" w:hAnsi="Times New Roman" w:cs="Times New Roman" w:eastAsia="Times New Roman" w:hint="default"/>
          <w:spacing w:val="-4"/>
        </w:rPr>
        <w:t>B2G </w:t>
      </w:r>
      <w:r>
        <w:rPr>
          <w:rFonts w:ascii="Times New Roman" w:hAnsi="Times New Roman" w:cs="Times New Roman" w:eastAsia="Times New Roman" w:hint="default"/>
          <w:spacing w:val="20"/>
        </w:rPr>
        <w:t> </w:t>
      </w:r>
      <w:r>
        <w:rPr/>
        <w:t>电</w:t>
      </w:r>
    </w:p>
    <w:p>
      <w:pPr>
        <w:pStyle w:val="BodyText"/>
        <w:spacing w:line="228" w:lineRule="exact"/>
        <w:ind w:left="153" w:right="0"/>
        <w:jc w:val="left"/>
      </w:pPr>
      <w:r>
        <w:rPr/>
        <w:t>子政务服务的一项重要措施。</w:t>
      </w:r>
      <w:r>
        <w:rPr>
          <w:rFonts w:ascii="Times New Roman" w:hAnsi="Times New Roman" w:cs="Times New Roman" w:eastAsia="Times New Roman" w:hint="default"/>
        </w:rPr>
        <w:t>“</w:t>
      </w:r>
      <w:r>
        <w:rPr/>
        <w:t>金质工程</w:t>
      </w:r>
      <w:r>
        <w:rPr>
          <w:rFonts w:ascii="Times New Roman" w:hAnsi="Times New Roman" w:cs="Times New Roman" w:eastAsia="Times New Roman" w:hint="default"/>
        </w:rPr>
        <w:t>”</w:t>
      </w:r>
      <w:r>
        <w:rPr/>
        <w:t>能促进各级质检机关向管理服务型转变，提高质量监督检验检疫执法的透明度，形</w:t>
      </w:r>
    </w:p>
    <w:p>
      <w:pPr>
        <w:pStyle w:val="BodyText"/>
        <w:spacing w:line="316" w:lineRule="auto" w:before="62"/>
        <w:ind w:left="153" w:right="147"/>
        <w:jc w:val="left"/>
      </w:pPr>
      <w:r>
        <w:rPr>
          <w:spacing w:val="-2"/>
        </w:rPr>
        <w:t>成全国统一的质检大网络，能促进质检系统执法电子化、信息化，为生产企业和外经贸企业带来更大的方便与效益，加大打</w:t>
      </w:r>
      <w:r>
        <w:rPr>
          <w:spacing w:val="-65"/>
        </w:rPr>
        <w:t> </w:t>
      </w:r>
      <w:r>
        <w:rPr>
          <w:spacing w:val="-65"/>
        </w:rPr>
      </w:r>
      <w:r>
        <w:rPr/>
        <w:t>击假冒伪劣的力度，更有效地规范市场经济秩序，促进社会主义市场经济的发展。</w:t>
      </w:r>
    </w:p>
    <w:p>
      <w:pPr>
        <w:pStyle w:val="BodyText"/>
        <w:spacing w:line="309" w:lineRule="auto" w:before="57"/>
        <w:ind w:left="153" w:right="154" w:firstLine="419"/>
        <w:jc w:val="both"/>
      </w:pPr>
      <w:r>
        <w:rPr>
          <w:rFonts w:ascii="Times New Roman" w:hAnsi="Times New Roman" w:cs="Times New Roman" w:eastAsia="Times New Roman" w:hint="default"/>
        </w:rPr>
        <w:t>“</w:t>
      </w:r>
      <w:r>
        <w:rPr/>
        <w:t>金质工程</w:t>
      </w:r>
      <w:r>
        <w:rPr>
          <w:rFonts w:ascii="Times New Roman" w:hAnsi="Times New Roman" w:cs="Times New Roman" w:eastAsia="Times New Roman" w:hint="default"/>
        </w:rPr>
        <w:t>”</w:t>
      </w:r>
      <w:r>
        <w:rPr/>
        <w:t>二期建设将在一期工程建设的基础上，重点深化的研究方向有：食品安全和质量诚信体系等方面应用系统 </w:t>
      </w:r>
      <w:r>
        <w:rPr>
          <w:spacing w:val="-2"/>
        </w:rPr>
        <w:t>的开发，信息网络的全覆盖，运用物联网、云计算、虚拟技术等信息技术，依托物品编码和组织机构代码等国家基础信息资</w:t>
      </w:r>
      <w:r>
        <w:rPr>
          <w:spacing w:val="-67"/>
        </w:rPr>
        <w:t> </w:t>
      </w:r>
      <w:r>
        <w:rPr>
          <w:spacing w:val="-67"/>
        </w:rPr>
      </w:r>
      <w:r>
        <w:rPr>
          <w:spacing w:val="-2"/>
        </w:rPr>
        <w:t>源，加强产品质量和质量安全信息的采集、追踪、分析和处理，提高质量控制和质量管理的信息化水平，提升质量安全动态</w:t>
      </w:r>
    </w:p>
    <w:p>
      <w:pPr>
        <w:spacing w:after="0" w:line="309"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60" w:lineRule="auto" w:before="44"/>
        <w:ind w:left="572" w:right="178" w:hanging="420"/>
        <w:jc w:val="left"/>
      </w:pPr>
      <w:r>
        <w:rPr/>
        <w:t>监管、质量风险预警、突发事件应对、质量信用管理的效能等方面。 </w:t>
      </w:r>
      <w:r>
        <w:rPr>
          <w:spacing w:val="-1"/>
        </w:rPr>
        <w:t>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6</w:t>
      </w:r>
      <w:r>
        <w:rPr>
          <w:spacing w:val="-1"/>
        </w:rPr>
        <w:t>月成为国家质量监督检验检疫总局的中国电子检验检疫主干系统项目的唯一中标方。中国电子检验检疫</w:t>
      </w:r>
    </w:p>
    <w:p>
      <w:pPr>
        <w:pStyle w:val="BodyText"/>
        <w:spacing w:line="212" w:lineRule="exact"/>
        <w:ind w:right="0"/>
        <w:jc w:val="left"/>
      </w:pPr>
      <w:r>
        <w:rPr/>
        <w:t>主干系统是</w:t>
      </w:r>
      <w:r>
        <w:rPr>
          <w:rFonts w:ascii="Times New Roman" w:hAnsi="Times New Roman" w:cs="Times New Roman" w:eastAsia="Times New Roman" w:hint="default"/>
        </w:rPr>
        <w:t>“</w:t>
      </w:r>
      <w:r>
        <w:rPr/>
        <w:t>金质工程</w:t>
      </w:r>
      <w:r>
        <w:rPr>
          <w:rFonts w:ascii="Times New Roman" w:hAnsi="Times New Roman" w:cs="Times New Roman" w:eastAsia="Times New Roman" w:hint="default"/>
        </w:rPr>
        <w:t>”</w:t>
      </w:r>
      <w:r>
        <w:rPr/>
        <w:t>的核心业务系统，该项目将建设全流程、全业务、全覆盖的中国电子检验检疫业务系统，实现数据和</w:t>
      </w:r>
    </w:p>
    <w:p>
      <w:pPr>
        <w:pStyle w:val="BodyText"/>
        <w:spacing w:line="240" w:lineRule="auto" w:before="62"/>
        <w:ind w:right="0"/>
        <w:jc w:val="left"/>
      </w:pPr>
      <w:r>
        <w:rPr/>
        <w:t>应用全国质检系统大集中管理。</w:t>
      </w:r>
    </w:p>
    <w:p>
      <w:pPr>
        <w:pStyle w:val="BodyText"/>
        <w:spacing w:line="360" w:lineRule="auto" w:before="115"/>
        <w:ind w:left="572" w:right="0" w:hanging="111"/>
        <w:jc w:val="left"/>
      </w:pPr>
      <w:r>
        <w:rPr/>
        <w:t>（二）</w:t>
      </w:r>
      <w:r>
        <w:rPr>
          <w:spacing w:val="-18"/>
        </w:rPr>
        <w:t> </w:t>
      </w:r>
      <w:r>
        <w:rPr/>
        <w:t>发展战略</w:t>
      </w:r>
      <w:r>
        <w:rPr/>
        <w:t> 公司将继续推动</w:t>
      </w:r>
      <w:r>
        <w:rPr>
          <w:rFonts w:ascii="Times New Roman" w:hAnsi="Times New Roman" w:cs="Times New Roman" w:eastAsia="Times New Roman" w:hint="default"/>
        </w:rPr>
        <w:t>“</w:t>
      </w:r>
      <w:r>
        <w:rPr/>
        <w:t>行业化、产品化、服务化</w:t>
      </w:r>
      <w:r>
        <w:rPr>
          <w:rFonts w:ascii="Times New Roman" w:hAnsi="Times New Roman" w:cs="Times New Roman" w:eastAsia="Times New Roman" w:hint="default"/>
        </w:rPr>
        <w:t>”</w:t>
      </w:r>
      <w:r>
        <w:rPr/>
        <w:t>发展战略，提升电子政务、信息安全、质检三电工程和协同管理四个领域</w:t>
      </w:r>
    </w:p>
    <w:p>
      <w:pPr>
        <w:pStyle w:val="BodyText"/>
        <w:spacing w:line="199" w:lineRule="exact"/>
        <w:ind w:right="0"/>
        <w:jc w:val="left"/>
      </w:pPr>
      <w:r>
        <w:rPr/>
        <w:t>软件产品和服务的产业化速度，坚持技术创新，带动软件平台化和服务化商业模式创新，培育新的利润增长点，推动公司持</w:t>
      </w:r>
    </w:p>
    <w:p>
      <w:pPr>
        <w:pStyle w:val="BodyText"/>
        <w:spacing w:line="240" w:lineRule="auto" w:before="76"/>
        <w:ind w:right="0"/>
        <w:jc w:val="left"/>
      </w:pPr>
      <w:r>
        <w:rPr/>
        <w:t>续成长，实现规模化、跨越式发展。</w:t>
      </w:r>
    </w:p>
    <w:p>
      <w:pPr>
        <w:pStyle w:val="BodyText"/>
        <w:spacing w:line="338" w:lineRule="auto" w:before="117"/>
        <w:ind w:left="572" w:right="0" w:hanging="8"/>
        <w:jc w:val="left"/>
      </w:pPr>
      <w:r>
        <w:rPr>
          <w:rFonts w:ascii="Times New Roman" w:hAnsi="Times New Roman" w:cs="Times New Roman" w:eastAsia="Times New Roman" w:hint="default"/>
        </w:rPr>
        <w:t>1</w:t>
      </w:r>
      <w:r>
        <w:rPr/>
        <w:t>、由软件产品提供商向行业软件平台运营商转型 公司将研发新一代电子政务应用平台、协同管理软件平台、信息安全等行业应用软件支撑平台，在直接为客户提供产</w:t>
      </w:r>
    </w:p>
    <w:p>
      <w:pPr>
        <w:pStyle w:val="BodyText"/>
        <w:spacing w:line="316" w:lineRule="auto" w:before="2"/>
        <w:ind w:right="0"/>
        <w:jc w:val="left"/>
      </w:pPr>
      <w:r>
        <w:rPr>
          <w:spacing w:val="-2"/>
        </w:rPr>
        <w:t>品的同时，可以依托已有的综合优势，向其他软件开发商提供统一的组件平台和实现方法，逐步推进公司向行业软件平台运</w:t>
      </w:r>
      <w:r>
        <w:rPr>
          <w:spacing w:val="-63"/>
        </w:rPr>
        <w:t> </w:t>
      </w:r>
      <w:r>
        <w:rPr>
          <w:spacing w:val="-63"/>
        </w:rPr>
      </w:r>
      <w:r>
        <w:rPr/>
        <w:t>营商转型。</w:t>
      </w:r>
    </w:p>
    <w:p>
      <w:pPr>
        <w:pStyle w:val="BodyText"/>
        <w:spacing w:line="348" w:lineRule="auto" w:before="59"/>
        <w:ind w:left="572" w:right="0" w:hanging="10"/>
        <w:jc w:val="left"/>
      </w:pPr>
      <w:r>
        <w:rPr>
          <w:rFonts w:ascii="Times New Roman" w:hAnsi="Times New Roman" w:cs="Times New Roman" w:eastAsia="Times New Roman" w:hint="default"/>
        </w:rPr>
        <w:t>2</w:t>
      </w:r>
      <w:r>
        <w:rPr/>
        <w:t>、由软件产品销售模式向软件服务模式的转变 公司积极发展软件服务化业务，采用云计算技术，通过互联网建立软件服务云平台，实现软件租用服务模式。 公司利用募集资金建立协同管理软件服务云平台，发展通过互联网提供协同管理软件在线租赁服务的</w:t>
      </w:r>
      <w:r>
        <w:rPr>
          <w:rFonts w:ascii="Times New Roman" w:hAnsi="Times New Roman" w:cs="Times New Roman" w:eastAsia="Times New Roman" w:hint="default"/>
        </w:rPr>
        <w:t>SaaS</w:t>
      </w:r>
      <w:r>
        <w:rPr/>
        <w:t>商业模式，</w:t>
      </w:r>
    </w:p>
    <w:p>
      <w:pPr>
        <w:pStyle w:val="BodyText"/>
        <w:spacing w:line="209" w:lineRule="exact"/>
        <w:ind w:right="0"/>
        <w:jc w:val="left"/>
      </w:pPr>
      <w:r>
        <w:rPr/>
        <w:t>拓展中小企业协同管理市场客户。</w:t>
      </w:r>
    </w:p>
    <w:p>
      <w:pPr>
        <w:pStyle w:val="BodyText"/>
        <w:spacing w:line="316" w:lineRule="auto" w:before="117"/>
        <w:ind w:right="102" w:firstLine="419"/>
        <w:jc w:val="both"/>
      </w:pPr>
      <w:r>
        <w:rPr>
          <w:spacing w:val="-1"/>
        </w:rPr>
        <w:t>公司为质检三电工程客户建立了软件服务平台，将电子申报、电子监管、电子易查等各种软件以服务商品和套餐方式，</w:t>
      </w:r>
      <w:r>
        <w:rPr/>
        <w:t> 用户通过互联网按需选择订购，实现实时开通、电子支付。</w:t>
      </w:r>
    </w:p>
    <w:p>
      <w:pPr>
        <w:pStyle w:val="BodyText"/>
        <w:spacing w:line="300" w:lineRule="auto" w:before="59"/>
        <w:ind w:right="196" w:firstLine="420"/>
        <w:jc w:val="both"/>
      </w:pPr>
      <w:r>
        <w:rPr/>
        <w:t>公司研发的无线信息服务平台，积极与移动通信运营商合作，采用</w:t>
      </w:r>
      <w:r>
        <w:rPr>
          <w:rFonts w:ascii="Times New Roman" w:hAnsi="Times New Roman" w:cs="Times New Roman" w:eastAsia="Times New Roman" w:hint="default"/>
        </w:rPr>
        <w:t>PaaS</w:t>
      </w:r>
      <w:r>
        <w:rPr/>
        <w:t>方式和</w:t>
      </w:r>
      <w:r>
        <w:rPr>
          <w:rFonts w:ascii="Times New Roman" w:hAnsi="Times New Roman" w:cs="Times New Roman" w:eastAsia="Times New Roman" w:hint="default"/>
        </w:rPr>
        <w:t>SaaS</w:t>
      </w:r>
      <w:r>
        <w:rPr/>
        <w:t>进行推广，通过软件租用和运营商 电信增值业务分成等方式进行模式创新。</w:t>
      </w:r>
    </w:p>
    <w:p>
      <w:pPr>
        <w:pStyle w:val="BodyText"/>
        <w:spacing w:line="360" w:lineRule="auto" w:before="70"/>
        <w:ind w:left="625" w:right="0" w:hanging="60"/>
        <w:jc w:val="left"/>
      </w:pPr>
      <w:r>
        <w:rPr/>
        <w:t>（三）经营战略 </w:t>
      </w:r>
      <w:r>
        <w:rPr>
          <w:spacing w:val="-1"/>
        </w:rPr>
        <w:t>我国政府高度重视软件产业的发展，将软件业列为战略性产业，陆续颁布了一系列法律法规及政策文件，为促进软件</w:t>
      </w:r>
    </w:p>
    <w:p>
      <w:pPr>
        <w:pStyle w:val="BodyText"/>
        <w:spacing w:line="222" w:lineRule="exact"/>
        <w:ind w:right="0"/>
        <w:jc w:val="left"/>
      </w:pPr>
      <w:r>
        <w:rPr/>
        <w:t>产业的持续成长提供了良好的产业政策保障。</w:t>
      </w:r>
    </w:p>
    <w:p>
      <w:pPr>
        <w:pStyle w:val="BodyText"/>
        <w:spacing w:line="309" w:lineRule="auto" w:before="117"/>
        <w:ind w:right="191" w:firstLine="472"/>
        <w:jc w:val="both"/>
      </w:pPr>
      <w:r>
        <w:rPr>
          <w:spacing w:val="-1"/>
        </w:rPr>
        <w:t>公司是国内电子政务和协同管理细分领域的领先厂商，质检三电工程市场占有率第二；在政府、军事机关、质检、司</w:t>
      </w:r>
      <w:r>
        <w:rPr/>
        <w:t> 法、环保和能源等所处领域拥有</w:t>
      </w:r>
      <w:r>
        <w:rPr>
          <w:rFonts w:ascii="Times New Roman" w:hAnsi="Times New Roman" w:cs="Times New Roman" w:eastAsia="Times New Roman" w:hint="default"/>
        </w:rPr>
        <w:t>10</w:t>
      </w:r>
      <w:r>
        <w:rPr/>
        <w:t>多年的行业经验，拥有深厚的行业积累，拥有</w:t>
      </w:r>
      <w:r>
        <w:rPr>
          <w:rFonts w:ascii="Times New Roman" w:hAnsi="Times New Roman" w:cs="Times New Roman" w:eastAsia="Times New Roman" w:hint="default"/>
        </w:rPr>
        <w:t>4</w:t>
      </w:r>
      <w:r>
        <w:rPr/>
        <w:t>万多家客户；拥有一系列高等级的企业资</w:t>
      </w:r>
      <w:r>
        <w:rPr>
          <w:spacing w:val="-84"/>
        </w:rPr>
        <w:t> </w:t>
      </w:r>
      <w:r>
        <w:rPr>
          <w:spacing w:val="-84"/>
        </w:rPr>
      </w:r>
      <w:r>
        <w:rPr/>
        <w:t>质，领先的自主知识产权产品和技术；在全国设立了</w:t>
      </w:r>
      <w:r>
        <w:rPr>
          <w:rFonts w:ascii="Times New Roman" w:hAnsi="Times New Roman" w:cs="Times New Roman" w:eastAsia="Times New Roman" w:hint="default"/>
        </w:rPr>
        <w:t>10</w:t>
      </w:r>
      <w:r>
        <w:rPr/>
        <w:t>多家分子公司和</w:t>
      </w:r>
      <w:r>
        <w:rPr>
          <w:rFonts w:ascii="Times New Roman" w:hAnsi="Times New Roman" w:cs="Times New Roman" w:eastAsia="Times New Roman" w:hint="default"/>
        </w:rPr>
        <w:t>110</w:t>
      </w:r>
      <w:r>
        <w:rPr/>
        <w:t>多家运维服务网点，建立了遍布全国的营销服务</w:t>
      </w:r>
      <w:r>
        <w:rPr>
          <w:spacing w:val="-85"/>
        </w:rPr>
        <w:t> </w:t>
      </w:r>
      <w:r>
        <w:rPr>
          <w:spacing w:val="-85"/>
        </w:rPr>
      </w:r>
      <w:r>
        <w:rPr>
          <w:spacing w:val="-2"/>
        </w:rPr>
        <w:t>网络。公司通过依托上述在行业细分领域的市场地位、品牌知名度、客户基础、产品和技术、营销服务网络等方面的综合优</w:t>
      </w:r>
      <w:r>
        <w:rPr>
          <w:spacing w:val="-67"/>
        </w:rPr>
        <w:t> </w:t>
      </w:r>
      <w:r>
        <w:rPr>
          <w:spacing w:val="-67"/>
        </w:rPr>
      </w:r>
      <w:r>
        <w:rPr/>
        <w:t>势，为公司的持续成长奠定了坚实的基础。</w:t>
      </w:r>
    </w:p>
    <w:p>
      <w:pPr>
        <w:pStyle w:val="BodyText"/>
        <w:spacing w:line="309" w:lineRule="auto" w:before="62"/>
        <w:ind w:right="94" w:firstLine="472"/>
        <w:jc w:val="left"/>
      </w:pPr>
      <w:r>
        <w:rPr/>
        <w:t>公司将利用上市发展契机，进一步贯彻</w:t>
      </w:r>
      <w:r>
        <w:rPr>
          <w:rFonts w:ascii="Times New Roman" w:hAnsi="Times New Roman" w:cs="Times New Roman" w:eastAsia="Times New Roman" w:hint="default"/>
        </w:rPr>
        <w:t>“</w:t>
      </w:r>
      <w:r>
        <w:rPr/>
        <w:t>行业化、产品化、服务化</w:t>
      </w:r>
      <w:r>
        <w:rPr>
          <w:rFonts w:ascii="Times New Roman" w:hAnsi="Times New Roman" w:cs="Times New Roman" w:eastAsia="Times New Roman" w:hint="default"/>
        </w:rPr>
        <w:t>”</w:t>
      </w:r>
      <w:r>
        <w:rPr/>
        <w:t>的经营战略创新，继续坚持以市场为导向、以企业 技术中心为核心的自主创新体系，健全创新机制，加强人才队伍培养和引进，提升四大领域软件产品的研发和产业化速度， </w:t>
      </w:r>
      <w:r>
        <w:rPr>
          <w:spacing w:val="-4"/>
        </w:rPr>
        <w:t>推动商业模式创新，推动逐步发展新的利润增长点，积极利用收购兼并手段开展资源整合和产业链整合，推动公司持续发展。</w:t>
      </w:r>
    </w:p>
    <w:p>
      <w:pPr>
        <w:pStyle w:val="BodyText"/>
        <w:spacing w:line="316" w:lineRule="auto" w:before="65"/>
        <w:ind w:right="193" w:firstLine="472"/>
        <w:jc w:val="both"/>
      </w:pPr>
      <w:r>
        <w:rPr>
          <w:spacing w:val="-1"/>
        </w:rPr>
        <w:t>在技术创新方面，公司将加大在所处领域的核心产品和技术研发及产业化投入，不断增强技术实力，保持行业技术领</w:t>
      </w:r>
      <w:r>
        <w:rPr/>
        <w:t> 先水平，增强企业的核心竞争能力，为公司的成长提供产品和技术优势。</w:t>
      </w:r>
    </w:p>
    <w:p>
      <w:pPr>
        <w:pStyle w:val="BodyText"/>
        <w:spacing w:line="314" w:lineRule="auto" w:before="59"/>
        <w:ind w:right="191" w:firstLine="420"/>
        <w:jc w:val="both"/>
      </w:pPr>
      <w:r>
        <w:rPr/>
        <w:t>在研发发展方面，公司将利用募集资金完成新一代电子政务应用平台、信息安全风险综合管理平台和风险评估服务、 </w:t>
      </w:r>
      <w:r>
        <w:rPr>
          <w:spacing w:val="-2"/>
        </w:rPr>
        <w:t>质检三电工程运维服务平台、协同管理软件平台等项目建设，加强技术研发与创新中心建设，进行共性基础平台和关键核心</w:t>
      </w:r>
      <w:r>
        <w:rPr>
          <w:spacing w:val="-63"/>
        </w:rPr>
        <w:t> </w:t>
      </w:r>
      <w:r>
        <w:rPr>
          <w:spacing w:val="-63"/>
        </w:rPr>
      </w:r>
      <w:r>
        <w:rPr>
          <w:spacing w:val="-2"/>
        </w:rPr>
        <w:t>技术研发和创新。同时，将利用自有资金完成中国电子检验检疫主干综合业务管理系统、</w:t>
      </w:r>
      <w:r>
        <w:rPr>
          <w:rFonts w:ascii="Times New Roman" w:hAnsi="Times New Roman" w:cs="Times New Roman" w:eastAsia="Times New Roman" w:hint="default"/>
          <w:spacing w:val="-2"/>
        </w:rPr>
        <w:t>Web</w:t>
      </w:r>
      <w:r>
        <w:rPr>
          <w:spacing w:val="-2"/>
        </w:rPr>
        <w:t>应用安全框架、服务总线平台</w:t>
      </w:r>
      <w:r>
        <w:rPr>
          <w:spacing w:val="-45"/>
        </w:rPr>
        <w:t> </w:t>
      </w:r>
      <w:r>
        <w:rPr>
          <w:spacing w:val="-45"/>
        </w:rPr>
      </w:r>
      <w:r>
        <w:rPr>
          <w:spacing w:val="-2"/>
        </w:rPr>
        <w:t>和无线信息服务平台等新产品，积极开展物联网、移动互联网、云计算技术研究和应用。通过这些项目的实施，公司将进一</w:t>
      </w:r>
      <w:r>
        <w:rPr>
          <w:spacing w:val="-67"/>
        </w:rPr>
        <w:t> </w:t>
      </w:r>
      <w:r>
        <w:rPr>
          <w:spacing w:val="-67"/>
        </w:rPr>
      </w:r>
      <w:r>
        <w:rPr/>
        <w:t>步增强提升综合实力，提高公司的产品和服务质量，为公司的业务收入带来快速的增长。</w:t>
      </w:r>
    </w:p>
    <w:p>
      <w:pPr>
        <w:pStyle w:val="BodyText"/>
        <w:spacing w:line="316" w:lineRule="auto" w:before="59"/>
        <w:ind w:right="191" w:firstLine="419"/>
        <w:jc w:val="both"/>
      </w:pPr>
      <w:r>
        <w:rPr/>
        <w:t>在市场营销与服务体系建设方面，公司已初步建立以北京为指挥中心、遍布全国的营销和服务网络体系，公司将继续 </w:t>
      </w:r>
      <w:r>
        <w:rPr>
          <w:spacing w:val="-2"/>
        </w:rPr>
        <w:t>完善区域指挥中心体系建设，增强运维服务网点营销服务能力，继续完善产品代理体系，加大品牌宣传力度，促进公司规模</w:t>
      </w:r>
      <w:r>
        <w:rPr>
          <w:spacing w:val="-64"/>
        </w:rPr>
        <w:t> </w:t>
      </w:r>
      <w:r>
        <w:rPr>
          <w:spacing w:val="-64"/>
        </w:rPr>
      </w:r>
      <w:r>
        <w:rPr/>
        <w:t>化发展。</w:t>
      </w:r>
    </w:p>
    <w:p>
      <w:pPr>
        <w:pStyle w:val="BodyText"/>
        <w:spacing w:line="240" w:lineRule="auto" w:before="59"/>
        <w:ind w:left="624" w:right="0"/>
        <w:jc w:val="left"/>
      </w:pPr>
      <w:r>
        <w:rPr/>
        <w:t>公司将以现有的综合优势为基础，结合上市带来的资金、品牌和平台等优势，通过研发投入的不断增长、强大的技术</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0"/>
        <w:jc w:val="left"/>
      </w:pPr>
      <w:bookmarkStart w:name="十一、报告期内发生重大会计差错更正需追溯重述的情况说明" w:id="51"/>
      <w:bookmarkEnd w:id="51"/>
      <w:r>
        <w:rPr/>
      </w:r>
      <w:bookmarkStart w:name="十二、与上年度财务报告相比，合并报表范围发生变化的情况说明" w:id="52"/>
      <w:bookmarkEnd w:id="52"/>
      <w:r>
        <w:rPr/>
      </w:r>
      <w:r>
        <w:rPr>
          <w:spacing w:val="-2"/>
        </w:rPr>
        <w:t>储备、营销服务支撑平台的拓展和对研发发展规划的实施，进一步增强公司的竞争能力，继续四大细分领域的领先地位，对</w:t>
      </w:r>
      <w:r>
        <w:rPr>
          <w:spacing w:val="-64"/>
        </w:rPr>
        <w:t> </w:t>
      </w:r>
      <w:r>
        <w:rPr>
          <w:spacing w:val="-64"/>
        </w:rPr>
      </w:r>
      <w:r>
        <w:rPr/>
        <w:t>公司的持续成长提供有力保障。</w:t>
      </w:r>
    </w:p>
    <w:p>
      <w:pPr>
        <w:pStyle w:val="BodyText"/>
        <w:spacing w:line="240" w:lineRule="auto" w:before="59"/>
        <w:ind w:left="462" w:right="0"/>
        <w:jc w:val="left"/>
      </w:pPr>
      <w:r>
        <w:rPr/>
        <w:t>（四）风险分析及应对措施</w:t>
      </w:r>
    </w:p>
    <w:p>
      <w:pPr>
        <w:pStyle w:val="BodyText"/>
        <w:spacing w:line="340" w:lineRule="auto" w:before="115"/>
        <w:ind w:left="572" w:right="0" w:hanging="8"/>
        <w:jc w:val="left"/>
      </w:pPr>
      <w:r>
        <w:rPr>
          <w:rFonts w:ascii="Times New Roman" w:hAnsi="Times New Roman" w:cs="Times New Roman" w:eastAsia="Times New Roman" w:hint="default"/>
        </w:rPr>
        <w:t>1</w:t>
      </w:r>
      <w:r>
        <w:rPr/>
        <w:t>、人才管理风险 公司面临高素质人才市场竞争激烈、知识结构更新快的局面，能否继续稳定和提升现有的人才队伍，并及时引进在数</w:t>
      </w:r>
    </w:p>
    <w:p>
      <w:pPr>
        <w:pStyle w:val="BodyText"/>
        <w:spacing w:line="360" w:lineRule="auto"/>
        <w:ind w:left="572" w:right="0" w:hanging="420"/>
        <w:jc w:val="left"/>
      </w:pPr>
      <w:r>
        <w:rPr/>
        <w:t>量上和质量上都能充分满足公司发展需要的人才，是公司今后发展中面临的更大的挑战。 公司建立了较为完善的人力资源制度，采取了一些有效的激励或约束措施，提高了公司人力资源的稳定性。公司还积</w:t>
      </w:r>
    </w:p>
    <w:p>
      <w:pPr>
        <w:pStyle w:val="BodyText"/>
        <w:spacing w:line="236" w:lineRule="exact"/>
        <w:ind w:right="0"/>
        <w:jc w:val="left"/>
      </w:pPr>
      <w:r>
        <w:rPr>
          <w:spacing w:val="-3"/>
        </w:rPr>
        <w:t>极加强企业文化建设，把</w:t>
      </w:r>
      <w:r>
        <w:rPr>
          <w:rFonts w:ascii="Times New Roman" w:hAnsi="Times New Roman" w:cs="Times New Roman" w:eastAsia="Times New Roman" w:hint="default"/>
          <w:spacing w:val="-3"/>
        </w:rPr>
        <w:t>“</w:t>
      </w:r>
      <w:r>
        <w:rPr>
          <w:spacing w:val="-3"/>
        </w:rPr>
        <w:t>服务于社会以促进企业发展，贡献于企业以追求个人进步</w:t>
      </w:r>
      <w:r>
        <w:rPr>
          <w:rFonts w:ascii="Times New Roman" w:hAnsi="Times New Roman" w:cs="Times New Roman" w:eastAsia="Times New Roman" w:hint="default"/>
          <w:spacing w:val="-3"/>
        </w:rPr>
        <w:t>”</w:t>
      </w:r>
      <w:r>
        <w:rPr>
          <w:spacing w:val="-3"/>
        </w:rPr>
        <w:t>作为核心价值观，努力培育团结、创新、</w:t>
      </w:r>
    </w:p>
    <w:p>
      <w:pPr>
        <w:pStyle w:val="BodyText"/>
        <w:spacing w:line="316" w:lineRule="auto" w:before="62"/>
        <w:ind w:right="0"/>
        <w:jc w:val="left"/>
      </w:pPr>
      <w:r>
        <w:rPr>
          <w:spacing w:val="-2"/>
        </w:rPr>
        <w:t>开拓、务实的企业文化精神，争取广大员工的认可。公司将投入更多资源改善工作环境和工作条件，增强公司对高素质人才</w:t>
      </w:r>
      <w:r>
        <w:rPr>
          <w:spacing w:val="-64"/>
        </w:rPr>
        <w:t> </w:t>
      </w:r>
      <w:r>
        <w:rPr>
          <w:spacing w:val="-64"/>
        </w:rPr>
      </w:r>
      <w:r>
        <w:rPr/>
        <w:t>的吸引力和归属感。</w:t>
      </w:r>
    </w:p>
    <w:p>
      <w:pPr>
        <w:pStyle w:val="BodyText"/>
        <w:spacing w:line="340" w:lineRule="auto" w:before="57"/>
        <w:ind w:left="572" w:right="0" w:hanging="8"/>
        <w:jc w:val="left"/>
      </w:pPr>
      <w:r>
        <w:rPr>
          <w:rFonts w:ascii="Times New Roman" w:hAnsi="Times New Roman" w:cs="Times New Roman" w:eastAsia="Times New Roman" w:hint="default"/>
        </w:rPr>
        <w:t>2</w:t>
      </w:r>
      <w:r>
        <w:rPr/>
        <w:t>、行业技术风险 软件行业技术进步快、产品更新快、市场需求变化快的特点以及公司规模化扩张对公司保持持续的技术领先提出了更</w:t>
      </w:r>
    </w:p>
    <w:p>
      <w:pPr>
        <w:pStyle w:val="BodyText"/>
        <w:spacing w:line="360" w:lineRule="auto"/>
        <w:ind w:left="572" w:right="86" w:hanging="420"/>
        <w:jc w:val="left"/>
      </w:pPr>
      <w:r>
        <w:rPr/>
        <w:t>高的要求，如何在研发技术、研发管理方面保持有效创新，如何保证产品快速满足市场，均给公司带来较大的挑战。 </w:t>
      </w:r>
      <w:r>
        <w:rPr>
          <w:spacing w:val="-1"/>
        </w:rPr>
        <w:t>公司将继续跟踪、学习和应用新的技术，准确把握国际信息技术发展趋势，继续积极开发具有自有知识产权的新产品，</w:t>
      </w:r>
    </w:p>
    <w:p>
      <w:pPr>
        <w:pStyle w:val="BodyText"/>
        <w:spacing w:line="222" w:lineRule="exact"/>
        <w:ind w:right="0"/>
        <w:jc w:val="left"/>
      </w:pPr>
      <w:r>
        <w:rPr/>
        <w:t>开发出功能和性能更加完善的新产品，以满足客户更加多样化、个性化的需求。</w:t>
      </w:r>
    </w:p>
    <w:p>
      <w:pPr>
        <w:pStyle w:val="BodyText"/>
        <w:spacing w:line="340" w:lineRule="auto" w:before="115"/>
        <w:ind w:left="572" w:right="0" w:hanging="8"/>
        <w:jc w:val="left"/>
      </w:pPr>
      <w:r>
        <w:rPr>
          <w:rFonts w:ascii="Times New Roman" w:hAnsi="Times New Roman" w:cs="Times New Roman" w:eastAsia="Times New Roman" w:hint="default"/>
        </w:rPr>
        <w:t>3</w:t>
      </w:r>
      <w:r>
        <w:rPr/>
        <w:t>、运营管理风险 随着公司业务、资产、人员规模的不断扩大，技术创新要求更高更快，对经营效率的要求进一步提高，公司经营的决</w:t>
      </w:r>
    </w:p>
    <w:p>
      <w:pPr>
        <w:pStyle w:val="BodyText"/>
        <w:spacing w:line="360" w:lineRule="auto"/>
        <w:ind w:left="572" w:right="0" w:hanging="420"/>
        <w:jc w:val="left"/>
      </w:pPr>
      <w:r>
        <w:rPr/>
        <w:t>策、实施和风险控制难度将增加。 公司将在主营业务不断拓展和经营规模的扩大的同时，合理使用募集资金，科学管理投资项目的实施，实现运营管理</w:t>
      </w:r>
    </w:p>
    <w:p>
      <w:pPr>
        <w:pStyle w:val="BodyText"/>
        <w:spacing w:line="222" w:lineRule="exact"/>
        <w:ind w:right="0"/>
        <w:jc w:val="left"/>
      </w:pPr>
      <w:r>
        <w:rPr/>
        <w:t>方面的创新，提高公司产品在各细分市场的占有率。</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九、董事会对会计师事务所本报告期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十、与上年度财务报告相比，会计政策、会计估计和核算方法发</w:t>
      </w:r>
      <w:bookmarkStart w:name="九、董事会对会计师事务所本报告期“非标准审计报告”的说明" w:id="53"/>
      <w:bookmarkEnd w:id="53"/>
      <w:r>
        <w:rPr/>
        <w:t>生变</w:t>
      </w:r>
      <w:r>
        <w:rPr/>
        <w:t>化的情</w:t>
      </w:r>
      <w:bookmarkStart w:name="十、与上年度财务报告相比，会计政策、会计估计和核算方法发生变化的情况说明" w:id="54"/>
      <w:bookmarkEnd w:id="54"/>
      <w:r>
        <w:rPr/>
        <w:t>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十一、报告期内发生重大会计差错更正需追溯重述的情况说明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十二、与上年度财务报告相比，合并报表范围发生变化的情况说明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本期新纳入合并范围的子公司（孙公司）</w:t>
      </w:r>
    </w:p>
    <w:p>
      <w:pPr>
        <w:spacing w:line="240" w:lineRule="auto" w:before="8"/>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3010"/>
        <w:gridCol w:w="3010"/>
        <w:gridCol w:w="3115"/>
      </w:tblGrid>
      <w:tr>
        <w:trPr>
          <w:trHeight w:val="410" w:hRule="exact"/>
        </w:trPr>
        <w:tc>
          <w:tcPr>
            <w:tcW w:w="3010"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55"/>
              <w:ind w:left="4"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010"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55"/>
              <w:ind w:left="686" w:right="0"/>
              <w:jc w:val="left"/>
              <w:rPr>
                <w:rFonts w:ascii="宋体" w:hAnsi="宋体" w:cs="宋体" w:eastAsia="宋体" w:hint="default"/>
                <w:sz w:val="18"/>
                <w:szCs w:val="18"/>
              </w:rPr>
            </w:pPr>
            <w:r>
              <w:rPr>
                <w:rFonts w:ascii="宋体" w:hAnsi="宋体" w:cs="宋体" w:eastAsia="宋体" w:hint="default"/>
                <w:sz w:val="18"/>
                <w:szCs w:val="18"/>
              </w:rPr>
              <w:t>期末净资产（万元）</w:t>
            </w:r>
          </w:p>
        </w:tc>
        <w:tc>
          <w:tcPr>
            <w:tcW w:w="3115"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55"/>
              <w:ind w:left="739" w:right="0"/>
              <w:jc w:val="left"/>
              <w:rPr>
                <w:rFonts w:ascii="宋体" w:hAnsi="宋体" w:cs="宋体" w:eastAsia="宋体" w:hint="default"/>
                <w:sz w:val="18"/>
                <w:szCs w:val="18"/>
              </w:rPr>
            </w:pPr>
            <w:r>
              <w:rPr>
                <w:rFonts w:ascii="宋体" w:hAnsi="宋体" w:cs="宋体" w:eastAsia="宋体" w:hint="default"/>
                <w:sz w:val="18"/>
                <w:szCs w:val="18"/>
              </w:rPr>
              <w:t>本期净利润（万元）</w:t>
            </w:r>
          </w:p>
        </w:tc>
      </w:tr>
      <w:tr>
        <w:trPr>
          <w:trHeight w:val="448" w:hRule="exact"/>
        </w:trPr>
        <w:tc>
          <w:tcPr>
            <w:tcW w:w="3010"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福建榕基投资有限公司</w:t>
            </w:r>
          </w:p>
        </w:tc>
        <w:tc>
          <w:tcPr>
            <w:tcW w:w="301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2"/>
              <w:ind w:right="-5"/>
              <w:jc w:val="right"/>
              <w:rPr>
                <w:rFonts w:ascii="Times New Roman" w:hAnsi="Times New Roman" w:cs="Times New Roman" w:eastAsia="Times New Roman" w:hint="default"/>
                <w:sz w:val="18"/>
                <w:szCs w:val="18"/>
              </w:rPr>
            </w:pPr>
            <w:r>
              <w:rPr>
                <w:rFonts w:ascii="Times New Roman"/>
                <w:sz w:val="18"/>
              </w:rPr>
              <w:t>5,003.13</w:t>
            </w:r>
          </w:p>
        </w:tc>
        <w:tc>
          <w:tcPr>
            <w:tcW w:w="311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2"/>
              <w:ind w:right="-3"/>
              <w:jc w:val="right"/>
              <w:rPr>
                <w:rFonts w:ascii="Times New Roman" w:hAnsi="Times New Roman" w:cs="Times New Roman" w:eastAsia="Times New Roman" w:hint="default"/>
                <w:sz w:val="18"/>
                <w:szCs w:val="18"/>
              </w:rPr>
            </w:pPr>
            <w:r>
              <w:rPr>
                <w:rFonts w:ascii="Times New Roman"/>
                <w:spacing w:val="-1"/>
                <w:sz w:val="18"/>
              </w:rPr>
              <w:t>3.13</w:t>
            </w:r>
            <w:r>
              <w:rPr>
                <w:rFonts w:ascii="Times New Roman"/>
                <w:sz w:val="18"/>
              </w:rPr>
            </w:r>
          </w:p>
        </w:tc>
      </w:tr>
      <w:tr>
        <w:trPr>
          <w:trHeight w:val="434" w:hRule="exact"/>
        </w:trPr>
        <w:tc>
          <w:tcPr>
            <w:tcW w:w="3010"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马鞍山榕基置业投资有限公司</w:t>
            </w:r>
          </w:p>
        </w:tc>
        <w:tc>
          <w:tcPr>
            <w:tcW w:w="3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621.47</w:t>
            </w:r>
            <w:r>
              <w:rPr>
                <w:rFonts w:ascii="Times New Roman"/>
                <w:sz w:val="18"/>
              </w:rPr>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-178.53</w:t>
            </w:r>
            <w:r>
              <w:rPr>
                <w:rFonts w:ascii="Times New Roman"/>
                <w:sz w:val="18"/>
              </w:rPr>
            </w:r>
          </w:p>
        </w:tc>
      </w:tr>
    </w:tbl>
    <w:p>
      <w:pPr>
        <w:pStyle w:val="BodyText"/>
        <w:spacing w:line="240" w:lineRule="auto" w:before="49"/>
        <w:ind w:left="572" w:right="0"/>
        <w:jc w:val="left"/>
      </w:pPr>
      <w:r>
        <w:rPr/>
        <w:t>注：福建榕基投资有限公司成立于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月，马鞍山榕基置业投资有限公司成立于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spacing w:after="0" w:line="240" w:lineRule="auto"/>
        <w:jc w:val="left"/>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47"/>
        <w:jc w:val="left"/>
        <w:rPr>
          <w:b w:val="0"/>
          <w:bCs w:val="0"/>
        </w:rPr>
      </w:pPr>
      <w:r>
        <w:rPr/>
        <w:t>十</w:t>
      </w:r>
      <w:bookmarkStart w:name="十三、公司利润分配及分红派息情况" w:id="55"/>
      <w:bookmarkEnd w:id="55"/>
      <w:r>
        <w:rPr/>
        <w:t>三</w:t>
      </w:r>
      <w:r>
        <w:rPr/>
        <w:t>、公司利润分配及分红派息情况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72" w:right="174" w:hanging="420"/>
        <w:jc w:val="left"/>
      </w:pPr>
      <w:r>
        <w:rPr/>
        <w:t>报告期内利润分配政策特别是现金分红政策的制定、执行或调整情况 报告期内，根据中国证券监督管理委员会、深圳证券交易所和中国证券监督管理委员会福建监管局的有关规定，公司</w:t>
      </w:r>
    </w:p>
    <w:p>
      <w:pPr>
        <w:pStyle w:val="BodyText"/>
        <w:spacing w:line="224" w:lineRule="exact"/>
        <w:ind w:right="0"/>
        <w:jc w:val="left"/>
      </w:pPr>
      <w:r>
        <w:rPr/>
        <w:t>对《公司章程》中关于利润分配政策的部分条款作出修改，对现金分红政策进行了进一步的细化，并制定了《公司分红政策</w:t>
      </w:r>
    </w:p>
    <w:p>
      <w:pPr>
        <w:pStyle w:val="BodyText"/>
        <w:spacing w:line="300" w:lineRule="auto" w:before="76"/>
        <w:ind w:right="147"/>
        <w:jc w:val="left"/>
      </w:pPr>
      <w:r>
        <w:rPr>
          <w:spacing w:val="-5"/>
        </w:rPr>
        <w:t>及未来三年股东回报规划（</w:t>
      </w:r>
      <w:r>
        <w:rPr>
          <w:rFonts w:ascii="Times New Roman" w:hAnsi="Times New Roman" w:cs="Times New Roman" w:eastAsia="Times New Roman" w:hint="default"/>
          <w:spacing w:val="-5"/>
        </w:rPr>
        <w:t>2012-2014</w:t>
      </w:r>
      <w:r>
        <w:rPr>
          <w:spacing w:val="-5"/>
        </w:rPr>
        <w:t>）》。公司</w:t>
      </w:r>
      <w:r>
        <w:rPr>
          <w:spacing w:val="-49"/>
        </w:rPr>
        <w:t> </w:t>
      </w:r>
      <w:r>
        <w:rPr>
          <w:spacing w:val="-2"/>
        </w:rPr>
        <w:t>第二届董事会第十五次会议及</w:t>
      </w:r>
      <w:r>
        <w:rPr>
          <w:rFonts w:ascii="Times New Roman" w:hAnsi="Times New Roman" w:cs="Times New Roman" w:eastAsia="Times New Roman" w:hint="default"/>
          <w:spacing w:val="-2"/>
        </w:rPr>
        <w:t>2012</w:t>
      </w:r>
      <w:r>
        <w:rPr>
          <w:spacing w:val="-2"/>
        </w:rPr>
        <w:t>年第二次临时股东大会审议通过，对《公</w:t>
      </w:r>
      <w:r>
        <w:rPr>
          <w:spacing w:val="-79"/>
        </w:rPr>
        <w:t> </w:t>
      </w:r>
      <w:r>
        <w:rPr>
          <w:spacing w:val="-79"/>
        </w:rPr>
      </w:r>
      <w:r>
        <w:rPr/>
        <w:t>司章程》中的第一百六十五条的相关条款做出修改，具体如下：</w:t>
      </w:r>
    </w:p>
    <w:p>
      <w:pPr>
        <w:pStyle w:val="BodyText"/>
        <w:spacing w:line="360" w:lineRule="auto" w:before="72"/>
        <w:ind w:left="572" w:right="174"/>
        <w:jc w:val="left"/>
      </w:pPr>
      <w:r>
        <w:rPr/>
        <w:t>原条款： 公司可以采取现金、股票或现金与股票相结合的方式分配股利。公司将实行持续、稳定的利润分配办法，并遵守下列</w:t>
      </w:r>
    </w:p>
    <w:p>
      <w:pPr>
        <w:pStyle w:val="BodyText"/>
        <w:spacing w:line="222" w:lineRule="exact"/>
        <w:ind w:right="147"/>
        <w:jc w:val="left"/>
      </w:pPr>
      <w:r>
        <w:rPr/>
        <w:t>规定：</w:t>
      </w:r>
    </w:p>
    <w:p>
      <w:pPr>
        <w:pStyle w:val="BodyText"/>
        <w:spacing w:line="240" w:lineRule="auto" w:before="115"/>
        <w:ind w:left="572" w:right="147"/>
        <w:jc w:val="left"/>
      </w:pPr>
      <w:r>
        <w:rPr/>
        <w:t>（一）公司的利润分配应重视对投资者的合理投资回报；在有条件的情况下，公司可以进行中期现金分红；</w:t>
      </w:r>
    </w:p>
    <w:p>
      <w:pPr>
        <w:pStyle w:val="BodyText"/>
        <w:spacing w:line="240" w:lineRule="auto" w:before="117"/>
        <w:ind w:left="572" w:right="147"/>
        <w:jc w:val="left"/>
      </w:pPr>
      <w:r>
        <w:rPr/>
        <w:t>（二）公司董事会未做出现金利润分配预案的，应当在定期报告中披露原因，独立董事应当对此发表独立意见；</w:t>
      </w:r>
    </w:p>
    <w:p>
      <w:pPr>
        <w:pStyle w:val="BodyText"/>
        <w:spacing w:line="300" w:lineRule="auto" w:before="117"/>
        <w:ind w:right="147" w:firstLine="420"/>
        <w:jc w:val="left"/>
      </w:pPr>
      <w:r>
        <w:rPr>
          <w:spacing w:val="-1"/>
        </w:rPr>
        <w:t>（三）公司每年以现金方式分配的利润应当不少于当年可分配利润的</w:t>
      </w:r>
      <w:r>
        <w:rPr>
          <w:rFonts w:ascii="Times New Roman" w:hAnsi="Times New Roman" w:cs="Times New Roman" w:eastAsia="Times New Roman" w:hint="default"/>
          <w:spacing w:val="-1"/>
        </w:rPr>
        <w:t>6%</w:t>
      </w:r>
      <w:r>
        <w:rPr>
          <w:spacing w:val="-1"/>
        </w:rPr>
        <w:t>；出现下列情况之一的，公司可不进行现金分</w:t>
      </w:r>
      <w:r>
        <w:rPr/>
        <w:t> 红，但公司上市后连续三年以现金方式累计分配的利润应不少于该连续三年实现的年均可分配利润的百分之三十：</w:t>
      </w:r>
    </w:p>
    <w:p>
      <w:pPr>
        <w:pStyle w:val="BodyText"/>
        <w:spacing w:line="240" w:lineRule="auto" w:before="70"/>
        <w:ind w:left="572" w:right="147"/>
        <w:jc w:val="left"/>
      </w:pPr>
      <w:r>
        <w:rPr>
          <w:rFonts w:ascii="Times New Roman" w:hAnsi="Times New Roman" w:cs="Times New Roman" w:eastAsia="Times New Roman" w:hint="default"/>
        </w:rPr>
        <w:t>1</w:t>
      </w:r>
      <w:r>
        <w:rPr/>
        <w:t>、</w:t>
      </w:r>
      <w:r>
        <w:rPr>
          <w:spacing w:val="-17"/>
        </w:rPr>
        <w:t> </w:t>
      </w:r>
      <w:r>
        <w:rPr/>
        <w:t>拟进行重大资本性支出；</w:t>
      </w:r>
    </w:p>
    <w:p>
      <w:pPr>
        <w:pStyle w:val="BodyText"/>
        <w:spacing w:line="240" w:lineRule="auto" w:before="103"/>
        <w:ind w:left="572" w:right="147"/>
        <w:jc w:val="left"/>
      </w:pPr>
      <w:r>
        <w:rPr>
          <w:rFonts w:ascii="Times New Roman" w:hAnsi="Times New Roman" w:cs="Times New Roman" w:eastAsia="Times New Roman" w:hint="default"/>
        </w:rPr>
        <w:t>2</w:t>
      </w:r>
      <w:r>
        <w:rPr/>
        <w:t>、当年经营活动产生的现金流量净额为负；</w:t>
      </w:r>
    </w:p>
    <w:p>
      <w:pPr>
        <w:pStyle w:val="BodyText"/>
        <w:spacing w:line="240" w:lineRule="auto" w:before="103"/>
        <w:ind w:left="572" w:right="147"/>
        <w:jc w:val="left"/>
      </w:pPr>
      <w:r>
        <w:rPr>
          <w:rFonts w:ascii="Times New Roman" w:hAnsi="Times New Roman" w:cs="Times New Roman" w:eastAsia="Times New Roman" w:hint="default"/>
        </w:rPr>
        <w:t>3</w:t>
      </w:r>
      <w:r>
        <w:rPr/>
        <w:t>、</w:t>
      </w:r>
      <w:r>
        <w:rPr>
          <w:spacing w:val="-17"/>
        </w:rPr>
        <w:t> </w:t>
      </w:r>
      <w:r>
        <w:rPr/>
        <w:t>当年年末公司资产负债率超过</w:t>
      </w:r>
      <w:r>
        <w:rPr>
          <w:rFonts w:ascii="Times New Roman" w:hAnsi="Times New Roman" w:cs="Times New Roman" w:eastAsia="Times New Roman" w:hint="default"/>
        </w:rPr>
        <w:t>60%</w:t>
      </w:r>
      <w:r>
        <w:rPr/>
        <w:t>；</w:t>
      </w:r>
    </w:p>
    <w:p>
      <w:pPr>
        <w:pStyle w:val="BodyText"/>
        <w:spacing w:line="240" w:lineRule="auto" w:before="101"/>
        <w:ind w:left="572" w:right="147"/>
        <w:jc w:val="left"/>
      </w:pPr>
      <w:r>
        <w:rPr>
          <w:rFonts w:ascii="Times New Roman" w:hAnsi="Times New Roman" w:cs="Times New Roman" w:eastAsia="Times New Roman" w:hint="default"/>
        </w:rPr>
        <w:t>4</w:t>
      </w:r>
      <w:r>
        <w:rPr/>
        <w:t>、拟采取股票方式分配股利。</w:t>
      </w:r>
    </w:p>
    <w:p>
      <w:pPr>
        <w:pStyle w:val="BodyText"/>
        <w:spacing w:line="357" w:lineRule="auto" w:before="103"/>
        <w:ind w:left="572" w:right="174"/>
        <w:jc w:val="left"/>
      </w:pPr>
      <w:r>
        <w:rPr/>
        <w:t>（四）存在股东违规占用公司资金情况的，公司应当扣减该股东所分配的现金红利，以偿还其占用的资金。 现修改为： 公司可以采取现金、股票或现金与股票相结合的方式分配股利。公司将实行持续、稳定的利润分配办法，并遵守下列</w:t>
      </w:r>
    </w:p>
    <w:p>
      <w:pPr>
        <w:pStyle w:val="BodyText"/>
        <w:spacing w:line="224" w:lineRule="exact"/>
        <w:ind w:right="147"/>
        <w:jc w:val="left"/>
      </w:pPr>
      <w:r>
        <w:rPr/>
        <w:t>规定：</w:t>
      </w:r>
    </w:p>
    <w:p>
      <w:pPr>
        <w:pStyle w:val="BodyText"/>
        <w:spacing w:line="316" w:lineRule="auto" w:before="117"/>
        <w:ind w:right="151" w:firstLine="419"/>
        <w:jc w:val="both"/>
      </w:pPr>
      <w:r>
        <w:rPr/>
        <w:t>（一）公司董事会负责制定公司的股利分配预案，股东大会负责审批。在公司当年度盈利且提取法定公积金及弥补以 </w:t>
      </w:r>
      <w:r>
        <w:rPr>
          <w:spacing w:val="-2"/>
        </w:rPr>
        <w:t>前年度亏损后仍有剩余时，董事会应当作出现金分红预案。公司董事会未做出现金利润分配预案的，应当在定期报告中披露</w:t>
      </w:r>
      <w:r>
        <w:rPr>
          <w:spacing w:val="-63"/>
        </w:rPr>
        <w:t> </w:t>
      </w:r>
      <w:r>
        <w:rPr>
          <w:spacing w:val="-63"/>
        </w:rPr>
      </w:r>
      <w:r>
        <w:rPr/>
        <w:t>原因，公司独立董事应当对此发表独立意见。</w:t>
      </w:r>
    </w:p>
    <w:p>
      <w:pPr>
        <w:pStyle w:val="BodyText"/>
        <w:spacing w:line="300" w:lineRule="auto" w:before="59"/>
        <w:ind w:right="205" w:firstLine="419"/>
        <w:jc w:val="left"/>
      </w:pPr>
      <w:r>
        <w:rPr/>
        <w:t>（二）公司每年以现金方式分配的利润应当不少于当年可分配利润的</w:t>
      </w:r>
      <w:r>
        <w:rPr>
          <w:rFonts w:ascii="Times New Roman" w:hAnsi="Times New Roman" w:cs="Times New Roman" w:eastAsia="Times New Roman" w:hint="default"/>
        </w:rPr>
        <w:t>10%</w:t>
      </w:r>
      <w:r>
        <w:rPr/>
        <w:t>；公司上市后连续三年以现金方式累计分配 的利润应不少于该连续三年实现的年均可分配利润的</w:t>
      </w:r>
      <w:r>
        <w:rPr>
          <w:rFonts w:ascii="Times New Roman" w:hAnsi="Times New Roman" w:cs="Times New Roman" w:eastAsia="Times New Roman" w:hint="default"/>
        </w:rPr>
        <w:t>30%</w:t>
      </w:r>
      <w:r>
        <w:rPr/>
        <w:t>；在进行现金分配的同时，公司可以进行股票股利的分配。</w:t>
      </w:r>
    </w:p>
    <w:p>
      <w:pPr>
        <w:pStyle w:val="BodyText"/>
        <w:spacing w:line="240" w:lineRule="auto" w:before="51"/>
        <w:ind w:left="572" w:right="147"/>
        <w:jc w:val="left"/>
      </w:pPr>
      <w:r>
        <w:rPr/>
        <w:t>（三）公司的利润分配应重视对投资者的合理投资回报；在有条件的情况下，公司可以进行中期分配。</w:t>
      </w:r>
    </w:p>
    <w:p>
      <w:pPr>
        <w:pStyle w:val="BodyText"/>
        <w:spacing w:line="240" w:lineRule="auto" w:before="117"/>
        <w:ind w:left="572" w:right="147"/>
        <w:jc w:val="left"/>
      </w:pPr>
      <w:r>
        <w:rPr/>
        <w:t>（四）存在股东违规占用公司资金情况的，公司应当扣减该股东所分配的现金红利，以偿还其占用的资金。</w:t>
      </w:r>
    </w:p>
    <w:p>
      <w:pPr>
        <w:pStyle w:val="BodyText"/>
        <w:spacing w:line="316" w:lineRule="auto" w:before="117"/>
        <w:ind w:right="153" w:firstLine="419"/>
        <w:jc w:val="both"/>
      </w:pPr>
      <w:r>
        <w:rPr/>
        <w:t>（五）公司根据生产经营情况、投资规划和长期发展的需要，确需调整利润分配政策的，调整后的利润分配政策不得 </w:t>
      </w:r>
      <w:r>
        <w:rPr>
          <w:spacing w:val="-2"/>
        </w:rPr>
        <w:t>违反中国证监会和证券交易所的有关规定。在对有关调整利润分配政策的议案进行表决时，由全体独立董事同意及监事会审</w:t>
      </w:r>
      <w:r>
        <w:rPr>
          <w:spacing w:val="-64"/>
        </w:rPr>
        <w:t> </w:t>
      </w:r>
      <w:r>
        <w:rPr>
          <w:spacing w:val="-64"/>
        </w:rPr>
      </w:r>
      <w:r>
        <w:rPr>
          <w:spacing w:val="-2"/>
        </w:rPr>
        <w:t>议并经公司董事会审议后方可提交公司股东大会审议，公司控股股东应回避表决，公司可以采取提供网络投票等方式以方便</w:t>
      </w:r>
      <w:r>
        <w:rPr>
          <w:spacing w:val="-64"/>
        </w:rPr>
        <w:t> </w:t>
      </w:r>
      <w:r>
        <w:rPr>
          <w:spacing w:val="-64"/>
        </w:rPr>
      </w:r>
      <w:r>
        <w:rPr/>
        <w:t>股东参与股东大会表决。</w:t>
      </w:r>
    </w:p>
    <w:p>
      <w:pPr>
        <w:pStyle w:val="BodyText"/>
        <w:spacing w:line="240" w:lineRule="auto" w:before="57"/>
        <w:ind w:left="572" w:right="147"/>
        <w:jc w:val="left"/>
      </w:pPr>
      <w:r>
        <w:rPr/>
        <w:t>（六）公司应以每三年为一个周期，制订周期内股东分红回报规划。</w:t>
      </w:r>
    </w:p>
    <w:p>
      <w:pPr>
        <w:pStyle w:val="BodyText"/>
        <w:spacing w:line="240" w:lineRule="auto" w:before="117"/>
        <w:ind w:left="440" w:right="147"/>
        <w:jc w:val="left"/>
      </w:pPr>
      <w:r>
        <w:rPr>
          <w:spacing w:val="30"/>
        </w:rPr>
        <w:t>《公司分</w:t>
      </w:r>
      <w:r>
        <w:rPr>
          <w:spacing w:val="-52"/>
        </w:rPr>
        <w:t> </w:t>
      </w:r>
      <w:r>
        <w:rPr>
          <w:spacing w:val="20"/>
        </w:rPr>
        <w:t>红政</w:t>
      </w:r>
      <w:r>
        <w:rPr>
          <w:spacing w:val="-52"/>
        </w:rPr>
        <w:t> </w:t>
      </w:r>
      <w:r>
        <w:rPr>
          <w:spacing w:val="20"/>
        </w:rPr>
        <w:t>策及</w:t>
      </w:r>
      <w:r>
        <w:rPr>
          <w:spacing w:val="-52"/>
        </w:rPr>
        <w:t> </w:t>
      </w:r>
      <w:r>
        <w:rPr/>
        <w:t>未</w:t>
      </w:r>
      <w:r>
        <w:rPr>
          <w:spacing w:val="-52"/>
        </w:rPr>
        <w:t> </w:t>
      </w:r>
      <w:r>
        <w:rPr>
          <w:spacing w:val="26"/>
        </w:rPr>
        <w:t>来三年</w:t>
      </w:r>
      <w:r>
        <w:rPr>
          <w:spacing w:val="-52"/>
        </w:rPr>
        <w:t> </w:t>
      </w:r>
      <w:r>
        <w:rPr>
          <w:spacing w:val="20"/>
        </w:rPr>
        <w:t>股东</w:t>
      </w:r>
      <w:r>
        <w:rPr>
          <w:spacing w:val="-52"/>
        </w:rPr>
        <w:t> </w:t>
      </w:r>
      <w:r>
        <w:rPr>
          <w:spacing w:val="20"/>
        </w:rPr>
        <w:t>回报</w:t>
      </w:r>
      <w:r>
        <w:rPr>
          <w:spacing w:val="-52"/>
        </w:rPr>
        <w:t> </w:t>
      </w:r>
      <w:r>
        <w:rPr>
          <w:spacing w:val="26"/>
        </w:rPr>
        <w:t>规划（</w:t>
      </w:r>
      <w:r>
        <w:rPr>
          <w:spacing w:val="-52"/>
        </w:rPr>
        <w:t> </w:t>
      </w:r>
      <w:r>
        <w:rPr>
          <w:rFonts w:ascii="Times New Roman" w:hAnsi="Times New Roman" w:cs="Times New Roman" w:eastAsia="Times New Roman" w:hint="default"/>
        </w:rPr>
        <w:t>2012-2014</w:t>
      </w:r>
      <w:r>
        <w:rPr>
          <w:rFonts w:ascii="Times New Roman" w:hAnsi="Times New Roman" w:cs="Times New Roman" w:eastAsia="Times New Roman" w:hint="default"/>
          <w:spacing w:val="-6"/>
        </w:rPr>
        <w:t> </w:t>
      </w:r>
      <w:r>
        <w:rPr>
          <w:spacing w:val="20"/>
        </w:rPr>
        <w:t>）》</w:t>
      </w:r>
      <w:r>
        <w:rPr>
          <w:spacing w:val="-52"/>
        </w:rPr>
        <w:t> </w:t>
      </w:r>
      <w:r>
        <w:rPr>
          <w:spacing w:val="20"/>
        </w:rPr>
        <w:t>及修</w:t>
      </w:r>
      <w:r>
        <w:rPr>
          <w:spacing w:val="-52"/>
        </w:rPr>
        <w:t> </w:t>
      </w:r>
      <w:r>
        <w:rPr>
          <w:spacing w:val="20"/>
        </w:rPr>
        <w:t>订后</w:t>
      </w:r>
      <w:r>
        <w:rPr>
          <w:spacing w:val="-52"/>
        </w:rPr>
        <w:t> </w:t>
      </w:r>
      <w:r>
        <w:rPr>
          <w:spacing w:val="20"/>
        </w:rPr>
        <w:t>的《</w:t>
      </w:r>
      <w:r>
        <w:rPr>
          <w:spacing w:val="-52"/>
        </w:rPr>
        <w:t> </w:t>
      </w:r>
      <w:r>
        <w:rPr>
          <w:spacing w:val="26"/>
        </w:rPr>
        <w:t>公司章</w:t>
      </w:r>
      <w:r>
        <w:rPr>
          <w:spacing w:val="-52"/>
        </w:rPr>
        <w:t> </w:t>
      </w:r>
      <w:r>
        <w:rPr>
          <w:spacing w:val="20"/>
        </w:rPr>
        <w:t>程》</w:t>
      </w:r>
      <w:r>
        <w:rPr>
          <w:spacing w:val="-52"/>
        </w:rPr>
        <w:t> </w:t>
      </w:r>
      <w:r>
        <w:rPr>
          <w:spacing w:val="20"/>
        </w:rPr>
        <w:t>详见</w:t>
      </w:r>
      <w:r>
        <w:rPr>
          <w:spacing w:val="-52"/>
        </w:rPr>
        <w:t> </w:t>
      </w:r>
      <w:r>
        <w:rPr>
          <w:spacing w:val="26"/>
        </w:rPr>
        <w:t>巨潮资</w:t>
      </w:r>
      <w:r>
        <w:rPr>
          <w:spacing w:val="-52"/>
        </w:rPr>
        <w:t> </w:t>
      </w:r>
      <w:r>
        <w:rPr/>
        <w:t>讯</w:t>
      </w:r>
      <w:r>
        <w:rPr>
          <w:spacing w:val="-52"/>
        </w:rPr>
        <w:t> </w:t>
      </w:r>
      <w:r>
        <w:rPr/>
        <w:t>网</w:t>
      </w:r>
    </w:p>
    <w:p>
      <w:pPr>
        <w:pStyle w:val="BodyText"/>
        <w:spacing w:line="338" w:lineRule="auto" w:before="62"/>
        <w:ind w:right="6354"/>
        <w:jc w:val="left"/>
      </w:pPr>
      <w:hyperlink r:id="rId13">
        <w:r>
          <w:rPr>
            <w:rFonts w:ascii="Times New Roman" w:hAnsi="Times New Roman" w:cs="Times New Roman" w:eastAsia="Times New Roman" w:hint="default"/>
          </w:rPr>
          <w:t>http://www.cninfo.com.cn/</w:t>
        </w:r>
      </w:hyperlink>
      <w:r>
        <w:rPr/>
        <w:t>。 本年度利润分配及资本公积金转增股本预案</w:t>
      </w:r>
    </w:p>
    <w:p>
      <w:pPr>
        <w:pStyle w:val="BodyText"/>
        <w:spacing w:line="240" w:lineRule="auto" w:before="43"/>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6"/>
        <w:gridCol w:w="5851"/>
      </w:tblGrid>
      <w:tr>
        <w:trPr>
          <w:trHeight w:val="401"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695"/>
        <w:gridCol w:w="5862"/>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207,400,000.00</w:t>
            </w:r>
            <w:r>
              <w:rPr>
                <w:rFonts w:ascii="Times New Roman"/>
                <w:sz w:val="18"/>
              </w:rPr>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31,110,000.00</w:t>
            </w:r>
            <w:r>
              <w:rPr>
                <w:rFonts w:ascii="Times New Roman"/>
                <w:sz w:val="18"/>
              </w:rPr>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251,201,798.55</w:t>
            </w:r>
            <w:r>
              <w:rPr>
                <w:rFonts w:ascii="Times New Roman"/>
                <w:sz w:val="18"/>
              </w:rPr>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5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027"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年年末总</w:t>
            </w:r>
            <w:r>
              <w:rPr>
                <w:rFonts w:ascii="宋体" w:hAnsi="宋体" w:cs="宋体" w:eastAsia="宋体" w:hint="default"/>
                <w:spacing w:val="-3"/>
                <w:sz w:val="18"/>
                <w:szCs w:val="18"/>
              </w:rPr>
              <w:t>股</w:t>
            </w:r>
            <w:r>
              <w:rPr>
                <w:rFonts w:ascii="宋体" w:hAnsi="宋体" w:cs="宋体" w:eastAsia="宋体" w:hint="default"/>
                <w:sz w:val="18"/>
                <w:szCs w:val="18"/>
              </w:rPr>
              <w:t>本</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5"/>
                <w:sz w:val="18"/>
                <w:szCs w:val="18"/>
              </w:rPr>
              <w:t>，</w:t>
            </w:r>
            <w:r>
              <w:rPr>
                <w:rFonts w:ascii="宋体" w:hAnsi="宋体" w:cs="宋体" w:eastAsia="宋体" w:hint="default"/>
                <w:sz w:val="18"/>
                <w:szCs w:val="18"/>
              </w:rPr>
              <w:t>向全体股东每</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股派现金</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共派发股利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t>，剩</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余未分配利润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220,091,798.55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元结转下一年度，同时，截止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日，公司资本公积金为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778,993,237.65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拟以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207,400,000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股为基数进行资本公积转增股本，每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338" w:lineRule="auto" w:before="49"/>
        <w:ind w:left="572" w:right="4017" w:hanging="420"/>
        <w:jc w:val="left"/>
      </w:pPr>
      <w:bookmarkStart w:name="十四、社会责任情况" w:id="56"/>
      <w:bookmarkEnd w:id="56"/>
      <w:r>
        <w:rPr/>
      </w:r>
      <w:bookmarkStart w:name="十五、报告期内接待调研、沟通、采访等活动登记表" w:id="57"/>
      <w:bookmarkEnd w:id="57"/>
      <w:r>
        <w:rPr/>
      </w:r>
      <w:r>
        <w:rPr/>
        <w:t>公司近</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 公司自</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日上市以来，已完成两次权益分派。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年度权益分派方案：</w:t>
      </w:r>
    </w:p>
    <w:p>
      <w:pPr>
        <w:pStyle w:val="BodyText"/>
        <w:spacing w:line="300" w:lineRule="auto" w:before="22"/>
        <w:ind w:right="177" w:firstLine="419"/>
        <w:jc w:val="both"/>
      </w:pPr>
      <w:r>
        <w:rPr/>
        <w:t>以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年年末总股本</w:t>
      </w:r>
      <w:r>
        <w:rPr>
          <w:rFonts w:ascii="Times New Roman" w:hAnsi="Times New Roman" w:cs="Times New Roman" w:eastAsia="Times New Roman" w:hint="default"/>
        </w:rPr>
        <w:t>103,700,000</w:t>
      </w:r>
      <w:r>
        <w:rPr/>
        <w:t>股为基数，向全体股东每</w:t>
      </w:r>
      <w:r>
        <w:rPr>
          <w:rFonts w:ascii="Times New Roman" w:hAnsi="Times New Roman" w:cs="Times New Roman" w:eastAsia="Times New Roman" w:hint="default"/>
        </w:rPr>
        <w:t>10</w:t>
      </w:r>
      <w:r>
        <w:rPr/>
        <w:t>股派现金</w:t>
      </w:r>
      <w:r>
        <w:rPr>
          <w:rFonts w:ascii="Times New Roman" w:hAnsi="Times New Roman" w:cs="Times New Roman" w:eastAsia="Times New Roman" w:hint="default"/>
        </w:rPr>
        <w:t>6</w:t>
      </w:r>
      <w:r>
        <w:rPr/>
        <w:t>元（含税），共派发股利</w:t>
      </w:r>
      <w:r>
        <w:rPr>
          <w:rFonts w:ascii="Times New Roman" w:hAnsi="Times New Roman" w:cs="Times New Roman" w:eastAsia="Times New Roman" w:hint="default"/>
        </w:rPr>
        <w:t>62,220,000.00</w:t>
      </w:r>
      <w:r>
        <w:rPr/>
        <w:t>元。剩 余未分配利润</w:t>
      </w:r>
      <w:r>
        <w:rPr>
          <w:rFonts w:ascii="Times New Roman" w:hAnsi="Times New Roman" w:cs="Times New Roman" w:eastAsia="Times New Roman" w:hint="default"/>
        </w:rPr>
        <w:t>94,388,966.26</w:t>
      </w:r>
      <w:r>
        <w:rPr/>
        <w:t>元结转下一年度。</w:t>
      </w:r>
    </w:p>
    <w:p>
      <w:pPr>
        <w:pStyle w:val="BodyText"/>
        <w:spacing w:line="340" w:lineRule="auto" w:before="51"/>
        <w:ind w:left="572" w:right="147"/>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年度权益分派方案： </w:t>
      </w:r>
      <w:r>
        <w:rPr>
          <w:spacing w:val="-1"/>
        </w:rPr>
        <w:t>以</w:t>
      </w:r>
      <w:r>
        <w:rPr>
          <w:rFonts w:ascii="Times New Roman" w:hAnsi="Times New Roman" w:cs="Times New Roman" w:eastAsia="Times New Roman" w:hint="default"/>
          <w:spacing w:val="-1"/>
        </w:rPr>
        <w:t>2011</w:t>
      </w:r>
      <w:r>
        <w:rPr>
          <w:spacing w:val="-1"/>
        </w:rPr>
        <w:t>年年末总股本</w:t>
      </w:r>
      <w:r>
        <w:rPr>
          <w:rFonts w:ascii="Times New Roman" w:hAnsi="Times New Roman" w:cs="Times New Roman" w:eastAsia="Times New Roman" w:hint="default"/>
          <w:spacing w:val="-1"/>
        </w:rPr>
        <w:t>103,700,000</w:t>
      </w:r>
      <w:r>
        <w:rPr>
          <w:spacing w:val="-1"/>
        </w:rPr>
        <w:t>股为基数，向全体股东每</w:t>
      </w:r>
      <w:r>
        <w:rPr>
          <w:rFonts w:ascii="Times New Roman" w:hAnsi="Times New Roman" w:cs="Times New Roman" w:eastAsia="Times New Roman" w:hint="default"/>
          <w:spacing w:val="-1"/>
        </w:rPr>
        <w:t>10</w:t>
      </w:r>
      <w:r>
        <w:rPr>
          <w:spacing w:val="-1"/>
        </w:rPr>
        <w:t>股派现金</w:t>
      </w:r>
      <w:r>
        <w:rPr>
          <w:rFonts w:ascii="Times New Roman" w:hAnsi="Times New Roman" w:cs="Times New Roman" w:eastAsia="Times New Roman" w:hint="default"/>
          <w:spacing w:val="-1"/>
        </w:rPr>
        <w:t>3</w:t>
      </w:r>
      <w:r>
        <w:rPr>
          <w:spacing w:val="-1"/>
        </w:rPr>
        <w:t>元（含税），共派发股利</w:t>
      </w:r>
      <w:r>
        <w:rPr>
          <w:rFonts w:ascii="Times New Roman" w:hAnsi="Times New Roman" w:cs="Times New Roman" w:eastAsia="Times New Roman" w:hint="default"/>
          <w:spacing w:val="-1"/>
        </w:rPr>
        <w:t>31,110,000.00</w:t>
      </w:r>
      <w:r>
        <w:rPr>
          <w:spacing w:val="-1"/>
        </w:rPr>
        <w:t>元，剩余</w:t>
      </w:r>
    </w:p>
    <w:p>
      <w:pPr>
        <w:pStyle w:val="BodyText"/>
        <w:spacing w:line="228" w:lineRule="exact"/>
        <w:ind w:right="0"/>
        <w:jc w:val="left"/>
      </w:pPr>
      <w:r>
        <w:rPr/>
        <w:t>未分配利润</w:t>
      </w:r>
      <w:r>
        <w:rPr>
          <w:rFonts w:ascii="Times New Roman" w:hAnsi="Times New Roman" w:cs="Times New Roman" w:eastAsia="Times New Roman" w:hint="default"/>
        </w:rPr>
        <w:t>171,087,983.12</w:t>
      </w:r>
      <w:r>
        <w:rPr/>
        <w:t>元结转下一年度，同时，截止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日，公司资本公积金为</w:t>
      </w:r>
      <w:r>
        <w:rPr>
          <w:rFonts w:ascii="Times New Roman" w:hAnsi="Times New Roman" w:cs="Times New Roman" w:eastAsia="Times New Roman" w:hint="default"/>
        </w:rPr>
        <w:t>882,693,237.65</w:t>
      </w:r>
      <w:r>
        <w:rPr/>
        <w:t>元，拟以</w:t>
      </w:r>
      <w:r>
        <w:rPr>
          <w:rFonts w:ascii="Times New Roman" w:hAnsi="Times New Roman" w:cs="Times New Roman" w:eastAsia="Times New Roman" w:hint="default"/>
        </w:rPr>
        <w:t>2011</w:t>
      </w:r>
      <w:r>
        <w:rPr/>
        <w:t>年</w:t>
      </w:r>
    </w:p>
    <w:p>
      <w:pPr>
        <w:pStyle w:val="BodyText"/>
        <w:spacing w:line="240" w:lineRule="auto" w:before="62"/>
        <w:ind w:right="147"/>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103,700,000</w:t>
      </w:r>
      <w:r>
        <w:rPr/>
        <w:t>股为基数进行资本公积转增股本，每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pStyle w:val="BodyText"/>
        <w:spacing w:line="300" w:lineRule="auto" w:before="103"/>
        <w:ind w:right="151" w:firstLine="420"/>
        <w:jc w:val="both"/>
      </w:pPr>
      <w:r>
        <w:rPr>
          <w:rFonts w:ascii="Times New Roman" w:hAnsi="Times New Roman" w:cs="Times New Roman" w:eastAsia="Times New Roman" w:hint="default"/>
          <w:spacing w:val="-1"/>
        </w:rPr>
        <w:t>2012</w:t>
      </w:r>
      <w:r>
        <w:rPr>
          <w:spacing w:val="-1"/>
        </w:rPr>
        <w:t>年度利润分配方案为拟以</w:t>
      </w:r>
      <w:r>
        <w:rPr>
          <w:rFonts w:ascii="Times New Roman" w:hAnsi="Times New Roman" w:cs="Times New Roman" w:eastAsia="Times New Roman" w:hint="default"/>
          <w:spacing w:val="-1"/>
        </w:rPr>
        <w:t>2012</w:t>
      </w:r>
      <w:r>
        <w:rPr>
          <w:spacing w:val="-1"/>
        </w:rPr>
        <w:t>年年末总股本</w:t>
      </w:r>
      <w:r>
        <w:rPr>
          <w:rFonts w:ascii="Times New Roman" w:hAnsi="Times New Roman" w:cs="Times New Roman" w:eastAsia="Times New Roman" w:hint="default"/>
          <w:spacing w:val="-1"/>
        </w:rPr>
        <w:t>207,400,000</w:t>
      </w:r>
      <w:r>
        <w:rPr>
          <w:spacing w:val="-1"/>
        </w:rPr>
        <w:t>股为基数，向全体股东每</w:t>
      </w:r>
      <w:r>
        <w:rPr>
          <w:rFonts w:ascii="Times New Roman" w:hAnsi="Times New Roman" w:cs="Times New Roman" w:eastAsia="Times New Roman" w:hint="default"/>
          <w:spacing w:val="-1"/>
        </w:rPr>
        <w:t>10</w:t>
      </w:r>
      <w:r>
        <w:rPr>
          <w:spacing w:val="-1"/>
        </w:rPr>
        <w:t>股派现金</w:t>
      </w:r>
      <w:r>
        <w:rPr>
          <w:rFonts w:ascii="Times New Roman" w:hAnsi="Times New Roman" w:cs="Times New Roman" w:eastAsia="Times New Roman" w:hint="default"/>
          <w:spacing w:val="-1"/>
        </w:rPr>
        <w:t>1.5</w:t>
      </w:r>
      <w:r>
        <w:rPr>
          <w:spacing w:val="-1"/>
        </w:rPr>
        <w:t>元（含税），共派</w:t>
      </w:r>
      <w:r>
        <w:rPr/>
        <w:t> 发股利</w:t>
      </w:r>
      <w:r>
        <w:rPr>
          <w:rFonts w:ascii="Times New Roman" w:hAnsi="Times New Roman" w:cs="Times New Roman" w:eastAsia="Times New Roman" w:hint="default"/>
        </w:rPr>
        <w:t>31,110,000.00</w:t>
      </w:r>
      <w:r>
        <w:rPr/>
        <w:t>元，剩余未分配利润</w:t>
      </w:r>
      <w:r>
        <w:rPr>
          <w:rFonts w:ascii="Times New Roman" w:hAnsi="Times New Roman" w:cs="Times New Roman" w:eastAsia="Times New Roman" w:hint="default"/>
        </w:rPr>
        <w:t>220,091,798.55</w:t>
      </w:r>
      <w:r>
        <w:rPr/>
        <w:t>元结转下一年度，同时，截止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rFonts w:ascii="Times New Roman" w:hAnsi="Times New Roman" w:cs="Times New Roman" w:eastAsia="Times New Roman" w:hint="default"/>
        </w:rPr>
        <w:t>31</w:t>
      </w:r>
      <w:r>
        <w:rPr/>
        <w:t>日，公司资本公积金为 </w:t>
      </w:r>
      <w:r>
        <w:rPr>
          <w:rFonts w:ascii="Times New Roman" w:hAnsi="Times New Roman" w:cs="Times New Roman" w:eastAsia="Times New Roman" w:hint="default"/>
        </w:rPr>
        <w:t>778,993,237.65</w:t>
      </w:r>
      <w:r>
        <w:rPr/>
        <w:t>元，拟以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207,400,000</w:t>
      </w:r>
      <w:r>
        <w:rPr/>
        <w:t>股为基数进行资本公积转增股本，每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p>
    <w:p>
      <w:pPr>
        <w:pStyle w:val="BodyText"/>
        <w:spacing w:line="240" w:lineRule="auto" w:before="51"/>
        <w:ind w:right="147"/>
        <w:jc w:val="left"/>
      </w:pPr>
      <w:r>
        <w:rPr/>
        <w:t>公司近三年现金分红情况表</w:t>
      </w:r>
    </w:p>
    <w:p>
      <w:pPr>
        <w:pStyle w:val="BodyText"/>
        <w:spacing w:line="240" w:lineRule="auto" w:before="117"/>
        <w:ind w:left="0" w:right="153"/>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4D4D4"/>
          </w:tcPr>
          <w:p>
            <w:pPr/>
          </w:p>
        </w:tc>
        <w:tc>
          <w:tcPr>
            <w:tcW w:w="2402"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90" w:right="110"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4D4D4"/>
          </w:tcPr>
          <w:p>
            <w:pP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4D4D4"/>
          </w:tcPr>
          <w:p>
            <w:pPr/>
          </w:p>
        </w:tc>
        <w:tc>
          <w:tcPr>
            <w:tcW w:w="2402"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31,110,000.00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124,344,607.19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31,110,000.00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119,476,714.75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26.04%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62,220,000.00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78,092,435.06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79.67%</w:t>
            </w:r>
          </w:p>
        </w:tc>
      </w:tr>
    </w:tbl>
    <w:p>
      <w:pPr>
        <w:pStyle w:val="BodyText"/>
        <w:spacing w:line="240" w:lineRule="auto" w:before="49"/>
        <w:ind w:right="147"/>
        <w:jc w:val="left"/>
      </w:pPr>
      <w:r>
        <w:rPr/>
        <w:t>公司报告期内盈利且母公司未分配利润为正但未提出现金红利分配预案</w:t>
      </w:r>
    </w:p>
    <w:p>
      <w:pPr>
        <w:pStyle w:val="BodyText"/>
        <w:spacing w:line="240" w:lineRule="auto" w:before="115"/>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7"/>
        <w:jc w:val="left"/>
        <w:rPr>
          <w:b w:val="0"/>
          <w:bCs w:val="0"/>
        </w:rPr>
      </w:pPr>
      <w:r>
        <w:rPr/>
        <w:t>十四、社会责任情况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7"/>
        <w:jc w:val="left"/>
      </w:pPr>
      <w:r>
        <w:rPr/>
        <w:t>《福建榕基软件股份有限公司</w:t>
      </w:r>
      <w:r>
        <w:rPr>
          <w:rFonts w:ascii="Times New Roman" w:hAnsi="Times New Roman" w:cs="Times New Roman" w:eastAsia="Times New Roman" w:hint="default"/>
        </w:rPr>
        <w:t>2012</w:t>
      </w:r>
      <w:r>
        <w:rPr/>
        <w:t>年度社会责任报告》</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日披露于巨潮资讯网。</w:t>
      </w:r>
    </w:p>
    <w:p>
      <w:pPr>
        <w:spacing w:line="240" w:lineRule="auto" w:before="3"/>
        <w:rPr>
          <w:rFonts w:ascii="宋体" w:hAnsi="宋体" w:cs="宋体" w:eastAsia="宋体" w:hint="default"/>
          <w:sz w:val="24"/>
          <w:szCs w:val="24"/>
        </w:rPr>
      </w:pPr>
    </w:p>
    <w:p>
      <w:pPr>
        <w:pStyle w:val="Heading2"/>
        <w:spacing w:line="240" w:lineRule="auto"/>
        <w:ind w:right="147"/>
        <w:jc w:val="left"/>
        <w:rPr>
          <w:b w:val="0"/>
          <w:bCs w:val="0"/>
        </w:rPr>
      </w:pPr>
      <w:r>
        <w:rPr/>
        <w:t>十五、报告期内接待调研、沟通、采访等活动登记表</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94"/>
        <w:gridCol w:w="1495"/>
        <w:gridCol w:w="1262"/>
        <w:gridCol w:w="1418"/>
        <w:gridCol w:w="1812"/>
        <w:gridCol w:w="2086"/>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2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859" w:right="47"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403"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榕基软件证券部</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32"/>
              <w:jc w:val="center"/>
              <w:rPr>
                <w:rFonts w:ascii="宋体" w:hAnsi="宋体" w:cs="宋体" w:eastAsia="宋体" w:hint="default"/>
                <w:sz w:val="18"/>
                <w:szCs w:val="18"/>
              </w:rPr>
            </w:pPr>
            <w:r>
              <w:rPr>
                <w:rFonts w:ascii="宋体" w:hAnsi="宋体" w:cs="宋体" w:eastAsia="宋体" w:hint="default"/>
                <w:sz w:val="18"/>
                <w:szCs w:val="18"/>
              </w:rPr>
              <w:t>泰达宏利基金管理有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公司主营业务的具体情况</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5"/>
        <w:gridCol w:w="1495"/>
        <w:gridCol w:w="1262"/>
        <w:gridCol w:w="1418"/>
        <w:gridCol w:w="1812"/>
        <w:gridCol w:w="2086"/>
      </w:tblGrid>
      <w:tr>
        <w:trPr>
          <w:trHeight w:val="362" w:hRule="exact"/>
        </w:trPr>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榕基软件证券部</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华夏基金管理有限公 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公司主营业务的具体情况</w:t>
            </w:r>
          </w:p>
        </w:tc>
      </w:tr>
      <w:tr>
        <w:trPr>
          <w:trHeight w:val="102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榕基软件证券部</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融通基金管理有限公 </w:t>
            </w:r>
            <w:r>
              <w:rPr>
                <w:rFonts w:ascii="宋体" w:hAnsi="宋体" w:cs="宋体" w:eastAsia="宋体" w:hint="default"/>
                <w:spacing w:val="-5"/>
                <w:sz w:val="18"/>
                <w:szCs w:val="18"/>
              </w:rPr>
              <w:t>司、安信证券股份有限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公司主营业务的具体情况</w:t>
            </w:r>
          </w:p>
        </w:tc>
      </w:tr>
      <w:tr>
        <w:trPr>
          <w:trHeight w:val="71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榕基软件证券部</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华宝证券有限责任公 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公司主营业务的具体情况</w:t>
            </w:r>
          </w:p>
        </w:tc>
      </w:tr>
      <w:tr>
        <w:trPr>
          <w:trHeight w:val="71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榕基软件证券部</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华安基金管理有限公 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公司主营业务的具体情况</w:t>
            </w:r>
          </w:p>
        </w:tc>
      </w:tr>
      <w:tr>
        <w:trPr>
          <w:trHeight w:val="258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榕基软件证券部</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上海从容投资管理有 </w:t>
            </w:r>
            <w:r>
              <w:rPr>
                <w:rFonts w:ascii="宋体" w:hAnsi="宋体" w:cs="宋体" w:eastAsia="宋体" w:hint="default"/>
                <w:spacing w:val="-5"/>
                <w:sz w:val="18"/>
                <w:szCs w:val="18"/>
              </w:rPr>
              <w:t>限公司、国金证券股份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有限公司、金鹰基金管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理有限公司、平安资产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管理有限责任公司、深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圳民森投资有限公司、 长信基金管理有限公</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公司主营业务的具体情况</w:t>
            </w:r>
          </w:p>
        </w:tc>
      </w:tr>
      <w:tr>
        <w:trPr>
          <w:trHeight w:val="71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榕基软件证券部</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航天证券有限责任公 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公司主营业务的具体情况</w:t>
            </w:r>
          </w:p>
        </w:tc>
      </w:tr>
      <w:tr>
        <w:trPr>
          <w:trHeight w:val="1649"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榕基软件证券部</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元昊投资管理有限公 </w:t>
            </w:r>
            <w:r>
              <w:rPr>
                <w:rFonts w:ascii="宋体" w:hAnsi="宋体" w:cs="宋体" w:eastAsia="宋体" w:hint="default"/>
                <w:spacing w:val="-5"/>
                <w:sz w:val="18"/>
                <w:szCs w:val="18"/>
              </w:rPr>
              <w:t>司、兴业全球基金管理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有限公司、中银国际证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券有限责任公司、华富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基金管理有限公司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公司主营业务的具体情况</w:t>
            </w:r>
          </w:p>
        </w:tc>
      </w:tr>
      <w:tr>
        <w:trPr>
          <w:trHeight w:val="1651"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榕基软件证券部</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民生证券有限责任公 </w:t>
            </w:r>
            <w:r>
              <w:rPr>
                <w:rFonts w:ascii="宋体" w:hAnsi="宋体" w:cs="宋体" w:eastAsia="宋体" w:hint="default"/>
                <w:spacing w:val="-5"/>
                <w:sz w:val="18"/>
                <w:szCs w:val="18"/>
              </w:rPr>
              <w:t>司、上海凯石投资管理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有限公司、国投瑞银基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金管理有限公司、常州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投资集团有限公司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公司主营业务的具体情况</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1620"/>
        <w:jc w:val="center"/>
        <w:rPr>
          <w:b w:val="0"/>
          <w:bCs w:val="0"/>
        </w:rPr>
      </w:pPr>
      <w:bookmarkStart w:name="三、破产重整相关事项" w:id="58"/>
      <w:bookmarkEnd w:id="58"/>
      <w:r>
        <w:rPr>
          <w:b w:val="0"/>
          <w:bCs w:val="0"/>
        </w:rPr>
      </w:r>
      <w:bookmarkStart w:name="四、资产交易事项" w:id="59"/>
      <w:bookmarkEnd w:id="59"/>
      <w:r>
        <w:rPr>
          <w:b w:val="0"/>
          <w:bCs w:val="0"/>
        </w:rPr>
      </w:r>
      <w:bookmarkStart w:name="1、收购资产情况" w:id="60"/>
      <w:bookmarkEnd w:id="60"/>
      <w:r>
        <w:rPr>
          <w:b w:val="0"/>
          <w:bCs w:val="0"/>
        </w:rPr>
      </w:r>
      <w:bookmarkStart w:name="第五节 重要事项" w:id="61"/>
      <w:bookmarkEnd w:id="61"/>
      <w:r>
        <w:rPr>
          <w:b w:val="0"/>
          <w:bCs w:val="0"/>
        </w:rPr>
      </w:r>
      <w:bookmarkStart w:name="_bookmark4" w:id="62"/>
      <w:bookmarkEnd w:id="62"/>
      <w:r>
        <w:rPr>
          <w:b w:val="0"/>
          <w:bCs w:val="0"/>
        </w:rPr>
      </w:r>
      <w:r>
        <w:rPr/>
        <w:t>第五节</w:t>
      </w:r>
      <w:r>
        <w:rPr>
          <w:spacing w:val="-4"/>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7"/>
        <w:jc w:val="left"/>
        <w:rPr>
          <w:b w:val="0"/>
          <w:bCs w:val="0"/>
        </w:rPr>
      </w:pPr>
      <w:r>
        <w:rPr/>
        <w:t>一、重大诉讼</w:t>
      </w:r>
      <w:bookmarkStart w:name="一、重大诉讼仲裁事项" w:id="63"/>
      <w:bookmarkEnd w:id="63"/>
      <w:r>
        <w:rPr/>
        <w:t>仲</w:t>
      </w:r>
      <w:r>
        <w:rPr/>
        <w:t>裁事项</w:t>
      </w:r>
      <w:r>
        <w:rPr>
          <w:b w:val="0"/>
          <w:bCs w:val="0"/>
        </w:rPr>
      </w:r>
    </w:p>
    <w:p>
      <w:pPr>
        <w:spacing w:line="240" w:lineRule="auto" w:before="4"/>
        <w:rPr>
          <w:rFonts w:ascii="宋体" w:hAnsi="宋体" w:cs="宋体" w:eastAsia="宋体" w:hint="default"/>
          <w:b/>
          <w:bCs/>
          <w:sz w:val="26"/>
          <w:szCs w:val="26"/>
        </w:rPr>
      </w:pPr>
    </w:p>
    <w:p>
      <w:pPr>
        <w:pStyle w:val="BodyText"/>
        <w:spacing w:line="348" w:lineRule="auto"/>
        <w:ind w:right="68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 媒体质疑情况</w:t>
      </w:r>
    </w:p>
    <w:p>
      <w:pPr>
        <w:pStyle w:val="BodyText"/>
        <w:spacing w:line="340" w:lineRule="auto" w:before="36"/>
        <w:ind w:left="153" w:right="743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本年度公司无媒体质疑事项。</w:t>
      </w:r>
    </w:p>
    <w:p>
      <w:pPr>
        <w:spacing w:line="240" w:lineRule="auto" w:before="4"/>
        <w:rPr>
          <w:rFonts w:ascii="宋体" w:hAnsi="宋体" w:cs="宋体" w:eastAsia="宋体" w:hint="default"/>
          <w:sz w:val="19"/>
          <w:szCs w:val="19"/>
        </w:rPr>
      </w:pPr>
    </w:p>
    <w:p>
      <w:pPr>
        <w:pStyle w:val="Heading2"/>
        <w:spacing w:line="240" w:lineRule="auto"/>
        <w:ind w:right="147"/>
        <w:jc w:val="left"/>
        <w:rPr>
          <w:b w:val="0"/>
          <w:bCs w:val="0"/>
        </w:rPr>
      </w:pPr>
      <w:r>
        <w:rPr/>
        <w:t>二、上市公司发生控股股东及其关联</w:t>
      </w:r>
      <w:bookmarkStart w:name="二、上市公司发生控股股东及其关联方非经营性占用资金情况" w:id="64"/>
      <w:bookmarkEnd w:id="64"/>
      <w:r>
        <w:rPr/>
        <w:t>方</w:t>
      </w:r>
      <w:r>
        <w:rPr/>
        <w:t>非经营性占用资金情况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56"/>
        <w:gridCol w:w="958"/>
        <w:gridCol w:w="946"/>
        <w:gridCol w:w="970"/>
        <w:gridCol w:w="958"/>
        <w:gridCol w:w="955"/>
        <w:gridCol w:w="958"/>
        <w:gridCol w:w="955"/>
        <w:gridCol w:w="958"/>
        <w:gridCol w:w="958"/>
      </w:tblGrid>
      <w:tr>
        <w:trPr>
          <w:trHeight w:val="1027" w:hRule="exact"/>
        </w:trPr>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02" w:right="23" w:hanging="180"/>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23" w:hanging="272"/>
              <w:jc w:val="left"/>
              <w:rPr>
                <w:rFonts w:ascii="宋体" w:hAnsi="宋体" w:cs="宋体" w:eastAsia="宋体" w:hint="default"/>
                <w:sz w:val="18"/>
                <w:szCs w:val="18"/>
              </w:rPr>
            </w:pPr>
            <w:r>
              <w:rPr>
                <w:rFonts w:ascii="宋体" w:hAnsi="宋体" w:cs="宋体" w:eastAsia="宋体" w:hint="default"/>
                <w:sz w:val="18"/>
                <w:szCs w:val="18"/>
              </w:rPr>
              <w:t>期初数（万 元）</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2" w:right="23" w:hanging="89"/>
              <w:jc w:val="left"/>
              <w:rPr>
                <w:rFonts w:ascii="宋体" w:hAnsi="宋体" w:cs="宋体" w:eastAsia="宋体" w:hint="default"/>
                <w:sz w:val="18"/>
                <w:szCs w:val="18"/>
              </w:rPr>
            </w:pPr>
            <w:r>
              <w:rPr>
                <w:rFonts w:ascii="宋体" w:hAnsi="宋体" w:cs="宋体" w:eastAsia="宋体" w:hint="default"/>
                <w:sz w:val="18"/>
                <w:szCs w:val="18"/>
              </w:rPr>
              <w:t>报告期新增 占用金额</w:t>
            </w:r>
          </w:p>
          <w:p>
            <w:pPr>
              <w:pStyle w:val="TableParagraph"/>
              <w:spacing w:line="240" w:lineRule="auto" w:before="19"/>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19"/>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92" w:right="23" w:hanging="269"/>
              <w:jc w:val="left"/>
              <w:rPr>
                <w:rFonts w:ascii="宋体" w:hAnsi="宋体" w:cs="宋体" w:eastAsia="宋体" w:hint="default"/>
                <w:sz w:val="18"/>
                <w:szCs w:val="18"/>
              </w:rPr>
            </w:pPr>
            <w:r>
              <w:rPr>
                <w:rFonts w:ascii="宋体" w:hAnsi="宋体" w:cs="宋体" w:eastAsia="宋体" w:hint="default"/>
                <w:sz w:val="18"/>
                <w:szCs w:val="18"/>
              </w:rPr>
              <w:t>期末数（万 元）</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40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6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86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期末合计值占期末净资产的比例</w:t>
            </w:r>
            <w:r>
              <w:rPr>
                <w:rFonts w:ascii="Times New Roman" w:hAnsi="Times New Roman" w:cs="Times New Roman" w:eastAsia="Times New Roman" w:hint="default"/>
                <w:sz w:val="18"/>
                <w:szCs w:val="18"/>
              </w:rPr>
              <w:t>(%)</w:t>
            </w:r>
          </w:p>
        </w:tc>
        <w:tc>
          <w:tcPr>
            <w:tcW w:w="6710" w:type="dxa"/>
            <w:gridSpan w:val="7"/>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1339" w:hRule="exact"/>
        </w:trPr>
        <w:tc>
          <w:tcPr>
            <w:tcW w:w="286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5"/>
                <w:sz w:val="18"/>
                <w:szCs w:val="18"/>
              </w:rPr>
              <w:t>营性资金占用情况的原因、责任人追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究及董事会拟定采取措施的情况说 明</w:t>
            </w:r>
          </w:p>
        </w:tc>
        <w:tc>
          <w:tcPr>
            <w:tcW w:w="6710" w:type="dxa"/>
            <w:gridSpan w:val="7"/>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286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5"/>
                <w:sz w:val="18"/>
                <w:szCs w:val="18"/>
              </w:rPr>
              <w:t>的原因、责任追究情况及董事会拟定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采取的措施说明</w:t>
            </w:r>
          </w:p>
        </w:tc>
        <w:tc>
          <w:tcPr>
            <w:tcW w:w="6710" w:type="dxa"/>
            <w:gridSpan w:val="7"/>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6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25"/>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10" w:type="dxa"/>
            <w:gridSpan w:val="7"/>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713" w:hRule="exact"/>
        </w:trPr>
        <w:tc>
          <w:tcPr>
            <w:tcW w:w="286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25"/>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10" w:type="dxa"/>
            <w:gridSpan w:val="7"/>
            <w:tcBorders>
              <w:top w:val="single" w:sz="4" w:space="0" w:color="000000"/>
              <w:left w:val="single" w:sz="10" w:space="0" w:color="D4D4D4"/>
              <w:bottom w:val="single" w:sz="4" w:space="0" w:color="000000"/>
              <w:right w:val="single" w:sz="4" w:space="0" w:color="000000"/>
            </w:tcBorders>
          </w:tcPr>
          <w:p>
            <w:pPr>
              <w:pStyle w:val="TableParagraph"/>
              <w:spacing w:line="300" w:lineRule="auto" w:before="49"/>
              <w:ind w:left="28" w:right="22"/>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日巨潮资讯网</w:t>
            </w:r>
            <w:r>
              <w:rPr>
                <w:rFonts w:ascii="宋体" w:hAnsi="宋体" w:cs="宋体" w:eastAsia="宋体" w:hint="default"/>
                <w:spacing w:val="-50"/>
                <w:sz w:val="18"/>
                <w:szCs w:val="18"/>
              </w:rPr>
              <w:t> </w:t>
            </w:r>
            <w:hyperlink r:id="rId13">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的《关于公司控股股东及 </w:t>
            </w:r>
            <w:r>
              <w:rPr>
                <w:rFonts w:ascii="宋体" w:hAnsi="宋体" w:cs="宋体" w:eastAsia="宋体" w:hint="default"/>
                <w:spacing w:val="-6"/>
                <w:sz w:val="18"/>
                <w:szCs w:val="18"/>
              </w:rPr>
              <w:t>其他关联方资金占用情况的专项说明》。</w:t>
            </w:r>
          </w:p>
        </w:tc>
      </w:tr>
    </w:tbl>
    <w:p>
      <w:pPr>
        <w:spacing w:line="240" w:lineRule="auto" w:before="1"/>
        <w:rPr>
          <w:rFonts w:ascii="宋体" w:hAnsi="宋体" w:cs="宋体" w:eastAsia="宋体" w:hint="default"/>
          <w:b/>
          <w:bCs/>
          <w:sz w:val="18"/>
          <w:szCs w:val="18"/>
        </w:rPr>
      </w:pPr>
    </w:p>
    <w:p>
      <w:pPr>
        <w:pStyle w:val="Heading2"/>
        <w:spacing w:line="240" w:lineRule="auto" w:before="26"/>
        <w:ind w:right="147"/>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3"/>
        <w:rPr>
          <w:rFonts w:ascii="宋体" w:hAnsi="宋体" w:cs="宋体" w:eastAsia="宋体" w:hint="default"/>
          <w:sz w:val="25"/>
          <w:szCs w:val="25"/>
        </w:rPr>
      </w:pPr>
    </w:p>
    <w:p>
      <w:pPr>
        <w:spacing w:line="506" w:lineRule="auto" w:before="0"/>
        <w:ind w:left="152" w:right="7853" w:firstLine="0"/>
        <w:jc w:val="left"/>
        <w:rPr>
          <w:rFonts w:ascii="宋体" w:hAnsi="宋体" w:cs="宋体" w:eastAsia="宋体" w:hint="default"/>
          <w:sz w:val="18"/>
          <w:szCs w:val="18"/>
        </w:rPr>
      </w:pPr>
      <w:r>
        <w:rPr>
          <w:rFonts w:ascii="宋体" w:hAnsi="宋体" w:cs="宋体" w:eastAsia="宋体" w:hint="default"/>
          <w:b/>
          <w:bCs/>
          <w:sz w:val="24"/>
          <w:szCs w:val="24"/>
        </w:rPr>
        <w:t>四、资产交易事项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b/>
          <w:bCs/>
          <w:spacing w:val="-103"/>
          <w:sz w:val="21"/>
          <w:szCs w:val="21"/>
        </w:rPr>
        <w:t> </w:t>
      </w:r>
      <w:r>
        <w:rPr>
          <w:rFonts w:ascii="宋体" w:hAnsi="宋体" w:cs="宋体" w:eastAsia="宋体" w:hint="default"/>
          <w:sz w:val="18"/>
          <w:szCs w:val="18"/>
        </w:rPr>
        <w:t>无。</w:t>
      </w:r>
    </w:p>
    <w:p>
      <w:pPr>
        <w:spacing w:after="0" w:line="50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7"/>
        <w:jc w:val="left"/>
        <w:rPr>
          <w:b w:val="0"/>
          <w:bCs w:val="0"/>
        </w:rPr>
      </w:pPr>
      <w:bookmarkStart w:name="1、与日常经营相关的关联交易" w:id="65"/>
      <w:bookmarkEnd w:id="65"/>
      <w:r>
        <w:rPr>
          <w:b w:val="0"/>
          <w:bCs w:val="0"/>
        </w:rPr>
      </w:r>
      <w:bookmarkStart w:name="2、资产收购、出售发生的关联交易" w:id="66"/>
      <w:bookmarkEnd w:id="66"/>
      <w:r>
        <w:rPr>
          <w:b w:val="0"/>
          <w:bCs w:val="0"/>
        </w:rPr>
      </w:r>
      <w:bookmarkStart w:name="3、共同对外投资的重大关联交易" w:id="67"/>
      <w:bookmarkEnd w:id="67"/>
      <w:r>
        <w:rPr>
          <w:b w:val="0"/>
          <w:bCs w:val="0"/>
        </w:rPr>
      </w:r>
      <w:bookmarkStart w:name="4、关联债权债务往来" w:id="68"/>
      <w:bookmarkEnd w:id="68"/>
      <w:r>
        <w:rPr>
          <w:b w:val="0"/>
          <w:bCs w:val="0"/>
        </w:rPr>
      </w:r>
      <w:bookmarkStart w:name="5、其他重大关联交易" w:id="69"/>
      <w:bookmarkEnd w:id="69"/>
      <w:r>
        <w:rPr>
          <w:b w:val="0"/>
          <w:bCs w:val="0"/>
        </w:rPr>
      </w:r>
      <w:bookmarkStart w:name="七、重大合同及其履行情况" w:id="70"/>
      <w:bookmarkEnd w:id="70"/>
      <w:r>
        <w:rPr>
          <w:b w:val="0"/>
          <w:bCs w:val="0"/>
        </w:rPr>
      </w:r>
      <w:bookmarkStart w:name="1、托管、承包、租赁事项情况" w:id="71"/>
      <w:bookmarkEnd w:id="71"/>
      <w:r>
        <w:rPr>
          <w:b w:val="0"/>
          <w:bCs w:val="0"/>
        </w:rPr>
      </w:r>
      <w:bookmarkStart w:name="（1）托管情况" w:id="72"/>
      <w:bookmarkEnd w:id="72"/>
      <w:r>
        <w:rPr>
          <w:b w:val="0"/>
          <w:bCs w:val="0"/>
        </w:rPr>
      </w:r>
      <w:r>
        <w:rPr>
          <w:rFonts w:ascii="Times New Roman" w:hAnsi="Times New Roman" w:cs="Times New Roman" w:eastAsia="Times New Roman" w:hint="default"/>
        </w:rPr>
        <w:t>2</w:t>
      </w:r>
      <w:bookmarkStart w:name="2、出售资产情况" w:id="73"/>
      <w:bookmarkEnd w:id="73"/>
      <w:r>
        <w:rPr>
          <w:rFonts w:ascii="Times New Roman" w:hAnsi="Times New Roman" w:cs="Times New Roman" w:eastAsia="Times New Roman" w:hint="default"/>
        </w:rPr>
      </w:r>
      <w:r>
        <w:rPr/>
        <w:t>、出售资产情况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3</w:t>
      </w:r>
      <w:bookmarkStart w:name="3、企业合并情况" w:id="74"/>
      <w:bookmarkEnd w:id="74"/>
      <w:r>
        <w:rPr>
          <w:rFonts w:ascii="Times New Roman" w:hAnsi="Times New Roman" w:cs="Times New Roman" w:eastAsia="Times New Roman" w:hint="default"/>
        </w:rPr>
      </w:r>
      <w:r>
        <w:rPr/>
        <w:t>、企业合并情况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3"/>
        <w:rPr>
          <w:rFonts w:ascii="宋体" w:hAnsi="宋体" w:cs="宋体" w:eastAsia="宋体" w:hint="default"/>
          <w:sz w:val="25"/>
          <w:szCs w:val="25"/>
        </w:rPr>
      </w:pPr>
    </w:p>
    <w:p>
      <w:pPr>
        <w:pStyle w:val="Heading2"/>
        <w:spacing w:line="240" w:lineRule="auto"/>
        <w:ind w:right="147"/>
        <w:jc w:val="left"/>
        <w:rPr>
          <w:b w:val="0"/>
          <w:bCs w:val="0"/>
        </w:rPr>
      </w:pPr>
      <w:r>
        <w:rPr/>
        <w:t>五、公司股权激励</w:t>
      </w:r>
      <w:bookmarkStart w:name="五、公司股权激励的实施情况及其影响" w:id="75"/>
      <w:bookmarkEnd w:id="75"/>
      <w:r>
        <w:rPr/>
        <w:t>的实</w:t>
      </w:r>
      <w:r>
        <w:rPr/>
        <w:t>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3"/>
        <w:rPr>
          <w:rFonts w:ascii="宋体" w:hAnsi="宋体" w:cs="宋体" w:eastAsia="宋体" w:hint="default"/>
          <w:sz w:val="25"/>
          <w:szCs w:val="25"/>
        </w:rPr>
      </w:pPr>
    </w:p>
    <w:p>
      <w:pPr>
        <w:spacing w:line="506" w:lineRule="auto" w:before="0"/>
        <w:ind w:left="152" w:right="5454" w:firstLine="0"/>
        <w:jc w:val="left"/>
        <w:rPr>
          <w:rFonts w:ascii="宋体" w:hAnsi="宋体" w:cs="宋体" w:eastAsia="宋体" w:hint="default"/>
          <w:sz w:val="18"/>
          <w:szCs w:val="18"/>
        </w:rPr>
      </w:pPr>
      <w:r>
        <w:rPr>
          <w:rFonts w:ascii="宋体" w:hAnsi="宋体" w:cs="宋体" w:eastAsia="宋体" w:hint="default"/>
          <w:b/>
          <w:bCs/>
          <w:sz w:val="24"/>
          <w:szCs w:val="24"/>
        </w:rPr>
        <w:t>六、重大关联交易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b/>
          <w:bCs/>
          <w:w w:val="100"/>
          <w:sz w:val="21"/>
          <w:szCs w:val="21"/>
        </w:rPr>
        <w:t> </w:t>
      </w:r>
      <w:r>
        <w:rPr>
          <w:rFonts w:ascii="宋体" w:hAnsi="宋体" w:cs="宋体" w:eastAsia="宋体" w:hint="default"/>
          <w:sz w:val="18"/>
          <w:szCs w:val="18"/>
        </w:rPr>
        <w:t>报告期内，未发生重大关联交易事项。</w:t>
      </w:r>
    </w:p>
    <w:p>
      <w:pPr>
        <w:pStyle w:val="Heading3"/>
        <w:spacing w:line="240" w:lineRule="auto" w:before="153"/>
        <w:ind w:right="147"/>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报告期内，未发生</w:t>
      </w:r>
      <w:bookmarkStart w:name="六、重大关联交易" w:id="76"/>
      <w:bookmarkEnd w:id="76"/>
      <w:r>
        <w:rPr/>
        <w:t>资产收购、出售发生的关联交易。</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报告期内，未发生共同对外投资的重大关联交易事项。</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是否存在非经营性关联债权债务往来</w:t>
      </w:r>
    </w:p>
    <w:p>
      <w:pPr>
        <w:spacing w:line="547" w:lineRule="auto" w:before="117"/>
        <w:ind w:left="152" w:right="7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2"/>
        <w:spacing w:line="240" w:lineRule="auto" w:before="100"/>
        <w:ind w:right="147"/>
        <w:jc w:val="left"/>
        <w:rPr>
          <w:b w:val="0"/>
          <w:bCs w:val="0"/>
        </w:rPr>
      </w:pP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7"/>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2</w:t>
      </w:r>
      <w:bookmarkStart w:name="（2）承包情况" w:id="77"/>
      <w:bookmarkEnd w:id="77"/>
      <w:r>
        <w:rPr>
          <w:rFonts w:ascii="Times New Roman" w:hAnsi="Times New Roman" w:cs="Times New Roman" w:eastAsia="Times New Roman" w:hint="default"/>
        </w:rPr>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47"/>
        <w:jc w:val="left"/>
        <w:rPr>
          <w:b w:val="0"/>
          <w:bCs w:val="0"/>
        </w:rPr>
      </w:pPr>
      <w:r>
        <w:rPr/>
        <w:t>（</w:t>
      </w:r>
      <w:r>
        <w:rPr>
          <w:rFonts w:ascii="Times New Roman" w:hAnsi="Times New Roman" w:cs="Times New Roman" w:eastAsia="Times New Roman" w:hint="default"/>
        </w:rPr>
        <w:t>3</w:t>
      </w:r>
      <w:bookmarkStart w:name="（3）租赁情况" w:id="78"/>
      <w:bookmarkEnd w:id="78"/>
      <w:r>
        <w:rPr>
          <w:rFonts w:ascii="Times New Roman" w:hAnsi="Times New Roman" w:cs="Times New Roman" w:eastAsia="Times New Roman" w:hint="default"/>
        </w:rPr>
      </w:r>
      <w:r>
        <w:rPr/>
        <w:t>）租赁情况</w:t>
      </w:r>
      <w:r>
        <w:rPr>
          <w:b w:val="0"/>
          <w:bCs w:val="0"/>
        </w:rPr>
      </w:r>
    </w:p>
    <w:p>
      <w:pPr>
        <w:spacing w:line="240" w:lineRule="auto" w:before="4"/>
        <w:rPr>
          <w:rFonts w:ascii="宋体" w:hAnsi="宋体" w:cs="宋体" w:eastAsia="宋体" w:hint="default"/>
          <w:b/>
          <w:bCs/>
          <w:sz w:val="26"/>
          <w:szCs w:val="26"/>
        </w:rPr>
      </w:pPr>
    </w:p>
    <w:p>
      <w:pPr>
        <w:spacing w:line="547"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b/>
          <w:bCs/>
          <w:spacing w:val="-104"/>
          <w:sz w:val="21"/>
          <w:szCs w:val="21"/>
        </w:rPr>
        <w:t> </w:t>
      </w:r>
      <w:r>
        <w:rPr>
          <w:rFonts w:ascii="宋体" w:hAnsi="宋体" w:cs="宋体" w:eastAsia="宋体" w:hint="default"/>
          <w:sz w:val="18"/>
          <w:szCs w:val="18"/>
        </w:rPr>
        <w:t>报告期内，未发生对外担保。</w:t>
      </w:r>
    </w:p>
    <w:p>
      <w:pPr>
        <w:pStyle w:val="Heading3"/>
        <w:spacing w:line="240" w:lineRule="auto" w:before="123"/>
        <w:ind w:right="147"/>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1620" w:right="881"/>
        <w:jc w:val="center"/>
      </w:pPr>
      <w:r>
        <w:rPr/>
        <w:pict>
          <v:shape style="position:absolute;margin-left:56.400002pt;margin-top:-31.928286pt;width:478.95pt;height:134.3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1"/>
                    <w:gridCol w:w="869"/>
                    <w:gridCol w:w="871"/>
                    <w:gridCol w:w="869"/>
                    <w:gridCol w:w="68"/>
                    <w:gridCol w:w="803"/>
                    <w:gridCol w:w="866"/>
                    <w:gridCol w:w="68"/>
                    <w:gridCol w:w="800"/>
                    <w:gridCol w:w="869"/>
                    <w:gridCol w:w="869"/>
                    <w:gridCol w:w="871"/>
                    <w:gridCol w:w="869"/>
                  </w:tblGrid>
                  <w:tr>
                    <w:trPr>
                      <w:trHeight w:val="1339" w:hRule="exact"/>
                    </w:trPr>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34" w:firstLine="45"/>
                          <w:jc w:val="both"/>
                          <w:rPr>
                            <w:rFonts w:ascii="宋体" w:hAnsi="宋体" w:cs="宋体" w:eastAsia="宋体" w:hint="default"/>
                            <w:sz w:val="18"/>
                            <w:szCs w:val="18"/>
                          </w:rPr>
                        </w:pPr>
                        <w:r>
                          <w:rPr>
                            <w:rFonts w:ascii="宋体" w:hAnsi="宋体" w:cs="宋体" w:eastAsia="宋体" w:hint="default"/>
                            <w:sz w:val="18"/>
                            <w:szCs w:val="18"/>
                          </w:rPr>
                          <w:t>合同涉及 资产的账 </w:t>
                        </w:r>
                        <w:r>
                          <w:rPr>
                            <w:rFonts w:ascii="宋体" w:hAnsi="宋体" w:cs="宋体" w:eastAsia="宋体" w:hint="default"/>
                            <w:spacing w:val="-18"/>
                            <w:sz w:val="18"/>
                            <w:szCs w:val="18"/>
                          </w:rPr>
                          <w:t>面价值（万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元）（如有）</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19" w:firstLine="45"/>
                          <w:jc w:val="both"/>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18"/>
                            <w:sz w:val="18"/>
                            <w:szCs w:val="18"/>
                          </w:rPr>
                          <w:t>估价值（万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6"/>
                            <w:sz w:val="18"/>
                            <w:szCs w:val="18"/>
                          </w:rPr>
                          <w:t>元）（如有</w:t>
                        </w:r>
                      </w:p>
                    </w:tc>
                    <w:tc>
                      <w:tcPr>
                        <w:tcW w:w="68" w:type="dxa"/>
                        <w:tcBorders>
                          <w:top w:val="single" w:sz="4" w:space="0" w:color="000000"/>
                          <w:left w:val="single" w:sz="4" w:space="0" w:color="000000"/>
                          <w:bottom w:val="single" w:sz="4" w:space="0" w:color="000000"/>
                          <w:right w:val="nil" w:sz="6" w:space="0" w:color="auto"/>
                        </w:tcBorders>
                        <w:shd w:val="clear" w:color="auto" w:fill="D4D4D4"/>
                      </w:tcPr>
                      <w:p>
                        <w:pPr/>
                      </w:p>
                    </w:tc>
                    <w:tc>
                      <w:tcPr>
                        <w:tcW w:w="803"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 w:right="71"/>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65" w:firstLine="45"/>
                          <w:jc w:val="left"/>
                          <w:rPr>
                            <w:rFonts w:ascii="宋体" w:hAnsi="宋体" w:cs="宋体" w:eastAsia="宋体" w:hint="default"/>
                            <w:sz w:val="18"/>
                            <w:szCs w:val="18"/>
                          </w:rPr>
                        </w:pPr>
                        <w:r>
                          <w:rPr>
                            <w:rFonts w:ascii="宋体" w:hAnsi="宋体" w:cs="宋体" w:eastAsia="宋体" w:hint="default"/>
                            <w:sz w:val="18"/>
                            <w:szCs w:val="18"/>
                          </w:rPr>
                          <w:t>评估基准 日（如有</w:t>
                        </w:r>
                      </w:p>
                    </w:tc>
                    <w:tc>
                      <w:tcPr>
                        <w:tcW w:w="68" w:type="dxa"/>
                        <w:tcBorders>
                          <w:top w:val="single" w:sz="4" w:space="0" w:color="000000"/>
                          <w:left w:val="single" w:sz="4" w:space="0" w:color="000000"/>
                          <w:bottom w:val="single" w:sz="4" w:space="0" w:color="000000"/>
                          <w:right w:val="nil" w:sz="6" w:space="0" w:color="auto"/>
                        </w:tcBorders>
                        <w:shd w:val="clear" w:color="auto" w:fill="D4D4D4"/>
                      </w:tcPr>
                      <w:p>
                        <w:pPr/>
                      </w:p>
                    </w:tc>
                    <w:tc>
                      <w:tcPr>
                        <w:tcW w:w="800"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9" w:right="67"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1337"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15"/>
                          <w:jc w:val="both"/>
                          <w:rPr>
                            <w:rFonts w:ascii="宋体" w:hAnsi="宋体" w:cs="宋体" w:eastAsia="宋体" w:hint="default"/>
                            <w:sz w:val="18"/>
                            <w:szCs w:val="18"/>
                          </w:rPr>
                        </w:pPr>
                        <w:r>
                          <w:rPr>
                            <w:rFonts w:ascii="宋体" w:hAnsi="宋体" w:cs="宋体" w:eastAsia="宋体" w:hint="default"/>
                            <w:sz w:val="18"/>
                            <w:szCs w:val="18"/>
                          </w:rPr>
                          <w:t>福建榕基 软件股份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both"/>
                          <w:rPr>
                            <w:rFonts w:ascii="宋体" w:hAnsi="宋体" w:cs="宋体" w:eastAsia="宋体" w:hint="default"/>
                            <w:sz w:val="18"/>
                            <w:szCs w:val="18"/>
                          </w:rPr>
                        </w:pPr>
                        <w:r>
                          <w:rPr>
                            <w:rFonts w:ascii="宋体" w:hAnsi="宋体" w:cs="宋体" w:eastAsia="宋体" w:hint="default"/>
                            <w:sz w:val="18"/>
                            <w:szCs w:val="18"/>
                          </w:rPr>
                          <w:t>国家质量 监督检验 检疫总局 通关司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3" w:right="113"/>
                          <w:jc w:val="left"/>
                          <w:rPr>
                            <w:rFonts w:ascii="宋体" w:hAnsi="宋体" w:cs="宋体" w:eastAsia="宋体" w:hint="default"/>
                            <w:sz w:val="18"/>
                            <w:szCs w:val="18"/>
                          </w:rPr>
                        </w:pPr>
                        <w:r>
                          <w:rPr>
                            <w:rFonts w:ascii="宋体" w:hAnsi="宋体" w:cs="宋体" w:eastAsia="宋体" w:hint="default"/>
                            <w:sz w:val="18"/>
                            <w:szCs w:val="18"/>
                          </w:rPr>
                          <w:t>公开市场 招标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1,669.8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3" w:right="113"/>
                          <w:jc w:val="left"/>
                          <w:rPr>
                            <w:rFonts w:ascii="宋体" w:hAnsi="宋体" w:cs="宋体" w:eastAsia="宋体" w:hint="default"/>
                            <w:sz w:val="18"/>
                            <w:szCs w:val="18"/>
                          </w:rPr>
                        </w:pPr>
                        <w:r>
                          <w:rPr>
                            <w:rFonts w:ascii="宋体" w:hAnsi="宋体" w:cs="宋体" w:eastAsia="宋体" w:hint="default"/>
                            <w:sz w:val="18"/>
                            <w:szCs w:val="18"/>
                          </w:rPr>
                          <w:t>合同履行 中。</w:t>
                        </w:r>
                      </w:p>
                    </w:tc>
                  </w:tr>
                </w:tbl>
                <w:p>
                  <w:pPr/>
                </w:p>
              </w:txbxContent>
            </v:textbox>
            <w10:wrap type="none"/>
          </v:shape>
        </w:pict>
      </w:r>
      <w:bookmarkStart w:name="2、担保情况" w:id="79"/>
      <w:bookmarkEnd w:id="79"/>
      <w:r>
        <w:rPr/>
      </w:r>
      <w:bookmarkStart w:name="3、其他重大合同" w:id="80"/>
      <w:bookmarkEnd w:id="80"/>
      <w:r>
        <w:rPr/>
      </w:r>
      <w:r>
        <w:rPr/>
        <w:t>）</w:t>
      </w:r>
    </w:p>
    <w:p>
      <w:pPr>
        <w:pStyle w:val="BodyText"/>
        <w:spacing w:line="240" w:lineRule="auto" w:before="76"/>
        <w:ind w:left="1620" w:right="4354"/>
        <w:jc w:val="center"/>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2"/>
        <w:spacing w:line="240" w:lineRule="auto" w:before="26"/>
        <w:ind w:right="147"/>
        <w:jc w:val="left"/>
        <w:rPr>
          <w:b w:val="0"/>
          <w:bCs w:val="0"/>
        </w:rPr>
      </w:pP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7"/>
        <w:jc w:val="left"/>
        <w:rPr>
          <w:b w:val="0"/>
          <w:bCs w:val="0"/>
        </w:rPr>
      </w:pPr>
      <w:r>
        <w:rPr>
          <w:rFonts w:ascii="Times New Roman" w:hAnsi="Times New Roman" w:cs="Times New Roman" w:eastAsia="Times New Roman" w:hint="default"/>
        </w:rPr>
        <w:t>1</w:t>
      </w:r>
      <w:r>
        <w:rPr/>
        <w:t>、公司或持股</w:t>
      </w:r>
      <w:r>
        <w:rPr>
          <w:spacing w:val="-53"/>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4"/>
        <w:gridCol w:w="1274"/>
        <w:gridCol w:w="1277"/>
        <w:gridCol w:w="1486"/>
        <w:gridCol w:w="1068"/>
        <w:gridCol w:w="1270"/>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360"/>
              <w:jc w:val="righ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4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bookmarkStart w:name="八、承诺事项履行情况" w:id="81"/>
            <w:bookmarkEnd w:id="81"/>
            <w:r>
              <w:rPr/>
            </w: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269"/>
              <w:jc w:val="right"/>
              <w:rPr>
                <w:rFonts w:ascii="宋体" w:hAnsi="宋体" w:cs="宋体" w:eastAsia="宋体" w:hint="default"/>
                <w:sz w:val="18"/>
                <w:szCs w:val="18"/>
              </w:rPr>
            </w:pPr>
            <w:bookmarkStart w:name="1、公司或持股5%以上股东在报告期内或持续到报告期内的承诺事项" w:id="82"/>
            <w:bookmarkEnd w:id="82"/>
            <w:r>
              <w:rPr/>
            </w:r>
            <w:r>
              <w:rPr>
                <w:rFonts w:ascii="宋体" w:hAnsi="宋体" w:cs="宋体" w:eastAsia="宋体" w:hint="default"/>
                <w:sz w:val="18"/>
                <w:szCs w:val="18"/>
              </w:rPr>
              <w:t>履行情况</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8"/>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348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338"/>
              <w:jc w:val="right"/>
              <w:rPr>
                <w:rFonts w:ascii="宋体" w:hAnsi="宋体" w:cs="宋体" w:eastAsia="宋体" w:hint="default"/>
                <w:sz w:val="18"/>
                <w:szCs w:val="18"/>
              </w:rPr>
            </w:pPr>
            <w:r>
              <w:rPr>
                <w:rFonts w:ascii="宋体" w:hAnsi="宋体" w:cs="宋体" w:eastAsia="宋体" w:hint="default"/>
                <w:sz w:val="18"/>
                <w:szCs w:val="18"/>
              </w:rPr>
              <w:t>鲁峰、侯伟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公司控股股东 鲁峰和股东侯 </w:t>
            </w:r>
            <w:r>
              <w:rPr>
                <w:rFonts w:ascii="宋体" w:hAnsi="宋体" w:cs="宋体" w:eastAsia="宋体" w:hint="default"/>
                <w:spacing w:val="-6"/>
                <w:sz w:val="18"/>
                <w:szCs w:val="18"/>
              </w:rPr>
              <w:t>伟承诺：自发行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人股票在深圳 证券交易所上 市交易之日起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 让或者委托他 人管理其本次 公开发行前已 持有的发行人</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3" w:right="-53"/>
              <w:jc w:val="center"/>
              <w:rPr>
                <w:rFonts w:ascii="宋体" w:hAnsi="宋体" w:cs="宋体" w:eastAsia="宋体" w:hint="default"/>
                <w:sz w:val="18"/>
                <w:szCs w:val="18"/>
              </w:rPr>
            </w:pPr>
            <w:r>
              <w:rPr>
                <w:rFonts w:ascii="宋体" w:hAnsi="宋体" w:cs="宋体" w:eastAsia="宋体" w:hint="default"/>
                <w:sz w:val="18"/>
                <w:szCs w:val="18"/>
              </w:rPr>
              <w:t>三十六个月。</w:t>
            </w:r>
          </w:p>
        </w:tc>
        <w:tc>
          <w:tcPr>
            <w:tcW w:w="127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335"/>
              <w:jc w:val="righ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righ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4"/>
        <w:gridCol w:w="1274"/>
        <w:gridCol w:w="1277"/>
        <w:gridCol w:w="1486"/>
        <w:gridCol w:w="1068"/>
        <w:gridCol w:w="1270"/>
      </w:tblGrid>
      <w:tr>
        <w:trPr>
          <w:trHeight w:val="986" w:hRule="exact"/>
        </w:trPr>
        <w:tc>
          <w:tcPr>
            <w:tcW w:w="31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6"/>
                <w:sz w:val="18"/>
                <w:szCs w:val="18"/>
              </w:rPr>
              <w:t>股份，也不由发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行人回购其持 有的股份。</w:t>
            </w:r>
          </w:p>
        </w:tc>
        <w:tc>
          <w:tcPr>
            <w:tcW w:w="14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5393"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公司控股股东 鲁峰增持公司 </w:t>
            </w:r>
            <w:r>
              <w:rPr>
                <w:rFonts w:ascii="宋体" w:hAnsi="宋体" w:cs="宋体" w:eastAsia="宋体" w:hint="default"/>
                <w:spacing w:val="-6"/>
                <w:sz w:val="18"/>
                <w:szCs w:val="18"/>
              </w:rPr>
              <w:t>股票承诺：增持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期间自首次增 持之日起不超 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个月；在增</w:t>
            </w:r>
            <w:r>
              <w:rPr>
                <w:rFonts w:ascii="宋体" w:hAnsi="宋体" w:cs="宋体" w:eastAsia="宋体" w:hint="default"/>
                <w:sz w:val="18"/>
                <w:szCs w:val="18"/>
              </w:rPr>
              <w:t> 持期间及法定 期限内不减持 其持有的公司 </w:t>
            </w:r>
            <w:r>
              <w:rPr>
                <w:rFonts w:ascii="宋体" w:hAnsi="宋体" w:cs="宋体" w:eastAsia="宋体" w:hint="default"/>
                <w:spacing w:val="-6"/>
                <w:sz w:val="18"/>
                <w:szCs w:val="18"/>
              </w:rPr>
              <w:t>股份；并严格遵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守有关规定，不</w:t>
            </w:r>
          </w:p>
          <w:p>
            <w:pPr>
              <w:pStyle w:val="TableParagraph"/>
              <w:spacing w:line="316"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进行内幕交易、 敏感期买卖股 份、短线交易， 增持期间及法 定期限内不超 计划增持。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三个月内。</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作为公司控股股东期间。</w:t>
            </w:r>
          </w:p>
        </w:tc>
      </w:tr>
      <w:tr>
        <w:trPr>
          <w:trHeight w:val="2275"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为了避免将来发生同业竞争，本公司的控股股东公司控股股东鲁峰和股东侯伟出 </w:t>
            </w:r>
            <w:r>
              <w:rPr>
                <w:rFonts w:ascii="宋体" w:hAnsi="宋体" w:cs="宋体" w:eastAsia="宋体" w:hint="default"/>
                <w:spacing w:val="-5"/>
                <w:sz w:val="18"/>
                <w:szCs w:val="18"/>
              </w:rPr>
              <w:t>具了《放弃竞争与利益冲突承诺函》，承诺不生产、开发任何与股份公司及其下属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子公司生产的产品构成竞争或可能构成竞争的产品，不直接或间接经营任何与股 份公司及其下属子公司经营的业务构成竞争或可能构成竞争的业务，也不参与投 资任何与股份公司及其下属子公司生产的产品或经营的业务构成竞争或可能构成 竞争的其他企业；从第三方获得的商业机会如果属于股份公司主营业务范围之内 的，将尽可能地协助股份公司取得该等商业机会。</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line="240" w:lineRule="auto" w:before="3"/>
        <w:rPr>
          <w:rFonts w:ascii="宋体" w:hAnsi="宋体" w:cs="宋体" w:eastAsia="宋体" w:hint="default"/>
          <w:b/>
          <w:bCs/>
          <w:sz w:val="19"/>
          <w:szCs w:val="19"/>
        </w:rPr>
      </w:pPr>
    </w:p>
    <w:p>
      <w:pPr>
        <w:pStyle w:val="Heading3"/>
        <w:spacing w:line="259" w:lineRule="auto" w:before="36"/>
        <w:ind w:right="147"/>
        <w:jc w:val="left"/>
        <w:rPr>
          <w:b w:val="0"/>
          <w:bCs w:val="0"/>
        </w:rPr>
      </w:pPr>
      <w:bookmarkStart w:name="2、公司资产或项目存在盈利预测，且报告期仍处在盈利预测期间，公司就资产或项目达到" w:id="83"/>
      <w:bookmarkEnd w:id="83"/>
      <w:r>
        <w:rPr>
          <w:b w:val="0"/>
          <w:bCs w:val="0"/>
        </w:rPr>
      </w:r>
      <w:bookmarkStart w:name="九、聘任、解聘会计师事务所情况" w:id="84"/>
      <w:bookmarkEnd w:id="8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
        <w:rPr>
          <w:rFonts w:ascii="宋体" w:hAnsi="宋体" w:cs="宋体" w:eastAsia="宋体" w:hint="default"/>
          <w:sz w:val="25"/>
          <w:szCs w:val="25"/>
        </w:rPr>
      </w:pPr>
    </w:p>
    <w:p>
      <w:pPr>
        <w:pStyle w:val="Heading2"/>
        <w:spacing w:line="240" w:lineRule="auto"/>
        <w:ind w:right="147"/>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7"/>
        <w:jc w:val="left"/>
      </w:pPr>
      <w:r>
        <w:rPr/>
        <w:t>现聘任的会计事务所</w:t>
      </w:r>
    </w:p>
    <w:p>
      <w:pPr>
        <w:spacing w:after="0" w:line="240" w:lineRule="auto"/>
        <w:jc w:val="lef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84"/>
        <w:gridCol w:w="5683"/>
      </w:tblGrid>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71.5</w:t>
            </w: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吴乐霖、廖金辉</w:t>
            </w:r>
          </w:p>
        </w:tc>
      </w:tr>
    </w:tbl>
    <w:p>
      <w:pPr>
        <w:pStyle w:val="BodyText"/>
        <w:spacing w:line="240" w:lineRule="auto" w:before="49"/>
        <w:ind w:right="0"/>
        <w:jc w:val="left"/>
      </w:pPr>
      <w:bookmarkStart w:name="十二、年度报告披露后面临暂停上市和终止上市情况" w:id="85"/>
      <w:bookmarkEnd w:id="85"/>
      <w:r>
        <w:rPr/>
      </w:r>
      <w:bookmarkStart w:name="十三、其他重大事项的说明" w:id="86"/>
      <w:bookmarkEnd w:id="86"/>
      <w:r>
        <w:rPr/>
      </w:r>
      <w:r>
        <w:rPr/>
        <w:t>当期是否改聘会计师事务所</w:t>
      </w:r>
    </w:p>
    <w:p>
      <w:pPr>
        <w:pStyle w:val="BodyText"/>
        <w:spacing w:line="340" w:lineRule="auto" w:before="115"/>
        <w:ind w:right="711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是否在审计期间改聘会计师事务所</w:t>
      </w:r>
    </w:p>
    <w:p>
      <w:pPr>
        <w:pStyle w:val="BodyText"/>
        <w:spacing w:line="338" w:lineRule="auto" w:before="41"/>
        <w:ind w:left="153" w:right="693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更换会计师事务所是否履行审批程序</w:t>
      </w:r>
    </w:p>
    <w:p>
      <w:pPr>
        <w:pStyle w:val="BodyText"/>
        <w:spacing w:line="340" w:lineRule="auto" w:before="43"/>
        <w:ind w:left="153" w:right="711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聘任、解聘会计师事务所情况说明</w:t>
      </w:r>
    </w:p>
    <w:p>
      <w:pPr>
        <w:pStyle w:val="BodyText"/>
        <w:spacing w:line="300" w:lineRule="auto" w:before="39"/>
        <w:ind w:left="153" w:right="214" w:firstLine="419"/>
        <w:jc w:val="left"/>
      </w:pPr>
      <w:r>
        <w:rPr/>
        <w:t>公司</w:t>
      </w:r>
      <w:r>
        <w:rPr>
          <w:rFonts w:ascii="Times New Roman" w:hAnsi="Times New Roman" w:cs="Times New Roman" w:eastAsia="Times New Roman" w:hint="default"/>
        </w:rPr>
        <w:t>2011</w:t>
      </w:r>
      <w:r>
        <w:rPr/>
        <w:t>年度股东大会审议通过了《关于续聘天健正信会计师事务所有限公司为公司</w:t>
      </w:r>
      <w:r>
        <w:rPr>
          <w:rFonts w:ascii="Times New Roman" w:hAnsi="Times New Roman" w:cs="Times New Roman" w:eastAsia="Times New Roman" w:hint="default"/>
        </w:rPr>
        <w:t>2012</w:t>
      </w:r>
      <w:r>
        <w:rPr/>
        <w:t>年度审计机构的议案》，公 司股东大会同意续聘天健正信会计师事务所有限公司为公司</w:t>
      </w:r>
      <w:r>
        <w:rPr>
          <w:rFonts w:ascii="Times New Roman" w:hAnsi="Times New Roman" w:cs="Times New Roman" w:eastAsia="Times New Roman" w:hint="default"/>
        </w:rPr>
        <w:t>2012</w:t>
      </w:r>
      <w:r>
        <w:rPr/>
        <w:t>年度审计机构。</w:t>
      </w:r>
    </w:p>
    <w:p>
      <w:pPr>
        <w:pStyle w:val="BodyText"/>
        <w:spacing w:line="300" w:lineRule="auto" w:before="53"/>
        <w:ind w:left="153" w:right="224" w:firstLine="419"/>
        <w:jc w:val="left"/>
      </w:pPr>
      <w:r>
        <w:rPr/>
        <w:t>天健正信会计师事务所有限公司已于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日与京都天华会计师事务所（特殊普通合伙）合并，并更名为</w:t>
      </w:r>
      <w:r>
        <w:rPr>
          <w:rFonts w:ascii="Times New Roman" w:hAnsi="Times New Roman" w:cs="Times New Roman" w:eastAsia="Times New Roman" w:hint="default"/>
        </w:rPr>
        <w:t>“</w:t>
      </w:r>
      <w:r>
        <w:rPr/>
        <w:t>致同 会计师事务所（特殊普通合伙）</w:t>
      </w:r>
      <w:r>
        <w:rPr>
          <w:rFonts w:ascii="Times New Roman" w:hAnsi="Times New Roman" w:cs="Times New Roman" w:eastAsia="Times New Roman" w:hint="default"/>
        </w:rPr>
        <w:t>”</w:t>
      </w:r>
      <w:r>
        <w:rPr/>
        <w:t>。</w:t>
      </w:r>
    </w:p>
    <w:p>
      <w:pPr>
        <w:pStyle w:val="BodyText"/>
        <w:spacing w:line="319" w:lineRule="auto" w:before="53"/>
        <w:ind w:left="153" w:right="0" w:firstLine="419"/>
        <w:jc w:val="left"/>
      </w:pPr>
      <w:r>
        <w:rPr/>
        <w:t>鉴于致同会计师事务所（特殊普通合伙）具备从事证券期货相关业务资格，具备为上市公司提供审计服务的经验与能 </w:t>
      </w:r>
      <w:r>
        <w:rPr>
          <w:spacing w:val="-2"/>
        </w:rPr>
        <w:t>力，能够满足公司</w:t>
      </w:r>
      <w:r>
        <w:rPr>
          <w:rFonts w:ascii="Times New Roman" w:hAnsi="Times New Roman" w:cs="Times New Roman" w:eastAsia="Times New Roman" w:hint="default"/>
          <w:spacing w:val="-2"/>
        </w:rPr>
        <w:t>2012</w:t>
      </w:r>
      <w:r>
        <w:rPr>
          <w:spacing w:val="-2"/>
        </w:rPr>
        <w:t>年度财务审计工作的要求，经公司第二届董事会第十八次会议及公司</w:t>
      </w:r>
      <w:r>
        <w:rPr>
          <w:rFonts w:ascii="Times New Roman" w:hAnsi="Times New Roman" w:cs="Times New Roman" w:eastAsia="Times New Roman" w:hint="default"/>
          <w:spacing w:val="-2"/>
        </w:rPr>
        <w:t>2012</w:t>
      </w:r>
      <w:r>
        <w:rPr>
          <w:spacing w:val="-2"/>
        </w:rPr>
        <w:t>年第三次临时股东大会审议</w:t>
      </w:r>
      <w:r>
        <w:rPr>
          <w:spacing w:val="-60"/>
        </w:rPr>
        <w:t> </w:t>
      </w:r>
      <w:r>
        <w:rPr>
          <w:spacing w:val="-60"/>
        </w:rPr>
      </w:r>
      <w:r>
        <w:rPr/>
        <w:t>通过，改聘致同会计师事务所（特殊普通合伙）为公司</w:t>
      </w:r>
      <w:r>
        <w:rPr>
          <w:rFonts w:ascii="Times New Roman" w:hAnsi="Times New Roman" w:cs="Times New Roman" w:eastAsia="Times New Roman" w:hint="default"/>
        </w:rPr>
        <w:t>2012</w:t>
      </w:r>
      <w:r>
        <w:rPr/>
        <w:t>年度审计机构，聘期一年。 聘请内部控制审计会计师事务所、财务顾问或保荐人情况</w:t>
      </w:r>
    </w:p>
    <w:p>
      <w:pPr>
        <w:pStyle w:val="BodyText"/>
        <w:spacing w:line="240" w:lineRule="auto" w:before="58"/>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十、监事会、独立董事（如适用）对会计师事务所本报告期</w:t>
      </w:r>
      <w:r>
        <w:rPr>
          <w:rFonts w:ascii="Times New Roman" w:hAnsi="Times New Roman" w:cs="Times New Roman" w:eastAsia="Times New Roman" w:hint="default"/>
        </w:rPr>
        <w:t>“</w:t>
      </w:r>
      <w:r>
        <w:rPr/>
        <w:t>非标准审</w:t>
      </w:r>
      <w:bookmarkStart w:name="十、监事会、独立董事（如适用）对会计师事务所本报告期“非标准审计报告”的说明" w:id="87"/>
      <w:bookmarkEnd w:id="87"/>
      <w:r>
        <w:rPr/>
        <w:t>计</w:t>
      </w:r>
      <w:r>
        <w:rPr/>
        <w:t>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十一、处罚及整改情况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pStyle w:val="BodyText"/>
        <w:spacing w:line="240" w:lineRule="auto" w:before="117"/>
        <w:ind w:right="0"/>
        <w:jc w:val="left"/>
      </w:pPr>
      <w:r>
        <w:rPr/>
        <w:t>董事、监事、高级管理人员、持股</w:t>
      </w:r>
      <w:r>
        <w:rPr>
          <w:spacing w:val="-46"/>
        </w:rPr>
        <w:t> </w:t>
      </w:r>
      <w:r>
        <w:rPr>
          <w:rFonts w:ascii="Times New Roman" w:hAnsi="Times New Roman" w:cs="Times New Roman" w:eastAsia="Times New Roman" w:hint="default"/>
        </w:rPr>
        <w:t>5%</w:t>
      </w:r>
      <w:bookmarkStart w:name="十一、处罚及整改情况" w:id="88"/>
      <w:bookmarkEnd w:id="88"/>
      <w:r>
        <w:rPr>
          <w:rFonts w:ascii="Times New Roman" w:hAnsi="Times New Roman" w:cs="Times New Roman" w:eastAsia="Times New Roman" w:hint="default"/>
        </w:rPr>
      </w:r>
      <w:r>
        <w:rPr/>
        <w:t>以上的股东涉嫌违规买卖公司股票且公司已披露将收回涉嫌违规所得收益的情况</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十二、年度报告披露后面临暂停上市和终止上市情况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十三、其他重大事项的说明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02" w:firstLine="419"/>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日公司控股股东、实际控制人、董事长兼总裁鲁峰先生基于对目前资本市场形势的认识及对公司未来持续 稳定发展的信心，计划以自筹资金在未来</w:t>
      </w:r>
      <w:r>
        <w:rPr>
          <w:rFonts w:ascii="Times New Roman" w:hAnsi="Times New Roman" w:cs="Times New Roman" w:eastAsia="Times New Roman" w:hint="default"/>
        </w:rPr>
        <w:t>3</w:t>
      </w:r>
      <w:r>
        <w:rPr/>
        <w:t>个月内根据中国证监会和深圳证券交易所的有关规定以及市场情况，增持不低于 </w:t>
      </w:r>
      <w:r>
        <w:rPr>
          <w:rFonts w:ascii="Times New Roman" w:hAnsi="Times New Roman" w:cs="Times New Roman" w:eastAsia="Times New Roman" w:hint="default"/>
          <w:spacing w:val="-1"/>
        </w:rPr>
        <w:t>20</w:t>
      </w:r>
      <w:r>
        <w:rPr>
          <w:spacing w:val="-1"/>
        </w:rPr>
        <w:t>万股、不高于</w:t>
      </w:r>
      <w:r>
        <w:rPr>
          <w:rFonts w:ascii="Times New Roman" w:hAnsi="Times New Roman" w:cs="Times New Roman" w:eastAsia="Times New Roman" w:hint="default"/>
          <w:spacing w:val="-1"/>
        </w:rPr>
        <w:t>200</w:t>
      </w:r>
      <w:r>
        <w:rPr>
          <w:spacing w:val="-1"/>
        </w:rPr>
        <w:t>万股的公司股份。相关公告《公司关于公司控股股东计划增持公司股份的公告》（公告编号：</w:t>
      </w:r>
      <w:r>
        <w:rPr>
          <w:rFonts w:ascii="Times New Roman" w:hAnsi="Times New Roman" w:cs="Times New Roman" w:eastAsia="Times New Roman" w:hint="default"/>
          <w:spacing w:val="-1"/>
        </w:rPr>
        <w:t>2012-049</w:t>
      </w:r>
      <w:r>
        <w:rPr>
          <w:spacing w:val="-1"/>
        </w:rPr>
        <w:t>）</w:t>
      </w:r>
      <w:r>
        <w:rPr>
          <w:spacing w:val="-87"/>
        </w:rPr>
        <w:t> </w:t>
      </w:r>
      <w:r>
        <w:rPr/>
        <w:t>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日披露于巨潮资讯网</w:t>
      </w:r>
      <w:hyperlink r:id="rId14">
        <w:r>
          <w:rPr>
            <w:rFonts w:ascii="Times New Roman" w:hAnsi="Times New Roman" w:cs="Times New Roman" w:eastAsia="Times New Roman" w:hint="default"/>
          </w:rPr>
          <w:t>http://www.cninfo.com.cn/finalpage/2012-12-05/61872087.PDF</w:t>
        </w:r>
      </w:hyperlink>
      <w:r>
        <w:rPr/>
        <w:t>。</w:t>
      </w:r>
    </w:p>
    <w:p>
      <w:pPr>
        <w:spacing w:after="0" w:line="300" w:lineRule="auto"/>
        <w:jc w:val="left"/>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五、公司发行公司债券的情况" w:id="89"/>
      <w:bookmarkEnd w:id="89"/>
      <w:r>
        <w:rPr>
          <w:b w:val="0"/>
          <w:bCs w:val="0"/>
        </w:rPr>
      </w:r>
      <w:r>
        <w:rPr/>
        <w:t>十</w:t>
      </w:r>
      <w:bookmarkStart w:name="十四、公司子公司重要事项" w:id="90"/>
      <w:bookmarkEnd w:id="90"/>
      <w:r>
        <w:rPr/>
        <w:t>四</w:t>
      </w:r>
      <w:r>
        <w:rPr/>
        <w:t>、公司子公司重要事项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03" w:firstLine="420"/>
        <w:jc w:val="left"/>
      </w:pP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25</w:t>
      </w:r>
      <w:r>
        <w:rPr>
          <w:spacing w:val="-3"/>
        </w:rPr>
        <w:t>日，公司与马鞍山市秀山新区建设管委会就积极推进马鞍山市软件及服务外包产业的合作意向签订了《</w:t>
      </w:r>
      <w:r>
        <w:rPr>
          <w:rFonts w:ascii="Times New Roman" w:hAnsi="Times New Roman" w:cs="Times New Roman" w:eastAsia="Times New Roman" w:hint="default"/>
          <w:spacing w:val="-3"/>
        </w:rPr>
        <w:t>“</w:t>
      </w:r>
      <w:r>
        <w:rPr>
          <w:spacing w:val="-3"/>
        </w:rPr>
        <w:t>榕</w:t>
      </w:r>
      <w:r>
        <w:rPr/>
        <w:t> 基</w:t>
      </w:r>
      <w:r>
        <w:rPr>
          <w:rFonts w:ascii="Times New Roman" w:hAnsi="Times New Roman" w:cs="Times New Roman" w:eastAsia="Times New Roman" w:hint="default"/>
        </w:rPr>
        <w:t>-</w:t>
      </w:r>
      <w:r>
        <w:rPr/>
        <w:t>马鞍山软件园</w:t>
      </w:r>
      <w:r>
        <w:rPr>
          <w:rFonts w:ascii="Times New Roman" w:hAnsi="Times New Roman" w:cs="Times New Roman" w:eastAsia="Times New Roman" w:hint="default"/>
        </w:rPr>
        <w:t>”</w:t>
      </w:r>
      <w:r>
        <w:rPr/>
        <w:t>合作项目投资合同》，地方政府为公司选址建设</w:t>
      </w:r>
      <w:r>
        <w:rPr>
          <w:rFonts w:ascii="Times New Roman" w:hAnsi="Times New Roman" w:cs="Times New Roman" w:eastAsia="Times New Roman" w:hint="default"/>
        </w:rPr>
        <w:t>“</w:t>
      </w:r>
      <w:r>
        <w:rPr/>
        <w:t>榕基</w:t>
      </w:r>
      <w:r>
        <w:rPr>
          <w:rFonts w:ascii="Times New Roman" w:hAnsi="Times New Roman" w:cs="Times New Roman" w:eastAsia="Times New Roman" w:hint="default"/>
        </w:rPr>
        <w:t>-</w:t>
      </w:r>
      <w:r>
        <w:rPr/>
        <w:t>马鞍山软件园</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日，公司用自有资金 投资设立马鞍山榕基软件信息科技有限公司（注册资本</w:t>
      </w:r>
      <w:r>
        <w:rPr>
          <w:rFonts w:ascii="Times New Roman" w:hAnsi="Times New Roman" w:cs="Times New Roman" w:eastAsia="Times New Roman" w:hint="default"/>
        </w:rPr>
        <w:t>5,000</w:t>
      </w:r>
      <w:r>
        <w:rPr/>
        <w:t>万，以下简称</w:t>
      </w:r>
      <w:r>
        <w:rPr>
          <w:rFonts w:ascii="Times New Roman" w:hAnsi="Times New Roman" w:cs="Times New Roman" w:eastAsia="Times New Roman" w:hint="default"/>
        </w:rPr>
        <w:t>“</w:t>
      </w:r>
      <w:r>
        <w:rPr/>
        <w:t>马鞍山榕基</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日马鞍山市国土资 源局公布《国有建设用地使用权挂牌出让公告》（马国土出让告字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26</w:t>
      </w:r>
      <w:r>
        <w:rPr/>
        <w:t>号），公司于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日召开董事会审议 </w:t>
      </w:r>
      <w:r>
        <w:rPr>
          <w:spacing w:val="-1"/>
        </w:rPr>
        <w:t>通过《关于马鞍山子公司拟购买土地使用权的议案》，马鞍山榕基拟以自筹资金不超过</w:t>
      </w:r>
      <w:r>
        <w:rPr>
          <w:rFonts w:ascii="Times New Roman" w:hAnsi="Times New Roman" w:cs="Times New Roman" w:eastAsia="Times New Roman" w:hint="default"/>
          <w:spacing w:val="-1"/>
        </w:rPr>
        <w:t>2,500</w:t>
      </w:r>
      <w:r>
        <w:rPr>
          <w:spacing w:val="-1"/>
        </w:rPr>
        <w:t>万人民币支付项目建设保证金，</w:t>
      </w:r>
      <w:r>
        <w:rPr>
          <w:spacing w:val="-74"/>
        </w:rPr>
        <w:t> </w:t>
      </w:r>
      <w:r>
        <w:rPr>
          <w:spacing w:val="-74"/>
        </w:rPr>
      </w:r>
      <w:r>
        <w:rPr/>
        <w:t>授权马鞍山榕基经理层办理土地竞拍及转让手续，马鞍山榕基于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日收到马鞍山市国土资源局下发的《成交确认 书》，公司以总价为人民币</w:t>
      </w:r>
      <w:r>
        <w:rPr>
          <w:rFonts w:ascii="Times New Roman" w:hAnsi="Times New Roman" w:cs="Times New Roman" w:eastAsia="Times New Roman" w:hint="default"/>
        </w:rPr>
        <w:t>2,500</w:t>
      </w:r>
      <w:r>
        <w:rPr/>
        <w:t>万元竞得编号为马土让</w:t>
      </w:r>
      <w:r>
        <w:rPr>
          <w:rFonts w:ascii="Times New Roman" w:hAnsi="Times New Roman" w:cs="Times New Roman" w:eastAsia="Times New Roman" w:hint="default"/>
        </w:rPr>
        <w:t>2011-26</w:t>
      </w:r>
      <w:r>
        <w:rPr/>
        <w:t>号地块的国有土地使用权</w:t>
      </w:r>
      <w:r>
        <w:rPr>
          <w:rFonts w:ascii="Times New Roman" w:hAnsi="Times New Roman" w:cs="Times New Roman" w:eastAsia="Times New Roman" w:hint="default"/>
        </w:rPr>
        <w:t>,</w:t>
      </w:r>
      <w:r>
        <w:rPr/>
        <w:t>使用权面积</w:t>
      </w:r>
      <w:r>
        <w:rPr>
          <w:rFonts w:ascii="Times New Roman" w:hAnsi="Times New Roman" w:cs="Times New Roman" w:eastAsia="Times New Roman" w:hint="default"/>
        </w:rPr>
        <w:t>62585.09</w:t>
      </w:r>
      <w:r>
        <w:rPr/>
        <w:t>平方米。</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日，马鞍山榕基与马鞍山市国土资源局签订《国有建设用地使用权出让合同》。</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日马鞍山榕基取得马 鞍山市人民政府下发的《中华人民共和国国有土地使用证》（马国有</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84065</w:t>
      </w:r>
      <w:r>
        <w:rPr/>
        <w:t>号）。</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月，应当地政府及项目建 </w:t>
      </w:r>
      <w:r>
        <w:rPr>
          <w:spacing w:val="-2"/>
        </w:rPr>
        <w:t>设要求，马鞍山榕基全资设立了马鞍山榕基置业投资有限公司（注册资本</w:t>
      </w:r>
      <w:r>
        <w:rPr>
          <w:rFonts w:ascii="Times New Roman" w:hAnsi="Times New Roman" w:cs="Times New Roman" w:eastAsia="Times New Roman" w:hint="default"/>
          <w:spacing w:val="-2"/>
        </w:rPr>
        <w:t>800</w:t>
      </w:r>
      <w:r>
        <w:rPr>
          <w:spacing w:val="-2"/>
        </w:rPr>
        <w:t>万元）负责建设</w:t>
      </w:r>
      <w:r>
        <w:rPr>
          <w:rFonts w:ascii="Times New Roman" w:hAnsi="Times New Roman" w:cs="Times New Roman" w:eastAsia="Times New Roman" w:hint="default"/>
          <w:spacing w:val="-2"/>
        </w:rPr>
        <w:t>“</w:t>
      </w:r>
      <w:r>
        <w:rPr>
          <w:spacing w:val="-2"/>
        </w:rPr>
        <w:t>马鞍山智慧园项目一期工程</w:t>
      </w:r>
      <w:r>
        <w:rPr>
          <w:rFonts w:ascii="Times New Roman" w:hAnsi="Times New Roman" w:cs="Times New Roman" w:eastAsia="Times New Roman" w:hint="default"/>
          <w:spacing w:val="-2"/>
        </w:rPr>
        <w:t>”</w:t>
      </w:r>
      <w:r>
        <w:rPr>
          <w:spacing w:val="-2"/>
        </w:rPr>
        <w:t>。</w:t>
      </w:r>
      <w:r>
        <w:rPr>
          <w:spacing w:val="-44"/>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日马鞍山榕基将原取得的上述土地转让给马鞍山榕基置业投资有限公司（《中华人民共和国国有土地使用证》</w:t>
      </w:r>
    </w:p>
    <w:p>
      <w:pPr>
        <w:pStyle w:val="BodyText"/>
        <w:spacing w:line="338" w:lineRule="auto" w:before="13"/>
        <w:ind w:left="573" w:right="258" w:hanging="421"/>
        <w:jc w:val="left"/>
      </w:pPr>
      <w:r>
        <w:rPr/>
        <w:t>（马国有</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84996</w:t>
      </w:r>
      <w:r>
        <w:rPr/>
        <w:t>号））。 马鞍山智慧园项目一期工程于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月动工，预计</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月竣工，预计总投资额为</w:t>
      </w:r>
      <w:r>
        <w:rPr>
          <w:rFonts w:ascii="Times New Roman" w:hAnsi="Times New Roman" w:cs="Times New Roman" w:eastAsia="Times New Roman" w:hint="default"/>
        </w:rPr>
        <w:t>1.5</w:t>
      </w:r>
      <w:r>
        <w:rPr/>
        <w:t>亿元，截至</w:t>
      </w:r>
      <w:r>
        <w:rPr>
          <w:rFonts w:ascii="Times New Roman" w:hAnsi="Times New Roman" w:cs="Times New Roman" w:eastAsia="Times New Roman" w:hint="default"/>
        </w:rPr>
        <w:t>2012</w:t>
      </w:r>
      <w:r>
        <w:rPr/>
        <w:t>年底，项目</w:t>
      </w:r>
    </w:p>
    <w:p>
      <w:pPr>
        <w:pStyle w:val="BodyText"/>
        <w:spacing w:line="230" w:lineRule="exact"/>
        <w:ind w:left="153" w:right="0"/>
        <w:jc w:val="left"/>
      </w:pPr>
      <w:r>
        <w:rPr/>
        <w:t>已投入资金约</w:t>
      </w:r>
      <w:r>
        <w:rPr>
          <w:rFonts w:ascii="Times New Roman" w:hAnsi="Times New Roman" w:cs="Times New Roman" w:eastAsia="Times New Roman" w:hint="default"/>
        </w:rPr>
        <w:t>3,600</w:t>
      </w:r>
      <w:r>
        <w:rPr/>
        <w:t>万元。</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十五、公司发行公司债券的情况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3" w:right="147"/>
        <w:jc w:val="left"/>
        <w:rPr>
          <w:b w:val="0"/>
          <w:bCs w:val="0"/>
        </w:rPr>
      </w:pPr>
      <w:bookmarkStart w:name="第六节 股份变动及股东情况" w:id="91"/>
      <w:bookmarkEnd w:id="91"/>
      <w:r>
        <w:rPr>
          <w:b w:val="0"/>
          <w:bCs w:val="0"/>
        </w:rPr>
      </w:r>
      <w:bookmarkStart w:name="_bookmark5" w:id="92"/>
      <w:bookmarkEnd w:id="92"/>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47"/>
        <w:jc w:val="left"/>
        <w:rPr>
          <w:b w:val="0"/>
          <w:bCs w:val="0"/>
        </w:rPr>
      </w:pPr>
      <w:r>
        <w:rPr/>
        <w:t>一、股份变动</w:t>
      </w:r>
      <w:bookmarkStart w:name="一、股份变动情况" w:id="93"/>
      <w:bookmarkEnd w:id="93"/>
      <w:r>
        <w:rPr/>
        <w:t>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679"/>
        <w:gridCol w:w="1004"/>
        <w:gridCol w:w="850"/>
        <w:gridCol w:w="850"/>
        <w:gridCol w:w="569"/>
        <w:gridCol w:w="1133"/>
        <w:gridCol w:w="850"/>
        <w:gridCol w:w="991"/>
        <w:gridCol w:w="994"/>
        <w:gridCol w:w="634"/>
      </w:tblGrid>
      <w:tr>
        <w:trPr>
          <w:trHeight w:val="401" w:hRule="exact"/>
        </w:trPr>
        <w:tc>
          <w:tcPr>
            <w:tcW w:w="1679" w:type="dxa"/>
            <w:tcBorders>
              <w:top w:val="single" w:sz="4" w:space="0" w:color="000000"/>
              <w:left w:val="single" w:sz="4" w:space="0" w:color="000000"/>
              <w:bottom w:val="nil" w:sz="6" w:space="0" w:color="auto"/>
              <w:right w:val="single" w:sz="4" w:space="0" w:color="000000"/>
            </w:tcBorders>
            <w:shd w:val="clear" w:color="auto" w:fill="D4D4D4"/>
          </w:tcPr>
          <w:p>
            <w:pPr/>
          </w:p>
        </w:tc>
        <w:tc>
          <w:tcPr>
            <w:tcW w:w="18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2"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0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679" w:type="dxa"/>
            <w:vMerge w:val="restart"/>
            <w:tcBorders>
              <w:top w:val="nil" w:sz="6" w:space="0" w:color="auto"/>
              <w:left w:val="single" w:sz="4" w:space="0" w:color="000000"/>
              <w:right w:val="single" w:sz="4" w:space="0" w:color="000000"/>
            </w:tcBorders>
            <w:shd w:val="clear" w:color="auto" w:fill="D4D4D4"/>
          </w:tcPr>
          <w:p>
            <w:pPr/>
          </w:p>
        </w:tc>
        <w:tc>
          <w:tcPr>
            <w:tcW w:w="1004" w:type="dxa"/>
            <w:tcBorders>
              <w:top w:val="single" w:sz="4" w:space="0" w:color="000000"/>
              <w:left w:val="single" w:sz="4" w:space="0" w:color="000000"/>
              <w:bottom w:val="nil" w:sz="6" w:space="0" w:color="auto"/>
              <w:right w:val="single" w:sz="4" w:space="0" w:color="000000"/>
            </w:tcBorders>
            <w:shd w:val="clear" w:color="auto" w:fill="D4D4D4"/>
          </w:tcPr>
          <w:p>
            <w:pPr/>
          </w:p>
        </w:tc>
        <w:tc>
          <w:tcPr>
            <w:tcW w:w="850" w:type="dxa"/>
            <w:tcBorders>
              <w:top w:val="single" w:sz="4" w:space="0" w:color="000000"/>
              <w:left w:val="single" w:sz="4" w:space="0" w:color="000000"/>
              <w:bottom w:val="nil" w:sz="6" w:space="0" w:color="auto"/>
              <w:right w:val="single" w:sz="4" w:space="0" w:color="000000"/>
            </w:tcBorders>
            <w:shd w:val="clear" w:color="auto" w:fill="D4D4D4"/>
          </w:tcPr>
          <w:p>
            <w:pPr/>
          </w:p>
        </w:tc>
        <w:tc>
          <w:tcPr>
            <w:tcW w:w="850" w:type="dxa"/>
            <w:tcBorders>
              <w:top w:val="single" w:sz="4" w:space="0" w:color="000000"/>
              <w:left w:val="single" w:sz="4" w:space="0" w:color="000000"/>
              <w:bottom w:val="nil" w:sz="6" w:space="0" w:color="auto"/>
              <w:right w:val="single" w:sz="4" w:space="0" w:color="000000"/>
            </w:tcBorders>
            <w:shd w:val="clear" w:color="auto" w:fill="D4D4D4"/>
          </w:tcPr>
          <w:p>
            <w:pPr/>
          </w:p>
        </w:tc>
        <w:tc>
          <w:tcPr>
            <w:tcW w:w="569" w:type="dxa"/>
            <w:tcBorders>
              <w:top w:val="single" w:sz="4" w:space="0" w:color="000000"/>
              <w:left w:val="single" w:sz="4" w:space="0" w:color="000000"/>
              <w:bottom w:val="nil" w:sz="6" w:space="0" w:color="auto"/>
              <w:right w:val="single" w:sz="4" w:space="0" w:color="000000"/>
            </w:tcBorders>
            <w:shd w:val="clear" w:color="auto" w:fill="D4D4D4"/>
          </w:tcPr>
          <w:p>
            <w:pPr/>
          </w:p>
        </w:tc>
        <w:tc>
          <w:tcPr>
            <w:tcW w:w="1133" w:type="dxa"/>
            <w:tcBorders>
              <w:top w:val="single" w:sz="4" w:space="0" w:color="000000"/>
              <w:left w:val="single" w:sz="4" w:space="0" w:color="000000"/>
              <w:bottom w:val="nil" w:sz="6" w:space="0" w:color="auto"/>
              <w:right w:val="single" w:sz="4" w:space="0" w:color="000000"/>
            </w:tcBorders>
            <w:shd w:val="clear" w:color="auto" w:fill="D4D4D4"/>
          </w:tcPr>
          <w:p>
            <w:pPr/>
          </w:p>
        </w:tc>
        <w:tc>
          <w:tcPr>
            <w:tcW w:w="850" w:type="dxa"/>
            <w:tcBorders>
              <w:top w:val="single" w:sz="4" w:space="0" w:color="000000"/>
              <w:left w:val="single" w:sz="4" w:space="0" w:color="000000"/>
              <w:bottom w:val="nil" w:sz="6" w:space="0" w:color="auto"/>
              <w:right w:val="single" w:sz="4" w:space="0" w:color="000000"/>
            </w:tcBorders>
            <w:shd w:val="clear" w:color="auto" w:fill="D4D4D4"/>
          </w:tcPr>
          <w:p>
            <w:pPr/>
          </w:p>
        </w:tc>
        <w:tc>
          <w:tcPr>
            <w:tcW w:w="991" w:type="dxa"/>
            <w:tcBorders>
              <w:top w:val="single" w:sz="4" w:space="0" w:color="000000"/>
              <w:left w:val="single" w:sz="4" w:space="0" w:color="000000"/>
              <w:bottom w:val="nil" w:sz="6" w:space="0" w:color="auto"/>
              <w:right w:val="single" w:sz="4" w:space="0" w:color="000000"/>
            </w:tcBorders>
            <w:shd w:val="clear" w:color="auto" w:fill="D4D4D4"/>
          </w:tcPr>
          <w:p>
            <w:pPr/>
          </w:p>
        </w:tc>
        <w:tc>
          <w:tcPr>
            <w:tcW w:w="994" w:type="dxa"/>
            <w:tcBorders>
              <w:top w:val="single" w:sz="4" w:space="0" w:color="000000"/>
              <w:left w:val="single" w:sz="4" w:space="0" w:color="000000"/>
              <w:bottom w:val="nil" w:sz="6" w:space="0" w:color="auto"/>
              <w:right w:val="single" w:sz="4" w:space="0" w:color="000000"/>
            </w:tcBorders>
            <w:shd w:val="clear" w:color="auto" w:fill="D4D4D4"/>
          </w:tcPr>
          <w:p>
            <w:pPr/>
          </w:p>
        </w:tc>
        <w:tc>
          <w:tcPr>
            <w:tcW w:w="6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77" w:right="0"/>
              <w:jc w:val="left"/>
              <w:rPr>
                <w:rFonts w:ascii="Times New Roman" w:hAnsi="Times New Roman" w:cs="Times New Roman" w:eastAsia="Times New Roman" w:hint="default"/>
                <w:sz w:val="18"/>
                <w:szCs w:val="18"/>
              </w:rPr>
            </w:pPr>
            <w:r>
              <w:rPr>
                <w:rFonts w:ascii="Times New Roman"/>
                <w:sz w:val="18"/>
              </w:rPr>
              <w:t>(%)</w:t>
            </w:r>
          </w:p>
        </w:tc>
      </w:tr>
      <w:tr>
        <w:trPr>
          <w:trHeight w:val="192" w:hRule="exact"/>
        </w:trPr>
        <w:tc>
          <w:tcPr>
            <w:tcW w:w="1679" w:type="dxa"/>
            <w:vMerge/>
            <w:tcBorders>
              <w:left w:val="single" w:sz="4" w:space="0" w:color="000000"/>
              <w:bottom w:val="nil" w:sz="6" w:space="0" w:color="auto"/>
              <w:right w:val="single" w:sz="4" w:space="0" w:color="000000"/>
            </w:tcBorders>
            <w:shd w:val="clear" w:color="auto" w:fill="D4D4D4"/>
          </w:tcPr>
          <w:p>
            <w:pPr/>
          </w:p>
        </w:tc>
        <w:tc>
          <w:tcPr>
            <w:tcW w:w="100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5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5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34" w:type="dxa"/>
            <w:vMerge/>
            <w:tcBorders>
              <w:left w:val="single" w:sz="4" w:space="0" w:color="000000"/>
              <w:right w:val="single" w:sz="4" w:space="0" w:color="000000"/>
            </w:tcBorders>
            <w:shd w:val="clear" w:color="auto" w:fill="D4D4D4"/>
          </w:tcPr>
          <w:p>
            <w:pPr/>
          </w:p>
        </w:tc>
      </w:tr>
      <w:tr>
        <w:trPr>
          <w:trHeight w:val="202" w:hRule="exact"/>
        </w:trPr>
        <w:tc>
          <w:tcPr>
            <w:tcW w:w="1679" w:type="dxa"/>
            <w:vMerge w:val="restart"/>
            <w:tcBorders>
              <w:top w:val="nil" w:sz="6" w:space="0" w:color="auto"/>
              <w:left w:val="single" w:sz="4" w:space="0" w:color="000000"/>
              <w:right w:val="single" w:sz="4" w:space="0" w:color="000000"/>
            </w:tcBorders>
            <w:shd w:val="clear" w:color="auto" w:fill="D4D4D4"/>
          </w:tcPr>
          <w:p>
            <w:pPr/>
          </w:p>
        </w:tc>
        <w:tc>
          <w:tcPr>
            <w:tcW w:w="1004" w:type="dxa"/>
            <w:vMerge/>
            <w:tcBorders>
              <w:left w:val="single" w:sz="4" w:space="0" w:color="000000"/>
              <w:bottom w:val="nil" w:sz="6" w:space="0" w:color="auto"/>
              <w:right w:val="single" w:sz="4" w:space="0" w:color="000000"/>
            </w:tcBorders>
            <w:shd w:val="clear" w:color="auto" w:fill="D4D4D4"/>
          </w:tcPr>
          <w:p>
            <w:pPr/>
          </w:p>
        </w:tc>
        <w:tc>
          <w:tcPr>
            <w:tcW w:w="850" w:type="dxa"/>
            <w:vMerge/>
            <w:tcBorders>
              <w:left w:val="single" w:sz="4" w:space="0" w:color="000000"/>
              <w:bottom w:val="nil" w:sz="6" w:space="0" w:color="auto"/>
              <w:right w:val="single" w:sz="4" w:space="0" w:color="000000"/>
            </w:tcBorders>
            <w:shd w:val="clear" w:color="auto" w:fill="D4D4D4"/>
          </w:tcPr>
          <w:p>
            <w:pPr/>
          </w:p>
        </w:tc>
        <w:tc>
          <w:tcPr>
            <w:tcW w:w="850" w:type="dxa"/>
            <w:vMerge/>
            <w:tcBorders>
              <w:left w:val="single" w:sz="4" w:space="0" w:color="000000"/>
              <w:bottom w:val="nil" w:sz="6" w:space="0" w:color="auto"/>
              <w:right w:val="single" w:sz="4" w:space="0" w:color="000000"/>
            </w:tcBorders>
            <w:shd w:val="clear" w:color="auto" w:fill="D4D4D4"/>
          </w:tcPr>
          <w:p>
            <w:pPr/>
          </w:p>
        </w:tc>
        <w:tc>
          <w:tcPr>
            <w:tcW w:w="569" w:type="dxa"/>
            <w:vMerge/>
            <w:tcBorders>
              <w:left w:val="single" w:sz="4" w:space="0" w:color="000000"/>
              <w:bottom w:val="nil" w:sz="6" w:space="0" w:color="auto"/>
              <w:right w:val="single" w:sz="4" w:space="0" w:color="000000"/>
            </w:tcBorders>
            <w:shd w:val="clear" w:color="auto" w:fill="D4D4D4"/>
          </w:tcPr>
          <w:p>
            <w:pPr/>
          </w:p>
        </w:tc>
        <w:tc>
          <w:tcPr>
            <w:tcW w:w="1133" w:type="dxa"/>
            <w:vMerge/>
            <w:tcBorders>
              <w:left w:val="single" w:sz="4" w:space="0" w:color="000000"/>
              <w:bottom w:val="nil" w:sz="6" w:space="0" w:color="auto"/>
              <w:right w:val="single" w:sz="4" w:space="0" w:color="000000"/>
            </w:tcBorders>
            <w:shd w:val="clear" w:color="auto" w:fill="D4D4D4"/>
          </w:tcPr>
          <w:p>
            <w:pPr/>
          </w:p>
        </w:tc>
        <w:tc>
          <w:tcPr>
            <w:tcW w:w="850" w:type="dxa"/>
            <w:vMerge/>
            <w:tcBorders>
              <w:left w:val="single" w:sz="4" w:space="0" w:color="000000"/>
              <w:bottom w:val="nil" w:sz="6" w:space="0" w:color="auto"/>
              <w:right w:val="single" w:sz="4" w:space="0" w:color="000000"/>
            </w:tcBorders>
            <w:shd w:val="clear" w:color="auto" w:fill="D4D4D4"/>
          </w:tcPr>
          <w:p>
            <w:pPr/>
          </w:p>
        </w:tc>
        <w:tc>
          <w:tcPr>
            <w:tcW w:w="991" w:type="dxa"/>
            <w:vMerge/>
            <w:tcBorders>
              <w:left w:val="single" w:sz="4" w:space="0" w:color="000000"/>
              <w:bottom w:val="nil" w:sz="6" w:space="0" w:color="auto"/>
              <w:right w:val="single" w:sz="4" w:space="0" w:color="000000"/>
            </w:tcBorders>
            <w:shd w:val="clear" w:color="auto" w:fill="D4D4D4"/>
          </w:tcPr>
          <w:p>
            <w:pPr/>
          </w:p>
        </w:tc>
        <w:tc>
          <w:tcPr>
            <w:tcW w:w="994" w:type="dxa"/>
            <w:vMerge/>
            <w:tcBorders>
              <w:left w:val="single" w:sz="4" w:space="0" w:color="000000"/>
              <w:bottom w:val="nil" w:sz="6" w:space="0" w:color="auto"/>
              <w:right w:val="single" w:sz="4" w:space="0" w:color="000000"/>
            </w:tcBorders>
            <w:shd w:val="clear" w:color="auto" w:fill="D4D4D4"/>
          </w:tcPr>
          <w:p>
            <w:pPr/>
          </w:p>
        </w:tc>
        <w:tc>
          <w:tcPr>
            <w:tcW w:w="634" w:type="dxa"/>
            <w:vMerge/>
            <w:tcBorders>
              <w:left w:val="single" w:sz="4" w:space="0" w:color="000000"/>
              <w:right w:val="single" w:sz="4" w:space="0" w:color="000000"/>
            </w:tcBorders>
            <w:shd w:val="clear" w:color="auto" w:fill="D4D4D4"/>
          </w:tcPr>
          <w:p>
            <w:pPr/>
          </w:p>
        </w:tc>
      </w:tr>
      <w:tr>
        <w:trPr>
          <w:trHeight w:val="161" w:hRule="exact"/>
        </w:trPr>
        <w:tc>
          <w:tcPr>
            <w:tcW w:w="1679" w:type="dxa"/>
            <w:vMerge/>
            <w:tcBorders>
              <w:left w:val="single" w:sz="4" w:space="0" w:color="000000"/>
              <w:bottom w:val="single" w:sz="4" w:space="0" w:color="000000"/>
              <w:right w:val="single" w:sz="4" w:space="0" w:color="000000"/>
            </w:tcBorders>
            <w:shd w:val="clear" w:color="auto" w:fill="D4D4D4"/>
          </w:tcPr>
          <w:p>
            <w:pPr/>
          </w:p>
        </w:tc>
        <w:tc>
          <w:tcPr>
            <w:tcW w:w="1004" w:type="dxa"/>
            <w:tcBorders>
              <w:top w:val="nil" w:sz="6" w:space="0" w:color="auto"/>
              <w:left w:val="single" w:sz="4" w:space="0" w:color="000000"/>
              <w:bottom w:val="single" w:sz="4" w:space="0" w:color="000000"/>
              <w:right w:val="single" w:sz="4" w:space="0" w:color="000000"/>
            </w:tcBorders>
            <w:shd w:val="clear" w:color="auto" w:fill="D4D4D4"/>
          </w:tcPr>
          <w:p>
            <w:pPr/>
          </w:p>
        </w:tc>
        <w:tc>
          <w:tcPr>
            <w:tcW w:w="850" w:type="dxa"/>
            <w:tcBorders>
              <w:top w:val="nil" w:sz="6" w:space="0" w:color="auto"/>
              <w:left w:val="single" w:sz="4" w:space="0" w:color="000000"/>
              <w:bottom w:val="single" w:sz="4" w:space="0" w:color="000000"/>
              <w:right w:val="single" w:sz="4" w:space="0" w:color="000000"/>
            </w:tcBorders>
            <w:shd w:val="clear" w:color="auto" w:fill="D4D4D4"/>
          </w:tcPr>
          <w:p>
            <w:pPr/>
          </w:p>
        </w:tc>
        <w:tc>
          <w:tcPr>
            <w:tcW w:w="850" w:type="dxa"/>
            <w:tcBorders>
              <w:top w:val="nil" w:sz="6" w:space="0" w:color="auto"/>
              <w:left w:val="single" w:sz="4" w:space="0" w:color="000000"/>
              <w:bottom w:val="single" w:sz="4" w:space="0" w:color="000000"/>
              <w:right w:val="single" w:sz="4" w:space="0" w:color="000000"/>
            </w:tcBorders>
            <w:shd w:val="clear" w:color="auto" w:fill="D4D4D4"/>
          </w:tcPr>
          <w:p>
            <w:pPr/>
          </w:p>
        </w:tc>
        <w:tc>
          <w:tcPr>
            <w:tcW w:w="569" w:type="dxa"/>
            <w:tcBorders>
              <w:top w:val="nil" w:sz="6" w:space="0" w:color="auto"/>
              <w:left w:val="single" w:sz="4" w:space="0" w:color="000000"/>
              <w:bottom w:val="single" w:sz="4" w:space="0" w:color="000000"/>
              <w:right w:val="single" w:sz="4" w:space="0" w:color="000000"/>
            </w:tcBorders>
            <w:shd w:val="clear" w:color="auto" w:fill="D4D4D4"/>
          </w:tcPr>
          <w:p>
            <w:pPr/>
          </w:p>
        </w:tc>
        <w:tc>
          <w:tcPr>
            <w:tcW w:w="1133" w:type="dxa"/>
            <w:tcBorders>
              <w:top w:val="nil" w:sz="6" w:space="0" w:color="auto"/>
              <w:left w:val="single" w:sz="4" w:space="0" w:color="000000"/>
              <w:bottom w:val="single" w:sz="4" w:space="0" w:color="000000"/>
              <w:right w:val="single" w:sz="4" w:space="0" w:color="000000"/>
            </w:tcBorders>
            <w:shd w:val="clear" w:color="auto" w:fill="D4D4D4"/>
          </w:tcPr>
          <w:p>
            <w:pPr/>
          </w:p>
        </w:tc>
        <w:tc>
          <w:tcPr>
            <w:tcW w:w="850" w:type="dxa"/>
            <w:tcBorders>
              <w:top w:val="nil" w:sz="6" w:space="0" w:color="auto"/>
              <w:left w:val="single" w:sz="4" w:space="0" w:color="000000"/>
              <w:bottom w:val="single" w:sz="4" w:space="0" w:color="000000"/>
              <w:right w:val="single" w:sz="4" w:space="0" w:color="000000"/>
            </w:tcBorders>
            <w:shd w:val="clear" w:color="auto" w:fill="D4D4D4"/>
          </w:tcPr>
          <w:p>
            <w:pPr/>
          </w:p>
        </w:tc>
        <w:tc>
          <w:tcPr>
            <w:tcW w:w="991" w:type="dxa"/>
            <w:tcBorders>
              <w:top w:val="nil" w:sz="6" w:space="0" w:color="auto"/>
              <w:left w:val="single" w:sz="4" w:space="0" w:color="000000"/>
              <w:bottom w:val="single" w:sz="4" w:space="0" w:color="000000"/>
              <w:right w:val="single" w:sz="4" w:space="0" w:color="000000"/>
            </w:tcBorders>
            <w:shd w:val="clear" w:color="auto" w:fill="D4D4D4"/>
          </w:tcPr>
          <w:p>
            <w:pPr/>
          </w:p>
        </w:tc>
        <w:tc>
          <w:tcPr>
            <w:tcW w:w="994" w:type="dxa"/>
            <w:tcBorders>
              <w:top w:val="nil" w:sz="6" w:space="0" w:color="auto"/>
              <w:left w:val="single" w:sz="4" w:space="0" w:color="000000"/>
              <w:bottom w:val="single" w:sz="4" w:space="0" w:color="000000"/>
              <w:right w:val="single" w:sz="4" w:space="0" w:color="000000"/>
            </w:tcBorders>
            <w:shd w:val="clear" w:color="auto" w:fill="D4D4D4"/>
          </w:tcPr>
          <w:p>
            <w:pPr/>
          </w:p>
        </w:tc>
        <w:tc>
          <w:tcPr>
            <w:tcW w:w="634"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62,457,202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60.23%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60,867,751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-1,589,451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59,278,300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121,735,502</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56,099,400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54.1%</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56,099,400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56,099,400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112,198,800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54.09%</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56,099,400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54.1%</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56,099,400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56,099,400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112,198,800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54.09%</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6,357,802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4,768,351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-1,589,451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2" w:right="0"/>
              <w:jc w:val="center"/>
              <w:rPr>
                <w:rFonts w:ascii="Times New Roman" w:hAnsi="Times New Roman" w:cs="Times New Roman" w:eastAsia="Times New Roman" w:hint="default"/>
                <w:sz w:val="18"/>
                <w:szCs w:val="18"/>
              </w:rPr>
            </w:pPr>
            <w:r>
              <w:rPr>
                <w:rFonts w:ascii="Times New Roman"/>
                <w:sz w:val="18"/>
              </w:rPr>
              <w:t>9,536,702</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41,242,798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39.77%</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42,832,249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1,589,451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44,421,700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85,664,498</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41,242,798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39.77%</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42,832,249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1,589,451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44,421,700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85,664,498</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103,700,000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207,400,000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147"/>
        <w:jc w:val="left"/>
      </w:pPr>
      <w:r>
        <w:rPr/>
        <w:t>股份变动的原因</w:t>
      </w:r>
    </w:p>
    <w:p>
      <w:pPr>
        <w:pStyle w:val="BodyText"/>
        <w:spacing w:line="300" w:lineRule="auto" w:before="117"/>
        <w:ind w:right="151" w:firstLine="431"/>
        <w:jc w:val="both"/>
      </w:pPr>
      <w:r>
        <w:rPr/>
        <w:t>报告期初，公司</w:t>
      </w:r>
      <w:r>
        <w:rPr>
          <w:rFonts w:ascii="Times New Roman" w:hAnsi="Times New Roman" w:cs="Times New Roman" w:eastAsia="Times New Roman" w:hint="default"/>
        </w:rPr>
        <w:t>4</w:t>
      </w:r>
      <w:r>
        <w:rPr/>
        <w:t>位高管解除有限售股合计</w:t>
      </w:r>
      <w:r>
        <w:rPr>
          <w:rFonts w:ascii="Times New Roman" w:hAnsi="Times New Roman" w:cs="Times New Roman" w:eastAsia="Times New Roman" w:hint="default"/>
        </w:rPr>
        <w:t>1,589,451</w:t>
      </w:r>
      <w:r>
        <w:rPr/>
        <w:t>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日，公司实施</w:t>
      </w:r>
      <w:r>
        <w:rPr>
          <w:rFonts w:ascii="Times New Roman" w:hAnsi="Times New Roman" w:cs="Times New Roman" w:eastAsia="Times New Roman" w:hint="default"/>
        </w:rPr>
        <w:t>2011</w:t>
      </w:r>
      <w:r>
        <w:rPr/>
        <w:t>年度权益分派方案，以</w:t>
      </w:r>
      <w:r>
        <w:rPr>
          <w:rFonts w:ascii="Times New Roman" w:hAnsi="Times New Roman" w:cs="Times New Roman" w:eastAsia="Times New Roman" w:hint="default"/>
        </w:rPr>
        <w:t>2011</w:t>
      </w:r>
      <w:r>
        <w:rPr/>
        <w:t>年 </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日公司总股本</w:t>
      </w:r>
      <w:r>
        <w:rPr>
          <w:rFonts w:ascii="Times New Roman" w:hAnsi="Times New Roman" w:cs="Times New Roman" w:eastAsia="Times New Roman" w:hint="default"/>
          <w:spacing w:val="-6"/>
        </w:rPr>
        <w:t>103,700,00</w:t>
      </w:r>
      <w:r>
        <w:rPr>
          <w:spacing w:val="-6"/>
        </w:rPr>
        <w:t>股为基数，以资本公积金转增股本，每</w:t>
      </w:r>
      <w:r>
        <w:rPr>
          <w:rFonts w:ascii="Times New Roman" w:hAnsi="Times New Roman" w:cs="Times New Roman" w:eastAsia="Times New Roman" w:hint="default"/>
          <w:spacing w:val="-6"/>
        </w:rPr>
        <w:t>10</w:t>
      </w:r>
      <w:r>
        <w:rPr>
          <w:spacing w:val="-6"/>
        </w:rPr>
        <w:t>股转增</w:t>
      </w:r>
      <w:r>
        <w:rPr>
          <w:rFonts w:ascii="Times New Roman" w:hAnsi="Times New Roman" w:cs="Times New Roman" w:eastAsia="Times New Roman" w:hint="default"/>
          <w:spacing w:val="-6"/>
        </w:rPr>
        <w:t>10</w:t>
      </w:r>
      <w:r>
        <w:rPr>
          <w:spacing w:val="-6"/>
        </w:rPr>
        <w:t>股。本次转增后，公司总股本增至</w:t>
      </w:r>
      <w:r>
        <w:rPr>
          <w:rFonts w:ascii="Times New Roman" w:hAnsi="Times New Roman" w:cs="Times New Roman" w:eastAsia="Times New Roman" w:hint="default"/>
          <w:spacing w:val="-6"/>
        </w:rPr>
        <w:t>207,400,000</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股。</w:t>
      </w:r>
    </w:p>
    <w:p>
      <w:pPr>
        <w:pStyle w:val="BodyText"/>
        <w:spacing w:line="240" w:lineRule="auto" w:before="72"/>
        <w:ind w:right="147"/>
        <w:jc w:val="left"/>
      </w:pPr>
      <w:r>
        <w:rPr/>
        <w:t>股份变动的批准情况</w:t>
      </w:r>
    </w:p>
    <w:p>
      <w:pPr>
        <w:pStyle w:val="BodyText"/>
        <w:spacing w:line="340" w:lineRule="auto" w:before="115"/>
        <w:ind w:left="513" w:right="147"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日召开</w:t>
      </w:r>
      <w:r>
        <w:rPr>
          <w:rFonts w:ascii="Times New Roman" w:hAnsi="Times New Roman" w:cs="Times New Roman" w:eastAsia="Times New Roman" w:hint="default"/>
          <w:spacing w:val="-2"/>
        </w:rPr>
        <w:t>2011</w:t>
      </w:r>
      <w:r>
        <w:rPr>
          <w:spacing w:val="-2"/>
        </w:rPr>
        <w:t>年度股东大会</w:t>
      </w:r>
      <w:r>
        <w:rPr>
          <w:rFonts w:ascii="Times New Roman" w:hAnsi="Times New Roman" w:cs="Times New Roman" w:eastAsia="Times New Roman" w:hint="default"/>
          <w:spacing w:val="-2"/>
        </w:rPr>
        <w:t>,</w:t>
      </w:r>
      <w:r>
        <w:rPr>
          <w:spacing w:val="-2"/>
        </w:rPr>
        <w:t>审议通过《关于</w:t>
      </w:r>
      <w:r>
        <w:rPr>
          <w:rFonts w:ascii="Times New Roman" w:hAnsi="Times New Roman" w:cs="Times New Roman" w:eastAsia="Times New Roman" w:hint="default"/>
          <w:spacing w:val="-2"/>
        </w:rPr>
        <w:t>&lt;</w:t>
      </w:r>
      <w:r>
        <w:rPr>
          <w:spacing w:val="-2"/>
        </w:rPr>
        <w:t>公司</w:t>
      </w:r>
      <w:r>
        <w:rPr>
          <w:rFonts w:ascii="Times New Roman" w:hAnsi="Times New Roman" w:cs="Times New Roman" w:eastAsia="Times New Roman" w:hint="default"/>
          <w:spacing w:val="-2"/>
        </w:rPr>
        <w:t>2011</w:t>
      </w:r>
      <w:r>
        <w:rPr>
          <w:spacing w:val="-2"/>
        </w:rPr>
        <w:t>年度利润分配预案</w:t>
      </w:r>
      <w:r>
        <w:rPr>
          <w:rFonts w:ascii="Times New Roman" w:hAnsi="Times New Roman" w:cs="Times New Roman" w:eastAsia="Times New Roman" w:hint="default"/>
          <w:spacing w:val="-2"/>
        </w:rPr>
        <w:t>&gt;</w:t>
      </w:r>
      <w:r>
        <w:rPr>
          <w:spacing w:val="-2"/>
        </w:rPr>
        <w:t>的议案》，同意以</w:t>
      </w:r>
      <w:r>
        <w:rPr>
          <w:rFonts w:ascii="Times New Roman" w:hAnsi="Times New Roman" w:cs="Times New Roman" w:eastAsia="Times New Roman" w:hint="default"/>
          <w:spacing w:val="-2"/>
        </w:rPr>
        <w:t>2011</w:t>
      </w:r>
      <w:r>
        <w:rPr>
          <w:spacing w:val="-2"/>
        </w:rPr>
        <w:t>年年</w:t>
      </w:r>
    </w:p>
    <w:p>
      <w:pPr>
        <w:pStyle w:val="BodyText"/>
        <w:spacing w:line="228" w:lineRule="exact"/>
        <w:ind w:left="153" w:right="0"/>
        <w:jc w:val="left"/>
      </w:pPr>
      <w:r>
        <w:rPr/>
        <w:t>末总股本</w:t>
      </w:r>
      <w:r>
        <w:rPr>
          <w:rFonts w:ascii="Times New Roman" w:hAnsi="Times New Roman" w:cs="Times New Roman" w:eastAsia="Times New Roman" w:hint="default"/>
        </w:rPr>
        <w:t>103,700,000</w:t>
      </w:r>
      <w:r>
        <w:rPr/>
        <w:t>股为基数进行资本公积转增股本，每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日完成权益分派，公司总股本</w:t>
      </w:r>
    </w:p>
    <w:p>
      <w:pPr>
        <w:pStyle w:val="BodyText"/>
        <w:spacing w:line="240" w:lineRule="auto" w:before="62"/>
        <w:ind w:left="153" w:right="147"/>
        <w:jc w:val="left"/>
      </w:pPr>
      <w:r>
        <w:rPr/>
        <w:t>由</w:t>
      </w:r>
      <w:r>
        <w:rPr>
          <w:rFonts w:ascii="Times New Roman" w:hAnsi="Times New Roman" w:cs="Times New Roman" w:eastAsia="Times New Roman" w:hint="default"/>
        </w:rPr>
        <w:t>103,700,000</w:t>
      </w:r>
      <w:r>
        <w:rPr/>
        <w:t>股变为</w:t>
      </w:r>
      <w:r>
        <w:rPr>
          <w:rFonts w:ascii="Times New Roman" w:hAnsi="Times New Roman" w:cs="Times New Roman" w:eastAsia="Times New Roman" w:hint="default"/>
        </w:rPr>
        <w:t>207,400,000</w:t>
      </w:r>
      <w:r>
        <w:rPr/>
        <w:t>股。</w:t>
      </w:r>
    </w:p>
    <w:p>
      <w:pPr>
        <w:pStyle w:val="BodyText"/>
        <w:spacing w:line="240" w:lineRule="auto" w:before="101"/>
        <w:ind w:left="153" w:right="147"/>
        <w:jc w:val="left"/>
      </w:pPr>
      <w:r>
        <w:rPr/>
        <w:t>股份变动的过户情况</w:t>
      </w:r>
    </w:p>
    <w:p>
      <w:pPr>
        <w:pStyle w:val="BodyText"/>
        <w:spacing w:line="300" w:lineRule="auto" w:before="117"/>
        <w:ind w:right="150" w:firstLine="216"/>
        <w:jc w:val="both"/>
      </w:pPr>
      <w:r>
        <w:rPr/>
        <w:t>报告期内，公司实施了</w:t>
      </w:r>
      <w:r>
        <w:rPr>
          <w:rFonts w:ascii="Times New Roman" w:hAnsi="Times New Roman" w:cs="Times New Roman" w:eastAsia="Times New Roman" w:hint="default"/>
        </w:rPr>
        <w:t>2011 </w:t>
      </w:r>
      <w:r>
        <w:rPr/>
        <w:t>年度权益分派方案：以公司截至</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日的总股本</w:t>
      </w:r>
      <w:r>
        <w:rPr>
          <w:rFonts w:ascii="Times New Roman" w:hAnsi="Times New Roman" w:cs="Times New Roman" w:eastAsia="Times New Roman" w:hint="default"/>
        </w:rPr>
        <w:t>103,700,000</w:t>
      </w:r>
      <w:r>
        <w:rPr/>
        <w:t>股为基数，以资本公 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股。公司总股本由</w:t>
      </w:r>
      <w:r>
        <w:rPr>
          <w:rFonts w:ascii="Times New Roman" w:hAnsi="Times New Roman" w:cs="Times New Roman" w:eastAsia="Times New Roman" w:hint="default"/>
        </w:rPr>
        <w:t>103,700,000 </w:t>
      </w:r>
      <w:r>
        <w:rPr/>
        <w:t>股变更为</w:t>
      </w:r>
      <w:r>
        <w:rPr>
          <w:rFonts w:ascii="Times New Roman" w:hAnsi="Times New Roman" w:cs="Times New Roman" w:eastAsia="Times New Roman" w:hint="default"/>
        </w:rPr>
        <w:t>207,400,000</w:t>
      </w:r>
      <w:r>
        <w:rPr/>
        <w:t>股。本次所转增股于</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40"/>
        </w:rPr>
        <w:t> </w:t>
      </w:r>
      <w:r>
        <w:rPr/>
        <w:t>月</w:t>
      </w:r>
      <w:r>
        <w:rPr>
          <w:rFonts w:ascii="Times New Roman" w:hAnsi="Times New Roman" w:cs="Times New Roman" w:eastAsia="Times New Roman" w:hint="default"/>
        </w:rPr>
        <w:t>24</w:t>
      </w:r>
      <w:r>
        <w:rPr/>
        <w:t>日直接 计入股东证券账户。</w:t>
      </w:r>
      <w:r>
        <w:rPr>
          <w:rFonts w:ascii="Times New Roman" w:hAnsi="Times New Roman" w:cs="Times New Roman" w:eastAsia="Times New Roman" w:hint="default"/>
        </w:rPr>
        <w:t>2012</w:t>
      </w:r>
      <w:r>
        <w:rPr>
          <w:rFonts w:ascii="Times New Roman" w:hAnsi="Times New Roman" w:cs="Times New Roman" w:eastAsia="Times New Roman" w:hint="default"/>
          <w:spacing w:val="25"/>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日，公司完成注册资本的工商变更登记。</w:t>
      </w:r>
    </w:p>
    <w:p>
      <w:pPr>
        <w:pStyle w:val="BodyText"/>
        <w:spacing w:line="240" w:lineRule="auto" w:before="53"/>
        <w:ind w:right="147"/>
        <w:jc w:val="left"/>
      </w:pPr>
      <w:r>
        <w:rPr/>
        <w:t>股份变动对最近一年和最近一期基本每股收益和稀释每股收益、归属于公司普通股股东的每股净资产等财务指标的影响</w:t>
      </w:r>
    </w:p>
    <w:p>
      <w:pPr>
        <w:pStyle w:val="BodyText"/>
        <w:spacing w:line="240" w:lineRule="auto" w:before="115"/>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left="153" w:right="157"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日，公司实施转增股本后，按新股本</w:t>
      </w:r>
      <w:r>
        <w:rPr>
          <w:rFonts w:ascii="Times New Roman" w:hAnsi="Times New Roman" w:cs="Times New Roman" w:eastAsia="Times New Roman" w:hint="default"/>
        </w:rPr>
        <w:t>207,400,000</w:t>
      </w:r>
      <w:r>
        <w:rPr/>
        <w:t>股摊薄计算，基本每股收益、稀释每股收益及归属于公司 普通股股东的每股净资产分别比变动前下降</w:t>
      </w:r>
      <w:r>
        <w:rPr>
          <w:rFonts w:ascii="Times New Roman" w:hAnsi="Times New Roman" w:cs="Times New Roman" w:eastAsia="Times New Roman" w:hint="default"/>
        </w:rPr>
        <w:t>50%</w:t>
      </w:r>
      <w:r>
        <w:rPr/>
        <w:t>。</w:t>
      </w:r>
    </w:p>
    <w:p>
      <w:pPr>
        <w:pStyle w:val="BodyText"/>
        <w:spacing w:line="357" w:lineRule="auto" w:before="53"/>
        <w:ind w:left="153" w:right="5813"/>
        <w:jc w:val="left"/>
      </w:pPr>
      <w:r>
        <w:rPr/>
        <w:t>公司认为必要或证券监管机构要求披露的其他内容 无。</w:t>
      </w:r>
    </w:p>
    <w:p>
      <w:pPr>
        <w:spacing w:after="0" w:line="357"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1、公司股东数量及持股情况" w:id="94"/>
      <w:bookmarkEnd w:id="94"/>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bookmarkStart w:name="二、证券发行与上市情况" w:id="95"/>
      <w:bookmarkEnd w:id="95"/>
      <w:r>
        <w:rPr>
          <w:rFonts w:ascii="Times New Roman" w:hAnsi="Times New Roman" w:cs="Times New Roman" w:eastAsia="Times New Roman" w:hint="default"/>
        </w:rPr>
      </w:r>
      <w:bookmarkStart w:name="1、报告期末近三年历次证券发行情况" w:id="96"/>
      <w:bookmarkEnd w:id="96"/>
      <w:r>
        <w:rPr>
          <w:rFonts w:ascii="Times New Roman" w:hAnsi="Times New Roman" w:cs="Times New Roman" w:eastAsia="Times New Roman" w:hint="default"/>
        </w:rPr>
      </w:r>
      <w:r>
        <w:rPr/>
        <w:t>、报告期末近三年历次证券发行情况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608"/>
        <w:gridCol w:w="1126"/>
        <w:gridCol w:w="1366"/>
        <w:gridCol w:w="1478"/>
        <w:gridCol w:w="1258"/>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10" w:right="4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6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90" w:right="19" w:hanging="264"/>
              <w:jc w:val="left"/>
              <w:rPr>
                <w:rFonts w:ascii="宋体" w:hAnsi="宋体" w:cs="宋体" w:eastAsia="宋体" w:hint="default"/>
                <w:sz w:val="18"/>
                <w:szCs w:val="18"/>
              </w:rPr>
            </w:pPr>
            <w:r>
              <w:rPr>
                <w:rFonts w:ascii="宋体" w:hAnsi="宋体" w:cs="宋体" w:eastAsia="宋体" w:hint="default"/>
                <w:spacing w:val="-3"/>
                <w:sz w:val="18"/>
                <w:szCs w:val="18"/>
              </w:rPr>
              <w:t>发行价格（或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利率）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4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43" w:right="83"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榕基软件</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26,000,000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26,000,000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357" w:lineRule="auto" w:before="49"/>
        <w:ind w:left="572" w:right="91" w:hanging="420"/>
        <w:jc w:val="left"/>
      </w:pPr>
      <w:r>
        <w:rPr/>
        <w:t>前三年历次证券发行情况的说明 </w:t>
      </w:r>
      <w:r>
        <w:rPr>
          <w:spacing w:val="-1"/>
        </w:rPr>
        <w:t>经中国证券监督管理委员会证监许可</w:t>
      </w:r>
      <w:r>
        <w:rPr>
          <w:rFonts w:ascii="Times New Roman" w:hAnsi="Times New Roman" w:cs="Times New Roman" w:eastAsia="Times New Roman" w:hint="default"/>
          <w:spacing w:val="-1"/>
        </w:rPr>
        <w:t>[2010]1099</w:t>
      </w:r>
      <w:r>
        <w:rPr>
          <w:spacing w:val="-1"/>
        </w:rPr>
        <w:t>号文核准，公司首次公开发行人民币普通股（</w:t>
      </w:r>
      <w:r>
        <w:rPr>
          <w:rFonts w:ascii="Times New Roman" w:hAnsi="Times New Roman" w:cs="Times New Roman" w:eastAsia="Times New Roman" w:hint="default"/>
          <w:spacing w:val="-1"/>
        </w:rPr>
        <w:t>A</w:t>
      </w:r>
      <w:r>
        <w:rPr>
          <w:rFonts w:ascii="Times New Roman" w:hAnsi="Times New Roman" w:cs="Times New Roman" w:eastAsia="Times New Roman" w:hint="default"/>
          <w:spacing w:val="36"/>
        </w:rPr>
        <w:t> </w:t>
      </w:r>
      <w:r>
        <w:rPr>
          <w:spacing w:val="-2"/>
        </w:rPr>
        <w:t>股）不超过</w:t>
      </w:r>
      <w:r>
        <w:rPr>
          <w:rFonts w:ascii="Times New Roman" w:hAnsi="Times New Roman" w:cs="Times New Roman" w:eastAsia="Times New Roman" w:hint="default"/>
          <w:spacing w:val="-2"/>
        </w:rPr>
        <w:t>2,600</w:t>
      </w:r>
      <w:r>
        <w:rPr>
          <w:spacing w:val="-2"/>
        </w:rPr>
        <w:t>万股。</w:t>
      </w:r>
    </w:p>
    <w:p>
      <w:pPr>
        <w:pStyle w:val="BodyText"/>
        <w:spacing w:line="201" w:lineRule="exact"/>
        <w:ind w:right="0"/>
        <w:jc w:val="left"/>
      </w:pPr>
      <w:r>
        <w:rPr/>
        <w:t>本次发行采用网下向股票配售对象询价配售与网上向社会公众投资者定价发行相结合的方式</w:t>
      </w:r>
      <w:r>
        <w:rPr>
          <w:spacing w:val="-82"/>
        </w:rPr>
        <w:t>，</w:t>
      </w:r>
      <w:r>
        <w:rPr/>
        <w:t>其中网下向股票配售对象配售</w:t>
      </w:r>
    </w:p>
    <w:p>
      <w:pPr>
        <w:pStyle w:val="BodyText"/>
        <w:spacing w:line="340" w:lineRule="auto" w:before="76"/>
        <w:ind w:left="572" w:right="0" w:hanging="421"/>
        <w:jc w:val="left"/>
      </w:pPr>
      <w:r>
        <w:rPr>
          <w:rFonts w:ascii="Times New Roman" w:hAnsi="Times New Roman" w:cs="Times New Roman" w:eastAsia="Times New Roman" w:hint="default"/>
        </w:rPr>
        <w:t>520</w:t>
      </w:r>
      <w:r>
        <w:rPr/>
        <w:t>万股，网上向社会公众投资者定价发行</w:t>
      </w:r>
      <w:r>
        <w:rPr>
          <w:rFonts w:ascii="Times New Roman" w:hAnsi="Times New Roman" w:cs="Times New Roman" w:eastAsia="Times New Roman" w:hint="default"/>
        </w:rPr>
        <w:t>2,080</w:t>
      </w:r>
      <w:r>
        <w:rPr/>
        <w:t>万股，发行价格为</w:t>
      </w:r>
      <w:r>
        <w:rPr>
          <w:rFonts w:ascii="Times New Roman" w:hAnsi="Times New Roman" w:cs="Times New Roman" w:eastAsia="Times New Roman" w:hint="default"/>
        </w:rPr>
        <w:t>37.00</w:t>
      </w:r>
      <w:r>
        <w:rPr/>
        <w:t>元</w:t>
      </w:r>
      <w:r>
        <w:rPr>
          <w:rFonts w:ascii="Times New Roman" w:hAnsi="Times New Roman" w:cs="Times New Roman" w:eastAsia="Times New Roman" w:hint="default"/>
        </w:rPr>
        <w:t>/</w:t>
      </w:r>
      <w:r>
        <w:rPr/>
        <w:t>股。 </w:t>
      </w:r>
      <w:r>
        <w:rPr>
          <w:spacing w:val="-2"/>
        </w:rPr>
        <w:t>经深圳证券交易所《关于福建榕基软件股份有限公司人民币普通股股票上市交易的通知》（深证上</w:t>
      </w:r>
      <w:r>
        <w:rPr>
          <w:rFonts w:ascii="Times New Roman" w:hAnsi="Times New Roman" w:cs="Times New Roman" w:eastAsia="Times New Roman" w:hint="default"/>
          <w:spacing w:val="-2"/>
        </w:rPr>
        <w:t>[2010]294</w:t>
      </w:r>
      <w:r>
        <w:rPr>
          <w:spacing w:val="-2"/>
        </w:rPr>
        <w:t>号）同意，</w:t>
      </w:r>
    </w:p>
    <w:p>
      <w:pPr>
        <w:pStyle w:val="BodyText"/>
        <w:spacing w:line="228" w:lineRule="exact"/>
        <w:ind w:right="0"/>
        <w:jc w:val="left"/>
      </w:pPr>
      <w:r>
        <w:rPr/>
        <w:t>公司发行的人民币普通股股票在深圳证券交易所上市，证券简称</w:t>
      </w:r>
      <w:r>
        <w:rPr>
          <w:rFonts w:ascii="Times New Roman" w:hAnsi="Times New Roman" w:cs="Times New Roman" w:eastAsia="Times New Roman" w:hint="default"/>
        </w:rPr>
        <w:t>“</w:t>
      </w:r>
      <w:r>
        <w:rPr/>
        <w:t>榕基软件</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“002474”</w:t>
      </w:r>
      <w:r>
        <w:rPr/>
        <w:t>，其中：本次公开发行中网</w:t>
      </w:r>
    </w:p>
    <w:p>
      <w:pPr>
        <w:pStyle w:val="BodyText"/>
        <w:spacing w:line="240" w:lineRule="auto" w:before="62"/>
        <w:ind w:right="0"/>
        <w:jc w:val="left"/>
      </w:pPr>
      <w:r>
        <w:rPr/>
        <w:t>上定价发行的</w:t>
      </w:r>
      <w:r>
        <w:rPr>
          <w:rFonts w:ascii="Times New Roman" w:hAnsi="Times New Roman" w:cs="Times New Roman" w:eastAsia="Times New Roman" w:hint="default"/>
        </w:rPr>
        <w:t>2,080</w:t>
      </w:r>
      <w:r>
        <w:rPr/>
        <w:t>万股股票将于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日起上市交易，网下向股票配售对象配售</w:t>
      </w:r>
      <w:r>
        <w:rPr>
          <w:rFonts w:ascii="Times New Roman" w:hAnsi="Times New Roman" w:cs="Times New Roman" w:eastAsia="Times New Roman" w:hint="default"/>
        </w:rPr>
        <w:t>520</w:t>
      </w:r>
      <w:r>
        <w:rPr/>
        <w:t>万股锁定三个月后于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p>
    <w:p>
      <w:pPr>
        <w:pStyle w:val="BodyText"/>
        <w:spacing w:line="240" w:lineRule="auto" w:before="62"/>
        <w:ind w:right="0"/>
        <w:jc w:val="left"/>
      </w:pPr>
      <w:r>
        <w:rPr>
          <w:rFonts w:ascii="Times New Roman" w:hAnsi="Times New Roman" w:cs="Times New Roman" w:eastAsia="Times New Roman" w:hint="default"/>
        </w:rPr>
        <w:t>15</w:t>
      </w:r>
      <w:r>
        <w:rPr/>
        <w:t>日上市流通。本次发行属于公司首次公开募股发行（</w:t>
      </w:r>
      <w:r>
        <w:rPr>
          <w:rFonts w:ascii="Times New Roman" w:hAnsi="Times New Roman" w:cs="Times New Roman" w:eastAsia="Times New Roman" w:hint="default"/>
        </w:rPr>
        <w:t>IPO</w:t>
      </w:r>
      <w:r>
        <w:rPr/>
        <w:t>）。</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w:t>
      </w:r>
      <w:bookmarkStart w:name="2、公司股份总数及股东结构的变动、公司资产和负债结构的变动情况说明" w:id="97"/>
      <w:bookmarkEnd w:id="97"/>
      <w:r>
        <w:rPr/>
        <w:t>债结构的变动情况</w:t>
      </w:r>
      <w:r>
        <w:rPr/>
        <w:t>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359"/>
        <w:jc w:val="left"/>
      </w:pPr>
      <w:r>
        <w:rPr/>
        <w:t>报告期内，公司实施了</w:t>
      </w:r>
      <w:r>
        <w:rPr>
          <w:rFonts w:ascii="Times New Roman" w:hAnsi="Times New Roman" w:cs="Times New Roman" w:eastAsia="Times New Roman" w:hint="default"/>
        </w:rPr>
        <w:t>2011 </w:t>
      </w:r>
      <w:r>
        <w:rPr/>
        <w:t>年度权益分派方案：以公司截至</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44"/>
        </w:rPr>
        <w:t> </w:t>
      </w:r>
      <w:r>
        <w:rPr/>
        <w:t>日的总股本</w:t>
      </w:r>
      <w:r>
        <w:rPr>
          <w:rFonts w:ascii="Times New Roman" w:hAnsi="Times New Roman" w:cs="Times New Roman" w:eastAsia="Times New Roman" w:hint="default"/>
        </w:rPr>
        <w:t>103,700,000</w:t>
      </w:r>
      <w:r>
        <w:rPr/>
        <w:t>股为基数，以资本 公积金向全体股东每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21"/>
        </w:rPr>
        <w:t> </w:t>
      </w:r>
      <w:r>
        <w:rPr/>
        <w:t>股转增</w:t>
      </w:r>
      <w:r>
        <w:rPr>
          <w:rFonts w:ascii="Times New Roman" w:hAnsi="Times New Roman" w:cs="Times New Roman" w:eastAsia="Times New Roman" w:hint="default"/>
        </w:rPr>
        <w:t>10</w:t>
      </w:r>
      <w:r>
        <w:rPr/>
        <w:t>股。公司总股本由</w:t>
      </w:r>
      <w:r>
        <w:rPr>
          <w:rFonts w:ascii="Times New Roman" w:hAnsi="Times New Roman" w:cs="Times New Roman" w:eastAsia="Times New Roman" w:hint="default"/>
        </w:rPr>
        <w:t>103,700,000</w:t>
      </w:r>
      <w:r>
        <w:rPr/>
        <w:t>股变更为</w:t>
      </w:r>
      <w:r>
        <w:rPr>
          <w:rFonts w:ascii="Times New Roman" w:hAnsi="Times New Roman" w:cs="Times New Roman" w:eastAsia="Times New Roman" w:hint="default"/>
        </w:rPr>
        <w:t>207,400,000</w:t>
      </w:r>
      <w:r>
        <w:rPr/>
        <w:t>股。</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bookmarkStart w:name="3、现存的内部职工股情况" w:id="98"/>
      <w:bookmarkEnd w:id="98"/>
      <w:r>
        <w:rPr/>
      </w:r>
      <w:bookmarkStart w:name="三、股东和实际控制人情况" w:id="99"/>
      <w:bookmarkEnd w:id="99"/>
      <w:r>
        <w:rPr/>
      </w:r>
      <w:r>
        <w:rPr/>
        <w:t>单位：股</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148" w:type="dxa"/>
        <w:tblLayout w:type="fixed"/>
        <w:tblCellMar>
          <w:top w:w="0" w:type="dxa"/>
          <w:left w:w="0" w:type="dxa"/>
          <w:bottom w:w="0" w:type="dxa"/>
          <w:right w:w="0" w:type="dxa"/>
        </w:tblCellMar>
        <w:tblLook w:val="01E0"/>
      </w:tblPr>
      <w:tblGrid>
        <w:gridCol w:w="1361"/>
        <w:gridCol w:w="1362"/>
        <w:gridCol w:w="964"/>
        <w:gridCol w:w="422"/>
        <w:gridCol w:w="569"/>
        <w:gridCol w:w="1135"/>
        <w:gridCol w:w="991"/>
        <w:gridCol w:w="994"/>
        <w:gridCol w:w="391"/>
        <w:gridCol w:w="458"/>
        <w:gridCol w:w="922"/>
      </w:tblGrid>
      <w:tr>
        <w:trPr>
          <w:trHeight w:val="408" w:hRule="exact"/>
        </w:trPr>
        <w:tc>
          <w:tcPr>
            <w:tcW w:w="272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6" w:type="dxa"/>
            <w:gridSpan w:val="2"/>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left="843" w:right="0"/>
              <w:jc w:val="left"/>
              <w:rPr>
                <w:rFonts w:ascii="Times New Roman" w:hAnsi="Times New Roman" w:cs="Times New Roman" w:eastAsia="Times New Roman" w:hint="default"/>
                <w:sz w:val="18"/>
                <w:szCs w:val="18"/>
              </w:rPr>
            </w:pPr>
            <w:r>
              <w:rPr>
                <w:rFonts w:ascii="Times New Roman"/>
                <w:sz w:val="18"/>
              </w:rPr>
              <w:t>15,711</w:t>
            </w:r>
          </w:p>
        </w:tc>
        <w:tc>
          <w:tcPr>
            <w:tcW w:w="408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80"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19,173</w:t>
            </w:r>
          </w:p>
        </w:tc>
      </w:tr>
      <w:tr>
        <w:trPr>
          <w:trHeight w:val="39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361" w:type="dxa"/>
            <w:vMerge w:val="restart"/>
            <w:tcBorders>
              <w:top w:val="single" w:sz="4" w:space="0" w:color="000000"/>
              <w:left w:val="single" w:sz="4" w:space="0" w:color="000000"/>
              <w:right w:val="single" w:sz="4" w:space="0" w:color="000000"/>
            </w:tcBorders>
            <w:shd w:val="clear" w:color="auto" w:fill="D4D4D4"/>
          </w:tcPr>
          <w:p>
            <w:pPr/>
          </w:p>
        </w:tc>
        <w:tc>
          <w:tcPr>
            <w:tcW w:w="1362" w:type="dxa"/>
            <w:vMerge w:val="restart"/>
            <w:tcBorders>
              <w:top w:val="single" w:sz="4" w:space="0" w:color="000000"/>
              <w:left w:val="single" w:sz="4" w:space="0" w:color="000000"/>
              <w:right w:val="single" w:sz="4" w:space="0" w:color="000000"/>
            </w:tcBorders>
            <w:shd w:val="clear" w:color="auto" w:fill="D4D4D4"/>
          </w:tcPr>
          <w:p>
            <w:pPr/>
          </w:p>
        </w:tc>
        <w:tc>
          <w:tcPr>
            <w:tcW w:w="964" w:type="dxa"/>
            <w:tcBorders>
              <w:top w:val="single" w:sz="4" w:space="0" w:color="000000"/>
              <w:left w:val="single" w:sz="4" w:space="0" w:color="000000"/>
              <w:bottom w:val="nil" w:sz="6" w:space="0" w:color="auto"/>
              <w:right w:val="single" w:sz="4" w:space="0" w:color="000000"/>
            </w:tcBorders>
            <w:shd w:val="clear" w:color="auto" w:fill="D4D4D4"/>
          </w:tcPr>
          <w:p>
            <w:pPr/>
          </w:p>
        </w:tc>
        <w:tc>
          <w:tcPr>
            <w:tcW w:w="991"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135" w:type="dxa"/>
            <w:tcBorders>
              <w:top w:val="single" w:sz="4" w:space="0" w:color="000000"/>
              <w:left w:val="single" w:sz="4" w:space="0" w:color="000000"/>
              <w:bottom w:val="nil" w:sz="6" w:space="0" w:color="auto"/>
              <w:right w:val="single" w:sz="4" w:space="0" w:color="000000"/>
            </w:tcBorders>
            <w:shd w:val="clear" w:color="auto" w:fill="D4D4D4"/>
          </w:tcPr>
          <w:p>
            <w:pPr/>
          </w:p>
        </w:tc>
        <w:tc>
          <w:tcPr>
            <w:tcW w:w="99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40"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71"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5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1" w:type="dxa"/>
            <w:vMerge/>
            <w:tcBorders>
              <w:left w:val="single" w:sz="4" w:space="0" w:color="000000"/>
              <w:bottom w:val="nil" w:sz="6" w:space="0" w:color="auto"/>
              <w:right w:val="single" w:sz="4" w:space="0" w:color="000000"/>
            </w:tcBorders>
            <w:shd w:val="clear" w:color="auto" w:fill="D4D4D4"/>
          </w:tcPr>
          <w:p>
            <w:pPr/>
          </w:p>
        </w:tc>
        <w:tc>
          <w:tcPr>
            <w:tcW w:w="1362" w:type="dxa"/>
            <w:vMerge/>
            <w:tcBorders>
              <w:left w:val="single" w:sz="4" w:space="0" w:color="000000"/>
              <w:bottom w:val="nil" w:sz="6" w:space="0" w:color="auto"/>
              <w:right w:val="single" w:sz="4" w:space="0" w:color="000000"/>
            </w:tcBorders>
            <w:shd w:val="clear" w:color="auto" w:fill="D4D4D4"/>
          </w:tcPr>
          <w:p>
            <w:pPr/>
          </w:p>
        </w:tc>
        <w:tc>
          <w:tcPr>
            <w:tcW w:w="96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left="8"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1"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12" w:right="11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shd w:val="clear" w:color="auto" w:fill="D4D4D4"/>
          </w:tcPr>
          <w:p>
            <w:pPr/>
          </w:p>
        </w:tc>
        <w:tc>
          <w:tcPr>
            <w:tcW w:w="1771" w:type="dxa"/>
            <w:gridSpan w:val="3"/>
            <w:vMerge/>
            <w:tcBorders>
              <w:left w:val="single" w:sz="4" w:space="0" w:color="000000"/>
              <w:right w:val="single" w:sz="4" w:space="0" w:color="000000"/>
            </w:tcBorders>
            <w:shd w:val="clear" w:color="auto" w:fill="D4D4D4"/>
          </w:tcPr>
          <w:p>
            <w:pPr/>
          </w:p>
        </w:tc>
      </w:tr>
      <w:tr>
        <w:trPr>
          <w:trHeight w:val="142" w:hRule="exact"/>
        </w:trPr>
        <w:tc>
          <w:tcPr>
            <w:tcW w:w="13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64" w:type="dxa"/>
            <w:vMerge/>
            <w:tcBorders>
              <w:left w:val="single" w:sz="4" w:space="0" w:color="000000"/>
              <w:right w:val="single" w:sz="4" w:space="0" w:color="000000"/>
            </w:tcBorders>
            <w:shd w:val="clear" w:color="auto" w:fill="D4D4D4"/>
          </w:tcPr>
          <w:p>
            <w:pPr/>
          </w:p>
        </w:tc>
        <w:tc>
          <w:tcPr>
            <w:tcW w:w="991" w:type="dxa"/>
            <w:gridSpan w:val="2"/>
            <w:vMerge/>
            <w:tcBorders>
              <w:left w:val="single" w:sz="4" w:space="0" w:color="000000"/>
              <w:right w:val="single" w:sz="4" w:space="0" w:color="000000"/>
            </w:tcBorders>
            <w:shd w:val="clear" w:color="auto" w:fill="D4D4D4"/>
          </w:tcPr>
          <w:p>
            <w:pPr/>
          </w:p>
        </w:tc>
        <w:tc>
          <w:tcPr>
            <w:tcW w:w="1135" w:type="dxa"/>
            <w:vMerge/>
            <w:tcBorders>
              <w:left w:val="single" w:sz="4" w:space="0" w:color="000000"/>
              <w:right w:val="single" w:sz="4" w:space="0" w:color="000000"/>
            </w:tcBorders>
            <w:shd w:val="clear" w:color="auto" w:fill="D4D4D4"/>
          </w:tcPr>
          <w:p>
            <w:pPr/>
          </w:p>
        </w:tc>
        <w:tc>
          <w:tcPr>
            <w:tcW w:w="991"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shd w:val="clear" w:color="auto" w:fill="D4D4D4"/>
          </w:tcPr>
          <w:p>
            <w:pPr/>
          </w:p>
        </w:tc>
        <w:tc>
          <w:tcPr>
            <w:tcW w:w="1771" w:type="dxa"/>
            <w:gridSpan w:val="3"/>
            <w:vMerge/>
            <w:tcBorders>
              <w:left w:val="single" w:sz="4" w:space="0" w:color="000000"/>
              <w:bottom w:val="single" w:sz="4" w:space="0" w:color="000000"/>
              <w:right w:val="single" w:sz="4" w:space="0" w:color="000000"/>
            </w:tcBorders>
            <w:shd w:val="clear" w:color="auto" w:fill="D4D4D4"/>
          </w:tcPr>
          <w:p>
            <w:pPr/>
          </w:p>
        </w:tc>
      </w:tr>
      <w:tr>
        <w:trPr>
          <w:trHeight w:val="252" w:hRule="exact"/>
        </w:trPr>
        <w:tc>
          <w:tcPr>
            <w:tcW w:w="1361" w:type="dxa"/>
            <w:vMerge/>
            <w:tcBorders>
              <w:left w:val="single" w:sz="4" w:space="0" w:color="000000"/>
              <w:bottom w:val="nil" w:sz="6" w:space="0" w:color="auto"/>
              <w:right w:val="single" w:sz="4" w:space="0" w:color="000000"/>
            </w:tcBorders>
            <w:shd w:val="clear" w:color="auto" w:fill="D4D4D4"/>
          </w:tcPr>
          <w:p>
            <w:pPr/>
          </w:p>
        </w:tc>
        <w:tc>
          <w:tcPr>
            <w:tcW w:w="1362" w:type="dxa"/>
            <w:vMerge/>
            <w:tcBorders>
              <w:left w:val="single" w:sz="4" w:space="0" w:color="000000"/>
              <w:bottom w:val="nil" w:sz="6" w:space="0" w:color="auto"/>
              <w:right w:val="single" w:sz="4" w:space="0" w:color="000000"/>
            </w:tcBorders>
            <w:shd w:val="clear" w:color="auto" w:fill="D4D4D4"/>
          </w:tcPr>
          <w:p>
            <w:pPr/>
          </w:p>
        </w:tc>
        <w:tc>
          <w:tcPr>
            <w:tcW w:w="964" w:type="dxa"/>
            <w:vMerge/>
            <w:tcBorders>
              <w:left w:val="single" w:sz="4" w:space="0" w:color="000000"/>
              <w:right w:val="single" w:sz="4" w:space="0" w:color="000000"/>
            </w:tcBorders>
            <w:shd w:val="clear" w:color="auto" w:fill="D4D4D4"/>
          </w:tcPr>
          <w:p>
            <w:pPr/>
          </w:p>
        </w:tc>
        <w:tc>
          <w:tcPr>
            <w:tcW w:w="991" w:type="dxa"/>
            <w:gridSpan w:val="2"/>
            <w:vMerge/>
            <w:tcBorders>
              <w:left w:val="single" w:sz="4" w:space="0" w:color="000000"/>
              <w:right w:val="single" w:sz="4" w:space="0" w:color="000000"/>
            </w:tcBorders>
            <w:shd w:val="clear" w:color="auto" w:fill="D4D4D4"/>
          </w:tcPr>
          <w:p>
            <w:pPr/>
          </w:p>
        </w:tc>
        <w:tc>
          <w:tcPr>
            <w:tcW w:w="1135" w:type="dxa"/>
            <w:vMerge/>
            <w:tcBorders>
              <w:left w:val="single" w:sz="4" w:space="0" w:color="000000"/>
              <w:right w:val="single" w:sz="4" w:space="0" w:color="000000"/>
            </w:tcBorders>
            <w:shd w:val="clear" w:color="auto" w:fill="D4D4D4"/>
          </w:tcPr>
          <w:p>
            <w:pPr/>
          </w:p>
        </w:tc>
        <w:tc>
          <w:tcPr>
            <w:tcW w:w="991"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shd w:val="clear" w:color="auto" w:fill="D4D4D4"/>
          </w:tcPr>
          <w:p>
            <w:pPr/>
          </w:p>
        </w:tc>
        <w:tc>
          <w:tcPr>
            <w:tcW w:w="85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4"/>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4"/>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1" w:type="dxa"/>
            <w:vMerge w:val="restart"/>
            <w:tcBorders>
              <w:top w:val="nil" w:sz="6" w:space="0" w:color="auto"/>
              <w:left w:val="single" w:sz="4" w:space="0" w:color="000000"/>
              <w:right w:val="single" w:sz="4" w:space="0" w:color="000000"/>
            </w:tcBorders>
            <w:shd w:val="clear" w:color="auto" w:fill="D4D4D4"/>
          </w:tcPr>
          <w:p>
            <w:pPr/>
          </w:p>
        </w:tc>
        <w:tc>
          <w:tcPr>
            <w:tcW w:w="1362" w:type="dxa"/>
            <w:vMerge w:val="restart"/>
            <w:tcBorders>
              <w:top w:val="nil" w:sz="6" w:space="0" w:color="auto"/>
              <w:left w:val="single" w:sz="4" w:space="0" w:color="000000"/>
              <w:right w:val="single" w:sz="4" w:space="0" w:color="000000"/>
            </w:tcBorders>
            <w:shd w:val="clear" w:color="auto" w:fill="D4D4D4"/>
          </w:tcPr>
          <w:p>
            <w:pPr/>
          </w:p>
        </w:tc>
        <w:tc>
          <w:tcPr>
            <w:tcW w:w="964" w:type="dxa"/>
            <w:vMerge/>
            <w:tcBorders>
              <w:left w:val="single" w:sz="4" w:space="0" w:color="000000"/>
              <w:bottom w:val="nil" w:sz="6" w:space="0" w:color="auto"/>
              <w:right w:val="single" w:sz="4" w:space="0" w:color="000000"/>
            </w:tcBorders>
            <w:shd w:val="clear" w:color="auto" w:fill="D4D4D4"/>
          </w:tcPr>
          <w:p>
            <w:pPr/>
          </w:p>
        </w:tc>
        <w:tc>
          <w:tcPr>
            <w:tcW w:w="991" w:type="dxa"/>
            <w:gridSpan w:val="2"/>
            <w:vMerge/>
            <w:tcBorders>
              <w:left w:val="single" w:sz="4" w:space="0" w:color="000000"/>
              <w:bottom w:val="nil" w:sz="6" w:space="0" w:color="auto"/>
              <w:right w:val="single" w:sz="4" w:space="0" w:color="000000"/>
            </w:tcBorders>
            <w:shd w:val="clear" w:color="auto" w:fill="D4D4D4"/>
          </w:tcPr>
          <w:p>
            <w:pPr/>
          </w:p>
        </w:tc>
        <w:tc>
          <w:tcPr>
            <w:tcW w:w="1135" w:type="dxa"/>
            <w:vMerge/>
            <w:tcBorders>
              <w:left w:val="single" w:sz="4" w:space="0" w:color="000000"/>
              <w:bottom w:val="nil" w:sz="6" w:space="0" w:color="auto"/>
              <w:right w:val="single" w:sz="4" w:space="0" w:color="000000"/>
            </w:tcBorders>
            <w:shd w:val="clear" w:color="auto" w:fill="D4D4D4"/>
          </w:tcPr>
          <w:p>
            <w:pPr/>
          </w:p>
        </w:tc>
        <w:tc>
          <w:tcPr>
            <w:tcW w:w="991"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shd w:val="clear" w:color="auto" w:fill="D4D4D4"/>
          </w:tcPr>
          <w:p>
            <w:pPr/>
          </w:p>
        </w:tc>
        <w:tc>
          <w:tcPr>
            <w:tcW w:w="850" w:type="dxa"/>
            <w:gridSpan w:val="2"/>
            <w:vMerge/>
            <w:tcBorders>
              <w:left w:val="single" w:sz="4" w:space="0" w:color="000000"/>
              <w:right w:val="single" w:sz="4" w:space="0" w:color="000000"/>
            </w:tcBorders>
            <w:shd w:val="clear" w:color="auto" w:fill="D4D4D4"/>
          </w:tcPr>
          <w:p>
            <w:pPr/>
          </w:p>
        </w:tc>
        <w:tc>
          <w:tcPr>
            <w:tcW w:w="922" w:type="dxa"/>
            <w:vMerge/>
            <w:tcBorders>
              <w:left w:val="single" w:sz="4" w:space="0" w:color="000000"/>
              <w:right w:val="single" w:sz="4" w:space="0" w:color="000000"/>
            </w:tcBorders>
            <w:shd w:val="clear" w:color="auto" w:fill="D4D4D4"/>
          </w:tcPr>
          <w:p>
            <w:pPr/>
          </w:p>
        </w:tc>
      </w:tr>
      <w:tr>
        <w:trPr>
          <w:trHeight w:val="161" w:hRule="exact"/>
        </w:trPr>
        <w:tc>
          <w:tcPr>
            <w:tcW w:w="1361" w:type="dxa"/>
            <w:vMerge/>
            <w:tcBorders>
              <w:left w:val="single" w:sz="4" w:space="0" w:color="000000"/>
              <w:bottom w:val="single" w:sz="4" w:space="0" w:color="000000"/>
              <w:right w:val="single" w:sz="4" w:space="0" w:color="000000"/>
            </w:tcBorders>
            <w:shd w:val="clear" w:color="auto" w:fill="D4D4D4"/>
          </w:tcPr>
          <w:p>
            <w:pPr/>
          </w:p>
        </w:tc>
        <w:tc>
          <w:tcPr>
            <w:tcW w:w="1362" w:type="dxa"/>
            <w:vMerge/>
            <w:tcBorders>
              <w:left w:val="single" w:sz="4" w:space="0" w:color="000000"/>
              <w:bottom w:val="single" w:sz="4" w:space="0" w:color="000000"/>
              <w:right w:val="single" w:sz="4" w:space="0" w:color="000000"/>
            </w:tcBorders>
            <w:shd w:val="clear" w:color="auto" w:fill="D4D4D4"/>
          </w:tcPr>
          <w:p>
            <w:pPr/>
          </w:p>
        </w:tc>
        <w:tc>
          <w:tcPr>
            <w:tcW w:w="964" w:type="dxa"/>
            <w:tcBorders>
              <w:top w:val="nil" w:sz="6" w:space="0" w:color="auto"/>
              <w:left w:val="single" w:sz="4" w:space="0" w:color="000000"/>
              <w:bottom w:val="single" w:sz="4" w:space="0" w:color="000000"/>
              <w:right w:val="single" w:sz="4" w:space="0" w:color="000000"/>
            </w:tcBorders>
            <w:shd w:val="clear" w:color="auto" w:fill="D4D4D4"/>
          </w:tcPr>
          <w:p>
            <w:pPr/>
          </w:p>
        </w:tc>
        <w:tc>
          <w:tcPr>
            <w:tcW w:w="991"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135" w:type="dxa"/>
            <w:tcBorders>
              <w:top w:val="nil" w:sz="6" w:space="0" w:color="auto"/>
              <w:left w:val="single" w:sz="4" w:space="0" w:color="000000"/>
              <w:bottom w:val="single" w:sz="4" w:space="0" w:color="000000"/>
              <w:right w:val="single" w:sz="4" w:space="0" w:color="000000"/>
            </w:tcBorders>
            <w:shd w:val="clear" w:color="auto" w:fill="D4D4D4"/>
          </w:tcPr>
          <w:p>
            <w:pPr/>
          </w:p>
        </w:tc>
        <w:tc>
          <w:tcPr>
            <w:tcW w:w="991" w:type="dxa"/>
            <w:vMerge/>
            <w:tcBorders>
              <w:left w:val="single" w:sz="4" w:space="0" w:color="000000"/>
              <w:bottom w:val="single" w:sz="4" w:space="0" w:color="000000"/>
              <w:right w:val="single" w:sz="4" w:space="0" w:color="000000"/>
            </w:tcBorders>
            <w:shd w:val="clear" w:color="auto" w:fill="D4D4D4"/>
          </w:tcPr>
          <w:p>
            <w:pPr/>
          </w:p>
        </w:tc>
        <w:tc>
          <w:tcPr>
            <w:tcW w:w="994" w:type="dxa"/>
            <w:vMerge/>
            <w:tcBorders>
              <w:left w:val="single" w:sz="4" w:space="0" w:color="000000"/>
              <w:bottom w:val="single" w:sz="4" w:space="0" w:color="000000"/>
              <w:right w:val="single" w:sz="4" w:space="0" w:color="000000"/>
            </w:tcBorders>
            <w:shd w:val="clear" w:color="auto" w:fill="D4D4D4"/>
          </w:tcPr>
          <w:p>
            <w:pPr/>
          </w:p>
        </w:tc>
        <w:tc>
          <w:tcPr>
            <w:tcW w:w="850" w:type="dxa"/>
            <w:gridSpan w:val="2"/>
            <w:vMerge/>
            <w:tcBorders>
              <w:left w:val="single" w:sz="4" w:space="0" w:color="000000"/>
              <w:bottom w:val="single" w:sz="4" w:space="0" w:color="000000"/>
              <w:right w:val="single" w:sz="4" w:space="0" w:color="000000"/>
            </w:tcBorders>
            <w:shd w:val="clear" w:color="auto" w:fill="D4D4D4"/>
          </w:tcPr>
          <w:p>
            <w:pPr/>
          </w:p>
        </w:tc>
        <w:tc>
          <w:tcPr>
            <w:tcW w:w="922"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68,018,580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+34,009,290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68,018,580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9" w:space="0" w:color="D4D4D4"/>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9" w:space="0" w:color="D4D4D4"/>
              <w:left w:val="single" w:sz="4" w:space="0" w:color="000000"/>
              <w:bottom w:val="single" w:sz="4" w:space="0" w:color="000000"/>
              <w:right w:val="single" w:sz="4" w:space="0" w:color="000000"/>
            </w:tcBorders>
          </w:tcPr>
          <w:p>
            <w:pPr>
              <w:pStyle w:val="TableParagraph"/>
              <w:spacing w:line="240" w:lineRule="auto" w:before="34"/>
              <w:ind w:left="55" w:right="0"/>
              <w:jc w:val="center"/>
              <w:rPr>
                <w:rFonts w:ascii="Times New Roman" w:hAnsi="Times New Roman" w:cs="Times New Roman" w:eastAsia="Times New Roman" w:hint="default"/>
                <w:sz w:val="18"/>
                <w:szCs w:val="18"/>
              </w:rPr>
            </w:pPr>
            <w:r>
              <w:rPr>
                <w:rFonts w:ascii="Times New Roman"/>
                <w:sz w:val="18"/>
              </w:rPr>
              <w:t>15,200,000</w:t>
            </w: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18.14%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37,622,340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+18,811,170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37,622,340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center"/>
              <w:rPr>
                <w:rFonts w:ascii="Times New Roman" w:hAnsi="Times New Roman" w:cs="Times New Roman" w:eastAsia="Times New Roman" w:hint="default"/>
                <w:sz w:val="18"/>
                <w:szCs w:val="18"/>
              </w:rPr>
            </w:pPr>
            <w:r>
              <w:rPr>
                <w:rFonts w:ascii="Times New Roman"/>
                <w:sz w:val="18"/>
              </w:rPr>
              <w:t>9,000,000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0"/>
        <w:rPr>
          <w:rFonts w:ascii="Times New Roman" w:hAnsi="Times New Roman" w:cs="Times New Roman" w:eastAsia="Times New Roman" w:hint="default"/>
          <w:sz w:val="20"/>
          <w:szCs w:val="20"/>
        </w:rPr>
      </w:pPr>
      <w:r>
        <w:rPr/>
        <w:pict>
          <v:group style="position:absolute;margin-left:193.320007pt;margin-top:380.879974pt;width:341.55pt;height:28pt;mso-position-horizontal-relative:page;mso-position-vertical-relative:page;z-index:-749488" coordorigin="3866,7618" coordsize="6831,560">
            <v:group style="position:absolute;left:3878;top:7630;width:2;height:392" coordorigin="3878,7630" coordsize="2,392">
              <v:shape style="position:absolute;left:3878;top:7630;width:2;height:392" coordorigin="3878,7630" coordsize="0,392" path="m3878,7630l3878,8021e" filled="false" stroked="true" strokeweight="1.2pt" strokecolor="#ffffff">
                <v:path arrowok="t"/>
              </v:shape>
            </v:group>
            <v:group style="position:absolute;left:3866;top:8021;width:6831;height:156" coordorigin="3866,8021" coordsize="6831,156">
              <v:shape style="position:absolute;left:3866;top:8021;width:6831;height:156" coordorigin="3866,8021" coordsize="6831,156" path="m3866,8177l10697,8177,10697,8021,3866,8021,3866,8177xe" filled="true" fillcolor="#ffffff" stroked="false">
                <v:path arrowok="t"/>
                <v:fill type="solid"/>
              </v:shape>
            </v:group>
            <v:group style="position:absolute;left:3890;top:7630;width:6783;height:392" coordorigin="3890,7630" coordsize="6783,392">
              <v:shape style="position:absolute;left:3890;top:7630;width:6783;height:392" coordorigin="3890,7630" coordsize="6783,392" path="m3890,8021l10673,8021,10673,7630,3890,7630,3890,802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1"/>
        <w:gridCol w:w="1368"/>
        <w:gridCol w:w="958"/>
        <w:gridCol w:w="991"/>
        <w:gridCol w:w="1135"/>
        <w:gridCol w:w="1006"/>
        <w:gridCol w:w="979"/>
        <w:gridCol w:w="403"/>
        <w:gridCol w:w="446"/>
        <w:gridCol w:w="922"/>
      </w:tblGrid>
      <w:tr>
        <w:trPr>
          <w:trHeight w:val="133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中国人寿保险股 份有限公司－分 红－个人分红</w:t>
            </w:r>
          </w:p>
          <w:p>
            <w:pPr>
              <w:pStyle w:val="TableParagraph"/>
              <w:spacing w:line="240" w:lineRule="auto" w:before="18"/>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2.68%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5,552,777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5,552,777</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鲁波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4,164,720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+2,082,360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2"/>
              <w:jc w:val="right"/>
              <w:rPr>
                <w:rFonts w:ascii="Times New Roman" w:hAnsi="Times New Roman" w:cs="Times New Roman" w:eastAsia="Times New Roman" w:hint="default"/>
                <w:sz w:val="18"/>
                <w:szCs w:val="18"/>
              </w:rPr>
            </w:pPr>
            <w:r>
              <w:rPr>
                <w:rFonts w:ascii="Times New Roman"/>
                <w:spacing w:val="-1"/>
                <w:sz w:val="18"/>
              </w:rPr>
              <w:t>4,164,720</w:t>
            </w:r>
          </w:p>
        </w:tc>
        <w:tc>
          <w:tcPr>
            <w:tcW w:w="979"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张之戈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3,496,500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+1165500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3,496,500</w:t>
            </w:r>
          </w:p>
        </w:tc>
        <w:tc>
          <w:tcPr>
            <w:tcW w:w="979"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3,368,294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+1,684,147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2"/>
              <w:jc w:val="right"/>
              <w:rPr>
                <w:rFonts w:ascii="Times New Roman" w:hAnsi="Times New Roman" w:cs="Times New Roman" w:eastAsia="Times New Roman" w:hint="default"/>
                <w:sz w:val="18"/>
                <w:szCs w:val="18"/>
              </w:rPr>
            </w:pPr>
            <w:r>
              <w:rPr>
                <w:rFonts w:ascii="Times New Roman"/>
                <w:spacing w:val="-1"/>
                <w:sz w:val="18"/>
              </w:rPr>
              <w:t>2,526,220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842,074</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中国银行－景顺 长城鼎益股票型 开放式证券投资 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2,699,879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+2,166,518</w:t>
            </w:r>
          </w:p>
        </w:tc>
        <w:tc>
          <w:tcPr>
            <w:tcW w:w="1006"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2,699,879</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杨学圆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2,393,160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+1,196,580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2"/>
              <w:jc w:val="right"/>
              <w:rPr>
                <w:rFonts w:ascii="Times New Roman" w:hAnsi="Times New Roman" w:cs="Times New Roman" w:eastAsia="Times New Roman" w:hint="default"/>
                <w:sz w:val="18"/>
                <w:szCs w:val="18"/>
              </w:rPr>
            </w:pPr>
            <w:r>
              <w:rPr>
                <w:rFonts w:ascii="Times New Roman"/>
                <w:spacing w:val="-1"/>
                <w:sz w:val="18"/>
              </w:rPr>
              <w:t>2,393,160</w:t>
            </w:r>
          </w:p>
        </w:tc>
        <w:tc>
          <w:tcPr>
            <w:tcW w:w="979"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2,115,382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+705,128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w w:val="95"/>
                <w:sz w:val="18"/>
              </w:rPr>
              <w:t>2,115,382</w:t>
            </w:r>
          </w:p>
        </w:tc>
        <w:tc>
          <w:tcPr>
            <w:tcW w:w="979"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中国农业银行－ 新华优选成长股 票型证券投资基 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0.78%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1,626,720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+905,260</w:t>
            </w:r>
          </w:p>
        </w:tc>
        <w:tc>
          <w:tcPr>
            <w:tcW w:w="1006"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1,626,720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名股东的情况（如有</w:t>
            </w:r>
          </w:p>
        </w:tc>
        <w:tc>
          <w:tcPr>
            <w:tcW w:w="958" w:type="dxa"/>
            <w:tcBorders>
              <w:top w:val="single" w:sz="4" w:space="0" w:color="000000"/>
              <w:left w:val="single" w:sz="13" w:space="0" w:color="D4D4D4"/>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196" w:lineRule="exact"/>
              <w:ind w:left="12"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19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4" w:space="0" w:color="000000"/>
              <w:left w:val="nil" w:sz="6" w:space="0" w:color="auto"/>
              <w:bottom w:val="single" w:sz="4" w:space="0" w:color="000000"/>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
        </w:tc>
        <w:tc>
          <w:tcPr>
            <w:tcW w:w="1006" w:type="dxa"/>
            <w:tcBorders>
              <w:top w:val="single" w:sz="4" w:space="0" w:color="000000"/>
              <w:left w:val="nil" w:sz="6" w:space="0" w:color="auto"/>
              <w:bottom w:val="single" w:sz="4" w:space="0" w:color="000000"/>
              <w:right w:val="nil" w:sz="6" w:space="0" w:color="auto"/>
            </w:tcBorders>
          </w:tcPr>
          <w:p>
            <w:pPr/>
          </w:p>
        </w:tc>
        <w:tc>
          <w:tcPr>
            <w:tcW w:w="979" w:type="dxa"/>
            <w:tcBorders>
              <w:top w:val="single" w:sz="4" w:space="0" w:color="000000"/>
              <w:left w:val="nil" w:sz="6" w:space="0" w:color="auto"/>
              <w:bottom w:val="single" w:sz="4" w:space="0" w:color="000000"/>
              <w:right w:val="nil" w:sz="6" w:space="0" w:color="auto"/>
            </w:tcBorders>
          </w:tcPr>
          <w:p>
            <w:pPr/>
          </w:p>
        </w:tc>
        <w:tc>
          <w:tcPr>
            <w:tcW w:w="403" w:type="dxa"/>
            <w:tcBorders>
              <w:top w:val="single" w:sz="4" w:space="0" w:color="000000"/>
              <w:left w:val="nil" w:sz="6" w:space="0" w:color="auto"/>
              <w:bottom w:val="single" w:sz="4" w:space="0" w:color="000000"/>
              <w:right w:val="nil" w:sz="6" w:space="0" w:color="auto"/>
            </w:tcBorders>
          </w:tcPr>
          <w:p>
            <w:pPr/>
          </w:p>
        </w:tc>
        <w:tc>
          <w:tcPr>
            <w:tcW w:w="446" w:type="dxa"/>
            <w:tcBorders>
              <w:top w:val="single" w:sz="4" w:space="0" w:color="000000"/>
              <w:left w:val="nil" w:sz="6" w:space="0" w:color="auto"/>
              <w:bottom w:val="single" w:sz="4" w:space="0" w:color="000000"/>
              <w:right w:val="nil" w:sz="6" w:space="0" w:color="auto"/>
            </w:tcBorders>
          </w:tcPr>
          <w:p>
            <w:pPr/>
          </w:p>
        </w:tc>
        <w:tc>
          <w:tcPr>
            <w:tcW w:w="922" w:type="dxa"/>
            <w:tcBorders>
              <w:top w:val="single" w:sz="4" w:space="0" w:color="000000"/>
              <w:left w:val="nil" w:sz="6" w:space="0" w:color="auto"/>
              <w:bottom w:val="single" w:sz="4" w:space="0" w:color="000000"/>
              <w:right w:val="single" w:sz="4" w:space="0" w:color="000000"/>
            </w:tcBorders>
          </w:tcPr>
          <w:p>
            <w:pPr/>
          </w:p>
        </w:tc>
      </w:tr>
      <w:tr>
        <w:trPr>
          <w:trHeight w:val="715"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0" w:type="dxa"/>
            <w:gridSpan w:val="8"/>
            <w:tcBorders>
              <w:top w:val="single" w:sz="4" w:space="0" w:color="000000"/>
              <w:left w:val="single" w:sz="13" w:space="0" w:color="D4D4D4"/>
              <w:bottom w:val="single" w:sz="4" w:space="0" w:color="000000"/>
              <w:right w:val="single" w:sz="4" w:space="0" w:color="000000"/>
            </w:tcBorders>
          </w:tcPr>
          <w:p>
            <w:pPr>
              <w:pStyle w:val="TableParagraph"/>
              <w:spacing w:line="297" w:lineRule="auto" w:before="51"/>
              <w:ind w:left="12" w:right="19"/>
              <w:jc w:val="left"/>
              <w:rPr>
                <w:rFonts w:ascii="宋体" w:hAnsi="宋体" w:cs="宋体" w:eastAsia="宋体" w:hint="default"/>
                <w:sz w:val="18"/>
                <w:szCs w:val="18"/>
              </w:rPr>
            </w:pPr>
            <w:r>
              <w:rPr>
                <w:rFonts w:ascii="宋体" w:hAnsi="宋体" w:cs="宋体" w:eastAsia="宋体" w:hint="default"/>
                <w:sz w:val="18"/>
                <w:szCs w:val="18"/>
              </w:rPr>
              <w:t>公司前十名股东中，鲁波为鲁峰之胞兄</w:t>
            </w:r>
            <w:r>
              <w:rPr>
                <w:rFonts w:ascii="Times New Roman" w:hAnsi="Times New Roman" w:cs="Times New Roman" w:eastAsia="Times New Roman" w:hint="default"/>
                <w:sz w:val="18"/>
                <w:szCs w:val="18"/>
              </w:rPr>
              <w:t>,</w:t>
            </w:r>
            <w:r>
              <w:rPr>
                <w:rFonts w:ascii="宋体" w:hAnsi="宋体" w:cs="宋体" w:eastAsia="宋体" w:hint="default"/>
                <w:sz w:val="18"/>
                <w:szCs w:val="18"/>
              </w:rPr>
              <w:t>杨学圆为鲁峰胞妹之配偶</w:t>
            </w:r>
            <w:r>
              <w:rPr>
                <w:rFonts w:ascii="宋体" w:hAnsi="宋体" w:cs="宋体" w:eastAsia="宋体" w:hint="default"/>
                <w:spacing w:val="-10"/>
                <w:sz w:val="18"/>
                <w:szCs w:val="18"/>
              </w:rPr>
              <w:t> </w:t>
            </w:r>
            <w:r>
              <w:rPr>
                <w:rFonts w:ascii="宋体" w:hAnsi="宋体" w:cs="宋体" w:eastAsia="宋体" w:hint="default"/>
                <w:sz w:val="18"/>
                <w:szCs w:val="18"/>
              </w:rPr>
              <w:t>。除上述情况外，其</w:t>
            </w:r>
            <w:r>
              <w:rPr>
                <w:rFonts w:ascii="宋体" w:hAnsi="宋体" w:cs="宋体" w:eastAsia="宋体" w:hint="default"/>
                <w:sz w:val="18"/>
                <w:szCs w:val="18"/>
              </w:rPr>
              <w:t> 他前十名股东之间未知是否存在关联关系，也未知是否属于一致行动人。</w:t>
            </w:r>
          </w:p>
        </w:tc>
      </w:tr>
      <w:tr>
        <w:trPr>
          <w:trHeight w:val="402"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4090" w:type="dxa"/>
            <w:gridSpan w:val="4"/>
            <w:tcBorders>
              <w:top w:val="single" w:sz="4" w:space="0" w:color="000000"/>
              <w:left w:val="single" w:sz="4" w:space="0" w:color="000000"/>
              <w:bottom w:val="nil" w:sz="6" w:space="0" w:color="auto"/>
              <w:right w:val="single" w:sz="4" w:space="0" w:color="000000"/>
            </w:tcBorders>
            <w:shd w:val="clear" w:color="auto" w:fill="D4D4D4"/>
          </w:tcPr>
          <w:p>
            <w:pPr/>
          </w:p>
        </w:tc>
        <w:tc>
          <w:tcPr>
            <w:tcW w:w="2750" w:type="dxa"/>
            <w:gridSpan w:val="4"/>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29"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90" w:type="dxa"/>
            <w:gridSpan w:val="4"/>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w:t>
            </w:r>
          </w:p>
        </w:tc>
        <w:tc>
          <w:tcPr>
            <w:tcW w:w="2750" w:type="dxa"/>
            <w:gridSpan w:val="4"/>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729" w:type="dxa"/>
            <w:gridSpan w:val="2"/>
            <w:vMerge/>
            <w:tcBorders>
              <w:left w:val="single" w:sz="4" w:space="0" w:color="000000"/>
              <w:bottom w:val="nil" w:sz="6" w:space="0" w:color="auto"/>
              <w:right w:val="single" w:sz="4" w:space="0" w:color="000000"/>
            </w:tcBorders>
            <w:shd w:val="clear" w:color="auto" w:fill="D4D4D4"/>
          </w:tcPr>
          <w:p>
            <w:pPr/>
          </w:p>
        </w:tc>
        <w:tc>
          <w:tcPr>
            <w:tcW w:w="4090" w:type="dxa"/>
            <w:gridSpan w:val="4"/>
            <w:vMerge/>
            <w:tcBorders>
              <w:left w:val="single" w:sz="4" w:space="0" w:color="000000"/>
              <w:bottom w:val="nil" w:sz="6" w:space="0" w:color="auto"/>
              <w:right w:val="single" w:sz="4" w:space="0" w:color="000000"/>
            </w:tcBorders>
            <w:shd w:val="clear" w:color="auto" w:fill="D4D4D4"/>
          </w:tcPr>
          <w:p>
            <w:pPr/>
          </w:p>
        </w:tc>
        <w:tc>
          <w:tcPr>
            <w:tcW w:w="138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3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4090" w:type="dxa"/>
            <w:gridSpan w:val="4"/>
            <w:tcBorders>
              <w:top w:val="nil" w:sz="6" w:space="0" w:color="auto"/>
              <w:left w:val="single" w:sz="4" w:space="0" w:color="000000"/>
              <w:bottom w:val="single" w:sz="4" w:space="0" w:color="000000"/>
              <w:right w:val="single" w:sz="4" w:space="0" w:color="000000"/>
            </w:tcBorders>
            <w:shd w:val="clear" w:color="auto" w:fill="D4D4D4"/>
          </w:tcPr>
          <w:p>
            <w:pPr/>
          </w:p>
        </w:tc>
        <w:tc>
          <w:tcPr>
            <w:tcW w:w="1382" w:type="dxa"/>
            <w:gridSpan w:val="2"/>
            <w:vMerge/>
            <w:tcBorders>
              <w:left w:val="single" w:sz="4" w:space="0" w:color="000000"/>
              <w:bottom w:val="single" w:sz="4" w:space="0" w:color="000000"/>
              <w:right w:val="single" w:sz="4" w:space="0" w:color="000000"/>
            </w:tcBorders>
            <w:shd w:val="clear" w:color="auto" w:fill="D4D4D4"/>
          </w:tcPr>
          <w:p>
            <w:pPr/>
          </w:p>
        </w:tc>
        <w:tc>
          <w:tcPr>
            <w:tcW w:w="1368" w:type="dxa"/>
            <w:gridSpan w:val="2"/>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中国人寿保险股份有限公司－分 红－个人分红</w:t>
            </w: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深</w:t>
            </w:r>
          </w:p>
        </w:tc>
        <w:tc>
          <w:tcPr>
            <w:tcW w:w="40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5,552,777</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5,552,777</w:t>
            </w:r>
          </w:p>
        </w:tc>
      </w:tr>
      <w:tr>
        <w:trPr>
          <w:trHeight w:val="71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中国银行－景顺长城鼎益股票型 开放式证券投资基金</w:t>
            </w:r>
          </w:p>
        </w:tc>
        <w:tc>
          <w:tcPr>
            <w:tcW w:w="40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2,699,879</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2,699,879</w:t>
            </w:r>
          </w:p>
        </w:tc>
      </w:tr>
      <w:tr>
        <w:trPr>
          <w:trHeight w:val="715"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中国农业银行－新华优选成长股 票型证券投资基金</w:t>
            </w:r>
          </w:p>
        </w:tc>
        <w:tc>
          <w:tcPr>
            <w:tcW w:w="40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1,626,720</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1,626,720</w:t>
            </w:r>
          </w:p>
        </w:tc>
      </w:tr>
      <w:tr>
        <w:trPr>
          <w:trHeight w:val="71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中国人寿保险股份有限公司－万 能－国寿瑞安</w:t>
            </w:r>
          </w:p>
        </w:tc>
        <w:tc>
          <w:tcPr>
            <w:tcW w:w="40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1,548,169</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1,548,169</w:t>
            </w:r>
          </w:p>
        </w:tc>
      </w:tr>
      <w:tr>
        <w:trPr>
          <w:trHeight w:val="715"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交通银行－普天收益证券投资基 金</w:t>
            </w:r>
          </w:p>
        </w:tc>
        <w:tc>
          <w:tcPr>
            <w:tcW w:w="40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1,299,968</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1,299,968</w:t>
            </w:r>
          </w:p>
        </w:tc>
      </w:tr>
      <w:tr>
        <w:trPr>
          <w:trHeight w:val="71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中国人寿保险股份有限公司－传 统－普通保险产品</w:t>
            </w:r>
            <w:r>
              <w:rPr>
                <w:rFonts w:ascii="Times New Roman" w:hAnsi="Times New Roman" w:cs="Times New Roman" w:eastAsia="Times New Roman" w:hint="default"/>
                <w:sz w:val="18"/>
                <w:szCs w:val="18"/>
              </w:rPr>
              <w:t>-005L-CT001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w:t>
            </w:r>
          </w:p>
        </w:tc>
        <w:tc>
          <w:tcPr>
            <w:tcW w:w="40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1,051,593</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1,051,593</w:t>
            </w:r>
          </w:p>
        </w:tc>
      </w:tr>
      <w:tr>
        <w:trPr>
          <w:trHeight w:val="40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40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z w:val="18"/>
              </w:rPr>
              <w:t>842,074</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1" w:right="0"/>
              <w:jc w:val="left"/>
              <w:rPr>
                <w:rFonts w:ascii="Times New Roman" w:hAnsi="Times New Roman" w:cs="Times New Roman" w:eastAsia="Times New Roman" w:hint="default"/>
                <w:sz w:val="18"/>
                <w:szCs w:val="18"/>
              </w:rPr>
            </w:pPr>
            <w:r>
              <w:rPr>
                <w:rFonts w:ascii="Times New Roman"/>
                <w:sz w:val="18"/>
              </w:rPr>
              <w:t>842,074</w:t>
            </w:r>
          </w:p>
        </w:tc>
      </w:tr>
      <w:tr>
        <w:trPr>
          <w:trHeight w:val="40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颜惠娟</w:t>
            </w:r>
          </w:p>
        </w:tc>
        <w:tc>
          <w:tcPr>
            <w:tcW w:w="40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690,550</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690,550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729"/>
        <w:gridCol w:w="4104"/>
        <w:gridCol w:w="1368"/>
        <w:gridCol w:w="1368"/>
      </w:tblGrid>
      <w:tr>
        <w:trPr>
          <w:trHeight w:val="71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中国工商银行股份有限公司企业 年金计划－中国建设银行</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654,109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654,109</w:t>
            </w:r>
          </w:p>
        </w:tc>
      </w:tr>
      <w:tr>
        <w:trPr>
          <w:trHeight w:val="715"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兴业国际信托有限公司－福建中 行新股申购资金信托项目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590,002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590,002</w:t>
            </w:r>
          </w:p>
        </w:tc>
      </w:tr>
      <w:tr>
        <w:trPr>
          <w:trHeight w:val="1337" w:hRule="exact"/>
        </w:trPr>
        <w:tc>
          <w:tcPr>
            <w:tcW w:w="27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8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19"/>
              <w:jc w:val="both"/>
              <w:rPr>
                <w:rFonts w:ascii="宋体" w:hAnsi="宋体" w:cs="宋体" w:eastAsia="宋体" w:hint="default"/>
                <w:sz w:val="18"/>
                <w:szCs w:val="18"/>
              </w:rPr>
            </w:pPr>
            <w:r>
              <w:rPr>
                <w:rFonts w:ascii="宋体" w:hAnsi="宋体" w:cs="宋体" w:eastAsia="宋体" w:hint="default"/>
                <w:sz w:val="18"/>
                <w:szCs w:val="18"/>
              </w:rPr>
              <w:t>公司前十名股东中，鲁波为鲁峰之胞兄</w:t>
            </w:r>
            <w:r>
              <w:rPr>
                <w:rFonts w:ascii="Times New Roman" w:hAnsi="Times New Roman" w:cs="Times New Roman" w:eastAsia="Times New Roman" w:hint="default"/>
                <w:sz w:val="18"/>
                <w:szCs w:val="18"/>
              </w:rPr>
              <w:t>,</w:t>
            </w:r>
            <w:r>
              <w:rPr>
                <w:rFonts w:ascii="宋体" w:hAnsi="宋体" w:cs="宋体" w:eastAsia="宋体" w:hint="default"/>
                <w:sz w:val="18"/>
                <w:szCs w:val="18"/>
              </w:rPr>
              <w:t>杨学圆为鲁峰胞妹之配偶</w:t>
            </w:r>
            <w:r>
              <w:rPr>
                <w:rFonts w:ascii="宋体" w:hAnsi="宋体" w:cs="宋体" w:eastAsia="宋体" w:hint="default"/>
                <w:spacing w:val="-11"/>
                <w:sz w:val="18"/>
                <w:szCs w:val="18"/>
              </w:rPr>
              <w:t> </w:t>
            </w:r>
            <w:r>
              <w:rPr>
                <w:rFonts w:ascii="宋体" w:hAnsi="宋体" w:cs="宋体" w:eastAsia="宋体" w:hint="default"/>
                <w:sz w:val="18"/>
                <w:szCs w:val="18"/>
              </w:rPr>
              <w:t>。除上述情况外，其</w:t>
            </w:r>
            <w:r>
              <w:rPr>
                <w:rFonts w:ascii="宋体" w:hAnsi="宋体" w:cs="宋体" w:eastAsia="宋体" w:hint="default"/>
                <w:sz w:val="18"/>
                <w:szCs w:val="18"/>
              </w:rPr>
              <w:t> 他前十名股东之间不存在关联关系。</w:t>
            </w:r>
            <w:r>
              <w:rPr>
                <w:rFonts w:ascii="宋体" w:hAnsi="宋体" w:cs="宋体" w:eastAsia="宋体" w:hint="default"/>
                <w:spacing w:val="1"/>
                <w:sz w:val="18"/>
                <w:szCs w:val="18"/>
              </w:rPr>
              <w:t> </w:t>
            </w:r>
            <w:r>
              <w:rPr>
                <w:rFonts w:ascii="宋体" w:hAnsi="宋体" w:cs="宋体" w:eastAsia="宋体" w:hint="default"/>
                <w:sz w:val="18"/>
                <w:szCs w:val="18"/>
              </w:rPr>
              <w:t>公司前十名无限售条件的股东之间，及与公司前</w:t>
            </w:r>
            <w:r>
              <w:rPr>
                <w:rFonts w:ascii="宋体" w:hAnsi="宋体" w:cs="宋体" w:eastAsia="宋体" w:hint="default"/>
                <w:sz w:val="18"/>
                <w:szCs w:val="18"/>
              </w:rPr>
              <w:t> 十名股东中未知是否存在关联关系，也未知是否属于一致行动人。</w:t>
            </w:r>
          </w:p>
        </w:tc>
      </w:tr>
      <w:tr>
        <w:trPr>
          <w:trHeight w:val="715" w:hRule="exact"/>
        </w:trPr>
        <w:tc>
          <w:tcPr>
            <w:tcW w:w="27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47"/>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自然人</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36"/>
        <w:gridCol w:w="2057"/>
        <w:gridCol w:w="4176"/>
      </w:tblGrid>
      <w:tr>
        <w:trPr>
          <w:trHeight w:val="402"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bookmarkStart w:name="2、公司控股股东情况" w:id="100"/>
            <w:bookmarkEnd w:id="100"/>
            <w:r>
              <w:rPr/>
            </w: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福建榕基软件股份有限公司董事长、总裁</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47"/>
        <w:jc w:val="left"/>
      </w:pPr>
      <w:r>
        <w:rPr/>
        <w:t>报告期控股股东变更</w:t>
      </w:r>
    </w:p>
    <w:p>
      <w:pPr>
        <w:spacing w:line="544" w:lineRule="auto" w:before="115"/>
        <w:ind w:left="152" w:right="7561" w:firstLine="0"/>
        <w:jc w:val="left"/>
        <w:rPr>
          <w:rFonts w:ascii="宋体" w:hAnsi="宋体" w:cs="宋体" w:eastAsia="宋体" w:hint="default"/>
          <w:sz w:val="18"/>
          <w:szCs w:val="18"/>
        </w:rPr>
      </w:pPr>
      <w:r>
        <w:rPr/>
        <w:pict>
          <v:shape style="position:absolute;margin-left:56.400002pt;margin-top:84.178726pt;width:479.2pt;height:60.8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6"/>
                    <w:gridCol w:w="2057"/>
                    <w:gridCol w:w="4176"/>
                  </w:tblGrid>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bookmarkStart w:name="3、公司实际控制人情况" w:id="101"/>
                        <w:bookmarkEnd w:id="101"/>
                        <w:r>
                          <w:rPr/>
                        </w:r>
                        <w:r>
                          <w:rPr>
                            <w:rFonts w:ascii="宋体" w:hAnsi="宋体" w:cs="宋体" w:eastAsia="宋体" w:hint="default"/>
                            <w:sz w:val="18"/>
                            <w:szCs w:val="18"/>
                          </w:rPr>
                          <w:t>是否取得其他国家或地区居留权</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福建榕基软件股份有限公司董事长、总裁</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before="44"/>
        <w:ind w:right="147"/>
        <w:jc w:val="left"/>
      </w:pPr>
      <w:r>
        <w:rPr/>
        <w:t>报告期实际控制人变更</w:t>
      </w:r>
    </w:p>
    <w:p>
      <w:pPr>
        <w:pStyle w:val="BodyText"/>
        <w:spacing w:line="340" w:lineRule="auto" w:before="115"/>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公司与实际控制人之间的产权及控制关系的方框图</w:t>
      </w:r>
    </w:p>
    <w:p>
      <w:pPr>
        <w:spacing w:line="240" w:lineRule="auto" w:before="8"/>
        <w:rPr>
          <w:rFonts w:ascii="宋体" w:hAnsi="宋体" w:cs="宋体" w:eastAsia="宋体" w:hint="default"/>
          <w:sz w:val="21"/>
          <w:szCs w:val="21"/>
        </w:rPr>
      </w:pPr>
    </w:p>
    <w:p>
      <w:pPr>
        <w:spacing w:line="2883" w:lineRule="exact"/>
        <w:ind w:left="2768"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2752060" cy="183070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2752060" cy="1830705"/>
                    </a:xfrm>
                    <a:prstGeom prst="rect">
                      <a:avLst/>
                    </a:prstGeom>
                  </pic:spPr>
                </pic:pic>
              </a:graphicData>
            </a:graphic>
          </wp:inline>
        </w:drawing>
      </w:r>
      <w:r>
        <w:rPr>
          <w:rFonts w:ascii="宋体" w:hAnsi="宋体" w:cs="宋体" w:eastAsia="宋体" w:hint="default"/>
          <w:position w:val="-57"/>
          <w:sz w:val="20"/>
          <w:szCs w:val="20"/>
        </w:rPr>
      </w:r>
    </w:p>
    <w:p>
      <w:pPr>
        <w:spacing w:after="0" w:line="2883" w:lineRule="exact"/>
        <w:rPr>
          <w:rFonts w:ascii="宋体" w:hAnsi="宋体" w:cs="宋体" w:eastAsia="宋体" w:hint="default"/>
          <w:sz w:val="20"/>
          <w:szCs w:val="20"/>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实际控制人通过信托或其他资产管理方式控制公司</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bookmarkStart w:name="4、其他持股在10%以上的法人股东" w:id="102"/>
      <w:bookmarkEnd w:id="102"/>
      <w:r>
        <w:rPr>
          <w:rFonts w:ascii="Times New Roman" w:hAnsi="Times New Roman" w:cs="Times New Roman" w:eastAsia="Times New Roman" w:hint="default"/>
        </w:rPr>
      </w:r>
      <w:r>
        <w:rPr/>
        <w:t>、其他持股在</w:t>
      </w:r>
      <w:r>
        <w:rPr>
          <w:spacing w:val="-54"/>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四、公司股东及其</w:t>
      </w:r>
      <w:bookmarkStart w:name="四、公司股东及其一致行动人在报告期提出或实施股份增持计划的情况" w:id="103"/>
      <w:bookmarkEnd w:id="103"/>
      <w:r>
        <w:rPr/>
        <w:t>一致</w:t>
      </w:r>
      <w:r>
        <w:rPr/>
        <w:t>行动人在报告期提出或实施股份增持计划的情况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284"/>
        <w:gridCol w:w="1133"/>
        <w:gridCol w:w="1560"/>
        <w:gridCol w:w="1490"/>
      </w:tblGrid>
      <w:tr>
        <w:trPr>
          <w:trHeight w:val="708"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319" w:right="23"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0" w:right="47"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58" w:right="95" w:hanging="360"/>
              <w:jc w:val="left"/>
              <w:rPr>
                <w:rFonts w:ascii="宋体" w:hAnsi="宋体" w:cs="宋体" w:eastAsia="宋体" w:hint="default"/>
                <w:sz w:val="18"/>
                <w:szCs w:val="18"/>
              </w:rPr>
            </w:pPr>
            <w:r>
              <w:rPr>
                <w:rFonts w:ascii="宋体" w:hAnsi="宋体" w:cs="宋体" w:eastAsia="宋体" w:hint="default"/>
                <w:sz w:val="18"/>
                <w:szCs w:val="18"/>
              </w:rPr>
              <w:t>实际增持股份 数量</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92" w:right="108" w:hanging="180"/>
              <w:jc w:val="left"/>
              <w:rPr>
                <w:rFonts w:ascii="宋体" w:hAnsi="宋体" w:cs="宋体" w:eastAsia="宋体" w:hint="default"/>
                <w:sz w:val="18"/>
                <w:szCs w:val="18"/>
              </w:rPr>
            </w:pPr>
            <w:r>
              <w:rPr>
                <w:rFonts w:ascii="宋体" w:hAnsi="宋体" w:cs="宋体" w:eastAsia="宋体" w:hint="default"/>
                <w:sz w:val="18"/>
                <w:szCs w:val="18"/>
              </w:rPr>
              <w:t>实际增持股 份比例</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15" w:right="53" w:hanging="360"/>
              <w:jc w:val="left"/>
              <w:rPr>
                <w:rFonts w:ascii="宋体" w:hAnsi="宋体" w:cs="宋体" w:eastAsia="宋体" w:hint="default"/>
                <w:sz w:val="18"/>
                <w:szCs w:val="18"/>
              </w:rPr>
            </w:pPr>
            <w:r>
              <w:rPr>
                <w:rFonts w:ascii="宋体" w:hAnsi="宋体" w:cs="宋体" w:eastAsia="宋体" w:hint="default"/>
                <w:sz w:val="18"/>
                <w:szCs w:val="18"/>
              </w:rPr>
              <w:t>股份增持计划初次 披露日期</w:t>
            </w:r>
          </w:p>
        </w:tc>
        <w:tc>
          <w:tcPr>
            <w:tcW w:w="14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 w:right="108"/>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r>
        <w:trPr>
          <w:trHeight w:val="72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不低于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万股</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不高于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3"/>
              <w:ind w:left="-11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0.096%</w:t>
            </w:r>
            <w:r>
              <w:rPr>
                <w:rFonts w:ascii="宋体" w:hAnsi="宋体" w:cs="宋体" w:eastAsia="宋体" w:hint="default"/>
                <w:sz w:val="18"/>
                <w:szCs w:val="18"/>
              </w:rPr>
              <w:t>～</w:t>
            </w:r>
            <w:r>
              <w:rPr>
                <w:rFonts w:ascii="Times New Roman" w:hAnsi="Times New Roman" w:cs="Times New Roman" w:eastAsia="Times New Roman" w:hint="default"/>
                <w:sz w:val="18"/>
                <w:szCs w:val="18"/>
              </w:rPr>
              <w:t>0.964%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0.096%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bl>
    <w:p>
      <w:pPr>
        <w:pStyle w:val="BodyText"/>
        <w:spacing w:line="240" w:lineRule="auto" w:before="49"/>
        <w:ind w:right="0"/>
        <w:jc w:val="left"/>
      </w:pPr>
      <w:r>
        <w:rPr/>
        <w:pict>
          <v:group style="position:absolute;margin-left:193.800003pt;margin-top:-35.758297pt;width:67.8pt;height:28.05pt;mso-position-horizontal-relative:page;mso-position-vertical-relative:paragraph;z-index:-749440" coordorigin="3876,-715" coordsize="1356,561">
            <v:group style="position:absolute;left:3876;top:-715;width:1356;height:156" coordorigin="3876,-715" coordsize="1356,156">
              <v:shape style="position:absolute;left:3876;top:-715;width:1356;height:156" coordorigin="3876,-715" coordsize="1356,156" path="m3876,-559l5232,-559,5232,-715,3876,-715,3876,-559xe" filled="true" fillcolor="#ffffff" stroked="false">
                <v:path arrowok="t"/>
                <v:fill type="solid"/>
              </v:shape>
            </v:group>
            <v:group style="position:absolute;left:3887;top:-559;width:2;height:394" coordorigin="3887,-559" coordsize="2,394">
              <v:shape style="position:absolute;left:3887;top:-559;width:2;height:394" coordorigin="3887,-559" coordsize="0,394" path="m3887,-559l3887,-166e" filled="false" stroked="true" strokeweight="1.08pt" strokecolor="#ffffff">
                <v:path arrowok="t"/>
              </v:shape>
            </v:group>
            <v:group style="position:absolute;left:3898;top:-559;width:1311;height:394" coordorigin="3898,-559" coordsize="1311,394">
              <v:shape style="position:absolute;left:3898;top:-559;width:1311;height:394" coordorigin="3898,-559" coordsize="1311,394" path="m3898,-166l5208,-166,5208,-559,3898,-559,3898,-166xe" filled="true" fillcolor="#ffffff" stroked="false">
                <v:path arrowok="t"/>
                <v:fill type="solid"/>
              </v:shape>
            </v:group>
            <w10:wrap type="none"/>
          </v:group>
        </w:pict>
      </w:r>
      <w:r>
        <w:rPr/>
        <w:t>其他情况说明</w:t>
      </w:r>
    </w:p>
    <w:p>
      <w:pPr>
        <w:pStyle w:val="BodyText"/>
        <w:spacing w:line="300" w:lineRule="auto" w:before="115"/>
        <w:ind w:right="101" w:firstLine="419"/>
        <w:jc w:val="left"/>
      </w:pPr>
      <w:r>
        <w:rPr>
          <w:spacing w:val="-3"/>
        </w:rPr>
        <w:t>增持计划实施前，鲁峰先生持有本公司股份</w:t>
      </w:r>
      <w:r>
        <w:rPr>
          <w:rFonts w:ascii="Times New Roman" w:hAnsi="Times New Roman" w:cs="Times New Roman" w:eastAsia="Times New Roman" w:hint="default"/>
          <w:spacing w:val="-3"/>
        </w:rPr>
        <w:t>68,018,580</w:t>
      </w:r>
      <w:r>
        <w:rPr>
          <w:spacing w:val="-3"/>
        </w:rPr>
        <w:t>股，占公司股份总额的</w:t>
      </w:r>
      <w:r>
        <w:rPr>
          <w:rFonts w:ascii="Times New Roman" w:hAnsi="Times New Roman" w:cs="Times New Roman" w:eastAsia="Times New Roman" w:hint="default"/>
          <w:spacing w:val="-3"/>
        </w:rPr>
        <w:t>32.80%</w:t>
      </w:r>
      <w:r>
        <w:rPr>
          <w:spacing w:val="-3"/>
        </w:rPr>
        <w:t>，为公司的控股股东、实际控制人。</w:t>
      </w:r>
      <w:r>
        <w:rPr/>
        <w:t> </w:t>
      </w:r>
      <w:r>
        <w:rPr>
          <w:spacing w:val="-2"/>
        </w:rPr>
        <w:t>鲁峰先生通过深圳证券交易所系统以竞价方式实施本次增持计划，自</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16</w:t>
      </w:r>
      <w:r>
        <w:rPr>
          <w:spacing w:val="-2"/>
        </w:rPr>
        <w:t>日实施首次增持，至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25</w:t>
      </w:r>
      <w:r>
        <w:rPr>
          <w:spacing w:val="-2"/>
        </w:rPr>
        <w:t>日最后一</w:t>
      </w:r>
      <w:r>
        <w:rPr>
          <w:spacing w:val="-60"/>
        </w:rPr>
        <w:t> </w:t>
      </w:r>
      <w:r>
        <w:rPr>
          <w:spacing w:val="-60"/>
        </w:rPr>
      </w:r>
      <w:r>
        <w:rPr/>
        <w:t>笔增持完成，鲁峰先生共增持公司股份</w:t>
      </w:r>
      <w:r>
        <w:rPr>
          <w:rFonts w:ascii="Times New Roman" w:hAnsi="Times New Roman" w:cs="Times New Roman" w:eastAsia="Times New Roman" w:hint="default"/>
        </w:rPr>
        <w:t>200,000</w:t>
      </w:r>
      <w:r>
        <w:rPr/>
        <w:t>股，占公司总股本的</w:t>
      </w:r>
      <w:r>
        <w:rPr>
          <w:rFonts w:ascii="Times New Roman" w:hAnsi="Times New Roman" w:cs="Times New Roman" w:eastAsia="Times New Roman" w:hint="default"/>
        </w:rPr>
        <w:t>0.096%</w:t>
      </w:r>
      <w:r>
        <w:rPr/>
        <w:t>。鲁峰先生于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日已完成本次增持公司</w:t>
      </w:r>
      <w:r>
        <w:rPr>
          <w:spacing w:val="-67"/>
        </w:rPr>
        <w:t> </w:t>
      </w:r>
      <w:r>
        <w:rPr>
          <w:spacing w:val="-67"/>
        </w:rPr>
      </w:r>
      <w:r>
        <w:rPr>
          <w:spacing w:val="9"/>
        </w:rPr>
        <w:t>股份计划。本次增持完成后，鲁峰先生持有公司股份</w:t>
      </w:r>
      <w:r>
        <w:rPr>
          <w:rFonts w:ascii="Times New Roman" w:hAnsi="Times New Roman" w:cs="Times New Roman" w:eastAsia="Times New Roman" w:hint="default"/>
          <w:spacing w:val="9"/>
        </w:rPr>
        <w:t>68,218,580</w:t>
      </w:r>
      <w:r>
        <w:rPr>
          <w:spacing w:val="9"/>
        </w:rPr>
        <w:t>股，占公司总股本</w:t>
      </w:r>
      <w:r>
        <w:rPr>
          <w:rFonts w:ascii="Times New Roman" w:hAnsi="Times New Roman" w:cs="Times New Roman" w:eastAsia="Times New Roman" w:hint="default"/>
          <w:spacing w:val="9"/>
        </w:rPr>
        <w:t>32.89%</w:t>
      </w:r>
      <w:r>
        <w:rPr>
          <w:spacing w:val="9"/>
        </w:rPr>
        <w:t>。具体内容详见巨潮资讯网</w:t>
      </w:r>
      <w:r>
        <w:rPr>
          <w:spacing w:val="-85"/>
        </w:rPr>
        <w:t> </w:t>
      </w:r>
      <w:hyperlink r:id="rId16">
        <w:r>
          <w:rPr>
            <w:rFonts w:ascii="Times New Roman" w:hAnsi="Times New Roman" w:cs="Times New Roman" w:eastAsia="Times New Roman" w:hint="default"/>
          </w:rPr>
          <w:t>http://www.cninfo.com.cn/</w:t>
        </w:r>
        <w:r>
          <w:rPr/>
          <w:t>的《</w:t>
        </w:r>
      </w:hyperlink>
      <w:r>
        <w:rPr/>
        <w:t>关于公司控股股东计划增持公司股份的公告》（</w:t>
      </w:r>
      <w:r>
        <w:rPr>
          <w:rFonts w:ascii="Times New Roman" w:hAnsi="Times New Roman" w:cs="Times New Roman" w:eastAsia="Times New Roman" w:hint="default"/>
        </w:rPr>
        <w:t>2012-049</w:t>
      </w:r>
      <w:r>
        <w:rPr/>
        <w:t>）、《关于公司控股股东首次增持公 司股份的公告》（</w:t>
      </w:r>
      <w:r>
        <w:rPr>
          <w:rFonts w:ascii="Times New Roman" w:hAnsi="Times New Roman" w:cs="Times New Roman" w:eastAsia="Times New Roman" w:hint="default"/>
        </w:rPr>
        <w:t>2013-002</w:t>
      </w:r>
      <w:r>
        <w:rPr/>
        <w:t>）、《关于公司控股股东完成增持公司股份的公告》（</w:t>
      </w:r>
      <w:r>
        <w:rPr>
          <w:rFonts w:ascii="Times New Roman" w:hAnsi="Times New Roman" w:cs="Times New Roman" w:eastAsia="Times New Roman" w:hint="default"/>
        </w:rPr>
        <w:t>2013-006</w:t>
      </w:r>
      <w:r>
        <w:rPr/>
        <w:t>）。</w:t>
      </w:r>
    </w:p>
    <w:p>
      <w:pPr>
        <w:spacing w:after="0" w:line="30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r>
        <w:rPr/>
        <w:pict>
          <v:group style="position:absolute;margin-left:140.399994pt;margin-top:261.239990pt;width:43pt;height:15.6pt;mso-position-horizontal-relative:page;mso-position-vertical-relative:page;z-index:-749416" coordorigin="2808,5225" coordsize="860,312">
            <v:shape style="position:absolute;left:2808;top:5225;width:860;height:312" coordorigin="2808,5225" coordsize="860,312" path="m2808,5537l3667,5537,3667,5225,2808,5225,2808,5537xe" filled="true" fillcolor="#ffffff" stroked="false">
              <v:path arrowok="t"/>
              <v:fill type="solid"/>
            </v:shape>
            <w10:wrap type="none"/>
          </v:group>
        </w:pict>
      </w:r>
      <w:r>
        <w:rPr/>
        <w:pict>
          <v:group style="position:absolute;margin-left:140.399994pt;margin-top:669.479980pt;width:43pt;height:15.6pt;mso-position-horizontal-relative:page;mso-position-vertical-relative:page;z-index:-749392" coordorigin="2808,13390" coordsize="860,312">
            <v:shape style="position:absolute;left:2808;top:13390;width:860;height:312" coordorigin="2808,13390" coordsize="860,312" path="m2808,13702l3667,13702,3667,13390,2808,13390,2808,13702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1719" w:right="0"/>
        <w:jc w:val="left"/>
        <w:rPr>
          <w:b w:val="0"/>
          <w:bCs w:val="0"/>
        </w:rPr>
      </w:pPr>
      <w:bookmarkStart w:name="第七节 董事、监事、高级管理人员和员工情况" w:id="104"/>
      <w:bookmarkEnd w:id="104"/>
      <w:r>
        <w:rPr>
          <w:b w:val="0"/>
          <w:bCs w:val="0"/>
        </w:rPr>
      </w:r>
      <w:bookmarkStart w:name="_bookmark6" w:id="105"/>
      <w:bookmarkEnd w:id="105"/>
      <w:r>
        <w:rPr>
          <w:b w:val="0"/>
          <w:bCs w:val="0"/>
        </w:rPr>
      </w:r>
      <w:r>
        <w:rPr/>
        <w:t>第七节</w:t>
      </w:r>
      <w:r>
        <w:rPr>
          <w:spacing w:val="-11"/>
        </w:rPr>
        <w:t> </w:t>
      </w:r>
      <w:r>
        <w:rPr/>
        <w:t>董事、监事、高级管理人员和员工情况</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left="192" w:right="0"/>
        <w:jc w:val="left"/>
        <w:rPr>
          <w:b w:val="0"/>
          <w:bCs w:val="0"/>
        </w:rPr>
      </w:pPr>
      <w:r>
        <w:rPr/>
        <w:t>一、董事、监</w:t>
      </w:r>
      <w:bookmarkStart w:name="一、董事、监事和高级管理人员持股变动" w:id="106"/>
      <w:bookmarkEnd w:id="106"/>
      <w:r>
        <w:rPr/>
        <w:t>事</w:t>
      </w:r>
      <w:r>
        <w:rPr/>
        <w:t>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871"/>
        <w:gridCol w:w="869"/>
        <w:gridCol w:w="871"/>
        <w:gridCol w:w="869"/>
        <w:gridCol w:w="871"/>
        <w:gridCol w:w="866"/>
        <w:gridCol w:w="869"/>
        <w:gridCol w:w="869"/>
        <w:gridCol w:w="869"/>
        <w:gridCol w:w="871"/>
        <w:gridCol w:w="1085"/>
      </w:tblGrid>
      <w:tr>
        <w:trPr>
          <w:trHeight w:val="1025" w:hRule="exact"/>
        </w:trPr>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5"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34,009,290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68,018,580</w:t>
            </w:r>
          </w:p>
        </w:tc>
      </w:tr>
      <w:tr>
        <w:trPr>
          <w:trHeight w:val="1025"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both"/>
              <w:rPr>
                <w:rFonts w:ascii="宋体" w:hAnsi="宋体" w:cs="宋体" w:eastAsia="宋体" w:hint="default"/>
                <w:sz w:val="18"/>
                <w:szCs w:val="18"/>
              </w:rPr>
            </w:pPr>
            <w:r>
              <w:rPr>
                <w:rFonts w:ascii="宋体" w:hAnsi="宋体" w:cs="宋体" w:eastAsia="宋体" w:hint="default"/>
                <w:sz w:val="18"/>
                <w:szCs w:val="18"/>
              </w:rPr>
              <w:t>副董事长 常务副总 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18,811,170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37,622,340</w:t>
            </w:r>
          </w:p>
        </w:tc>
      </w:tr>
      <w:tr>
        <w:trPr>
          <w:trHeight w:val="715"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1,410,255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705,128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w w:val="95"/>
                <w:sz w:val="18"/>
              </w:rPr>
              <w:t>2,115,382</w:t>
            </w:r>
          </w:p>
        </w:tc>
      </w:tr>
      <w:tr>
        <w:trPr>
          <w:trHeight w:val="71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1,684,147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3,368,294</w:t>
            </w:r>
          </w:p>
        </w:tc>
      </w:tr>
      <w:tr>
        <w:trPr>
          <w:trHeight w:val="715"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张之戈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2,331,000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1,165,500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3,496,500</w:t>
            </w:r>
          </w:p>
        </w:tc>
      </w:tr>
      <w:tr>
        <w:trPr>
          <w:trHeight w:val="71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杨学圆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1,196,580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2,393,160</w:t>
            </w:r>
          </w:p>
        </w:tc>
      </w:tr>
      <w:tr>
        <w:trPr>
          <w:trHeight w:val="715"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邱文溢</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魏建光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邬海峰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周仁锟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both"/>
              <w:rPr>
                <w:rFonts w:ascii="宋体" w:hAnsi="宋体" w:cs="宋体" w:eastAsia="宋体" w:hint="default"/>
                <w:sz w:val="18"/>
                <w:szCs w:val="18"/>
              </w:rPr>
            </w:pPr>
            <w:r>
              <w:rPr>
                <w:rFonts w:ascii="宋体" w:hAnsi="宋体" w:cs="宋体" w:eastAsia="宋体" w:hint="default"/>
                <w:sz w:val="18"/>
                <w:szCs w:val="18"/>
              </w:rPr>
              <w:t>副总经理 董事会秘 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932,400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466,200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1,398,600</w:t>
            </w:r>
          </w:p>
        </w:tc>
      </w:tr>
      <w:tr>
        <w:trPr>
          <w:trHeight w:val="71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40" w:right="940"/>
        </w:sectPr>
      </w:pPr>
    </w:p>
    <w:p>
      <w:pPr>
        <w:spacing w:line="240" w:lineRule="auto" w:before="6"/>
        <w:rPr>
          <w:rFonts w:ascii="宋体" w:hAnsi="宋体" w:cs="宋体" w:eastAsia="宋体" w:hint="default"/>
          <w:b/>
          <w:bCs/>
          <w:sz w:val="28"/>
          <w:szCs w:val="28"/>
        </w:rPr>
      </w:pPr>
    </w:p>
    <w:tbl>
      <w:tblPr>
        <w:tblW w:w="0" w:type="auto"/>
        <w:jc w:val="left"/>
        <w:tblInd w:w="116" w:type="dxa"/>
        <w:tblLayout w:type="fixed"/>
        <w:tblCellMar>
          <w:top w:w="0" w:type="dxa"/>
          <w:left w:w="0" w:type="dxa"/>
          <w:bottom w:w="0" w:type="dxa"/>
          <w:right w:w="0" w:type="dxa"/>
        </w:tblCellMar>
        <w:tblLook w:val="01E0"/>
      </w:tblPr>
      <w:tblGrid>
        <w:gridCol w:w="871"/>
        <w:gridCol w:w="869"/>
        <w:gridCol w:w="871"/>
        <w:gridCol w:w="869"/>
        <w:gridCol w:w="871"/>
        <w:gridCol w:w="866"/>
        <w:gridCol w:w="869"/>
        <w:gridCol w:w="869"/>
        <w:gridCol w:w="869"/>
        <w:gridCol w:w="871"/>
        <w:gridCol w:w="1085"/>
      </w:tblGrid>
      <w:tr>
        <w:trPr>
          <w:trHeight w:val="71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倪时龙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宾壮兴</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靳谊</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60,374,842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2,336,828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pacing w:val="-1"/>
                <w:sz w:val="18"/>
              </w:rPr>
              <w:t>118,412,856</w:t>
            </w:r>
          </w:p>
        </w:tc>
      </w:tr>
    </w:tbl>
    <w:p>
      <w:pPr>
        <w:spacing w:line="240" w:lineRule="auto" w:before="1"/>
        <w:rPr>
          <w:rFonts w:ascii="宋体" w:hAnsi="宋体" w:cs="宋体" w:eastAsia="宋体" w:hint="default"/>
          <w:b/>
          <w:bCs/>
          <w:sz w:val="18"/>
          <w:szCs w:val="18"/>
        </w:rPr>
      </w:pPr>
    </w:p>
    <w:p>
      <w:pPr>
        <w:pStyle w:val="Heading2"/>
        <w:spacing w:line="240" w:lineRule="auto" w:before="26"/>
        <w:ind w:left="192" w:right="0"/>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92" w:right="0"/>
        <w:jc w:val="left"/>
      </w:pPr>
      <w:r>
        <w:rPr/>
        <w:t>公司现任董事、监事、高级管理人员最近</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bookmarkStart w:name="二、任职情况" w:id="107"/>
      <w:bookmarkEnd w:id="107"/>
      <w:r>
        <w:rPr>
          <w:rFonts w:ascii="Times New Roman" w:hAnsi="Times New Roman" w:cs="Times New Roman" w:eastAsia="Times New Roman" w:hint="default"/>
          <w:spacing w:val="-1"/>
        </w:rPr>
      </w:r>
      <w:r>
        <w:rPr/>
        <w:t>年的主要工作经历</w:t>
      </w:r>
    </w:p>
    <w:p>
      <w:pPr>
        <w:pStyle w:val="BodyText"/>
        <w:spacing w:line="360" w:lineRule="auto" w:before="101"/>
        <w:ind w:left="612" w:right="0" w:hanging="106"/>
        <w:jc w:val="left"/>
      </w:pPr>
      <w:r>
        <w:rPr/>
        <w:t>（一）董事 鲁峰：中国国籍，无境外永久居留权，男，</w:t>
      </w:r>
      <w:r>
        <w:rPr>
          <w:rFonts w:ascii="Times New Roman" w:hAnsi="Times New Roman" w:cs="Times New Roman" w:eastAsia="Times New Roman" w:hint="default"/>
        </w:rPr>
        <w:t>1967</w:t>
      </w:r>
      <w:r>
        <w:rPr/>
        <w:t>年生，毕业于中科院沈阳计算技术研究所，研究生学历，工学硕士学</w:t>
      </w:r>
    </w:p>
    <w:p>
      <w:pPr>
        <w:pStyle w:val="BodyText"/>
        <w:spacing w:line="212" w:lineRule="exact"/>
        <w:ind w:left="192" w:right="0"/>
        <w:jc w:val="left"/>
      </w:pPr>
      <w:r>
        <w:rPr/>
        <w:t>位。长期从事行业应用软件开发及计算机信息系统集成工作，</w:t>
      </w:r>
      <w:r>
        <w:rPr>
          <w:rFonts w:ascii="Times New Roman" w:hAnsi="Times New Roman" w:cs="Times New Roman" w:eastAsia="Times New Roman" w:hint="default"/>
        </w:rPr>
        <w:t>1993</w:t>
      </w:r>
      <w:r>
        <w:rPr/>
        <w:t>年参与创建福建榕基软件开发有限公司，主持业务、研发</w:t>
      </w:r>
    </w:p>
    <w:p>
      <w:pPr>
        <w:pStyle w:val="BodyText"/>
        <w:spacing w:line="300" w:lineRule="auto" w:before="62"/>
        <w:ind w:left="192" w:right="0"/>
        <w:jc w:val="left"/>
      </w:pPr>
      <w:r>
        <w:rPr>
          <w:spacing w:val="-2"/>
        </w:rPr>
        <w:t>和技术管理工作。</w:t>
      </w:r>
      <w:r>
        <w:rPr>
          <w:rFonts w:ascii="Times New Roman" w:hAnsi="Times New Roman" w:cs="Times New Roman" w:eastAsia="Times New Roman" w:hint="default"/>
          <w:spacing w:val="-2"/>
        </w:rPr>
        <w:t>2004</w:t>
      </w:r>
      <w:r>
        <w:rPr>
          <w:spacing w:val="-2"/>
        </w:rPr>
        <w:t>年，荣获福建省人事厅、信息产业厅颁发的</w:t>
      </w:r>
      <w:r>
        <w:rPr>
          <w:rFonts w:ascii="Times New Roman" w:hAnsi="Times New Roman" w:cs="Times New Roman" w:eastAsia="Times New Roman" w:hint="default"/>
          <w:spacing w:val="-2"/>
        </w:rPr>
        <w:t>“</w:t>
      </w:r>
      <w:r>
        <w:rPr>
          <w:spacing w:val="-2"/>
        </w:rPr>
        <w:t>首届福建省软件杰出人才</w:t>
      </w:r>
      <w:r>
        <w:rPr>
          <w:rFonts w:ascii="Times New Roman" w:hAnsi="Times New Roman" w:cs="Times New Roman" w:eastAsia="Times New Roman" w:hint="default"/>
          <w:spacing w:val="-2"/>
        </w:rPr>
        <w:t>”</w:t>
      </w:r>
      <w:r>
        <w:rPr>
          <w:spacing w:val="-2"/>
        </w:rPr>
        <w:t>荣誉称号。</w:t>
      </w:r>
      <w:r>
        <w:rPr>
          <w:rFonts w:ascii="Times New Roman" w:hAnsi="Times New Roman" w:cs="Times New Roman" w:eastAsia="Times New Roman" w:hint="default"/>
          <w:spacing w:val="-2"/>
        </w:rPr>
        <w:t>2006</w:t>
      </w:r>
      <w:r>
        <w:rPr>
          <w:spacing w:val="-2"/>
        </w:rPr>
        <w:t>年，荣获福建</w:t>
      </w:r>
      <w:r>
        <w:rPr>
          <w:spacing w:val="-43"/>
        </w:rPr>
        <w:t> </w:t>
      </w:r>
      <w:r>
        <w:rPr>
          <w:spacing w:val="-43"/>
        </w:rPr>
      </w:r>
      <w:r>
        <w:rPr>
          <w:spacing w:val="-2"/>
        </w:rPr>
        <w:t>省</w:t>
      </w:r>
      <w:r>
        <w:rPr>
          <w:rFonts w:ascii="Times New Roman" w:hAnsi="Times New Roman" w:cs="Times New Roman" w:eastAsia="Times New Roman" w:hint="default"/>
          <w:spacing w:val="-2"/>
        </w:rPr>
        <w:t>“</w:t>
      </w:r>
      <w:r>
        <w:rPr>
          <w:spacing w:val="-2"/>
        </w:rPr>
        <w:t>五一</w:t>
      </w:r>
      <w:r>
        <w:rPr>
          <w:rFonts w:ascii="Times New Roman" w:hAnsi="Times New Roman" w:cs="Times New Roman" w:eastAsia="Times New Roman" w:hint="default"/>
          <w:spacing w:val="-2"/>
        </w:rPr>
        <w:t>”</w:t>
      </w:r>
      <w:r>
        <w:rPr>
          <w:spacing w:val="-2"/>
        </w:rPr>
        <w:t>劳动奖章，获得福建省</w:t>
      </w:r>
      <w:r>
        <w:rPr>
          <w:rFonts w:ascii="Times New Roman" w:hAnsi="Times New Roman" w:cs="Times New Roman" w:eastAsia="Times New Roman" w:hint="default"/>
          <w:spacing w:val="-2"/>
        </w:rPr>
        <w:t>“</w:t>
      </w:r>
      <w:r>
        <w:rPr>
          <w:spacing w:val="-2"/>
        </w:rPr>
        <w:t>新长征突击手</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“2006</w:t>
      </w:r>
      <w:r>
        <w:rPr>
          <w:spacing w:val="-2"/>
        </w:rPr>
        <w:t>中国信息产业年度</w:t>
      </w:r>
      <w:r>
        <w:rPr>
          <w:rFonts w:ascii="Times New Roman" w:hAnsi="Times New Roman" w:cs="Times New Roman" w:eastAsia="Times New Roman" w:hint="default"/>
          <w:spacing w:val="-2"/>
        </w:rPr>
        <w:t>10</w:t>
      </w:r>
      <w:r>
        <w:rPr>
          <w:spacing w:val="-2"/>
        </w:rPr>
        <w:t>大新锐人物</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spacing w:val="-42"/>
        </w:rPr>
        <w:t>、第三届</w:t>
      </w:r>
      <w:r>
        <w:rPr>
          <w:spacing w:val="-11"/>
        </w:rPr>
        <w:t> </w:t>
      </w:r>
      <w:r>
        <w:rPr>
          <w:rFonts w:ascii="Times New Roman" w:hAnsi="Times New Roman" w:cs="Times New Roman" w:eastAsia="Times New Roman" w:hint="default"/>
          <w:spacing w:val="-1"/>
        </w:rPr>
        <w:t>“</w:t>
      </w:r>
      <w:r>
        <w:rPr>
          <w:spacing w:val="-1"/>
        </w:rPr>
        <w:t>中国软件行业杰出青年</w:t>
      </w:r>
      <w:r>
        <w:rPr>
          <w:rFonts w:ascii="Times New Roman" w:hAnsi="Times New Roman" w:cs="Times New Roman" w:eastAsia="Times New Roman" w:hint="default"/>
          <w:spacing w:val="-1"/>
        </w:rPr>
        <w:t>”</w:t>
      </w:r>
      <w:r>
        <w:rPr>
          <w:spacing w:val="-1"/>
        </w:rPr>
        <w:t>、</w:t>
      </w:r>
      <w:r>
        <w:rPr/>
        <w:t> </w:t>
      </w:r>
      <w:r>
        <w:rPr>
          <w:rFonts w:ascii="Times New Roman" w:hAnsi="Times New Roman" w:cs="Times New Roman" w:eastAsia="Times New Roman" w:hint="default"/>
        </w:rPr>
        <w:t>“</w:t>
      </w:r>
      <w:r>
        <w:rPr/>
        <w:t>海西创业英才</w:t>
      </w:r>
      <w:r>
        <w:rPr>
          <w:rFonts w:ascii="Times New Roman" w:hAnsi="Times New Roman" w:cs="Times New Roman" w:eastAsia="Times New Roman" w:hint="default"/>
        </w:rPr>
        <w:t>”</w:t>
      </w:r>
      <w:r>
        <w:rPr/>
        <w:t>等荣誉称号。现任公司董事长、总裁、上海榕基软件开发有限公司执行董事、福建亿榕信息技术有限公司董 事、福建榕基软件工程有限公司执行董事。</w:t>
      </w:r>
    </w:p>
    <w:p>
      <w:pPr>
        <w:pStyle w:val="BodyText"/>
        <w:spacing w:line="309" w:lineRule="auto" w:before="72"/>
        <w:ind w:left="192" w:right="195" w:firstLine="419"/>
        <w:jc w:val="both"/>
      </w:pPr>
      <w:r>
        <w:rPr/>
        <w:t>侯伟：中国国籍，无境外永久居留权，男，</w:t>
      </w:r>
      <w:r>
        <w:rPr>
          <w:rFonts w:ascii="Times New Roman" w:hAnsi="Times New Roman" w:cs="Times New Roman" w:eastAsia="Times New Roman" w:hint="default"/>
        </w:rPr>
        <w:t>1966</w:t>
      </w:r>
      <w:r>
        <w:rPr/>
        <w:t>年生，毕业于郑州大学，本科学历，学士学位。</w:t>
      </w:r>
      <w:r>
        <w:rPr>
          <w:rFonts w:ascii="Times New Roman" w:hAnsi="Times New Roman" w:cs="Times New Roman" w:eastAsia="Times New Roman" w:hint="default"/>
        </w:rPr>
        <w:t>1993</w:t>
      </w:r>
      <w:r>
        <w:rPr/>
        <w:t>年至今在公司工 </w:t>
      </w:r>
      <w:r>
        <w:rPr>
          <w:spacing w:val="-2"/>
        </w:rPr>
        <w:t>作，长期从事公司内务管理和市场管理工作。现任公司副董事长、常务副总裁、浙江榕基信息技术有限公司董事长、福建亿</w:t>
      </w:r>
      <w:r>
        <w:rPr>
          <w:spacing w:val="-67"/>
        </w:rPr>
        <w:t> </w:t>
      </w:r>
      <w:r>
        <w:rPr>
          <w:spacing w:val="-67"/>
        </w:rPr>
      </w:r>
      <w:r>
        <w:rPr/>
        <w:t>榕信息技术有限公司董事。</w:t>
      </w:r>
    </w:p>
    <w:p>
      <w:pPr>
        <w:pStyle w:val="BodyText"/>
        <w:spacing w:line="300" w:lineRule="auto" w:before="62"/>
        <w:ind w:left="192" w:right="193" w:firstLine="420"/>
        <w:jc w:val="both"/>
      </w:pPr>
      <w:r>
        <w:rPr/>
        <w:t>陈明平：中国国籍，无境外永久居留权，男，</w:t>
      </w:r>
      <w:r>
        <w:rPr>
          <w:rFonts w:ascii="Times New Roman" w:hAnsi="Times New Roman" w:cs="Times New Roman" w:eastAsia="Times New Roman" w:hint="default"/>
        </w:rPr>
        <w:t>1974</w:t>
      </w:r>
      <w:r>
        <w:rPr/>
        <w:t>年生，毕业于北京理工大学，本科学历，工程师。长期从事行业应 </w:t>
      </w:r>
      <w:r>
        <w:rPr>
          <w:spacing w:val="-2"/>
        </w:rPr>
        <w:t>用软件开发及计算机信息系统集成工作，</w:t>
      </w:r>
      <w:r>
        <w:rPr>
          <w:rFonts w:ascii="Times New Roman" w:hAnsi="Times New Roman" w:cs="Times New Roman" w:eastAsia="Times New Roman" w:hint="default"/>
          <w:spacing w:val="-2"/>
        </w:rPr>
        <w:t>2001</w:t>
      </w:r>
      <w:r>
        <w:rPr>
          <w:spacing w:val="-2"/>
        </w:rPr>
        <w:t>年加入公司，负责企业技术开发及管理工作。具有较强的技术管理能力，负责</w:t>
      </w:r>
      <w:r>
        <w:rPr>
          <w:spacing w:val="-63"/>
        </w:rPr>
        <w:t> </w:t>
      </w:r>
      <w:r>
        <w:rPr>
          <w:spacing w:val="-63"/>
        </w:rPr>
      </w:r>
      <w:r>
        <w:rPr>
          <w:spacing w:val="-3"/>
        </w:rPr>
        <w:t>公司技术管理体系的建设和维护，对软件行业具有深入的理解和丰富的实践经验，曾获</w:t>
      </w:r>
      <w:r>
        <w:rPr>
          <w:rFonts w:ascii="Times New Roman" w:hAnsi="Times New Roman" w:cs="Times New Roman" w:eastAsia="Times New Roman" w:hint="default"/>
          <w:spacing w:val="-3"/>
        </w:rPr>
        <w:t>“</w:t>
      </w:r>
      <w:r>
        <w:rPr>
          <w:spacing w:val="-3"/>
        </w:rPr>
        <w:t>首届福建</w:t>
      </w:r>
      <w:r>
        <w:rPr>
          <w:rFonts w:ascii="Times New Roman" w:hAnsi="Times New Roman" w:cs="Times New Roman" w:eastAsia="Times New Roman" w:hint="default"/>
          <w:spacing w:val="-3"/>
        </w:rPr>
        <w:t>IT</w:t>
      </w:r>
      <w:r>
        <w:rPr>
          <w:spacing w:val="-3"/>
        </w:rPr>
        <w:t>行业十大杰出青年</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第</w:t>
      </w:r>
      <w:r>
        <w:rPr>
          <w:spacing w:val="-54"/>
        </w:rPr>
        <w:t> </w:t>
      </w:r>
      <w:r>
        <w:rPr>
          <w:spacing w:val="-1"/>
        </w:rPr>
        <w:t>二届福建省软件杰出人才</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中国电子学会电子信息科学技术奖二等奖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福建省职工优秀技术创新成果二等奖</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福建省</w:t>
      </w:r>
      <w:r>
        <w:rPr>
          <w:spacing w:val="-57"/>
        </w:rPr>
        <w:t> </w:t>
      </w:r>
      <w:r>
        <w:rPr>
          <w:spacing w:val="-57"/>
        </w:rPr>
      </w:r>
      <w:r>
        <w:rPr/>
        <w:t>优秀新产品二等奖</w:t>
      </w:r>
      <w:r>
        <w:rPr>
          <w:rFonts w:ascii="Times New Roman" w:hAnsi="Times New Roman" w:cs="Times New Roman" w:eastAsia="Times New Roman" w:hint="default"/>
        </w:rPr>
        <w:t>”</w:t>
      </w:r>
      <w:r>
        <w:rPr/>
        <w:t>。现任公司董事、副总裁兼技术总监、福建榕基软件工程有限公司总经理。</w:t>
      </w:r>
    </w:p>
    <w:p>
      <w:pPr>
        <w:pStyle w:val="BodyText"/>
        <w:spacing w:line="300" w:lineRule="auto" w:before="53"/>
        <w:ind w:left="192" w:right="190" w:firstLine="419"/>
        <w:jc w:val="both"/>
      </w:pPr>
      <w:r>
        <w:rPr/>
        <w:t>王捷：中国国籍，无境外永久居留权，男，</w:t>
      </w:r>
      <w:r>
        <w:rPr>
          <w:rFonts w:ascii="Times New Roman" w:hAnsi="Times New Roman" w:cs="Times New Roman" w:eastAsia="Times New Roman" w:hint="default"/>
        </w:rPr>
        <w:t>1965</w:t>
      </w:r>
      <w:r>
        <w:rPr/>
        <w:t>年生，毕业于郑州大学，本科学历。长期从事行业应用软件开发及计 </w:t>
      </w:r>
      <w:r>
        <w:rPr>
          <w:spacing w:val="-2"/>
        </w:rPr>
        <w:t>算机信息系统集成工作，</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12</w:t>
      </w:r>
      <w:r>
        <w:rPr>
          <w:spacing w:val="-2"/>
        </w:rPr>
        <w:t>月加入公司。现任公司董事兼副总裁、河南榕基信息技术有限公司总经理、马鞍山榕基软</w:t>
      </w:r>
      <w:r>
        <w:rPr>
          <w:spacing w:val="-60"/>
        </w:rPr>
        <w:t> </w:t>
      </w:r>
      <w:r>
        <w:rPr>
          <w:spacing w:val="-60"/>
        </w:rPr>
      </w:r>
      <w:r>
        <w:rPr/>
        <w:t>件信息科技有限公司总经理。</w:t>
      </w:r>
    </w:p>
    <w:p>
      <w:pPr>
        <w:pStyle w:val="BodyText"/>
        <w:spacing w:line="300" w:lineRule="auto" w:before="72"/>
        <w:ind w:left="192" w:right="99" w:firstLine="419"/>
        <w:jc w:val="both"/>
      </w:pPr>
      <w:r>
        <w:rPr>
          <w:spacing w:val="-1"/>
        </w:rPr>
        <w:t>张之戈：中国国籍，无境外永久居留权，男，</w:t>
      </w:r>
      <w:r>
        <w:rPr>
          <w:rFonts w:ascii="Times New Roman" w:hAnsi="Times New Roman" w:cs="Times New Roman" w:eastAsia="Times New Roman" w:hint="default"/>
          <w:spacing w:val="-1"/>
        </w:rPr>
        <w:t>1974</w:t>
      </w:r>
      <w:r>
        <w:rPr>
          <w:spacing w:val="-1"/>
        </w:rPr>
        <w:t>年生，毕业于桂林电子工业学院，本科学历。</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11</w:t>
      </w:r>
      <w:r>
        <w:rPr>
          <w:spacing w:val="-1"/>
        </w:rPr>
        <w:t>月加入公司，</w:t>
      </w:r>
      <w:r>
        <w:rPr/>
        <w:t> 曾任公司北京分公司总经理。现任公司董事。</w:t>
      </w:r>
    </w:p>
    <w:p>
      <w:pPr>
        <w:pStyle w:val="BodyText"/>
        <w:spacing w:line="300" w:lineRule="auto" w:before="70"/>
        <w:ind w:left="192" w:right="189" w:firstLine="419"/>
        <w:jc w:val="both"/>
      </w:pPr>
      <w:r>
        <w:rPr/>
        <w:t>杨学圆：中国国籍，无境外永久居留权，男，</w:t>
      </w:r>
      <w:r>
        <w:rPr>
          <w:rFonts w:ascii="Times New Roman" w:hAnsi="Times New Roman" w:cs="Times New Roman" w:eastAsia="Times New Roman" w:hint="default"/>
        </w:rPr>
        <w:t>1969</w:t>
      </w:r>
      <w:r>
        <w:rPr/>
        <w:t>年生，在读</w:t>
      </w:r>
      <w:r>
        <w:rPr>
          <w:rFonts w:ascii="Times New Roman" w:hAnsi="Times New Roman" w:cs="Times New Roman" w:eastAsia="Times New Roman" w:hint="default"/>
        </w:rPr>
        <w:t>MBA</w:t>
      </w:r>
      <w:r>
        <w:rPr/>
        <w:t>。</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7</w:t>
      </w:r>
      <w:r>
        <w:rPr/>
        <w:t>月至今就职于公司，长期从事市场开拓</w:t>
      </w:r>
      <w:r>
        <w:rPr>
          <w:spacing w:val="2"/>
        </w:rPr>
        <w:t> </w:t>
      </w:r>
      <w:r>
        <w:rPr/>
        <w:t>工作。现任公司董事。</w:t>
      </w:r>
    </w:p>
    <w:p>
      <w:pPr>
        <w:pStyle w:val="BodyText"/>
        <w:spacing w:line="309" w:lineRule="auto" w:before="72"/>
        <w:ind w:left="192" w:right="196" w:firstLine="419"/>
        <w:jc w:val="both"/>
      </w:pPr>
      <w:r>
        <w:rPr/>
        <w:t>邱文溢：中国国籍，无境外永久居留权，男，</w:t>
      </w:r>
      <w:r>
        <w:rPr>
          <w:rFonts w:ascii="Times New Roman" w:hAnsi="Times New Roman" w:cs="Times New Roman" w:eastAsia="Times New Roman" w:hint="default"/>
        </w:rPr>
        <w:t>1945</w:t>
      </w:r>
      <w:r>
        <w:rPr/>
        <w:t>年生，毕业于北京大学，本科学历，高级经济师。曾任福建省电子 </w:t>
      </w:r>
      <w:r>
        <w:rPr>
          <w:spacing w:val="-2"/>
        </w:rPr>
        <w:t>工业厅党组副书记、副厅长，福建省信息产业厅巡视员（正厅级），主要分管综合规划及外经等工作，已退休。现任公司独</w:t>
      </w:r>
      <w:r>
        <w:rPr>
          <w:spacing w:val="-73"/>
        </w:rPr>
        <w:t> </w:t>
      </w:r>
      <w:r>
        <w:rPr>
          <w:spacing w:val="-73"/>
        </w:rPr>
      </w:r>
      <w:r>
        <w:rPr/>
        <w:t>立董事。</w:t>
      </w:r>
    </w:p>
    <w:p>
      <w:pPr>
        <w:pStyle w:val="BodyText"/>
        <w:spacing w:line="300" w:lineRule="auto" w:before="65"/>
        <w:ind w:left="192" w:right="104" w:firstLine="420"/>
        <w:jc w:val="both"/>
      </w:pPr>
      <w:r>
        <w:rPr>
          <w:spacing w:val="-2"/>
        </w:rPr>
        <w:t>潘琰：中国国籍，无境外永久居留权，女，</w:t>
      </w:r>
      <w:r>
        <w:rPr>
          <w:rFonts w:ascii="Times New Roman" w:hAnsi="Times New Roman" w:cs="Times New Roman" w:eastAsia="Times New Roman" w:hint="default"/>
          <w:spacing w:val="-2"/>
        </w:rPr>
        <w:t>1955</w:t>
      </w:r>
      <w:r>
        <w:rPr>
          <w:spacing w:val="-2"/>
        </w:rPr>
        <w:t>年生，厦门大学会计系博士研究生毕业，管理学（会计学）博士学位，</w:t>
      </w:r>
      <w:r>
        <w:rPr/>
        <w:t> </w:t>
      </w:r>
      <w:r>
        <w:rPr>
          <w:spacing w:val="-4"/>
        </w:rPr>
        <w:t>中国注册会计师，享受国务院政府特殊津贴专家，福建省高等学校教学名师。曾任福州大学会计教研室主任、会计系副主任、</w:t>
      </w:r>
    </w:p>
    <w:p>
      <w:pPr>
        <w:spacing w:after="0" w:line="300" w:lineRule="auto"/>
        <w:jc w:val="both"/>
        <w:sectPr>
          <w:pgSz w:w="11910" w:h="16840"/>
          <w:pgMar w:header="745" w:footer="982" w:top="1060" w:bottom="1180" w:left="940" w:right="940"/>
        </w:sectPr>
      </w:pPr>
    </w:p>
    <w:p>
      <w:pPr>
        <w:spacing w:line="240" w:lineRule="auto" w:before="9"/>
        <w:rPr>
          <w:rFonts w:ascii="宋体" w:hAnsi="宋体" w:cs="宋体" w:eastAsia="宋体" w:hint="default"/>
          <w:sz w:val="25"/>
          <w:szCs w:val="25"/>
        </w:rPr>
      </w:pPr>
    </w:p>
    <w:p>
      <w:pPr>
        <w:pStyle w:val="BodyText"/>
        <w:spacing w:line="316" w:lineRule="auto" w:before="44"/>
        <w:ind w:right="0"/>
        <w:jc w:val="left"/>
      </w:pPr>
      <w:r>
        <w:rPr>
          <w:spacing w:val="-2"/>
        </w:rPr>
        <w:t>系主任。现任福州大学管理学教授、博士生导师，福建水泥股份有限公司独立董事、福建发展高速公路股份有限公司独立董</w:t>
      </w:r>
      <w:r>
        <w:rPr>
          <w:spacing w:val="-64"/>
        </w:rPr>
        <w:t> </w:t>
      </w:r>
      <w:r>
        <w:rPr>
          <w:spacing w:val="-64"/>
        </w:rPr>
      </w:r>
      <w:r>
        <w:rPr/>
        <w:t>事、福建鸿博印刷股份有限公司独立董事、中国武夷实业股份有限公司独立董事。现任公司独立董事。</w:t>
      </w:r>
    </w:p>
    <w:p>
      <w:pPr>
        <w:pStyle w:val="BodyText"/>
        <w:spacing w:line="300" w:lineRule="auto" w:before="59"/>
        <w:ind w:right="0" w:firstLine="419"/>
        <w:jc w:val="left"/>
      </w:pPr>
      <w:r>
        <w:rPr/>
        <w:t>孙敏：中国国籍，无境外永久居留权，女，</w:t>
      </w:r>
      <w:r>
        <w:rPr>
          <w:rFonts w:ascii="Times New Roman" w:hAnsi="Times New Roman" w:cs="Times New Roman" w:eastAsia="Times New Roman" w:hint="default"/>
        </w:rPr>
        <w:t>1967</w:t>
      </w:r>
      <w:r>
        <w:rPr/>
        <w:t>年生，毕业于厦门大学法律系，法学学士学位，律师资格。大学毕业 </w:t>
      </w:r>
      <w:r>
        <w:rPr>
          <w:spacing w:val="-1"/>
        </w:rPr>
        <w:t>后至</w:t>
      </w:r>
      <w:r>
        <w:rPr>
          <w:rFonts w:ascii="Times New Roman" w:hAnsi="Times New Roman" w:cs="Times New Roman" w:eastAsia="Times New Roman" w:hint="default"/>
          <w:spacing w:val="-1"/>
        </w:rPr>
        <w:t>1993</w:t>
      </w:r>
      <w:r>
        <w:rPr>
          <w:spacing w:val="-1"/>
        </w:rPr>
        <w:t>年，在福州铁路运输法院任职，从事刑事审判工作，</w:t>
      </w:r>
      <w:r>
        <w:rPr>
          <w:rFonts w:ascii="Times New Roman" w:hAnsi="Times New Roman" w:cs="Times New Roman" w:eastAsia="Times New Roman" w:hint="default"/>
          <w:spacing w:val="-1"/>
        </w:rPr>
        <w:t>1994</w:t>
      </w:r>
      <w:r>
        <w:rPr>
          <w:spacing w:val="-1"/>
        </w:rPr>
        <w:t>年起在天津</w:t>
      </w:r>
      <w:r>
        <w:rPr>
          <w:rFonts w:ascii="Times New Roman" w:hAnsi="Times New Roman" w:cs="Times New Roman" w:eastAsia="Times New Roman" w:hint="default"/>
          <w:spacing w:val="-1"/>
        </w:rPr>
        <w:t>OTIS</w:t>
      </w:r>
      <w:r>
        <w:rPr>
          <w:spacing w:val="-1"/>
        </w:rPr>
        <w:t>电梯有限公司福州分公司从事法务工作，</w:t>
      </w:r>
      <w:r>
        <w:rPr>
          <w:spacing w:val="-68"/>
        </w:rPr>
        <w:t> </w:t>
      </w:r>
      <w:r>
        <w:rPr>
          <w:spacing w:val="-68"/>
        </w:rPr>
      </w:r>
      <w:r>
        <w:rPr>
          <w:rFonts w:ascii="Times New Roman" w:hAnsi="Times New Roman" w:cs="Times New Roman" w:eastAsia="Times New Roman" w:hint="default"/>
          <w:spacing w:val="-2"/>
        </w:rPr>
        <w:t>1996</w:t>
      </w:r>
      <w:r>
        <w:rPr>
          <w:spacing w:val="-2"/>
        </w:rPr>
        <w:t>年起先后在福州众智律师事务所、福建融成律师事务所任专职律师。</w:t>
      </w:r>
      <w:r>
        <w:rPr>
          <w:rFonts w:ascii="Times New Roman" w:hAnsi="Times New Roman" w:cs="Times New Roman" w:eastAsia="Times New Roman" w:hint="default"/>
          <w:spacing w:val="-2"/>
        </w:rPr>
        <w:t>2002</w:t>
      </w:r>
      <w:r>
        <w:rPr>
          <w:spacing w:val="-2"/>
        </w:rPr>
        <w:t>年起至今在福建汇德律师事务所执业并任合伙</w:t>
      </w:r>
      <w:r>
        <w:rPr>
          <w:spacing w:val="-60"/>
        </w:rPr>
        <w:t> </w:t>
      </w:r>
      <w:r>
        <w:rPr>
          <w:spacing w:val="-60"/>
        </w:rPr>
      </w:r>
      <w:r>
        <w:rPr/>
        <w:t>人。现任福建福晶科技股份有限公司独立董事。现任公司独立董事。</w:t>
      </w:r>
    </w:p>
    <w:p>
      <w:pPr>
        <w:pStyle w:val="BodyText"/>
        <w:spacing w:line="360" w:lineRule="auto" w:before="70"/>
        <w:ind w:left="572" w:right="0" w:hanging="106"/>
        <w:jc w:val="left"/>
      </w:pPr>
      <w:r>
        <w:rPr/>
        <w:t>（二）监事 魏建光：中国国籍，无境外永久居留权，男，</w:t>
      </w:r>
      <w:r>
        <w:rPr>
          <w:rFonts w:ascii="Times New Roman" w:hAnsi="Times New Roman" w:cs="Times New Roman" w:eastAsia="Times New Roman" w:hint="default"/>
        </w:rPr>
        <w:t>1980</w:t>
      </w:r>
      <w:r>
        <w:rPr/>
        <w:t>年生，毕业于福建师范大学计算机科学与应用专业，本科学历，在</w:t>
      </w:r>
    </w:p>
    <w:p>
      <w:pPr>
        <w:pStyle w:val="BodyText"/>
        <w:spacing w:line="212" w:lineRule="exact"/>
        <w:ind w:right="0"/>
        <w:jc w:val="left"/>
      </w:pPr>
      <w:r>
        <w:rPr/>
        <w:t>读</w:t>
      </w:r>
      <w:r>
        <w:rPr>
          <w:rFonts w:ascii="Times New Roman" w:hAnsi="Times New Roman" w:cs="Times New Roman" w:eastAsia="Times New Roman" w:hint="default"/>
        </w:rPr>
        <w:t>MBA</w:t>
      </w:r>
      <w:r>
        <w:rPr/>
        <w:t>。</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月至今就职于公司，现任公司营销中心资深工程师。</w:t>
      </w:r>
    </w:p>
    <w:p>
      <w:pPr>
        <w:pStyle w:val="BodyText"/>
        <w:spacing w:line="300" w:lineRule="auto" w:before="103"/>
        <w:ind w:left="153" w:right="0" w:firstLine="419"/>
        <w:jc w:val="left"/>
      </w:pPr>
      <w:r>
        <w:rPr>
          <w:spacing w:val="-2"/>
        </w:rPr>
        <w:t>邬海峰：中国国籍，无境外永久居留权，男，</w:t>
      </w:r>
      <w:r>
        <w:rPr>
          <w:rFonts w:ascii="Times New Roman" w:hAnsi="Times New Roman" w:cs="Times New Roman" w:eastAsia="Times New Roman" w:hint="default"/>
          <w:spacing w:val="-2"/>
        </w:rPr>
        <w:t>1973</w:t>
      </w:r>
      <w:r>
        <w:rPr>
          <w:spacing w:val="-2"/>
        </w:rPr>
        <w:t>年生，毕业于武汉大学电子工程专业，本科学历。</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1998 </w:t>
      </w:r>
      <w:r>
        <w:rPr/>
        <w:t>年</w:t>
      </w:r>
      <w:r>
        <w:rPr>
          <w:rFonts w:ascii="Times New Roman" w:hAnsi="Times New Roman" w:cs="Times New Roman" w:eastAsia="Times New Roman" w:hint="default"/>
        </w:rPr>
        <w:t>2</w:t>
      </w:r>
      <w:r>
        <w:rPr/>
        <w:t>月任职于上海航天测控通讯研究所，</w:t>
      </w:r>
      <w:r>
        <w:rPr>
          <w:rFonts w:ascii="Times New Roman" w:hAnsi="Times New Roman" w:cs="Times New Roman" w:eastAsia="Times New Roman" w:hint="default"/>
        </w:rPr>
        <w:t>1998  </w:t>
      </w:r>
      <w:r>
        <w:rPr/>
        <w:t>年</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月加入公司。曾任工程中心项目经理，现任公司物流部副经理。</w:t>
      </w:r>
    </w:p>
    <w:p>
      <w:pPr>
        <w:pStyle w:val="BodyText"/>
        <w:spacing w:line="304" w:lineRule="auto" w:before="51"/>
        <w:ind w:left="153" w:right="111" w:firstLine="420"/>
        <w:jc w:val="left"/>
      </w:pPr>
      <w:r>
        <w:rPr/>
        <w:t>周仁锟：中国国籍，无境外永久居留权。男，</w:t>
      </w:r>
      <w:r>
        <w:rPr>
          <w:rFonts w:ascii="Times New Roman" w:hAnsi="Times New Roman" w:cs="Times New Roman" w:eastAsia="Times New Roman" w:hint="default"/>
        </w:rPr>
        <w:t>1976</w:t>
      </w:r>
      <w:r>
        <w:rPr/>
        <w:t>年生，毕业于中南工业大学管理信息系统专业，本科学历。</w:t>
      </w:r>
      <w:r>
        <w:rPr>
          <w:rFonts w:ascii="Times New Roman" w:hAnsi="Times New Roman" w:cs="Times New Roman" w:eastAsia="Times New Roman" w:hint="default"/>
        </w:rPr>
        <w:t>1999</w:t>
      </w:r>
      <w:r>
        <w:rPr/>
        <w:t>年 加入公司，曾任公司项目经理、资深工程师、副主任工程师。具有较强的项目组织管理和产品研发能力，在管理信息系统、 </w:t>
      </w:r>
      <w:r>
        <w:rPr>
          <w:spacing w:val="-2"/>
        </w:rPr>
        <w:t>电子政务等领域有着深入的技术研究和丰富的实践经验，参与研制了</w:t>
      </w:r>
      <w:r>
        <w:rPr>
          <w:rFonts w:ascii="Times New Roman" w:hAnsi="Times New Roman" w:cs="Times New Roman" w:eastAsia="Times New Roman" w:hint="default"/>
          <w:spacing w:val="-2"/>
        </w:rPr>
        <w:t>“</w:t>
      </w:r>
      <w:r>
        <w:rPr>
          <w:spacing w:val="-2"/>
        </w:rPr>
        <w:t>榕基政务信息化系统（</w:t>
      </w:r>
      <w:r>
        <w:rPr>
          <w:rFonts w:ascii="Times New Roman" w:hAnsi="Times New Roman" w:cs="Times New Roman" w:eastAsia="Times New Roman" w:hint="default"/>
          <w:spacing w:val="-2"/>
        </w:rPr>
        <w:t>RJ-eGov</w:t>
      </w:r>
      <w:r>
        <w:rPr>
          <w:spacing w:val="-2"/>
        </w:rPr>
        <w:t>）</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榕基电子公文传</w:t>
      </w:r>
      <w:r>
        <w:rPr>
          <w:spacing w:val="-40"/>
        </w:rPr>
        <w:t> </w:t>
      </w:r>
      <w:r>
        <w:rPr>
          <w:spacing w:val="-40"/>
        </w:rPr>
      </w:r>
      <w:r>
        <w:rPr/>
        <w:t>输交换系统（</w:t>
      </w:r>
      <w:r>
        <w:rPr>
          <w:rFonts w:ascii="Times New Roman" w:hAnsi="Times New Roman" w:cs="Times New Roman" w:eastAsia="Times New Roman" w:hint="default"/>
        </w:rPr>
        <w:t>RJ-Exchange</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榕基内容管理系统（</w:t>
      </w:r>
      <w:r>
        <w:rPr>
          <w:rFonts w:ascii="Times New Roman" w:hAnsi="Times New Roman" w:cs="Times New Roman" w:eastAsia="Times New Roman" w:hint="default"/>
        </w:rPr>
        <w:t>RJ-CMS</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榕基法院审判业务管理系统（</w:t>
      </w:r>
      <w:r>
        <w:rPr>
          <w:rFonts w:ascii="Times New Roman" w:hAnsi="Times New Roman" w:cs="Times New Roman" w:eastAsia="Times New Roman" w:hint="default"/>
        </w:rPr>
        <w:t>RJ-Court</w:t>
      </w:r>
      <w:r>
        <w:rPr/>
        <w:t>）</w:t>
      </w:r>
      <w:r>
        <w:rPr>
          <w:rFonts w:ascii="Times New Roman" w:hAnsi="Times New Roman" w:cs="Times New Roman" w:eastAsia="Times New Roman" w:hint="default"/>
        </w:rPr>
        <w:t>”</w:t>
      </w:r>
      <w:r>
        <w:rPr/>
        <w:t>等公司产品，</w:t>
      </w:r>
      <w:r>
        <w:rPr>
          <w:w w:val="99"/>
        </w:rPr>
        <w:t> </w:t>
      </w:r>
      <w:r>
        <w:rPr/>
        <w:t>曾获</w:t>
      </w:r>
      <w:r>
        <w:rPr>
          <w:rFonts w:ascii="Times New Roman" w:hAnsi="Times New Roman" w:cs="Times New Roman" w:eastAsia="Times New Roman" w:hint="default"/>
        </w:rPr>
        <w:t>“</w:t>
      </w:r>
      <w:r>
        <w:rPr/>
        <w:t>福建省职工优秀技术创新成果二等奖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福建省优秀新产品二等奖</w:t>
      </w:r>
      <w:r>
        <w:rPr>
          <w:rFonts w:ascii="Times New Roman" w:hAnsi="Times New Roman" w:cs="Times New Roman" w:eastAsia="Times New Roman" w:hint="default"/>
        </w:rPr>
        <w:t>”</w:t>
      </w:r>
      <w:r>
        <w:rPr/>
        <w:t>。</w:t>
      </w:r>
      <w:r>
        <w:rPr>
          <w:spacing w:val="-21"/>
        </w:rPr>
        <w:t> </w:t>
      </w:r>
      <w:r>
        <w:rPr/>
        <w:t>现任公司主任工程师。</w:t>
      </w:r>
    </w:p>
    <w:p>
      <w:pPr>
        <w:pStyle w:val="BodyText"/>
        <w:spacing w:line="240" w:lineRule="auto" w:before="50"/>
        <w:ind w:left="573" w:right="0"/>
        <w:jc w:val="left"/>
      </w:pPr>
      <w:r>
        <w:rPr/>
        <w:t>（三）高级管理人员</w:t>
      </w:r>
    </w:p>
    <w:p>
      <w:pPr>
        <w:pStyle w:val="BodyText"/>
        <w:spacing w:line="338" w:lineRule="auto" w:before="117"/>
        <w:ind w:left="573" w:right="0"/>
        <w:jc w:val="left"/>
      </w:pPr>
      <w:r>
        <w:rPr/>
        <w:t>鲁峰：公司总裁，请参见</w:t>
      </w:r>
      <w:r>
        <w:rPr>
          <w:rFonts w:ascii="Times New Roman" w:hAnsi="Times New Roman" w:cs="Times New Roman" w:eastAsia="Times New Roman" w:hint="default"/>
        </w:rPr>
        <w:t>“</w:t>
      </w:r>
      <w:r>
        <w:rPr/>
        <w:t>第七节</w:t>
      </w:r>
      <w:r>
        <w:rPr>
          <w:spacing w:val="-19"/>
        </w:rPr>
        <w:t> </w:t>
      </w:r>
      <w:r>
        <w:rPr/>
        <w:t>董事、监事、高级管理人员和员工情况</w:t>
      </w:r>
      <w:r>
        <w:rPr>
          <w:rFonts w:ascii="Times New Roman" w:hAnsi="Times New Roman" w:cs="Times New Roman" w:eastAsia="Times New Roman" w:hint="default"/>
        </w:rPr>
        <w:t>/</w:t>
      </w:r>
      <w:r>
        <w:rPr/>
        <w:t>二、任职情况</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 侯伟：公司常务副总裁，请参见</w:t>
      </w:r>
      <w:r>
        <w:rPr>
          <w:rFonts w:ascii="Times New Roman" w:hAnsi="Times New Roman" w:cs="Times New Roman" w:eastAsia="Times New Roman" w:hint="default"/>
        </w:rPr>
        <w:t>“</w:t>
      </w:r>
      <w:r>
        <w:rPr/>
        <w:t>第七节</w:t>
      </w:r>
      <w:r>
        <w:rPr>
          <w:spacing w:val="-19"/>
        </w:rPr>
        <w:t> </w:t>
      </w:r>
      <w:r>
        <w:rPr/>
        <w:t>董事、监事、高级管理人员和员工情况</w:t>
      </w:r>
      <w:r>
        <w:rPr>
          <w:rFonts w:ascii="Times New Roman" w:hAnsi="Times New Roman" w:cs="Times New Roman" w:eastAsia="Times New Roman" w:hint="default"/>
        </w:rPr>
        <w:t>/</w:t>
      </w:r>
      <w:r>
        <w:rPr/>
        <w:t>二、任职情况</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 陈明平：公司副总裁，请参见</w:t>
      </w:r>
      <w:r>
        <w:rPr>
          <w:rFonts w:ascii="Times New Roman" w:hAnsi="Times New Roman" w:cs="Times New Roman" w:eastAsia="Times New Roman" w:hint="default"/>
        </w:rPr>
        <w:t>“</w:t>
      </w:r>
      <w:r>
        <w:rPr/>
        <w:t>第七节</w:t>
      </w:r>
      <w:r>
        <w:rPr>
          <w:spacing w:val="-19"/>
        </w:rPr>
        <w:t> </w:t>
      </w:r>
      <w:r>
        <w:rPr/>
        <w:t>董事、监事、高级管理人员和员工情况</w:t>
      </w:r>
      <w:r>
        <w:rPr>
          <w:rFonts w:ascii="Times New Roman" w:hAnsi="Times New Roman" w:cs="Times New Roman" w:eastAsia="Times New Roman" w:hint="default"/>
        </w:rPr>
        <w:t>/</w:t>
      </w:r>
      <w:r>
        <w:rPr/>
        <w:t>二、任职情况</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 王捷：公司副总裁，请参见</w:t>
      </w:r>
      <w:r>
        <w:rPr>
          <w:rFonts w:ascii="Times New Roman" w:hAnsi="Times New Roman" w:cs="Times New Roman" w:eastAsia="Times New Roman" w:hint="default"/>
        </w:rPr>
        <w:t>“</w:t>
      </w:r>
      <w:r>
        <w:rPr/>
        <w:t>第七节</w:t>
      </w:r>
      <w:r>
        <w:rPr>
          <w:spacing w:val="-19"/>
        </w:rPr>
        <w:t> </w:t>
      </w:r>
      <w:r>
        <w:rPr/>
        <w:t>董事、监事、高级管理人员和员工情况</w:t>
      </w:r>
      <w:r>
        <w:rPr>
          <w:rFonts w:ascii="Times New Roman" w:hAnsi="Times New Roman" w:cs="Times New Roman" w:eastAsia="Times New Roman" w:hint="default"/>
        </w:rPr>
        <w:t>/</w:t>
      </w:r>
      <w:r>
        <w:rPr/>
        <w:t>二、任职情况</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 万孝雄：中国国籍，无境外永久居留权，男，</w:t>
      </w:r>
      <w:r>
        <w:rPr>
          <w:rFonts w:ascii="Times New Roman" w:hAnsi="Times New Roman" w:cs="Times New Roman" w:eastAsia="Times New Roman" w:hint="default"/>
        </w:rPr>
        <w:t>1977</w:t>
      </w:r>
      <w:r>
        <w:rPr/>
        <w:t>年生，研究生学历，工商管理硕士。</w:t>
      </w:r>
      <w:r>
        <w:rPr>
          <w:rFonts w:ascii="Times New Roman" w:hAnsi="Times New Roman" w:cs="Times New Roman" w:eastAsia="Times New Roman" w:hint="default"/>
        </w:rPr>
        <w:t>2001</w:t>
      </w:r>
      <w:r>
        <w:rPr/>
        <w:t>年加入公司，先后担任研</w:t>
      </w:r>
    </w:p>
    <w:p>
      <w:pPr>
        <w:pStyle w:val="BodyText"/>
        <w:spacing w:line="217" w:lineRule="exact"/>
        <w:ind w:left="153" w:right="0"/>
        <w:jc w:val="left"/>
      </w:pPr>
      <w:r>
        <w:rPr/>
        <w:t>发副总监，营销总监。具有较强的技术管理能力，负责公司信息安全业务技术管理工作，对信息安全具有深入的理解，具有</w:t>
      </w:r>
    </w:p>
    <w:p>
      <w:pPr>
        <w:pStyle w:val="BodyText"/>
        <w:spacing w:line="240" w:lineRule="auto" w:before="76"/>
        <w:ind w:left="153" w:right="0"/>
        <w:jc w:val="left"/>
      </w:pPr>
      <w:r>
        <w:rPr/>
        <w:t>丰富的安全管理、安全服务、安全培训等实践经验，主持研发了</w:t>
      </w:r>
      <w:r>
        <w:rPr>
          <w:rFonts w:ascii="Times New Roman" w:hAnsi="Times New Roman" w:cs="Times New Roman" w:eastAsia="Times New Roman" w:hint="default"/>
        </w:rPr>
        <w:t>“</w:t>
      </w:r>
      <w:r>
        <w:rPr/>
        <w:t>榕基网络隐患扫描系统（</w:t>
      </w:r>
      <w:r>
        <w:rPr>
          <w:rFonts w:ascii="Times New Roman" w:hAnsi="Times New Roman" w:cs="Times New Roman" w:eastAsia="Times New Roman" w:hint="default"/>
        </w:rPr>
        <w:t>RJ-iTop</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榕基风险管理系统</w:t>
      </w:r>
    </w:p>
    <w:p>
      <w:pPr>
        <w:pStyle w:val="BodyText"/>
        <w:spacing w:line="300" w:lineRule="auto" w:before="62"/>
        <w:ind w:left="153" w:right="181"/>
        <w:jc w:val="left"/>
      </w:pPr>
      <w:r>
        <w:rPr>
          <w:spacing w:val="-1"/>
        </w:rPr>
        <w:t>（</w:t>
      </w:r>
      <w:r>
        <w:rPr>
          <w:rFonts w:ascii="Times New Roman" w:hAnsi="Times New Roman" w:cs="Times New Roman" w:eastAsia="Times New Roman" w:hint="default"/>
          <w:spacing w:val="-1"/>
        </w:rPr>
        <w:t>RJ-RMS</w:t>
      </w:r>
      <w:r>
        <w:rPr>
          <w:spacing w:val="-1"/>
        </w:rPr>
        <w:t>）</w:t>
      </w:r>
      <w:r>
        <w:rPr>
          <w:rFonts w:ascii="Times New Roman" w:hAnsi="Times New Roman" w:cs="Times New Roman" w:eastAsia="Times New Roman" w:hint="default"/>
          <w:spacing w:val="-1"/>
        </w:rPr>
        <w:t>”</w:t>
      </w:r>
      <w:r>
        <w:rPr>
          <w:spacing w:val="-1"/>
        </w:rPr>
        <w:t>等公司信息安全战略产品，曾获</w:t>
      </w:r>
      <w:r>
        <w:rPr>
          <w:rFonts w:ascii="Times New Roman" w:hAnsi="Times New Roman" w:cs="Times New Roman" w:eastAsia="Times New Roman" w:hint="default"/>
          <w:spacing w:val="-1"/>
        </w:rPr>
        <w:t>“</w:t>
      </w:r>
      <w:r>
        <w:rPr>
          <w:spacing w:val="-1"/>
        </w:rPr>
        <w:t>福建省科学技术奖三等奖</w:t>
      </w:r>
      <w:r>
        <w:rPr>
          <w:rFonts w:ascii="Times New Roman" w:hAnsi="Times New Roman" w:cs="Times New Roman" w:eastAsia="Times New Roman" w:hint="default"/>
          <w:spacing w:val="-1"/>
        </w:rPr>
        <w:t>”</w:t>
      </w:r>
      <w:r>
        <w:rPr>
          <w:spacing w:val="-1"/>
        </w:rPr>
        <w:t>。现任副总裁、公司董事会秘书、福建榕基投资有</w:t>
      </w:r>
      <w:r>
        <w:rPr>
          <w:spacing w:val="-87"/>
        </w:rPr>
        <w:t> </w:t>
      </w:r>
      <w:r>
        <w:rPr>
          <w:spacing w:val="-87"/>
        </w:rPr>
      </w:r>
      <w:r>
        <w:rPr/>
        <w:t>限公司总经理、榕基国际控股有限公司董事。</w:t>
      </w:r>
    </w:p>
    <w:p>
      <w:pPr>
        <w:pStyle w:val="BodyText"/>
        <w:spacing w:line="309" w:lineRule="auto" w:before="72"/>
        <w:ind w:left="153" w:right="190" w:firstLine="419"/>
        <w:jc w:val="both"/>
      </w:pPr>
      <w:r>
        <w:rPr/>
        <w:t>镇千金：中国国籍，无境外永久居留权，女，</w:t>
      </w:r>
      <w:r>
        <w:rPr>
          <w:rFonts w:ascii="Times New Roman" w:hAnsi="Times New Roman" w:cs="Times New Roman" w:eastAsia="Times New Roman" w:hint="default"/>
        </w:rPr>
        <w:t>1978</w:t>
      </w:r>
      <w:r>
        <w:rPr/>
        <w:t>年生，毕业于福州大学，研究生学历，工商管理硕士。</w:t>
      </w:r>
      <w:r>
        <w:rPr>
          <w:rFonts w:ascii="Times New Roman" w:hAnsi="Times New Roman" w:cs="Times New Roman" w:eastAsia="Times New Roman" w:hint="default"/>
        </w:rPr>
        <w:t>2002</w:t>
      </w:r>
      <w:r>
        <w:rPr/>
        <w:t>年加入 </w:t>
      </w:r>
      <w:r>
        <w:rPr>
          <w:spacing w:val="-2"/>
        </w:rPr>
        <w:t>公司，先后在客服部、技术部及财务部工作，曾任公司工程师、会计、财务部经理、监事，现任公司财务总监、榕基国际控</w:t>
      </w:r>
      <w:r>
        <w:rPr>
          <w:spacing w:val="-65"/>
        </w:rPr>
        <w:t> </w:t>
      </w:r>
      <w:r>
        <w:rPr>
          <w:spacing w:val="-65"/>
        </w:rPr>
      </w:r>
      <w:r>
        <w:rPr/>
        <w:t>股有限公司董事。</w:t>
      </w:r>
    </w:p>
    <w:p>
      <w:pPr>
        <w:pStyle w:val="BodyText"/>
        <w:spacing w:line="307" w:lineRule="auto" w:before="65"/>
        <w:ind w:left="153" w:right="93" w:firstLine="460"/>
        <w:jc w:val="left"/>
      </w:pPr>
      <w:r>
        <w:rPr/>
        <w:t>尚大斌：中国国籍，无境外永久居留权，男，</w:t>
      </w:r>
      <w:r>
        <w:rPr>
          <w:rFonts w:ascii="Times New Roman" w:hAnsi="Times New Roman" w:cs="Times New Roman" w:eastAsia="Times New Roman" w:hint="default"/>
        </w:rPr>
        <w:t>1978</w:t>
      </w:r>
      <w:r>
        <w:rPr/>
        <w:t>年生，毕业于湖北工业大学，本科学历，在读工商管理硕士，工程 师。</w:t>
      </w:r>
      <w:r>
        <w:rPr>
          <w:rFonts w:ascii="Times New Roman" w:hAnsi="Times New Roman" w:cs="Times New Roman" w:eastAsia="Times New Roman" w:hint="default"/>
        </w:rPr>
        <w:t>2003</w:t>
      </w:r>
      <w:r>
        <w:rPr/>
        <w:t>年加入公司，先后担任浙江榕基信息技术有限公司总经理助理、副总经理，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w:t>
      </w:r>
      <w:r>
        <w:rPr/>
        <w:t>月至今担任浙江榕基信息技术</w:t>
      </w:r>
      <w:r>
        <w:rPr>
          <w:spacing w:val="-85"/>
        </w:rPr>
        <w:t> </w:t>
      </w:r>
      <w:r>
        <w:rPr/>
        <w:t>有限公司总经理。具有较丰富的团队管理经验，负责浙江榕基信息技术有限公司、上海榕基软件开发有限公司的管理工作， 对政务信息化领域有比较深刻的理解及实践经验。现任公司副总裁、浙江榕基信息技术有限公司总经理。</w:t>
      </w:r>
    </w:p>
    <w:p>
      <w:pPr>
        <w:pStyle w:val="BodyText"/>
        <w:spacing w:line="300" w:lineRule="auto" w:before="64"/>
        <w:ind w:left="153" w:right="100" w:firstLine="460"/>
        <w:jc w:val="left"/>
      </w:pPr>
      <w:r>
        <w:rPr/>
        <w:t>倪时龙：中国国籍，无境外永久居留权，男，</w:t>
      </w:r>
      <w:r>
        <w:rPr>
          <w:rFonts w:ascii="Times New Roman" w:hAnsi="Times New Roman" w:cs="Times New Roman" w:eastAsia="Times New Roman" w:hint="default"/>
        </w:rPr>
        <w:t>1977</w:t>
      </w:r>
      <w:r>
        <w:rPr/>
        <w:t>年生，毕业于仰恩大学，本科学历，在读软件工程硕士，高级项目 </w:t>
      </w:r>
      <w:r>
        <w:rPr>
          <w:spacing w:val="-2"/>
        </w:rPr>
        <w:t>经理。</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7</w:t>
      </w:r>
      <w:r>
        <w:rPr>
          <w:spacing w:val="-2"/>
        </w:rPr>
        <w:t>月进入公司，历任项目经理、分公司技术总监。</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5</w:t>
      </w:r>
      <w:r>
        <w:rPr>
          <w:spacing w:val="-2"/>
        </w:rPr>
        <w:t>月起任福建亿榕信息技术有限公司常务副总经理，主</w:t>
      </w:r>
      <w:r>
        <w:rPr>
          <w:spacing w:val="-59"/>
        </w:rPr>
        <w:t> </w:t>
      </w:r>
      <w:r>
        <w:rPr>
          <w:spacing w:val="-59"/>
        </w:rPr>
      </w:r>
      <w:r>
        <w:rPr>
          <w:spacing w:val="-3"/>
        </w:rPr>
        <w:t>持全面工作，专注智能电网相关业务的研究开发。主持开发的产品先后荣获福建省、福州市等单位</w:t>
      </w:r>
      <w:r>
        <w:rPr>
          <w:rFonts w:ascii="Times New Roman" w:hAnsi="Times New Roman" w:cs="Times New Roman" w:eastAsia="Times New Roman" w:hint="default"/>
          <w:spacing w:val="-3"/>
        </w:rPr>
        <w:t>“</w:t>
      </w:r>
      <w:r>
        <w:rPr>
          <w:spacing w:val="-3"/>
        </w:rPr>
        <w:t>福建优秀软件产品</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福</w:t>
      </w:r>
      <w:r>
        <w:rPr>
          <w:spacing w:val="-67"/>
        </w:rPr>
        <w:t> </w:t>
      </w:r>
      <w:r>
        <w:rPr>
          <w:spacing w:val="-2"/>
        </w:rPr>
        <w:t>建省名牌产品</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科技进步奖</w:t>
      </w:r>
      <w:r>
        <w:rPr>
          <w:rFonts w:ascii="Times New Roman" w:hAnsi="Times New Roman" w:cs="Times New Roman" w:eastAsia="Times New Roman" w:hint="default"/>
          <w:spacing w:val="-2"/>
        </w:rPr>
        <w:t>”</w:t>
      </w:r>
      <w:r>
        <w:rPr>
          <w:spacing w:val="-2"/>
        </w:rPr>
        <w:t>等荣誉。个人获得</w:t>
      </w:r>
      <w:r>
        <w:rPr/>
        <w:t> </w:t>
      </w:r>
      <w:r>
        <w:rPr>
          <w:rFonts w:ascii="Times New Roman" w:hAnsi="Times New Roman" w:cs="Times New Roman" w:eastAsia="Times New Roman" w:hint="default"/>
          <w:spacing w:val="-2"/>
        </w:rPr>
        <w:t>“</w:t>
      </w:r>
      <w:r>
        <w:rPr>
          <w:spacing w:val="-2"/>
        </w:rPr>
        <w:t>福建省优秀骨干人才</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福建省软件杰出人才</w:t>
      </w:r>
      <w:r>
        <w:rPr>
          <w:rFonts w:ascii="Times New Roman" w:hAnsi="Times New Roman" w:cs="Times New Roman" w:eastAsia="Times New Roman" w:hint="default"/>
          <w:spacing w:val="-2"/>
        </w:rPr>
        <w:t>”</w:t>
      </w:r>
      <w:r>
        <w:rPr>
          <w:spacing w:val="-2"/>
        </w:rPr>
        <w:t>等称号。现任公司副总裁、</w:t>
      </w:r>
      <w:r>
        <w:rPr>
          <w:spacing w:val="-79"/>
        </w:rPr>
        <w:t> </w:t>
      </w:r>
      <w:r>
        <w:rPr>
          <w:spacing w:val="-79"/>
        </w:rPr>
      </w:r>
      <w:r>
        <w:rPr/>
        <w:t>福建亿榕信息技术有限公司总经理。</w:t>
      </w:r>
    </w:p>
    <w:p>
      <w:pPr>
        <w:pStyle w:val="BodyText"/>
        <w:spacing w:line="307" w:lineRule="auto" w:before="72"/>
        <w:ind w:left="153" w:right="91" w:firstLine="419"/>
        <w:jc w:val="left"/>
      </w:pPr>
      <w:r>
        <w:rPr/>
        <w:t>赵坚：中国国籍，无境外永久居留权，男，</w:t>
      </w:r>
      <w:r>
        <w:rPr>
          <w:rFonts w:ascii="Times New Roman" w:hAnsi="Times New Roman" w:cs="Times New Roman" w:eastAsia="Times New Roman" w:hint="default"/>
        </w:rPr>
        <w:t>1972</w:t>
      </w:r>
      <w:r>
        <w:rPr/>
        <w:t>年生，毕业于福州大学工业电气自动化专业，本科学历。</w:t>
      </w:r>
      <w:r>
        <w:rPr>
          <w:rFonts w:ascii="Times New Roman" w:hAnsi="Times New Roman" w:cs="Times New Roman" w:eastAsia="Times New Roman" w:hint="default"/>
        </w:rPr>
        <w:t>1997</w:t>
      </w:r>
      <w:r>
        <w:rPr/>
        <w:t>年加入 </w:t>
      </w:r>
      <w:r>
        <w:rPr>
          <w:spacing w:val="-4"/>
        </w:rPr>
        <w:t>公司，先后担任系统集成工程师、项目经理、系统集成部经理、业务副总监。现负责企业计算机系统集成、音视频系统集成、</w:t>
      </w:r>
      <w:r>
        <w:rPr>
          <w:spacing w:val="-44"/>
        </w:rPr>
        <w:t> </w:t>
      </w:r>
      <w:r>
        <w:rPr>
          <w:spacing w:val="-44"/>
        </w:rPr>
      </w:r>
      <w:r>
        <w:rPr/>
        <w:t>办公自动化软件、定制</w:t>
      </w:r>
      <w:r>
        <w:rPr>
          <w:rFonts w:ascii="Times New Roman" w:hAnsi="Times New Roman" w:cs="Times New Roman" w:eastAsia="Times New Roman" w:hint="default"/>
        </w:rPr>
        <w:t>MIS</w:t>
      </w:r>
      <w:r>
        <w:rPr/>
        <w:t>软件等工程项目的实施及服务管理工作。具有较强的技术管理能力，承担公司工程项目管理体系 </w:t>
      </w:r>
      <w:r>
        <w:rPr>
          <w:spacing w:val="-3"/>
        </w:rPr>
        <w:t>的建设和维护，对</w:t>
      </w:r>
      <w:r>
        <w:rPr>
          <w:rFonts w:ascii="Times New Roman" w:hAnsi="Times New Roman" w:cs="Times New Roman" w:eastAsia="Times New Roman" w:hint="default"/>
          <w:spacing w:val="-3"/>
        </w:rPr>
        <w:t>IT</w:t>
      </w:r>
      <w:r>
        <w:rPr>
          <w:spacing w:val="-3"/>
        </w:rPr>
        <w:t>行业的工程管理具有深入的理解和丰富的实践经验，具有较强的大型系统集成项目分析和整合规划能力，</w:t>
      </w:r>
    </w:p>
    <w:p>
      <w:pPr>
        <w:spacing w:after="0" w:line="307"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60" w:lineRule="auto" w:before="44"/>
        <w:ind w:left="572" w:right="90" w:hanging="420"/>
        <w:jc w:val="left"/>
      </w:pPr>
      <w:r>
        <w:rPr/>
        <w:t>主持了公司多个重点项目的规划、实施工作。现任公司副总裁、工程中心总经理。 </w:t>
      </w:r>
      <w:r>
        <w:rPr>
          <w:spacing w:val="-1"/>
        </w:rPr>
        <w:t>宾壮兴：中国国籍，无境外永久居留权，男，</w:t>
      </w:r>
      <w:r>
        <w:rPr>
          <w:rFonts w:ascii="Times New Roman" w:hAnsi="Times New Roman" w:cs="Times New Roman" w:eastAsia="Times New Roman" w:hint="default"/>
          <w:spacing w:val="-1"/>
        </w:rPr>
        <w:t>1960</w:t>
      </w:r>
      <w:r>
        <w:rPr>
          <w:spacing w:val="-1"/>
        </w:rPr>
        <w:t>年生，毕业于深圳大学人事管理专业，专科学历。</w:t>
      </w:r>
      <w:r>
        <w:rPr>
          <w:rFonts w:ascii="Times New Roman" w:hAnsi="Times New Roman" w:cs="Times New Roman" w:eastAsia="Times New Roman" w:hint="default"/>
          <w:spacing w:val="-1"/>
        </w:rPr>
        <w:t>2000</w:t>
      </w:r>
      <w:r>
        <w:rPr>
          <w:spacing w:val="-1"/>
        </w:rPr>
        <w:t>年加入公司，</w:t>
      </w:r>
    </w:p>
    <w:p>
      <w:pPr>
        <w:pStyle w:val="BodyText"/>
        <w:spacing w:line="199" w:lineRule="exact"/>
        <w:ind w:right="0"/>
        <w:jc w:val="left"/>
      </w:pPr>
      <w:r>
        <w:rPr/>
        <w:t>先后担任榕基软件深圳分公司办公室主任、副总经理。长期从事质检行业应用软件产品的开发及推广管理工作，对质检行业</w:t>
      </w:r>
    </w:p>
    <w:p>
      <w:pPr>
        <w:pStyle w:val="BodyText"/>
        <w:spacing w:line="316" w:lineRule="auto" w:before="76"/>
        <w:ind w:right="0"/>
        <w:jc w:val="left"/>
      </w:pPr>
      <w:r>
        <w:rPr>
          <w:spacing w:val="-2"/>
        </w:rPr>
        <w:t>的信息化建设有一定的了解和丰富的实验经验。具有较强的的市场开拓及企业管理能力。现任公司副总裁、深圳分公司总经</w:t>
      </w:r>
      <w:r>
        <w:rPr>
          <w:spacing w:val="-63"/>
        </w:rPr>
        <w:t> </w:t>
      </w:r>
      <w:r>
        <w:rPr>
          <w:spacing w:val="-63"/>
        </w:rPr>
      </w:r>
      <w:r>
        <w:rPr/>
        <w:t>理、北京中榕基信息技术有限公司董事长兼总经理。</w:t>
      </w:r>
    </w:p>
    <w:p>
      <w:pPr>
        <w:pStyle w:val="BodyText"/>
        <w:spacing w:line="307" w:lineRule="auto" w:before="57"/>
        <w:ind w:right="189" w:firstLine="420"/>
        <w:jc w:val="both"/>
      </w:pPr>
      <w:r>
        <w:rPr/>
        <w:t>靳谊：中国国籍，无境外永久居留权，男，</w:t>
      </w:r>
      <w:r>
        <w:rPr>
          <w:rFonts w:ascii="Times New Roman" w:hAnsi="Times New Roman" w:cs="Times New Roman" w:eastAsia="Times New Roman" w:hint="default"/>
        </w:rPr>
        <w:t>1975</w:t>
      </w:r>
      <w:r>
        <w:rPr/>
        <w:t>年生，毕业于武汉理工大学计算机科学与技术专业，专科学历。</w:t>
      </w:r>
      <w:r>
        <w:rPr>
          <w:rFonts w:ascii="Times New Roman" w:hAnsi="Times New Roman" w:cs="Times New Roman" w:eastAsia="Times New Roman" w:hint="default"/>
        </w:rPr>
        <w:t>1998</w:t>
      </w:r>
      <w:r>
        <w:rPr>
          <w:rFonts w:ascii="Times New Roman" w:hAnsi="Times New Roman" w:cs="Times New Roman" w:eastAsia="Times New Roman" w:hint="default"/>
          <w:spacing w:val="1"/>
        </w:rPr>
        <w:t> </w:t>
      </w:r>
      <w:r>
        <w:rPr>
          <w:spacing w:val="-2"/>
        </w:rPr>
        <w:t>年加入公司，先后担任工程师、项目经理、资深工程师、副主任工程师、主任工程师、协同管理事业部经理。具有较强的研</w:t>
      </w:r>
      <w:r>
        <w:rPr>
          <w:spacing w:val="-73"/>
        </w:rPr>
        <w:t> </w:t>
      </w:r>
      <w:r>
        <w:rPr>
          <w:spacing w:val="-73"/>
        </w:rPr>
      </w:r>
      <w:r>
        <w:rPr>
          <w:spacing w:val="-2"/>
        </w:rPr>
        <w:t>发管理能力与大型企业管理信息系统分析和整合规划能力，负责协同管理业务技术管理以及企业内部信息系统建设工作，主</w:t>
      </w:r>
      <w:r>
        <w:rPr>
          <w:spacing w:val="-64"/>
        </w:rPr>
        <w:t> </w:t>
      </w:r>
      <w:r>
        <w:rPr>
          <w:spacing w:val="-64"/>
        </w:rPr>
      </w:r>
      <w:r>
        <w:rPr/>
        <w:t>持设计研发了</w:t>
      </w:r>
      <w:r>
        <w:rPr>
          <w:rFonts w:ascii="Times New Roman" w:hAnsi="Times New Roman" w:cs="Times New Roman" w:eastAsia="Times New Roman" w:hint="default"/>
        </w:rPr>
        <w:t>“</w:t>
      </w:r>
      <w:r>
        <w:rPr/>
        <w:t>榕基电子单证系统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榕基</w:t>
      </w:r>
      <w:r>
        <w:rPr>
          <w:rFonts w:ascii="Times New Roman" w:hAnsi="Times New Roman" w:cs="Times New Roman" w:eastAsia="Times New Roman" w:hint="default"/>
        </w:rPr>
        <w:t>I-TASK</w:t>
      </w:r>
      <w:r>
        <w:rPr/>
        <w:t>任务管理平台</w:t>
      </w:r>
      <w:r>
        <w:rPr>
          <w:rFonts w:ascii="Times New Roman" w:hAnsi="Times New Roman" w:cs="Times New Roman" w:eastAsia="Times New Roman" w:hint="default"/>
        </w:rPr>
        <w:t>”</w:t>
      </w:r>
      <w:r>
        <w:rPr/>
        <w:t>等公司战略产品以及能源、质检等行业十多项软件产品，</w:t>
      </w:r>
      <w:r>
        <w:rPr>
          <w:spacing w:val="-17"/>
        </w:rPr>
        <w:t> </w:t>
      </w:r>
      <w:r>
        <w:rPr>
          <w:spacing w:val="-17"/>
        </w:rPr>
      </w:r>
      <w:r>
        <w:rPr/>
        <w:t>曾获</w:t>
      </w:r>
      <w:r>
        <w:rPr>
          <w:rFonts w:ascii="Times New Roman" w:hAnsi="Times New Roman" w:cs="Times New Roman" w:eastAsia="Times New Roman" w:hint="default"/>
        </w:rPr>
        <w:t>“</w:t>
      </w:r>
      <w:r>
        <w:rPr/>
        <w:t>福州市科学技术奖三等奖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福建省优秀信息主管</w:t>
      </w:r>
      <w:r>
        <w:rPr>
          <w:rFonts w:ascii="Times New Roman" w:hAnsi="Times New Roman" w:cs="Times New Roman" w:eastAsia="Times New Roman" w:hint="default"/>
        </w:rPr>
        <w:t>(CIO)</w:t>
      </w:r>
      <w:r>
        <w:rPr>
          <w:rFonts w:ascii="Times New Roman" w:hAnsi="Times New Roman" w:cs="Times New Roman" w:eastAsia="Times New Roman" w:hint="default"/>
          <w:spacing w:val="32"/>
        </w:rPr>
        <w:t> </w:t>
      </w:r>
      <w:r>
        <w:rPr>
          <w:rFonts w:ascii="Times New Roman" w:hAnsi="Times New Roman" w:cs="Times New Roman" w:eastAsia="Times New Roman" w:hint="default"/>
        </w:rPr>
        <w:t>”</w:t>
      </w:r>
      <w:r>
        <w:rPr/>
        <w:t>、</w:t>
      </w:r>
      <w:r>
        <w:rPr>
          <w:rFonts w:ascii="Times New Roman" w:hAnsi="Times New Roman" w:cs="Times New Roman" w:eastAsia="Times New Roman" w:hint="default"/>
        </w:rPr>
        <w:t>“2009</w:t>
      </w:r>
      <w:r>
        <w:rPr/>
        <w:t>信息化年度贡献人物</w:t>
      </w:r>
      <w:r>
        <w:rPr>
          <w:rFonts w:ascii="Times New Roman" w:hAnsi="Times New Roman" w:cs="Times New Roman" w:eastAsia="Times New Roman" w:hint="default"/>
        </w:rPr>
        <w:t>”</w:t>
      </w:r>
      <w:r>
        <w:rPr/>
        <w:t>。现任公司副总裁、首席信息 官、研发总监。</w:t>
      </w:r>
    </w:p>
    <w:p>
      <w:pPr>
        <w:pStyle w:val="BodyText"/>
        <w:spacing w:line="240" w:lineRule="auto" w:before="67"/>
        <w:ind w:right="0"/>
        <w:jc w:val="left"/>
      </w:pPr>
      <w:r>
        <w:rPr/>
        <w:t>在股东单位任职情况</w:t>
      </w:r>
    </w:p>
    <w:p>
      <w:pPr>
        <w:pStyle w:val="BodyText"/>
        <w:spacing w:line="338" w:lineRule="auto" w:before="117"/>
        <w:ind w:right="81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马鞍山榕基软件信息科技有限公司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河南榕基信息技术有限公司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倪时龙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福建发展高速公路股份有限公司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2007-07-18</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中国武夷实业股份有限公司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2009-04-21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福建水泥股份有限公司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2007-06-29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2009-04-08</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福州大学管理学院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教授、博士生</w:t>
            </w:r>
            <w:r>
              <w:rPr>
                <w:rFonts w:ascii="宋体" w:hAnsi="宋体" w:cs="宋体" w:eastAsia="宋体" w:hint="default"/>
                <w:sz w:val="18"/>
                <w:szCs w:val="18"/>
              </w:rPr>
              <w:t> 导师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福建福晶科技股份有限公司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2012-05-14</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福建汇德律师事务所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福建榕基投资有限公司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榕基国际控股有限公司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榕基国际控股有限公司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宾壮兴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北京中榕基信息技术有限公司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147"/>
        <w:jc w:val="left"/>
        <w:rPr>
          <w:b w:val="0"/>
          <w:bCs w:val="0"/>
        </w:rPr>
      </w:pPr>
      <w:r>
        <w:rPr/>
        <w:t>三、董事、监事、</w:t>
      </w:r>
      <w:bookmarkStart w:name="三、董事、监事、高级管理人员报酬情况" w:id="108"/>
      <w:bookmarkEnd w:id="108"/>
      <w:r>
        <w:rPr/>
        <w:t>高级</w:t>
      </w:r>
      <w:r>
        <w:rPr/>
        <w:t>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7"/>
        <w:jc w:val="left"/>
      </w:pPr>
      <w:r>
        <w:rPr/>
        <w:t>董事、监事、高级管理人员报酬的决策程序、确定依据</w:t>
      </w:r>
    </w:p>
    <w:p>
      <w:pPr>
        <w:spacing w:line="264" w:lineRule="auto" w:before="94"/>
        <w:ind w:left="152" w:right="147" w:firstLine="420"/>
        <w:jc w:val="both"/>
        <w:rPr>
          <w:rFonts w:ascii="宋体" w:hAnsi="宋体" w:cs="宋体" w:eastAsia="宋体" w:hint="default"/>
          <w:sz w:val="21"/>
          <w:szCs w:val="21"/>
        </w:rPr>
      </w:pPr>
      <w:r>
        <w:rPr>
          <w:rFonts w:ascii="宋体" w:hAnsi="宋体" w:cs="宋体" w:eastAsia="宋体" w:hint="default"/>
          <w:spacing w:val="-2"/>
          <w:sz w:val="21"/>
          <w:szCs w:val="21"/>
        </w:rPr>
        <w:t>报告期内公司根据《公司章程》及《公司董事会薪酬与考核委员会实施细则》，结合公司经营规模等</w:t>
      </w:r>
      <w:r>
        <w:rPr>
          <w:rFonts w:ascii="宋体" w:hAnsi="宋体" w:cs="宋体" w:eastAsia="宋体" w:hint="default"/>
          <w:w w:val="100"/>
          <w:sz w:val="21"/>
          <w:szCs w:val="21"/>
        </w:rPr>
        <w:t> </w:t>
      </w:r>
      <w:r>
        <w:rPr>
          <w:rFonts w:ascii="宋体" w:hAnsi="宋体" w:cs="宋体" w:eastAsia="宋体" w:hint="default"/>
          <w:spacing w:val="-2"/>
          <w:sz w:val="21"/>
          <w:szCs w:val="21"/>
        </w:rPr>
        <w:t>实际情况并参照行业薪酬水平，制定《公司</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年度董事、高级管理人员薪酬方案》，并由公司第二次董</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事会第十二次会议及公司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年度股东大会审议通过后执行。</w:t>
      </w:r>
    </w:p>
    <w:p>
      <w:pPr>
        <w:pStyle w:val="BodyText"/>
        <w:spacing w:line="240" w:lineRule="auto" w:before="59"/>
        <w:ind w:right="147"/>
        <w:jc w:val="left"/>
      </w:pPr>
      <w:r>
        <w:rPr/>
        <w:t>公司报告期内董事、监事和高级管理人员报酬情况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副董事长、常 务副总经理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180,000.00</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120,000.00</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张之戈</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杨学圆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115,000.00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w:t>
            </w:r>
            <w:r>
              <w:rPr>
                <w:rFonts w:ascii="Times New Roman"/>
                <w:sz w:val="18"/>
              </w:rPr>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邱文溢</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43,000.00</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孙敏</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43,000.00</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魏建光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邬海峰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120,000.00</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周仁锟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115,000.00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w:t>
            </w:r>
            <w:r>
              <w:rPr>
                <w:rFonts w:ascii="Times New Roman"/>
                <w:sz w:val="18"/>
              </w:rPr>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115,000.00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115,000.00</w:t>
            </w:r>
            <w:r>
              <w:rPr>
                <w:rFonts w:ascii="Times New Roman"/>
                <w:sz w:val="18"/>
              </w:rPr>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115,000.00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w:t>
            </w:r>
            <w:r>
              <w:rPr>
                <w:rFonts w:ascii="Times New Roman"/>
                <w:sz w:val="18"/>
              </w:rPr>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115,000.00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w:t>
            </w:r>
            <w:r>
              <w:rPr>
                <w:rFonts w:ascii="Times New Roman"/>
                <w:sz w:val="18"/>
              </w:rPr>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倪时龙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115,000.00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宾壮兴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115,000.00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w:t>
            </w:r>
            <w:r>
              <w:rPr>
                <w:rFonts w:ascii="Times New Roman"/>
                <w:sz w:val="18"/>
              </w:rPr>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靳谊</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115,000.00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115,000.00</w:t>
            </w:r>
            <w:r>
              <w:rPr>
                <w:rFonts w:ascii="Times New Roman"/>
                <w:sz w:val="18"/>
              </w:rPr>
            </w: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1,909,000.00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1,909,000.00</w:t>
            </w:r>
            <w:r>
              <w:rPr>
                <w:rFonts w:ascii="Times New Roman"/>
                <w:sz w:val="18"/>
              </w:rPr>
            </w:r>
          </w:p>
        </w:tc>
      </w:tr>
    </w:tbl>
    <w:p>
      <w:pPr>
        <w:pStyle w:val="BodyText"/>
        <w:spacing w:line="240" w:lineRule="auto" w:before="50"/>
        <w:ind w:right="147"/>
        <w:jc w:val="left"/>
      </w:pPr>
      <w:r>
        <w:rPr/>
        <w:t>公司董事、监事、高级管理人员报告期内被授予的股权激励情况</w:t>
      </w:r>
    </w:p>
    <w:p>
      <w:pPr>
        <w:pStyle w:val="BodyText"/>
        <w:spacing w:line="240" w:lineRule="auto" w:before="115"/>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15"/>
          <w:szCs w:val="15"/>
        </w:rPr>
      </w:pPr>
    </w:p>
    <w:p>
      <w:pPr>
        <w:pStyle w:val="Heading2"/>
        <w:spacing w:line="240" w:lineRule="auto"/>
        <w:ind w:right="147"/>
        <w:jc w:val="left"/>
        <w:rPr>
          <w:b w:val="0"/>
          <w:bCs w:val="0"/>
        </w:rPr>
      </w:pPr>
      <w:r>
        <w:rPr/>
        <w:t>四、公司董事、监</w:t>
      </w:r>
      <w:bookmarkStart w:name="四、公司董事、监事、高级管理人员离职和解聘情况" w:id="109"/>
      <w:bookmarkEnd w:id="109"/>
      <w:r>
        <w:rPr/>
        <w:t>事、</w:t>
      </w:r>
      <w:r>
        <w:rPr/>
        <w:t>高级管理人员离职和解聘情况</w:t>
      </w:r>
      <w:r>
        <w:rPr>
          <w:b w:val="0"/>
          <w:bCs w:val="0"/>
        </w:rPr>
      </w:r>
    </w:p>
    <w:p>
      <w:pPr>
        <w:spacing w:line="240" w:lineRule="auto" w:before="9"/>
        <w:rPr>
          <w:rFonts w:ascii="宋体" w:hAnsi="宋体" w:cs="宋体" w:eastAsia="宋体" w:hint="default"/>
          <w:b/>
          <w:bCs/>
          <w:sz w:val="17"/>
          <w:szCs w:val="17"/>
        </w:rPr>
      </w:pPr>
    </w:p>
    <w:p>
      <w:pPr>
        <w:pStyle w:val="BodyText"/>
        <w:spacing w:line="240" w:lineRule="auto"/>
        <w:ind w:right="147"/>
        <w:jc w:val="left"/>
      </w:pPr>
      <w:r>
        <w:rPr/>
        <w:t>无。</w:t>
      </w:r>
    </w:p>
    <w:p>
      <w:pPr>
        <w:spacing w:line="240" w:lineRule="auto" w:before="8"/>
        <w:rPr>
          <w:rFonts w:ascii="宋体" w:hAnsi="宋体" w:cs="宋体" w:eastAsia="宋体" w:hint="default"/>
          <w:sz w:val="16"/>
          <w:szCs w:val="16"/>
        </w:rPr>
      </w:pPr>
    </w:p>
    <w:p>
      <w:pPr>
        <w:pStyle w:val="Heading2"/>
        <w:spacing w:line="240" w:lineRule="auto"/>
        <w:ind w:right="147"/>
        <w:jc w:val="left"/>
        <w:rPr>
          <w:b w:val="0"/>
          <w:bCs w:val="0"/>
        </w:rPr>
      </w:pPr>
      <w:r>
        <w:rPr/>
        <w:t>五、报告期核心技术团队或关</w:t>
      </w:r>
      <w:bookmarkStart w:name="五、报告期核心技术团队或关键技术人员变动情况（非董事、监事、高级管理人员）" w:id="110"/>
      <w:bookmarkEnd w:id="110"/>
      <w:r>
        <w:rPr/>
        <w:t>键技</w:t>
      </w:r>
      <w:r>
        <w:rPr/>
        <w:t>术人员变动情况（非董事、监事、高级管理人员）</w:t>
      </w:r>
      <w:r>
        <w:rPr>
          <w:b w:val="0"/>
          <w:bCs w:val="0"/>
        </w:rPr>
      </w:r>
    </w:p>
    <w:p>
      <w:pPr>
        <w:spacing w:line="240" w:lineRule="auto" w:before="11"/>
        <w:rPr>
          <w:rFonts w:ascii="宋体" w:hAnsi="宋体" w:cs="宋体" w:eastAsia="宋体" w:hint="default"/>
          <w:b/>
          <w:bCs/>
          <w:sz w:val="17"/>
          <w:szCs w:val="17"/>
        </w:rPr>
      </w:pPr>
    </w:p>
    <w:p>
      <w:pPr>
        <w:pStyle w:val="BodyText"/>
        <w:spacing w:line="240" w:lineRule="auto"/>
        <w:ind w:right="147"/>
        <w:jc w:val="left"/>
      </w:pPr>
      <w:r>
        <w:rPr/>
        <w:t>无。</w:t>
      </w:r>
    </w:p>
    <w:p>
      <w:pPr>
        <w:spacing w:line="240" w:lineRule="auto" w:before="8"/>
        <w:rPr>
          <w:rFonts w:ascii="宋体" w:hAnsi="宋体" w:cs="宋体" w:eastAsia="宋体" w:hint="default"/>
          <w:sz w:val="16"/>
          <w:szCs w:val="16"/>
        </w:rPr>
      </w:pPr>
    </w:p>
    <w:p>
      <w:pPr>
        <w:pStyle w:val="Heading2"/>
        <w:spacing w:line="240" w:lineRule="auto"/>
        <w:ind w:right="147"/>
        <w:jc w:val="left"/>
        <w:rPr>
          <w:b w:val="0"/>
          <w:bCs w:val="0"/>
        </w:rPr>
      </w:pPr>
      <w:r>
        <w:rPr/>
        <w:t>六、公司员工情况</w:t>
      </w:r>
      <w:r>
        <w:rPr>
          <w:b w:val="0"/>
          <w:bCs w:val="0"/>
        </w:rPr>
      </w:r>
    </w:p>
    <w:p>
      <w:pPr>
        <w:spacing w:line="240" w:lineRule="auto" w:before="9"/>
        <w:rPr>
          <w:rFonts w:ascii="宋体" w:hAnsi="宋体" w:cs="宋体" w:eastAsia="宋体" w:hint="default"/>
          <w:b/>
          <w:bCs/>
          <w:sz w:val="17"/>
          <w:szCs w:val="17"/>
        </w:rPr>
      </w:pPr>
    </w:p>
    <w:p>
      <w:pPr>
        <w:pStyle w:val="BodyText"/>
        <w:spacing w:line="300" w:lineRule="auto"/>
        <w:ind w:right="147" w:firstLine="420"/>
        <w:jc w:val="left"/>
      </w:pPr>
      <w:r>
        <w:rPr>
          <w:spacing w:val="-2"/>
        </w:rPr>
        <w:t>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w:t>
      </w:r>
      <w:bookmarkStart w:name="六、公司员工情况" w:id="111"/>
      <w:bookmarkEnd w:id="111"/>
      <w:r>
        <w:rPr>
          <w:spacing w:val="-2"/>
        </w:rPr>
        <w:t>及子公司在职员工总数为</w:t>
      </w:r>
      <w:r>
        <w:rPr>
          <w:rFonts w:ascii="Times New Roman" w:hAnsi="Times New Roman" w:cs="Times New Roman" w:eastAsia="Times New Roman" w:hint="default"/>
          <w:spacing w:val="-2"/>
        </w:rPr>
        <w:t>724</w:t>
      </w:r>
      <w:r>
        <w:rPr>
          <w:spacing w:val="-2"/>
        </w:rPr>
        <w:t>人。公司员工的专业结构、教育程度、员工薪酬政策以及培</w:t>
      </w:r>
      <w:r>
        <w:rPr/>
        <w:t> 训计划情况如下：</w:t>
      </w:r>
    </w:p>
    <w:p>
      <w:pPr>
        <w:pStyle w:val="BodyText"/>
        <w:spacing w:line="240" w:lineRule="auto" w:before="72"/>
        <w:ind w:left="572" w:right="147"/>
        <w:jc w:val="left"/>
      </w:pPr>
      <w:r>
        <w:rPr/>
        <w:t>（一）员工专业结构及教育程度</w:t>
      </w:r>
    </w:p>
    <w:p>
      <w:pPr>
        <w:spacing w:line="240" w:lineRule="auto" w:before="2"/>
        <w:rPr>
          <w:rFonts w:ascii="宋体" w:hAnsi="宋体" w:cs="宋体" w:eastAsia="宋体" w:hint="default"/>
          <w:sz w:val="8"/>
          <w:szCs w:val="8"/>
        </w:rPr>
      </w:pPr>
    </w:p>
    <w:tbl>
      <w:tblPr>
        <w:tblW w:w="0" w:type="auto"/>
        <w:jc w:val="left"/>
        <w:tblInd w:w="1268" w:type="dxa"/>
        <w:tblLayout w:type="fixed"/>
        <w:tblCellMar>
          <w:top w:w="0" w:type="dxa"/>
          <w:left w:w="0" w:type="dxa"/>
          <w:bottom w:w="0" w:type="dxa"/>
          <w:right w:w="0" w:type="dxa"/>
        </w:tblCellMar>
        <w:tblLook w:val="01E0"/>
      </w:tblPr>
      <w:tblGrid>
        <w:gridCol w:w="3984"/>
        <w:gridCol w:w="1702"/>
        <w:gridCol w:w="1702"/>
      </w:tblGrid>
      <w:tr>
        <w:trPr>
          <w:trHeight w:val="353" w:hRule="exact"/>
        </w:trPr>
        <w:tc>
          <w:tcPr>
            <w:tcW w:w="3984"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在职员工的人数</w:t>
            </w:r>
          </w:p>
        </w:tc>
        <w:tc>
          <w:tcPr>
            <w:tcW w:w="340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724</w:t>
            </w:r>
          </w:p>
        </w:tc>
      </w:tr>
      <w:tr>
        <w:trPr>
          <w:trHeight w:val="353" w:hRule="exact"/>
        </w:trPr>
        <w:tc>
          <w:tcPr>
            <w:tcW w:w="3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、母公司</w:t>
            </w:r>
          </w:p>
        </w:tc>
        <w:tc>
          <w:tcPr>
            <w:tcW w:w="340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378</w:t>
            </w:r>
          </w:p>
        </w:tc>
      </w:tr>
      <w:tr>
        <w:trPr>
          <w:trHeight w:val="350" w:hRule="exact"/>
        </w:trPr>
        <w:tc>
          <w:tcPr>
            <w:tcW w:w="3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、北京中榕基信息技术有限公司</w:t>
            </w:r>
          </w:p>
        </w:tc>
        <w:tc>
          <w:tcPr>
            <w:tcW w:w="340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45</w:t>
            </w:r>
          </w:p>
        </w:tc>
      </w:tr>
      <w:tr>
        <w:trPr>
          <w:trHeight w:val="353" w:hRule="exact"/>
        </w:trPr>
        <w:tc>
          <w:tcPr>
            <w:tcW w:w="3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、榕基五一（北京）信息技术有限公司</w:t>
            </w:r>
          </w:p>
        </w:tc>
        <w:tc>
          <w:tcPr>
            <w:tcW w:w="340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77</w:t>
            </w:r>
          </w:p>
        </w:tc>
      </w:tr>
      <w:tr>
        <w:trPr>
          <w:trHeight w:val="353" w:hRule="exact"/>
        </w:trPr>
        <w:tc>
          <w:tcPr>
            <w:tcW w:w="3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、浙江榕基信息技术有限公司</w:t>
            </w:r>
          </w:p>
        </w:tc>
        <w:tc>
          <w:tcPr>
            <w:tcW w:w="340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68</w:t>
            </w:r>
          </w:p>
        </w:tc>
      </w:tr>
      <w:tr>
        <w:trPr>
          <w:trHeight w:val="350" w:hRule="exact"/>
        </w:trPr>
        <w:tc>
          <w:tcPr>
            <w:tcW w:w="3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、河南榕基信息技术有限公司</w:t>
            </w:r>
          </w:p>
        </w:tc>
        <w:tc>
          <w:tcPr>
            <w:tcW w:w="340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81</w:t>
            </w:r>
          </w:p>
        </w:tc>
      </w:tr>
      <w:tr>
        <w:trPr>
          <w:trHeight w:val="353" w:hRule="exact"/>
        </w:trPr>
        <w:tc>
          <w:tcPr>
            <w:tcW w:w="3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、马鞍山榕基软件信息科技有限公司</w:t>
            </w:r>
          </w:p>
        </w:tc>
        <w:tc>
          <w:tcPr>
            <w:tcW w:w="340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32</w:t>
            </w:r>
          </w:p>
        </w:tc>
      </w:tr>
      <w:tr>
        <w:trPr>
          <w:trHeight w:val="353" w:hRule="exact"/>
        </w:trPr>
        <w:tc>
          <w:tcPr>
            <w:tcW w:w="3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、福建榕基软件工程有限公司</w:t>
            </w:r>
          </w:p>
        </w:tc>
        <w:tc>
          <w:tcPr>
            <w:tcW w:w="340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19</w:t>
            </w:r>
          </w:p>
        </w:tc>
      </w:tr>
      <w:tr>
        <w:trPr>
          <w:trHeight w:val="356" w:hRule="exact"/>
        </w:trPr>
        <w:tc>
          <w:tcPr>
            <w:tcW w:w="3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、其他子公司</w:t>
            </w:r>
          </w:p>
        </w:tc>
        <w:tc>
          <w:tcPr>
            <w:tcW w:w="340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24</w:t>
            </w:r>
          </w:p>
        </w:tc>
      </w:tr>
      <w:tr>
        <w:trPr>
          <w:trHeight w:val="364" w:hRule="exact"/>
        </w:trPr>
        <w:tc>
          <w:tcPr>
            <w:tcW w:w="3984"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4"/>
              <w:ind w:left="633" w:right="0"/>
              <w:jc w:val="left"/>
              <w:rPr>
                <w:rFonts w:ascii="宋体" w:hAnsi="宋体" w:cs="宋体" w:eastAsia="宋体" w:hint="default"/>
                <w:sz w:val="18"/>
                <w:szCs w:val="18"/>
              </w:rPr>
            </w:pPr>
            <w:r>
              <w:rPr>
                <w:rFonts w:ascii="宋体" w:hAnsi="宋体" w:cs="宋体" w:eastAsia="宋体" w:hint="default"/>
                <w:sz w:val="18"/>
                <w:szCs w:val="18"/>
              </w:rPr>
              <w:t>公司需承担费用的离退休职工人数</w:t>
            </w:r>
          </w:p>
        </w:tc>
        <w:tc>
          <w:tcPr>
            <w:tcW w:w="3403" w:type="dxa"/>
            <w:gridSpan w:val="2"/>
            <w:tcBorders>
              <w:top w:val="single" w:sz="8" w:space="0" w:color="000000"/>
              <w:left w:val="single" w:sz="8" w:space="0" w:color="000000"/>
              <w:bottom w:val="single" w:sz="12" w:space="0" w:color="000000"/>
              <w:right w:val="single" w:sz="8"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0</w:t>
            </w:r>
          </w:p>
        </w:tc>
      </w:tr>
      <w:tr>
        <w:trPr>
          <w:trHeight w:val="335" w:hRule="exact"/>
        </w:trPr>
        <w:tc>
          <w:tcPr>
            <w:tcW w:w="7387" w:type="dxa"/>
            <w:gridSpan w:val="3"/>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46" w:hRule="exact"/>
        </w:trPr>
        <w:tc>
          <w:tcPr>
            <w:tcW w:w="3984"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9"/>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1702"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9"/>
              <w:ind w:left="302" w:right="0"/>
              <w:jc w:val="left"/>
              <w:rPr>
                <w:rFonts w:ascii="宋体" w:hAnsi="宋体" w:cs="宋体" w:eastAsia="宋体" w:hint="default"/>
                <w:sz w:val="18"/>
                <w:szCs w:val="18"/>
              </w:rPr>
            </w:pPr>
            <w:r>
              <w:rPr>
                <w:rFonts w:ascii="宋体" w:hAnsi="宋体" w:cs="宋体" w:eastAsia="宋体" w:hint="default"/>
                <w:sz w:val="18"/>
                <w:szCs w:val="18"/>
              </w:rPr>
              <w:t>专业构成人数</w:t>
            </w:r>
          </w:p>
        </w:tc>
        <w:tc>
          <w:tcPr>
            <w:tcW w:w="1702"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9"/>
              <w:ind w:left="66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59" w:hRule="exact"/>
        </w:trPr>
        <w:tc>
          <w:tcPr>
            <w:tcW w:w="398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170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313</w:t>
            </w:r>
          </w:p>
        </w:tc>
        <w:tc>
          <w:tcPr>
            <w:tcW w:w="170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43.23%</w:t>
            </w:r>
          </w:p>
        </w:tc>
      </w:tr>
      <w:tr>
        <w:trPr>
          <w:trHeight w:val="353" w:hRule="exact"/>
        </w:trPr>
        <w:tc>
          <w:tcPr>
            <w:tcW w:w="3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109</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15.06%</w:t>
            </w:r>
          </w:p>
        </w:tc>
      </w:tr>
      <w:tr>
        <w:trPr>
          <w:trHeight w:val="350" w:hRule="exact"/>
        </w:trPr>
        <w:tc>
          <w:tcPr>
            <w:tcW w:w="3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212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29.28%</w:t>
            </w:r>
          </w:p>
        </w:tc>
      </w:tr>
      <w:tr>
        <w:trPr>
          <w:trHeight w:val="353" w:hRule="exact"/>
        </w:trPr>
        <w:tc>
          <w:tcPr>
            <w:tcW w:w="3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37</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5.11%</w:t>
            </w:r>
          </w:p>
        </w:tc>
      </w:tr>
      <w:tr>
        <w:trPr>
          <w:trHeight w:val="353" w:hRule="exact"/>
        </w:trPr>
        <w:tc>
          <w:tcPr>
            <w:tcW w:w="3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53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7.32%</w:t>
            </w:r>
          </w:p>
        </w:tc>
      </w:tr>
      <w:tr>
        <w:trPr>
          <w:trHeight w:val="350" w:hRule="exact"/>
        </w:trPr>
        <w:tc>
          <w:tcPr>
            <w:tcW w:w="7387" w:type="dxa"/>
            <w:gridSpan w:val="3"/>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53" w:hRule="exact"/>
        </w:trPr>
        <w:tc>
          <w:tcPr>
            <w:tcW w:w="3984"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1702"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数量（人）</w:t>
            </w:r>
          </w:p>
        </w:tc>
        <w:tc>
          <w:tcPr>
            <w:tcW w:w="1702"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20"/>
              <w:ind w:left="66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53" w:hRule="exact"/>
        </w:trPr>
        <w:tc>
          <w:tcPr>
            <w:tcW w:w="3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65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8.98%</w:t>
            </w:r>
          </w:p>
        </w:tc>
      </w:tr>
      <w:tr>
        <w:trPr>
          <w:trHeight w:val="350" w:hRule="exact"/>
        </w:trPr>
        <w:tc>
          <w:tcPr>
            <w:tcW w:w="3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515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71.13%</w:t>
            </w:r>
          </w:p>
        </w:tc>
      </w:tr>
      <w:tr>
        <w:trPr>
          <w:trHeight w:val="353" w:hRule="exact"/>
        </w:trPr>
        <w:tc>
          <w:tcPr>
            <w:tcW w:w="3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119</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16.44%</w:t>
            </w:r>
          </w:p>
        </w:tc>
      </w:tr>
      <w:tr>
        <w:trPr>
          <w:trHeight w:val="353" w:hRule="exact"/>
        </w:trPr>
        <w:tc>
          <w:tcPr>
            <w:tcW w:w="3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25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3.45%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572" w:right="147"/>
        <w:jc w:val="left"/>
      </w:pPr>
      <w:r>
        <w:rPr/>
        <w:t>（二）公司员工构成图</w:t>
      </w:r>
    </w:p>
    <w:p>
      <w:pPr>
        <w:pStyle w:val="BodyText"/>
        <w:spacing w:line="240" w:lineRule="auto" w:before="117"/>
        <w:ind w:left="572" w:right="147"/>
        <w:jc w:val="left"/>
      </w:pPr>
      <w:r>
        <w:rPr>
          <w:rFonts w:ascii="Times New Roman" w:hAnsi="Times New Roman" w:cs="Times New Roman" w:eastAsia="Times New Roman" w:hint="default"/>
        </w:rPr>
        <w:t>1</w:t>
      </w:r>
      <w:r>
        <w:rPr/>
        <w:t>、员工专业构成</w:t>
      </w:r>
    </w:p>
    <w:p>
      <w:pPr>
        <w:spacing w:line="240" w:lineRule="auto" w:before="13"/>
        <w:rPr>
          <w:rFonts w:ascii="宋体" w:hAnsi="宋体" w:cs="宋体" w:eastAsia="宋体" w:hint="default"/>
          <w:sz w:val="10"/>
          <w:szCs w:val="10"/>
        </w:rPr>
      </w:pPr>
    </w:p>
    <w:p>
      <w:pPr>
        <w:spacing w:line="3638" w:lineRule="exact"/>
        <w:ind w:left="2636"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3231487" cy="2310383"/>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7" cstate="print"/>
                    <a:stretch>
                      <a:fillRect/>
                    </a:stretch>
                  </pic:blipFill>
                  <pic:spPr>
                    <a:xfrm>
                      <a:off x="0" y="0"/>
                      <a:ext cx="3231487" cy="2310383"/>
                    </a:xfrm>
                    <a:prstGeom prst="rect">
                      <a:avLst/>
                    </a:prstGeom>
                  </pic:spPr>
                </pic:pic>
              </a:graphicData>
            </a:graphic>
          </wp:inline>
        </w:drawing>
      </w:r>
      <w:r>
        <w:rPr>
          <w:rFonts w:ascii="宋体" w:hAnsi="宋体" w:cs="宋体" w:eastAsia="宋体" w:hint="default"/>
          <w:position w:val="-72"/>
          <w:sz w:val="20"/>
          <w:szCs w:val="20"/>
        </w:rPr>
      </w:r>
    </w:p>
    <w:p>
      <w:pPr>
        <w:pStyle w:val="BodyText"/>
        <w:spacing w:line="240" w:lineRule="auto" w:before="104"/>
        <w:ind w:left="572" w:right="147"/>
        <w:jc w:val="left"/>
      </w:pPr>
      <w:r>
        <w:rPr>
          <w:rFonts w:ascii="宋体" w:hAnsi="宋体" w:cs="宋体" w:eastAsia="宋体" w:hint="default"/>
        </w:rPr>
        <w:t>2</w:t>
      </w:r>
      <w:r>
        <w:rPr/>
        <w:t>、员工教育程度</w:t>
      </w:r>
    </w:p>
    <w:p>
      <w:pPr>
        <w:spacing w:line="240" w:lineRule="auto" w:before="5"/>
        <w:rPr>
          <w:rFonts w:ascii="宋体" w:hAnsi="宋体" w:cs="宋体" w:eastAsia="宋体" w:hint="default"/>
          <w:sz w:val="12"/>
          <w:szCs w:val="12"/>
        </w:rPr>
      </w:pPr>
    </w:p>
    <w:p>
      <w:pPr>
        <w:spacing w:line="3638" w:lineRule="exact"/>
        <w:ind w:left="2644"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3220812" cy="2310383"/>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8" cstate="print"/>
                    <a:stretch>
                      <a:fillRect/>
                    </a:stretch>
                  </pic:blipFill>
                  <pic:spPr>
                    <a:xfrm>
                      <a:off x="0" y="0"/>
                      <a:ext cx="3220812" cy="2310383"/>
                    </a:xfrm>
                    <a:prstGeom prst="rect">
                      <a:avLst/>
                    </a:prstGeom>
                  </pic:spPr>
                </pic:pic>
              </a:graphicData>
            </a:graphic>
          </wp:inline>
        </w:drawing>
      </w:r>
      <w:r>
        <w:rPr>
          <w:rFonts w:ascii="宋体" w:hAnsi="宋体" w:cs="宋体" w:eastAsia="宋体" w:hint="default"/>
          <w:position w:val="-72"/>
          <w:sz w:val="20"/>
          <w:szCs w:val="20"/>
        </w:rPr>
      </w:r>
    </w:p>
    <w:p>
      <w:pPr>
        <w:pStyle w:val="BodyText"/>
        <w:spacing w:line="360" w:lineRule="auto" w:before="99"/>
        <w:ind w:left="572" w:right="147"/>
        <w:jc w:val="left"/>
      </w:pPr>
      <w:r>
        <w:rPr/>
        <w:t>（三）员工薪酬政策 公司严格按照《中华人民共和国劳动合同法》和有关劳动法律法规的规定，向员工提供稳定而具有竞争力的薪酬，以</w:t>
      </w:r>
    </w:p>
    <w:p>
      <w:pPr>
        <w:pStyle w:val="BodyText"/>
        <w:spacing w:line="222" w:lineRule="exact"/>
        <w:ind w:right="147"/>
        <w:jc w:val="left"/>
      </w:pPr>
      <w:r>
        <w:rPr/>
        <w:t>充分调动员工的积极性和创造性。</w:t>
      </w:r>
    </w:p>
    <w:p>
      <w:pPr>
        <w:pStyle w:val="BodyText"/>
        <w:spacing w:line="357" w:lineRule="auto" w:before="117"/>
        <w:ind w:left="572" w:right="147"/>
        <w:jc w:val="left"/>
      </w:pPr>
      <w:r>
        <w:rPr/>
        <w:t>（四）培训计划 公司非常注重员工的培训工作，积极寻求各种培训资源和渠道，搭建完善的培训体系，包括新员工入职培训、在职人</w:t>
      </w:r>
    </w:p>
    <w:p>
      <w:pPr>
        <w:pStyle w:val="BodyText"/>
        <w:spacing w:line="224" w:lineRule="exact"/>
        <w:ind w:right="0"/>
        <w:jc w:val="left"/>
      </w:pPr>
      <w:r>
        <w:rPr/>
        <w:t>员业务培训、管理者提升培训、普法培训、安全培训等。通过培训提高业务能力和管理水平，既能促进公司整体战略目标的</w:t>
      </w:r>
    </w:p>
    <w:p>
      <w:pPr>
        <w:pStyle w:val="BodyText"/>
        <w:spacing w:line="240" w:lineRule="auto" w:before="76"/>
        <w:ind w:right="147"/>
        <w:jc w:val="left"/>
      </w:pPr>
      <w:r>
        <w:rPr/>
        <w:t>实施，又能满足员工个人能力和职业发展的需求，实现企业和员工的双赢。</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750" w:right="4390"/>
        <w:jc w:val="center"/>
        <w:rPr>
          <w:b w:val="0"/>
          <w:bCs w:val="0"/>
        </w:rPr>
      </w:pPr>
      <w:bookmarkStart w:name="第八节 公司治理" w:id="112"/>
      <w:bookmarkEnd w:id="112"/>
      <w:r>
        <w:rPr>
          <w:b w:val="0"/>
          <w:bCs w:val="0"/>
        </w:rPr>
      </w:r>
      <w:bookmarkStart w:name="_bookmark7" w:id="113"/>
      <w:bookmarkEnd w:id="113"/>
      <w:r>
        <w:rPr>
          <w:b w:val="0"/>
          <w:bCs w:val="0"/>
        </w:rPr>
      </w:r>
      <w:r>
        <w:rPr/>
        <w:t>第八节</w:t>
      </w:r>
      <w:r>
        <w:rPr>
          <w:spacing w:val="-4"/>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w:t>
      </w:r>
      <w:bookmarkStart w:name="一、公司治理的基本状况" w:id="114"/>
      <w:bookmarkEnd w:id="114"/>
      <w:r>
        <w:rPr/>
        <w:t>的</w:t>
      </w:r>
      <w:r>
        <w:rPr/>
        <w:t>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790" w:firstLine="419"/>
        <w:jc w:val="both"/>
      </w:pPr>
      <w:r>
        <w:rPr/>
        <w:t>报告期内，公司严格按照《公司法》、《证券法》、《上市公司治理准则》、《深圳证券交易所上市规则》、《深圳 </w:t>
      </w:r>
      <w:r>
        <w:rPr>
          <w:spacing w:val="-2"/>
        </w:rPr>
        <w:t>证券交易所中小板上市公司规范运作指引》等法律、行政法规、部门规章、规范性文件的要求，完善公司治理机构，建立健</w:t>
      </w:r>
      <w:r>
        <w:rPr>
          <w:spacing w:val="-67"/>
        </w:rPr>
        <w:t> </w:t>
      </w:r>
      <w:r>
        <w:rPr>
          <w:spacing w:val="-67"/>
        </w:rPr>
      </w:r>
      <w:r>
        <w:rPr/>
        <w:t>全内部管理和控制制度，不断提高公司的治理水平。</w:t>
      </w:r>
    </w:p>
    <w:p>
      <w:pPr>
        <w:pStyle w:val="BodyText"/>
        <w:spacing w:line="316" w:lineRule="auto" w:before="57"/>
        <w:ind w:right="0" w:firstLine="419"/>
        <w:jc w:val="left"/>
      </w:pPr>
      <w:r>
        <w:rPr/>
        <w:t>公司建立完善了以股东大会为最高权力机构、董事会为决策机构、董事会专业委员会为决策支持机构、监事会为监督 </w:t>
      </w:r>
      <w:r>
        <w:rPr>
          <w:spacing w:val="-2"/>
        </w:rPr>
        <w:t>机构、经理层及各子公司为执行机构的治理结构，完善了公司《章程》、《公司股东大会议事规则》、《公司董事会议事规</w:t>
      </w:r>
      <w:r>
        <w:rPr>
          <w:spacing w:val="-68"/>
        </w:rPr>
        <w:t> </w:t>
      </w:r>
      <w:r>
        <w:rPr>
          <w:spacing w:val="-68"/>
        </w:rPr>
      </w:r>
      <w:r>
        <w:rPr>
          <w:spacing w:val="-4"/>
        </w:rPr>
        <w:t>则》、《公司监事会议事规则》、《公司总裁工作细则》及各专业委员会工作细则等基本管理制度。公司股东大会、董事会、</w:t>
      </w:r>
      <w:r>
        <w:rPr>
          <w:spacing w:val="-48"/>
        </w:rPr>
        <w:t> </w:t>
      </w:r>
      <w:r>
        <w:rPr>
          <w:spacing w:val="-48"/>
        </w:rPr>
      </w:r>
      <w:r>
        <w:rPr>
          <w:spacing w:val="-2"/>
        </w:rPr>
        <w:t>监事会和经营管理层责权分明、各司其职、有效制衡、科学决策、协调运营，为公司持续、稳定、健康地发展奠定了坚实的</w:t>
      </w:r>
      <w:r>
        <w:rPr>
          <w:spacing w:val="-73"/>
        </w:rPr>
        <w:t> </w:t>
      </w:r>
      <w:r>
        <w:rPr>
          <w:spacing w:val="-73"/>
        </w:rPr>
      </w:r>
      <w:r>
        <w:rPr>
          <w:spacing w:val="-4"/>
        </w:rPr>
        <w:t>基础。截至报告期末，公司治理的实际状况符合前述法律、行政法规、部门规章、规范性文件关于上市公司治理的相关要求。</w:t>
      </w:r>
    </w:p>
    <w:p>
      <w:pPr>
        <w:pStyle w:val="BodyText"/>
        <w:spacing w:line="316" w:lineRule="auto" w:before="59"/>
        <w:ind w:left="153" w:right="796" w:firstLine="419"/>
        <w:jc w:val="left"/>
      </w:pPr>
      <w:r>
        <w:rPr/>
        <w:t>报告期内，公司修订了《公司章程》，制定了《公司新媒体登记监控制度》、《公司分红政策及未来三年股东回报规 划（</w:t>
      </w:r>
      <w:r>
        <w:rPr>
          <w:rFonts w:ascii="宋体" w:hAnsi="宋体" w:cs="宋体" w:eastAsia="宋体" w:hint="default"/>
        </w:rPr>
        <w:t>2012-2014</w:t>
      </w:r>
      <w:r>
        <w:rPr/>
        <w:t>）》，进一步完善了公司信息披露管理工作。披露情况如下：</w:t>
      </w:r>
    </w:p>
    <w:p>
      <w:pPr>
        <w:spacing w:line="240" w:lineRule="auto" w:before="13"/>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689"/>
        <w:gridCol w:w="2146"/>
        <w:gridCol w:w="1423"/>
        <w:gridCol w:w="6050"/>
      </w:tblGrid>
      <w:tr>
        <w:trPr>
          <w:trHeight w:val="346" w:hRule="exact"/>
        </w:trPr>
        <w:tc>
          <w:tcPr>
            <w:tcW w:w="689"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4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423"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披露时间</w:t>
            </w:r>
          </w:p>
        </w:tc>
        <w:tc>
          <w:tcPr>
            <w:tcW w:w="6050"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索引</w:t>
            </w:r>
          </w:p>
        </w:tc>
      </w:tr>
      <w:tr>
        <w:trPr>
          <w:trHeight w:val="348" w:hRule="exact"/>
        </w:trPr>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公司新媒体登记监控制度</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6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9">
              <w:r>
                <w:rPr>
                  <w:rFonts w:ascii="Times New Roman" w:hAnsi="Times New Roman" w:cs="Times New Roman" w:eastAsia="Times New Roman" w:hint="default"/>
                  <w:sz w:val="18"/>
                  <w:szCs w:val="18"/>
                </w:rPr>
                <w:t>http://www.cninfo.com.cn/finalpage/2012-04-06/60786398.PDF</w:t>
              </w:r>
            </w:hyperlink>
          </w:p>
        </w:tc>
      </w:tr>
      <w:tr>
        <w:trPr>
          <w:trHeight w:val="348" w:hRule="exact"/>
        </w:trPr>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6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20">
              <w:r>
                <w:rPr>
                  <w:rFonts w:ascii="Times New Roman" w:hAnsi="Times New Roman" w:cs="Times New Roman" w:eastAsia="Times New Roman" w:hint="default"/>
                  <w:sz w:val="18"/>
                  <w:szCs w:val="18"/>
                </w:rPr>
                <w:t>http://www.cninfo.com.cn/finalpage/2012-04-23/60870071.PDF</w:t>
              </w:r>
            </w:hyperlink>
          </w:p>
        </w:tc>
      </w:tr>
      <w:tr>
        <w:trPr>
          <w:trHeight w:val="658" w:hRule="exact"/>
        </w:trPr>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86"/>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公司分红政策及未来三年 股东回报规划（</w:t>
            </w:r>
            <w:r>
              <w:rPr>
                <w:rFonts w:ascii="Times New Roman" w:hAnsi="Times New Roman" w:cs="Times New Roman" w:eastAsia="Times New Roman" w:hint="default"/>
                <w:sz w:val="18"/>
                <w:szCs w:val="18"/>
              </w:rPr>
              <w:t>2012-2014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w:t>
            </w:r>
          </w:p>
        </w:tc>
        <w:tc>
          <w:tcPr>
            <w:tcW w:w="6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21">
              <w:r>
                <w:rPr>
                  <w:rFonts w:ascii="Times New Roman" w:hAnsi="Times New Roman" w:cs="Times New Roman" w:eastAsia="Times New Roman" w:hint="default"/>
                  <w:sz w:val="18"/>
                  <w:szCs w:val="18"/>
                </w:rPr>
                <w:t>http://www.cninfo.com.cn/finalpage/2012-06-09/61114183.PDF</w:t>
              </w:r>
            </w:hyperlink>
          </w:p>
        </w:tc>
      </w:tr>
      <w:tr>
        <w:trPr>
          <w:trHeight w:val="348" w:hRule="exact"/>
        </w:trPr>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4</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6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22">
              <w:r>
                <w:rPr>
                  <w:rFonts w:ascii="Times New Roman" w:hAnsi="Times New Roman" w:cs="Times New Roman" w:eastAsia="Times New Roman" w:hint="default"/>
                  <w:sz w:val="18"/>
                  <w:szCs w:val="18"/>
                </w:rPr>
                <w:t>http://www.cninfo.com.cn/finalpage/2012-06-09/61114182.PDF</w:t>
              </w:r>
            </w:hyperlink>
          </w:p>
        </w:tc>
      </w:tr>
    </w:tbl>
    <w:p>
      <w:pPr>
        <w:pStyle w:val="BodyText"/>
        <w:spacing w:line="357" w:lineRule="auto" w:before="49"/>
        <w:ind w:left="572" w:right="0"/>
        <w:jc w:val="left"/>
      </w:pPr>
      <w:r>
        <w:rPr/>
        <w:t>（一）关于股东和股东大会 报告期内，公司严格按照《上市公司股东大会规则》和《公司章程》、《公司股东大会议事规则》等规则的规定和要</w:t>
      </w:r>
    </w:p>
    <w:p>
      <w:pPr>
        <w:pStyle w:val="BodyText"/>
        <w:spacing w:line="224" w:lineRule="exact"/>
        <w:ind w:right="0"/>
        <w:jc w:val="left"/>
      </w:pPr>
      <w:r>
        <w:rPr/>
        <w:t>求，召集、召开股东大会，能够确保全体股东特别是中小股东享有平等地位，充分行使自己的权力。报告期内的股东大会均</w:t>
      </w:r>
    </w:p>
    <w:p>
      <w:pPr>
        <w:pStyle w:val="BodyText"/>
        <w:spacing w:line="316" w:lineRule="auto" w:before="76"/>
        <w:ind w:right="0"/>
        <w:jc w:val="left"/>
      </w:pPr>
      <w:r>
        <w:rPr>
          <w:spacing w:val="-2"/>
        </w:rPr>
        <w:t>由董事会召集召开，并聘请律师进行现场见证，根据相关法律、行政法规、部门规章、规范性文件及公司章程等规定应由股</w:t>
      </w:r>
      <w:r>
        <w:rPr>
          <w:spacing w:val="-65"/>
        </w:rPr>
        <w:t> </w:t>
      </w:r>
      <w:r>
        <w:rPr>
          <w:spacing w:val="-65"/>
        </w:rPr>
      </w:r>
      <w:r>
        <w:rPr/>
        <w:t>东大会表决的事项均按照相应的权限审批后交由股东大会审议，不存在越权审批或先实施后审议的情况。</w:t>
      </w:r>
    </w:p>
    <w:p>
      <w:pPr>
        <w:pStyle w:val="BodyText"/>
        <w:spacing w:line="360" w:lineRule="auto" w:before="59"/>
        <w:ind w:left="572" w:right="0"/>
        <w:jc w:val="left"/>
      </w:pPr>
      <w:r>
        <w:rPr/>
        <w:t>（二）关于公司与控股股东 公司控股股东行为规范，能依法行使其权利，并承担相应义务，没有超越公司股东大会直接或间接干预公司决策和经</w:t>
      </w:r>
    </w:p>
    <w:p>
      <w:pPr>
        <w:pStyle w:val="BodyText"/>
        <w:spacing w:line="222" w:lineRule="exact"/>
        <w:ind w:right="0"/>
        <w:jc w:val="left"/>
      </w:pPr>
      <w:r>
        <w:rPr/>
        <w:t>营活动的情况发生。公司在业务、人员、资产、机构、财务等方面与控股股东相互独立，公司具有独立完整的业务及自主经</w:t>
      </w:r>
    </w:p>
    <w:p>
      <w:pPr>
        <w:pStyle w:val="BodyText"/>
        <w:spacing w:line="240" w:lineRule="auto" w:before="76"/>
        <w:ind w:right="0"/>
        <w:jc w:val="left"/>
      </w:pPr>
      <w:r>
        <w:rPr/>
        <w:t>营能力。公司与控股股东之间发生的关联交易定价公平合理，在审议关联交易事项时，关联股东回避表决。</w:t>
      </w:r>
    </w:p>
    <w:p>
      <w:pPr>
        <w:pStyle w:val="BodyText"/>
        <w:spacing w:line="360" w:lineRule="auto" w:before="115"/>
        <w:ind w:left="572" w:right="0"/>
        <w:jc w:val="left"/>
      </w:pPr>
      <w:r>
        <w:rPr/>
        <w:t>（三）关于董事与董事会 公司董事会由九名董事组成，其中独立董事三名，董事会的人数、构成及选聘程序均符合法律、法规和《公司章程》</w:t>
      </w:r>
    </w:p>
    <w:p>
      <w:pPr>
        <w:pStyle w:val="BodyText"/>
        <w:spacing w:line="222" w:lineRule="exact"/>
        <w:ind w:right="0"/>
        <w:jc w:val="left"/>
      </w:pPr>
      <w:r>
        <w:rPr/>
        <w:t>的规定。报告期内，公司全体董事能积极严格按照《公司法》、《公司章程》、《公司董事会议事规则》和《公司独立董事</w:t>
      </w:r>
    </w:p>
    <w:p>
      <w:pPr>
        <w:pStyle w:val="BodyText"/>
        <w:spacing w:line="316" w:lineRule="auto" w:before="76"/>
        <w:ind w:right="694"/>
        <w:jc w:val="left"/>
      </w:pPr>
      <w:r>
        <w:rPr>
          <w:spacing w:val="-2"/>
        </w:rPr>
        <w:t>工作制度》等有关规定及相关工作规程开展工作和履行职责，认真出席董事会和股东大会，积极参加对相关知识的培训，熟</w:t>
      </w:r>
      <w:r>
        <w:rPr>
          <w:spacing w:val="-64"/>
        </w:rPr>
        <w:t> </w:t>
      </w:r>
      <w:r>
        <w:rPr>
          <w:spacing w:val="-64"/>
        </w:rPr>
      </w:r>
      <w:r>
        <w:rPr/>
        <w:t>悉并掌握有关法律、法规。为进一步完善公司治理结构，公司董事会根据《上市公司治理准则》成立了战略、提名、审计、 薪酬与考核等四个专业委员会，为董事会的决策提供了科学和专业的意见。</w:t>
      </w:r>
    </w:p>
    <w:p>
      <w:pPr>
        <w:pStyle w:val="BodyText"/>
        <w:spacing w:line="357" w:lineRule="auto" w:before="59"/>
        <w:ind w:left="572" w:right="0"/>
        <w:jc w:val="left"/>
      </w:pPr>
      <w:r>
        <w:rPr/>
        <w:t>（四）关于监事与监事会 公司监事会由三名监事组成，其中一名为职工代表监事，监事会人数、构成及选聘程序均符合法律、法规和《公司章</w:t>
      </w:r>
    </w:p>
    <w:p>
      <w:pPr>
        <w:pStyle w:val="BodyText"/>
        <w:spacing w:line="224" w:lineRule="exact"/>
        <w:ind w:right="0"/>
        <w:jc w:val="left"/>
      </w:pPr>
      <w:r>
        <w:rPr/>
        <w:t>程》的规定。公司监事能认真履行职责，诚信、勤勉、尽责地对公司财务以及董事、高级管理人员履行职责的合法、合规性</w:t>
      </w:r>
    </w:p>
    <w:p>
      <w:pPr>
        <w:pStyle w:val="BodyText"/>
        <w:spacing w:line="316" w:lineRule="auto" w:before="76"/>
        <w:ind w:right="0"/>
        <w:jc w:val="left"/>
      </w:pPr>
      <w:r>
        <w:rPr>
          <w:spacing w:val="-2"/>
        </w:rPr>
        <w:t>进行监督，维护公司及股东的合法权益。监事会会议的召集、召开和表决程序符合《公司法》、《公司章程》和《公司监事</w:t>
      </w:r>
      <w:r>
        <w:rPr>
          <w:spacing w:val="-70"/>
        </w:rPr>
        <w:t> </w:t>
      </w:r>
      <w:r>
        <w:rPr>
          <w:spacing w:val="-70"/>
        </w:rPr>
      </w:r>
      <w:r>
        <w:rPr/>
        <w:t>会议事规则》的规定。</w:t>
      </w:r>
    </w:p>
    <w:p>
      <w:pPr>
        <w:spacing w:after="0" w:line="316" w:lineRule="auto"/>
        <w:jc w:val="left"/>
        <w:sectPr>
          <w:pgSz w:w="11910" w:h="16840"/>
          <w:pgMar w:header="745" w:footer="982" w:top="1060" w:bottom="1180" w:left="980" w:right="340"/>
        </w:sectPr>
      </w:pPr>
    </w:p>
    <w:p>
      <w:pPr>
        <w:spacing w:line="240" w:lineRule="auto" w:before="9"/>
        <w:rPr>
          <w:rFonts w:ascii="宋体" w:hAnsi="宋体" w:cs="宋体" w:eastAsia="宋体" w:hint="default"/>
          <w:sz w:val="25"/>
          <w:szCs w:val="25"/>
        </w:rPr>
      </w:pPr>
      <w:r>
        <w:rPr/>
        <w:pict>
          <v:group style="position:absolute;margin-left:377.040009pt;margin-top:659.880005pt;width:76.8pt;height:19.7pt;mso-position-horizontal-relative:page;mso-position-vertical-relative:page;z-index:-749368" coordorigin="7541,13198" coordsize="1536,394">
            <v:shape style="position:absolute;left:7541;top:13198;width:1536;height:394" coordorigin="7541,13198" coordsize="1536,394" path="m7541,13591l9077,13591,9077,13198,7541,13198,7541,13591xe" filled="true" fillcolor="#ffffff" stroked="false">
              <v:path arrowok="t"/>
              <v:fill type="solid"/>
            </v:shape>
            <w10:wrap type="none"/>
          </v:group>
        </w:pict>
      </w:r>
    </w:p>
    <w:p>
      <w:pPr>
        <w:pStyle w:val="BodyText"/>
        <w:spacing w:line="360" w:lineRule="auto" w:before="44"/>
        <w:ind w:left="572" w:right="0"/>
        <w:jc w:val="left"/>
      </w:pPr>
      <w:r>
        <w:rPr/>
        <w:t>（五）关于相关利益者 公司充分尊重和维护相关利益者的合法权益，在企业创造利润最大化的同时，实现社会、股东、员工等各方利益的协</w:t>
      </w:r>
    </w:p>
    <w:p>
      <w:pPr>
        <w:pStyle w:val="BodyText"/>
        <w:spacing w:line="222" w:lineRule="exact"/>
        <w:ind w:right="0"/>
        <w:jc w:val="left"/>
      </w:pPr>
      <w:r>
        <w:rPr/>
        <w:t>调平衡，共同推动公司持续、稳健发展。</w:t>
      </w:r>
    </w:p>
    <w:p>
      <w:pPr>
        <w:pStyle w:val="BodyText"/>
        <w:spacing w:line="360" w:lineRule="auto" w:before="115"/>
        <w:ind w:left="572" w:right="0"/>
        <w:jc w:val="left"/>
      </w:pPr>
      <w:r>
        <w:rPr/>
        <w:t>（六）关于信息披露与透明度 </w:t>
      </w:r>
      <w:r>
        <w:rPr>
          <w:spacing w:val="-2"/>
        </w:rPr>
        <w:t>公司严格按照有关法律、行政法规、部门规章、规范性文件及《公司章程》、《公司信息披露管理制度》等有关规定，</w:t>
      </w:r>
    </w:p>
    <w:p>
      <w:pPr>
        <w:pStyle w:val="BodyText"/>
        <w:spacing w:line="222" w:lineRule="exact"/>
        <w:ind w:right="0"/>
        <w:jc w:val="left"/>
      </w:pPr>
      <w:r>
        <w:rPr/>
        <w:t>加强信息披露事务管理，履行信息披露义务，并指定《证券时报》、《证券日报》、《中国证券报》、《上海证券报》和巨</w:t>
      </w:r>
    </w:p>
    <w:p>
      <w:pPr>
        <w:pStyle w:val="BodyText"/>
        <w:spacing w:line="316" w:lineRule="auto" w:before="76"/>
        <w:ind w:right="0"/>
        <w:jc w:val="left"/>
      </w:pPr>
      <w:r>
        <w:rPr>
          <w:spacing w:val="-5"/>
        </w:rPr>
        <w:t>潮资讯网（</w:t>
      </w:r>
      <w:hyperlink r:id="rId13">
        <w:r>
          <w:rPr>
            <w:rFonts w:ascii="宋体" w:hAnsi="宋体" w:cs="宋体" w:eastAsia="宋体" w:hint="default"/>
            <w:spacing w:val="-5"/>
          </w:rPr>
          <w:t>http://www.cninfo.com.cn</w:t>
        </w:r>
      </w:hyperlink>
      <w:r>
        <w:rPr>
          <w:spacing w:val="-5"/>
        </w:rPr>
        <w:t>）为公司信息披露的报纸和网站，真实、准确、完整、及时地披露信息，同时依据《公</w:t>
      </w:r>
      <w:r>
        <w:rPr>
          <w:spacing w:val="-34"/>
        </w:rPr>
        <w:t> </w:t>
      </w:r>
      <w:r>
        <w:rPr>
          <w:spacing w:val="-34"/>
        </w:rPr>
      </w:r>
      <w:r>
        <w:rPr/>
        <w:t>司投资者关系管理制度》接待投资者来访和咨询，确保所有投资者能公平地获取公司信息。</w:t>
      </w:r>
    </w:p>
    <w:p>
      <w:pPr>
        <w:pStyle w:val="BodyText"/>
        <w:spacing w:line="357" w:lineRule="auto" w:before="59"/>
        <w:ind w:left="572" w:right="0"/>
        <w:jc w:val="left"/>
      </w:pPr>
      <w:r>
        <w:rPr/>
        <w:t>（七）关于内部审计 公司内部审计部是公司内部控制的主要部门，在审计委员会的领导下对公司及子公司的经济运行质量、内控的制度和</w:t>
      </w:r>
    </w:p>
    <w:p>
      <w:pPr>
        <w:pStyle w:val="BodyText"/>
        <w:spacing w:line="224" w:lineRule="exact"/>
        <w:ind w:right="0"/>
        <w:jc w:val="left"/>
      </w:pPr>
      <w:r>
        <w:rPr/>
        <w:t>执行、各项费用的使用以及资产情况进行审计和监督。依据相关的法律法规及《公司章程》、《公司内部审计制度》对公司</w:t>
      </w:r>
    </w:p>
    <w:p>
      <w:pPr>
        <w:pStyle w:val="BodyText"/>
        <w:spacing w:line="240" w:lineRule="auto" w:before="76"/>
        <w:ind w:right="0"/>
        <w:jc w:val="left"/>
      </w:pPr>
      <w:r>
        <w:rPr/>
        <w:t>日常运行进行内部审计，实施有效内部控制。</w:t>
      </w:r>
    </w:p>
    <w:p>
      <w:pPr>
        <w:pStyle w:val="BodyText"/>
        <w:spacing w:line="360" w:lineRule="auto" w:before="117"/>
        <w:ind w:left="572" w:right="0"/>
        <w:jc w:val="left"/>
      </w:pPr>
      <w:r>
        <w:rPr/>
        <w:t>（八）关于公司与投资者 公司董事会秘书为投资者关系管理负责人，组织实施投资者关系的日常管理工作。报告期内，公司通过年度报告网上</w:t>
      </w:r>
    </w:p>
    <w:p>
      <w:pPr>
        <w:pStyle w:val="BodyText"/>
        <w:spacing w:line="222" w:lineRule="exact"/>
        <w:ind w:right="0"/>
        <w:jc w:val="left"/>
      </w:pPr>
      <w:r>
        <w:rPr/>
        <w:t>说明会、电话、接待投资者现场调研等方式，加强与投资者的沟通。</w:t>
      </w:r>
    </w:p>
    <w:p>
      <w:pPr>
        <w:pStyle w:val="BodyText"/>
        <w:spacing w:line="240" w:lineRule="auto" w:before="115"/>
        <w:ind w:right="0"/>
        <w:jc w:val="left"/>
      </w:pPr>
      <w:r>
        <w:rPr/>
        <w:t>公司治理与《公司法》和中国证监会相关规定的要求是否存在差异</w:t>
      </w:r>
    </w:p>
    <w:p>
      <w:pPr>
        <w:pStyle w:val="BodyText"/>
        <w:spacing w:line="340" w:lineRule="auto" w:before="117"/>
        <w:ind w:left="153" w:right="459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公司治理与《公司法》和中国证监会相关规定的要求不存在差异。</w:t>
      </w:r>
    </w:p>
    <w:p>
      <w:pPr>
        <w:pStyle w:val="BodyText"/>
        <w:spacing w:line="360" w:lineRule="auto" w:before="39"/>
        <w:ind w:left="515" w:right="195" w:hanging="363"/>
        <w:jc w:val="left"/>
      </w:pPr>
      <w:r>
        <w:rPr/>
        <w:t>公司治理专项活动开展情况以及内幕信息知情人登记管理制度的制定、实施情况 </w:t>
      </w:r>
      <w:r>
        <w:rPr>
          <w:spacing w:val="-2"/>
        </w:rPr>
        <w:t>报告期内，公司能够按照证监会《关于上市公司建立内幕信息知情人登记管理制度的规定》、深交所《中小企业板信息</w:t>
      </w:r>
    </w:p>
    <w:p>
      <w:pPr>
        <w:pStyle w:val="BodyText"/>
        <w:spacing w:line="236" w:lineRule="exact"/>
        <w:ind w:left="153" w:right="0"/>
        <w:jc w:val="left"/>
      </w:pPr>
      <w:r>
        <w:rPr/>
        <w:t>披露业务备忘录第</w:t>
      </w:r>
      <w:r>
        <w:rPr>
          <w:spacing w:val="-59"/>
        </w:rPr>
        <w:t> </w:t>
      </w:r>
      <w:r>
        <w:rPr>
          <w:rFonts w:ascii="Times New Roman" w:hAnsi="Times New Roman" w:cs="Times New Roman" w:eastAsia="Times New Roman" w:hint="default"/>
        </w:rPr>
        <w:t>24</w:t>
      </w:r>
      <w:r>
        <w:rPr>
          <w:rFonts w:ascii="Times New Roman" w:hAnsi="Times New Roman" w:cs="Times New Roman" w:eastAsia="Times New Roman" w:hint="default"/>
          <w:spacing w:val="17"/>
        </w:rPr>
        <w:t> </w:t>
      </w:r>
      <w:r>
        <w:rPr/>
        <w:t>号：内幕信息知情人报备相关事项》以及公司《内幕信息知情人登记管理制度》和《内幕信息知情人</w:t>
      </w:r>
    </w:p>
    <w:p>
      <w:pPr>
        <w:pStyle w:val="BodyText"/>
        <w:spacing w:line="312" w:lineRule="auto" w:before="62"/>
        <w:ind w:left="153" w:right="93"/>
        <w:jc w:val="left"/>
      </w:pPr>
      <w:r>
        <w:rPr/>
        <w:t>报备制度》的要求，做好内幕信息管理以及内幕信息知情人登记工作，能够如实、完整记录内幕信息在公开披露前的报告、 </w:t>
      </w:r>
      <w:r>
        <w:rPr>
          <w:spacing w:val="-2"/>
        </w:rPr>
        <w:t>传递、编制、审核、披露等各环节所有内幕信息知情人名单，并及时报备监管部门。各定期报告披露期间，公司对董事、监</w:t>
      </w:r>
      <w:r>
        <w:rPr>
          <w:spacing w:val="-73"/>
        </w:rPr>
        <w:t> </w:t>
      </w:r>
      <w:r>
        <w:rPr>
          <w:spacing w:val="-73"/>
        </w:rPr>
      </w:r>
      <w:r>
        <w:rPr/>
        <w:t>事、高级管理人员及其他内幕信息知情人员在定期报告公告前</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spacing w:val="-4"/>
        </w:rPr>
        <w:t>日内、业绩预告和业绩快报公告前</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日内以及其他重大事 项披露期间等敏感期内买卖公司股票的情况进行自查，没有发现相关人员利用内幕信息。</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666"/>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7" w:right="0"/>
              <w:jc w:val="left"/>
              <w:rPr>
                <w:rFonts w:ascii="宋体" w:hAnsi="宋体" w:cs="宋体" w:eastAsia="宋体" w:hint="default"/>
                <w:sz w:val="18"/>
                <w:szCs w:val="18"/>
              </w:rPr>
            </w:pPr>
            <w:bookmarkStart w:name="二、报告期内召开的年度股东大会和临时股东大会的有关情况" w:id="115"/>
            <w:bookmarkEnd w:id="115"/>
            <w:r>
              <w:rPr/>
            </w:r>
            <w:r>
              <w:rPr>
                <w:rFonts w:ascii="宋体" w:hAnsi="宋体" w:cs="宋体" w:eastAsia="宋体" w:hint="default"/>
                <w:sz w:val="18"/>
                <w:szCs w:val="18"/>
              </w:rPr>
              <w:t>披露索引</w:t>
            </w:r>
          </w:p>
        </w:tc>
      </w:tr>
      <w:tr>
        <w:trPr>
          <w:trHeight w:val="348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300" w:lineRule="auto"/>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年度董事会工作报 </w:t>
            </w:r>
            <w:r>
              <w:rPr>
                <w:rFonts w:ascii="宋体" w:hAnsi="宋体" w:cs="宋体" w:eastAsia="宋体" w:hint="default"/>
                <w:spacing w:val="-19"/>
                <w:sz w:val="18"/>
                <w:szCs w:val="18"/>
              </w:rPr>
              <w:t>告</w:t>
            </w:r>
            <w:r>
              <w:rPr>
                <w:rFonts w:ascii="Times New Roman" w:hAnsi="Times New Roman" w:cs="Times New Roman" w:eastAsia="Times New Roman" w:hint="default"/>
                <w:spacing w:val="-19"/>
                <w:sz w:val="18"/>
                <w:szCs w:val="18"/>
              </w:rPr>
              <w:t>&gt;</w:t>
            </w:r>
            <w:r>
              <w:rPr>
                <w:rFonts w:ascii="宋体" w:hAnsi="宋体" w:cs="宋体" w:eastAsia="宋体" w:hint="default"/>
                <w:spacing w:val="-19"/>
                <w:sz w:val="18"/>
                <w:szCs w:val="18"/>
              </w:rPr>
              <w:t>的议案》、《关于</w:t>
            </w:r>
          </w:p>
          <w:p>
            <w:pPr>
              <w:pStyle w:val="TableParagraph"/>
              <w:spacing w:line="300" w:lineRule="auto" w:before="7"/>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 事会工作报告</w:t>
            </w:r>
            <w:r>
              <w:rPr>
                <w:rFonts w:ascii="Times New Roman" w:hAnsi="Times New Roman" w:cs="Times New Roman" w:eastAsia="Times New Roman" w:hint="default"/>
                <w:sz w:val="18"/>
                <w:szCs w:val="18"/>
              </w:rPr>
              <w:t>&gt;</w:t>
            </w:r>
            <w:r>
              <w:rPr>
                <w:rFonts w:ascii="宋体" w:hAnsi="宋体" w:cs="宋体" w:eastAsia="宋体" w:hint="default"/>
                <w:sz w:val="18"/>
                <w:szCs w:val="18"/>
              </w:rPr>
              <w:t>的 </w:t>
            </w:r>
            <w:r>
              <w:rPr>
                <w:rFonts w:ascii="宋体" w:hAnsi="宋体" w:cs="宋体" w:eastAsia="宋体" w:hint="default"/>
                <w:spacing w:val="-19"/>
                <w:sz w:val="18"/>
                <w:szCs w:val="18"/>
              </w:rPr>
              <w:t>议案》、《关于</w:t>
            </w:r>
            <w:r>
              <w:rPr>
                <w:rFonts w:ascii="Times New Roman" w:hAnsi="Times New Roman" w:cs="Times New Roman" w:eastAsia="Times New Roman" w:hint="default"/>
                <w:spacing w:val="-19"/>
                <w:sz w:val="18"/>
                <w:szCs w:val="18"/>
              </w:rPr>
              <w:t>&lt;</w:t>
            </w:r>
            <w:r>
              <w:rPr>
                <w:rFonts w:ascii="宋体" w:hAnsi="宋体" w:cs="宋体" w:eastAsia="宋体" w:hint="default"/>
                <w:spacing w:val="-19"/>
                <w:sz w:val="18"/>
                <w:szCs w:val="18"/>
              </w:rPr>
              <w:t>公司</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年度财务决算 </w:t>
            </w:r>
            <w:r>
              <w:rPr>
                <w:rFonts w:ascii="宋体" w:hAnsi="宋体" w:cs="宋体" w:eastAsia="宋体" w:hint="default"/>
                <w:spacing w:val="-19"/>
                <w:sz w:val="18"/>
                <w:szCs w:val="18"/>
              </w:rPr>
              <w:t>报告</w:t>
            </w:r>
            <w:r>
              <w:rPr>
                <w:rFonts w:ascii="Times New Roman" w:hAnsi="Times New Roman" w:cs="Times New Roman" w:eastAsia="Times New Roman" w:hint="default"/>
                <w:spacing w:val="-19"/>
                <w:sz w:val="18"/>
                <w:szCs w:val="18"/>
              </w:rPr>
              <w:t>&gt;</w:t>
            </w:r>
            <w:r>
              <w:rPr>
                <w:rFonts w:ascii="宋体" w:hAnsi="宋体" w:cs="宋体" w:eastAsia="宋体" w:hint="default"/>
                <w:spacing w:val="-19"/>
                <w:sz w:val="18"/>
                <w:szCs w:val="18"/>
              </w:rPr>
              <w:t>的议案》、《关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利润分配预案</w:t>
            </w:r>
            <w:r>
              <w:rPr>
                <w:rFonts w:ascii="Times New Roman" w:hAnsi="Times New Roman" w:cs="Times New Roman" w:eastAsia="Times New Roman" w:hint="default"/>
                <w:sz w:val="18"/>
                <w:szCs w:val="18"/>
              </w:rPr>
              <w:t>&gt;</w:t>
            </w:r>
            <w:r>
              <w:rPr>
                <w:rFonts w:ascii="宋体" w:hAnsi="宋体" w:cs="宋体" w:eastAsia="宋体" w:hint="default"/>
                <w:sz w:val="18"/>
                <w:szCs w:val="18"/>
              </w:rPr>
              <w:t>的 </w:t>
            </w:r>
            <w:r>
              <w:rPr>
                <w:rFonts w:ascii="宋体" w:hAnsi="宋体" w:cs="宋体" w:eastAsia="宋体" w:hint="default"/>
                <w:spacing w:val="-19"/>
                <w:sz w:val="18"/>
                <w:szCs w:val="18"/>
              </w:rPr>
              <w:t>议案》、《关于</w:t>
            </w:r>
            <w:r>
              <w:rPr>
                <w:rFonts w:ascii="Times New Roman" w:hAnsi="Times New Roman" w:cs="Times New Roman" w:eastAsia="Times New Roman" w:hint="default"/>
                <w:spacing w:val="-19"/>
                <w:sz w:val="18"/>
                <w:szCs w:val="18"/>
              </w:rPr>
              <w:t>&lt;</w:t>
            </w:r>
            <w:r>
              <w:rPr>
                <w:rFonts w:ascii="宋体" w:hAnsi="宋体" w:cs="宋体" w:eastAsia="宋体" w:hint="default"/>
                <w:spacing w:val="-19"/>
                <w:sz w:val="18"/>
                <w:szCs w:val="18"/>
              </w:rPr>
              <w:t>公司</w:t>
            </w:r>
          </w:p>
        </w:tc>
        <w:tc>
          <w:tcPr>
            <w:tcW w:w="159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3" w:right="-41"/>
              <w:jc w:val="center"/>
              <w:rPr>
                <w:rFonts w:ascii="宋体" w:hAnsi="宋体" w:cs="宋体" w:eastAsia="宋体" w:hint="default"/>
                <w:sz w:val="18"/>
                <w:szCs w:val="18"/>
              </w:rPr>
            </w:pPr>
            <w:r>
              <w:rPr>
                <w:rFonts w:ascii="宋体" w:hAnsi="宋体" w:cs="宋体" w:eastAsia="宋体" w:hint="default"/>
                <w:spacing w:val="-3"/>
                <w:sz w:val="18"/>
                <w:szCs w:val="18"/>
              </w:rPr>
              <w:t>所有议案全部通过。</w:t>
            </w:r>
            <w:r>
              <w:rPr>
                <w:rFonts w:ascii="宋体" w:hAnsi="宋体" w:cs="宋体" w:eastAsia="宋体" w:hint="default"/>
                <w:sz w:val="18"/>
                <w:szCs w:val="18"/>
              </w:rPr>
            </w:r>
          </w:p>
        </w:tc>
        <w:tc>
          <w:tcPr>
            <w:tcW w:w="159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300" w:lineRule="auto"/>
              <w:ind w:left="23" w:right="103"/>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bookmarkStart w:name="1、本报告期年度股东大会情况" w:id="116"/>
            <w:bookmarkEnd w:id="116"/>
            <w:r>
              <w:rPr>
                <w:rFonts w:ascii="Times New Roman" w:hAnsi="Times New Roman" w:cs="Times New Roman" w:eastAsia="Times New Roman" w:hint="default"/>
                <w:spacing w:val="-3"/>
                <w:sz w:val="18"/>
                <w:szCs w:val="18"/>
              </w:rPr>
            </w:r>
            <w:r>
              <w:rPr>
                <w:rFonts w:ascii="宋体" w:hAnsi="宋体" w:cs="宋体" w:eastAsia="宋体" w:hint="default"/>
                <w:sz w:val="18"/>
                <w:szCs w:val="18"/>
              </w:rPr>
              <w:t>年度股 东大会决议公告》</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312" w:lineRule="exact" w:before="37"/>
              <w:ind w:left="23" w:right="3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2012-017</w:t>
            </w:r>
            <w:r>
              <w:rPr>
                <w:rFonts w:ascii="宋体" w:hAnsi="宋体" w:cs="宋体" w:eastAsia="宋体" w:hint="default"/>
                <w:sz w:val="18"/>
                <w:szCs w:val="18"/>
              </w:rPr>
              <w:t>）披露于巨 潮资讯网 </w:t>
            </w:r>
            <w:hyperlink r:id="rId23">
              <w:r>
                <w:rPr>
                  <w:rFonts w:ascii="Times New Roman" w:hAnsi="Times New Roman" w:cs="Times New Roman" w:eastAsia="Times New Roman" w:hint="default"/>
                  <w:sz w:val="18"/>
                  <w:szCs w:val="18"/>
                </w:rPr>
                <w:t>http://www.cninfo.co</w:t>
              </w:r>
            </w:hyperlink>
            <w:r>
              <w:rPr>
                <w:rFonts w:ascii="Times New Roman" w:hAnsi="Times New Roman" w:cs="Times New Roman" w:eastAsia="Times New Roman" w:hint="default"/>
                <w:sz w:val="18"/>
                <w:szCs w:val="18"/>
              </w:rPr>
              <w:t> m.cn/finalpage/2012- 04-13/60822521.PDF</w:t>
            </w:r>
          </w:p>
        </w:tc>
      </w:tr>
    </w:tbl>
    <w:p>
      <w:pPr>
        <w:spacing w:after="0" w:line="312" w:lineRule="exact"/>
        <w:jc w:val="lef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b/>
          <w:bCs/>
          <w:sz w:val="28"/>
          <w:szCs w:val="28"/>
        </w:rPr>
      </w:pPr>
      <w:r>
        <w:rPr/>
        <w:pict>
          <v:group style="position:absolute;margin-left:377.040009pt;margin-top:676.200012pt;width:76.8pt;height:19.6pt;mso-position-horizontal-relative:page;mso-position-vertical-relative:page;z-index:-749320" coordorigin="7541,13524" coordsize="1536,392">
            <v:shape style="position:absolute;left:7541;top:13524;width:1536;height:392" coordorigin="7541,13524" coordsize="1536,392" path="m7541,13915l9077,13915,9077,13524,7541,13524,7541,13915xe" filled="true" fillcolor="#ffffff" stroked="false">
              <v:path arrowok="t"/>
              <v:fill type="solid"/>
            </v:shape>
            <w10:wrap type="none"/>
          </v:group>
        </w:pict>
      </w:r>
      <w:r>
        <w:rPr/>
        <w:pict>
          <v:group style="position:absolute;margin-left:377.040009pt;margin-top:743.039978pt;width:76.8pt;height:19.6pt;mso-position-horizontal-relative:page;mso-position-vertical-relative:page;z-index:-749296" coordorigin="7541,14861" coordsize="1536,392">
            <v:shape style="position:absolute;left:7541;top:14861;width:1536;height:392" coordorigin="7541,14861" coordsize="1536,392" path="m7541,15252l9077,15252,9077,14861,7541,14861,7541,15252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666"/>
      </w:tblGrid>
      <w:tr>
        <w:trPr>
          <w:trHeight w:val="319"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年度内部控制</w:t>
            </w:r>
          </w:p>
        </w:tc>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666" w:type="dxa"/>
            <w:vMerge w:val="restart"/>
            <w:tcBorders>
              <w:top w:val="single" w:sz="4" w:space="0" w:color="000000"/>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自我评价报告</w:t>
            </w:r>
            <w:r>
              <w:rPr>
                <w:rFonts w:ascii="Times New Roman" w:hAnsi="Times New Roman" w:cs="Times New Roman" w:eastAsia="Times New Roman" w:hint="default"/>
                <w:sz w:val="18"/>
                <w:szCs w:val="18"/>
              </w:rPr>
              <w:t>&gt;</w:t>
            </w:r>
            <w:r>
              <w:rPr>
                <w:rFonts w:ascii="宋体" w:hAnsi="宋体" w:cs="宋体" w:eastAsia="宋体" w:hint="default"/>
                <w:sz w:val="18"/>
                <w:szCs w:val="18"/>
              </w:rPr>
              <w:t>的</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2"/>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《关于</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公司</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募集资金存放与实</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际使用情况专项报</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《关于</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报告及其摘要</w:t>
            </w:r>
            <w:r>
              <w:rPr>
                <w:rFonts w:ascii="Times New Roman" w:hAnsi="Times New Roman" w:cs="Times New Roman" w:eastAsia="Times New Roman" w:hint="default"/>
                <w:sz w:val="18"/>
                <w:szCs w:val="18"/>
              </w:rPr>
              <w:t>&gt;</w:t>
            </w:r>
            <w:r>
              <w:rPr>
                <w:rFonts w:ascii="宋体" w:hAnsi="宋体" w:cs="宋体" w:eastAsia="宋体" w:hint="default"/>
                <w:sz w:val="18"/>
                <w:szCs w:val="18"/>
              </w:rPr>
              <w:t>的</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2"/>
                <w:sz w:val="18"/>
                <w:szCs w:val="18"/>
              </w:rPr>
              <w:t>》</w:t>
            </w:r>
            <w:r>
              <w:rPr>
                <w:rFonts w:ascii="宋体" w:hAnsi="宋体" w:cs="宋体" w:eastAsia="宋体" w:hint="default"/>
                <w:spacing w:val="-173"/>
                <w:sz w:val="18"/>
                <w:szCs w:val="18"/>
              </w:rPr>
              <w:t>、</w:t>
            </w:r>
            <w:r>
              <w:rPr>
                <w:rFonts w:ascii="宋体" w:hAnsi="宋体" w:cs="宋体" w:eastAsia="宋体" w:hint="default"/>
                <w:sz w:val="18"/>
                <w:szCs w:val="18"/>
              </w:rPr>
              <w:t>《关于续聘天</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健正信会计师事务</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所有限公司为公司</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年度审计机构</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pacing w:val="-173"/>
                <w:sz w:val="18"/>
                <w:szCs w:val="18"/>
              </w:rPr>
              <w:t>、</w:t>
            </w:r>
            <w:r>
              <w:rPr>
                <w:rFonts w:ascii="宋体" w:hAnsi="宋体" w:cs="宋体" w:eastAsia="宋体" w:hint="default"/>
                <w:sz w:val="18"/>
                <w:szCs w:val="18"/>
              </w:rPr>
              <w:t>《关于公司</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年度向各家银</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行申请授信额度和</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贷款的议案</w:t>
            </w:r>
            <w:r>
              <w:rPr>
                <w:rFonts w:ascii="宋体" w:hAnsi="宋体" w:cs="宋体" w:eastAsia="宋体" w:hint="default"/>
                <w:spacing w:val="-92"/>
                <w:sz w:val="18"/>
                <w:szCs w:val="18"/>
              </w:rPr>
              <w:t>》</w:t>
            </w:r>
            <w:r>
              <w:rPr>
                <w:rFonts w:ascii="宋体" w:hAnsi="宋体" w:cs="宋体" w:eastAsia="宋体" w:hint="default"/>
                <w:spacing w:val="-173"/>
                <w:sz w:val="18"/>
                <w:szCs w:val="18"/>
              </w:rPr>
              <w:t>、</w:t>
            </w:r>
            <w:r>
              <w:rPr>
                <w:rFonts w:ascii="宋体" w:hAnsi="宋体" w:cs="宋体" w:eastAsia="宋体" w:hint="default"/>
                <w:sz w:val="18"/>
                <w:szCs w:val="18"/>
              </w:rPr>
              <w:t>《福建</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榕基软件股份有限</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spacing w:val="-82"/>
                <w:sz w:val="18"/>
                <w:szCs w:val="18"/>
              </w:rPr>
              <w:t>、</w:t>
            </w:r>
            <w:r>
              <w:rPr>
                <w:rFonts w:ascii="宋体" w:hAnsi="宋体" w:cs="宋体" w:eastAsia="宋体" w:hint="default"/>
                <w:sz w:val="18"/>
                <w:szCs w:val="18"/>
              </w:rPr>
              <w:t>高级管理人员薪</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酬方案</w:t>
            </w:r>
            <w:r>
              <w:rPr>
                <w:rFonts w:ascii="宋体" w:hAnsi="宋体" w:cs="宋体" w:eastAsia="宋体" w:hint="default"/>
                <w:spacing w:val="-92"/>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《关于</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预</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计公司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常关联交易</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666" w:type="dxa"/>
            <w:vMerge/>
            <w:tcBorders>
              <w:left w:val="single" w:sz="4" w:space="0" w:color="000000"/>
              <w:right w:val="single" w:sz="4" w:space="0" w:color="000000"/>
            </w:tcBorders>
          </w:tcPr>
          <w:p>
            <w:pPr/>
          </w:p>
        </w:tc>
      </w:tr>
      <w:tr>
        <w:trPr>
          <w:trHeight w:val="355"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92"/>
                <w:sz w:val="18"/>
                <w:szCs w:val="18"/>
              </w:rPr>
              <w:t>案</w:t>
            </w:r>
            <w:r>
              <w:rPr>
                <w:rFonts w:ascii="宋体" w:hAnsi="宋体" w:cs="宋体" w:eastAsia="宋体" w:hint="default"/>
                <w:sz w:val="18"/>
                <w:szCs w:val="18"/>
              </w:rPr>
              <w:t>》。</w:t>
            </w: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666"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103"/>
        <w:jc w:val="left"/>
        <w:rPr>
          <w:b w:val="0"/>
          <w:bCs w:val="0"/>
        </w:rPr>
      </w:pPr>
      <w:r>
        <w:rPr/>
        <w:pict>
          <v:group style="position:absolute;margin-left:377.040009pt;margin-top:108.26368pt;width:76.8pt;height:19.7pt;mso-position-horizontal-relative:page;mso-position-vertical-relative:paragraph;z-index:-749344" coordorigin="7541,2165" coordsize="1536,394">
            <v:shape style="position:absolute;left:7541;top:2165;width:1536;height:394" coordorigin="7541,2165" coordsize="1536,394" path="m7541,2559l9077,2559,9077,2165,7541,2165,7541,2559xe" filled="true" fillcolor="#ffffff" stroked="false">
              <v:path arrowok="t"/>
              <v:fill type="solid"/>
            </v:shape>
            <w10:wrap type="none"/>
          </v:group>
        </w:pict>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807"/>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8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bookmarkStart w:name="2、本报告期临时股东大会情况" w:id="117"/>
            <w:bookmarkEnd w:id="117"/>
            <w:r>
              <w:rPr/>
            </w:r>
            <w:r>
              <w:rPr>
                <w:rFonts w:ascii="宋体" w:hAnsi="宋体" w:cs="宋体" w:eastAsia="宋体" w:hint="default"/>
                <w:sz w:val="18"/>
                <w:szCs w:val="18"/>
              </w:rPr>
              <w:t>披露索引</w:t>
            </w:r>
          </w:p>
        </w:tc>
      </w:tr>
      <w:tr>
        <w:trPr>
          <w:trHeight w:val="258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7" w:lineRule="auto" w:before="125"/>
              <w:ind w:left="23" w:right="22"/>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对控股子 公司浙江榕基信息 技术有限公司增 </w:t>
            </w:r>
            <w:r>
              <w:rPr>
                <w:rFonts w:ascii="宋体" w:hAnsi="宋体" w:cs="宋体" w:eastAsia="宋体" w:hint="default"/>
                <w:spacing w:val="-19"/>
                <w:sz w:val="18"/>
                <w:szCs w:val="18"/>
              </w:rPr>
              <w:t>资</w:t>
            </w:r>
            <w:r>
              <w:rPr>
                <w:rFonts w:ascii="Times New Roman" w:hAnsi="Times New Roman" w:cs="Times New Roman" w:eastAsia="Times New Roman" w:hint="default"/>
                <w:spacing w:val="-19"/>
                <w:sz w:val="18"/>
                <w:szCs w:val="18"/>
              </w:rPr>
              <w:t>&gt;</w:t>
            </w:r>
            <w:r>
              <w:rPr>
                <w:rFonts w:ascii="宋体" w:hAnsi="宋体" w:cs="宋体" w:eastAsia="宋体" w:hint="default"/>
                <w:spacing w:val="-19"/>
                <w:sz w:val="18"/>
                <w:szCs w:val="18"/>
              </w:rPr>
              <w:t>的议案》、《关于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 </w:t>
            </w:r>
            <w:r>
              <w:rPr>
                <w:rFonts w:ascii="宋体" w:hAnsi="宋体" w:cs="宋体" w:eastAsia="宋体" w:hint="default"/>
                <w:spacing w:val="-23"/>
                <w:sz w:val="18"/>
                <w:szCs w:val="18"/>
              </w:rPr>
              <w:t>议案》。</w:t>
            </w:r>
          </w:p>
        </w:tc>
        <w:tc>
          <w:tcPr>
            <w:tcW w:w="159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41"/>
              <w:jc w:val="center"/>
              <w:rPr>
                <w:rFonts w:ascii="宋体" w:hAnsi="宋体" w:cs="宋体" w:eastAsia="宋体" w:hint="default"/>
                <w:sz w:val="18"/>
                <w:szCs w:val="18"/>
              </w:rPr>
            </w:pPr>
            <w:r>
              <w:rPr>
                <w:rFonts w:ascii="宋体" w:hAnsi="宋体" w:cs="宋体" w:eastAsia="宋体" w:hint="default"/>
                <w:spacing w:val="-3"/>
                <w:sz w:val="18"/>
                <w:szCs w:val="18"/>
              </w:rPr>
              <w:t>所有议案全部通过。</w:t>
            </w:r>
            <w:r>
              <w:rPr>
                <w:rFonts w:ascii="宋体" w:hAnsi="宋体" w:cs="宋体" w:eastAsia="宋体" w:hint="default"/>
                <w:sz w:val="18"/>
                <w:szCs w:val="18"/>
              </w:rPr>
            </w:r>
          </w:p>
        </w:tc>
        <w:tc>
          <w:tcPr>
            <w:tcW w:w="159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临时股东大会决议公 </w:t>
            </w:r>
            <w:r>
              <w:rPr>
                <w:rFonts w:ascii="宋体" w:hAnsi="宋体" w:cs="宋体" w:eastAsia="宋体" w:hint="default"/>
                <w:spacing w:val="-12"/>
                <w:sz w:val="18"/>
                <w:szCs w:val="18"/>
              </w:rPr>
              <w:t>告》（公告编号：</w:t>
            </w:r>
          </w:p>
          <w:p>
            <w:pPr>
              <w:pStyle w:val="TableParagraph"/>
              <w:spacing w:line="300" w:lineRule="auto" w:before="24"/>
              <w:ind w:left="23"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2012-024</w:t>
            </w:r>
            <w:r>
              <w:rPr>
                <w:rFonts w:ascii="宋体" w:hAnsi="宋体" w:cs="宋体" w:eastAsia="宋体" w:hint="default"/>
                <w:spacing w:val="-2"/>
                <w:sz w:val="18"/>
                <w:szCs w:val="18"/>
              </w:rPr>
              <w:t>）披露于巨潮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资讯网</w:t>
            </w:r>
          </w:p>
          <w:p>
            <w:pPr>
              <w:pStyle w:val="TableParagraph"/>
              <w:spacing w:line="362" w:lineRule="auto" w:before="73"/>
              <w:ind w:left="23" w:right="60"/>
              <w:jc w:val="both"/>
              <w:rPr>
                <w:rFonts w:ascii="Times New Roman" w:hAnsi="Times New Roman" w:cs="Times New Roman" w:eastAsia="Times New Roman" w:hint="default"/>
                <w:sz w:val="18"/>
                <w:szCs w:val="18"/>
              </w:rPr>
            </w:pPr>
            <w:hyperlink r:id="rId24">
              <w:r>
                <w:rPr>
                  <w:rFonts w:ascii="Times New Roman"/>
                  <w:spacing w:val="-1"/>
                  <w:sz w:val="18"/>
                </w:rPr>
                <w:t>http://www.cninfo.com.</w:t>
              </w:r>
            </w:hyperlink>
            <w:r>
              <w:rPr>
                <w:rFonts w:ascii="Times New Roman"/>
                <w:sz w:val="18"/>
              </w:rPr>
              <w:t> cn/finalpage/2012-05-0 9/60970173.PDF</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7" w:lineRule="auto"/>
              <w:ind w:left="23" w:right="119"/>
              <w:jc w:val="left"/>
              <w:rPr>
                <w:rFonts w:ascii="宋体" w:hAnsi="宋体" w:cs="宋体" w:eastAsia="宋体" w:hint="default"/>
                <w:sz w:val="18"/>
                <w:szCs w:val="18"/>
              </w:rPr>
            </w:pPr>
            <w:r>
              <w:rPr>
                <w:rFonts w:ascii="宋体" w:hAnsi="宋体" w:cs="宋体" w:eastAsia="宋体" w:hint="default"/>
                <w:sz w:val="18"/>
                <w:szCs w:val="18"/>
              </w:rPr>
              <w:t>《关于制定</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 分红政策及未来三 年股东回报规划</w:t>
            </w:r>
          </w:p>
          <w:p>
            <w:pPr>
              <w:pStyle w:val="TableParagraph"/>
              <w:spacing w:line="240" w:lineRule="auto" w:before="26"/>
              <w:ind w:left="2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2012-2014</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的议</w:t>
            </w:r>
          </w:p>
          <w:p>
            <w:pPr>
              <w:pStyle w:val="TableParagraph"/>
              <w:spacing w:line="300"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公 司章程</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59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41"/>
              <w:jc w:val="center"/>
              <w:rPr>
                <w:rFonts w:ascii="宋体" w:hAnsi="宋体" w:cs="宋体" w:eastAsia="宋体" w:hint="default"/>
                <w:sz w:val="18"/>
                <w:szCs w:val="18"/>
              </w:rPr>
            </w:pPr>
            <w:r>
              <w:rPr>
                <w:rFonts w:ascii="宋体" w:hAnsi="宋体" w:cs="宋体" w:eastAsia="宋体" w:hint="default"/>
                <w:spacing w:val="-3"/>
                <w:sz w:val="18"/>
                <w:szCs w:val="18"/>
              </w:rPr>
              <w:t>所有议案全部通过。</w:t>
            </w:r>
            <w:r>
              <w:rPr>
                <w:rFonts w:ascii="宋体" w:hAnsi="宋体" w:cs="宋体" w:eastAsia="宋体" w:hint="default"/>
                <w:sz w:val="18"/>
                <w:szCs w:val="18"/>
              </w:rPr>
            </w:r>
          </w:p>
        </w:tc>
        <w:tc>
          <w:tcPr>
            <w:tcW w:w="159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临时股东大会决议公 </w:t>
            </w:r>
            <w:r>
              <w:rPr>
                <w:rFonts w:ascii="宋体" w:hAnsi="宋体" w:cs="宋体" w:eastAsia="宋体" w:hint="default"/>
                <w:spacing w:val="-12"/>
                <w:sz w:val="18"/>
                <w:szCs w:val="18"/>
              </w:rPr>
              <w:t>告》（公告编号：</w:t>
            </w:r>
          </w:p>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2012-034</w:t>
            </w:r>
            <w:r>
              <w:rPr>
                <w:rFonts w:ascii="宋体" w:hAnsi="宋体" w:cs="宋体" w:eastAsia="宋体" w:hint="default"/>
                <w:sz w:val="18"/>
                <w:szCs w:val="18"/>
              </w:rPr>
              <w:t>）</w:t>
            </w:r>
          </w:p>
          <w:p>
            <w:pPr>
              <w:pStyle w:val="TableParagraph"/>
              <w:spacing w:line="362" w:lineRule="auto" w:before="105"/>
              <w:ind w:left="23" w:right="60"/>
              <w:jc w:val="both"/>
              <w:rPr>
                <w:rFonts w:ascii="Times New Roman" w:hAnsi="Times New Roman" w:cs="Times New Roman" w:eastAsia="Times New Roman" w:hint="default"/>
                <w:sz w:val="18"/>
                <w:szCs w:val="18"/>
              </w:rPr>
            </w:pPr>
            <w:hyperlink r:id="rId24">
              <w:r>
                <w:rPr>
                  <w:rFonts w:ascii="Times New Roman"/>
                  <w:spacing w:val="-1"/>
                  <w:sz w:val="18"/>
                </w:rPr>
                <w:t>http://www.cninfo.com.</w:t>
              </w:r>
            </w:hyperlink>
            <w:r>
              <w:rPr>
                <w:rFonts w:ascii="Times New Roman"/>
                <w:sz w:val="18"/>
              </w:rPr>
              <w:t> cn/finalpage/2012-06-2 7/61183506.PDF</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5"/>
              <w:jc w:val="center"/>
              <w:rPr>
                <w:rFonts w:ascii="宋体" w:hAnsi="宋体" w:cs="宋体" w:eastAsia="宋体" w:hint="default"/>
                <w:sz w:val="18"/>
                <w:szCs w:val="18"/>
              </w:rPr>
            </w:pPr>
            <w:r>
              <w:rPr>
                <w:rFonts w:ascii="宋体" w:hAnsi="宋体" w:cs="宋体" w:eastAsia="宋体" w:hint="default"/>
                <w:sz w:val="18"/>
                <w:szCs w:val="18"/>
              </w:rPr>
              <w:t>《关于改聘致同会</w:t>
            </w:r>
          </w:p>
        </w:tc>
        <w:tc>
          <w:tcPr>
            <w:tcW w:w="159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3" w:right="-41"/>
              <w:jc w:val="center"/>
              <w:rPr>
                <w:rFonts w:ascii="宋体" w:hAnsi="宋体" w:cs="宋体" w:eastAsia="宋体" w:hint="default"/>
                <w:sz w:val="18"/>
                <w:szCs w:val="18"/>
              </w:rPr>
            </w:pPr>
            <w:r>
              <w:rPr>
                <w:rFonts w:ascii="宋体" w:hAnsi="宋体" w:cs="宋体" w:eastAsia="宋体" w:hint="default"/>
                <w:spacing w:val="-3"/>
                <w:sz w:val="18"/>
                <w:szCs w:val="18"/>
              </w:rPr>
              <w:t>所有议案全部通过。</w:t>
            </w:r>
            <w:r>
              <w:rPr>
                <w:rFonts w:ascii="宋体" w:hAnsi="宋体" w:cs="宋体" w:eastAsia="宋体" w:hint="default"/>
                <w:sz w:val="18"/>
                <w:szCs w:val="18"/>
              </w:rPr>
            </w:r>
          </w:p>
        </w:tc>
        <w:tc>
          <w:tcPr>
            <w:tcW w:w="159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5"/>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8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807"/>
      </w:tblGrid>
      <w:tr>
        <w:trPr>
          <w:trHeight w:val="19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9"/>
              <w:jc w:val="left"/>
              <w:rPr>
                <w:rFonts w:ascii="宋体" w:hAnsi="宋体" w:cs="宋体" w:eastAsia="宋体" w:hint="default"/>
                <w:sz w:val="18"/>
                <w:szCs w:val="18"/>
              </w:rPr>
            </w:pPr>
            <w:r>
              <w:rPr>
                <w:rFonts w:ascii="宋体" w:hAnsi="宋体" w:cs="宋体" w:eastAsia="宋体" w:hint="default"/>
                <w:spacing w:val="-10"/>
                <w:sz w:val="18"/>
                <w:szCs w:val="18"/>
              </w:rPr>
              <w:t>计师事务所（特殊普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通合伙）为公司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年度审计机构 的议案》</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51"/>
              <w:jc w:val="left"/>
              <w:rPr>
                <w:rFonts w:ascii="宋体" w:hAnsi="宋体" w:cs="宋体" w:eastAsia="宋体" w:hint="default"/>
                <w:sz w:val="18"/>
                <w:szCs w:val="18"/>
              </w:rPr>
            </w:pPr>
            <w:r>
              <w:rPr>
                <w:rFonts w:ascii="宋体" w:hAnsi="宋体" w:cs="宋体" w:eastAsia="宋体" w:hint="default"/>
                <w:sz w:val="18"/>
                <w:szCs w:val="18"/>
              </w:rPr>
              <w:t>临时股东大会决议公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2012-056</w:t>
            </w:r>
            <w:r>
              <w:rPr>
                <w:rFonts w:ascii="宋体" w:hAnsi="宋体" w:cs="宋体" w:eastAsia="宋体" w:hint="default"/>
                <w:sz w:val="18"/>
                <w:szCs w:val="18"/>
              </w:rPr>
              <w:t>）</w:t>
            </w:r>
          </w:p>
          <w:p>
            <w:pPr>
              <w:pStyle w:val="TableParagraph"/>
              <w:spacing w:line="362" w:lineRule="auto" w:before="41"/>
              <w:ind w:left="23" w:right="60"/>
              <w:jc w:val="both"/>
              <w:rPr>
                <w:rFonts w:ascii="Times New Roman" w:hAnsi="Times New Roman" w:cs="Times New Roman" w:eastAsia="Times New Roman" w:hint="default"/>
                <w:sz w:val="18"/>
                <w:szCs w:val="18"/>
              </w:rPr>
            </w:pPr>
            <w:hyperlink r:id="rId24">
              <w:r>
                <w:rPr>
                  <w:rFonts w:ascii="Times New Roman"/>
                  <w:spacing w:val="-1"/>
                  <w:sz w:val="18"/>
                </w:rPr>
                <w:t>http://www.cninfo.com.</w:t>
              </w:r>
            </w:hyperlink>
            <w:r>
              <w:rPr>
                <w:rFonts w:ascii="Times New Roman"/>
                <w:sz w:val="18"/>
              </w:rPr>
              <w:t> cn/finalpage/2012-12-2 6/61950582.PDF</w:t>
            </w:r>
          </w:p>
        </w:tc>
      </w:tr>
    </w:tbl>
    <w:p>
      <w:pPr>
        <w:spacing w:line="240" w:lineRule="auto" w:before="1"/>
        <w:rPr>
          <w:rFonts w:ascii="宋体" w:hAnsi="宋体" w:cs="宋体" w:eastAsia="宋体" w:hint="default"/>
          <w:b/>
          <w:bCs/>
          <w:sz w:val="18"/>
          <w:szCs w:val="18"/>
        </w:rPr>
      </w:pPr>
    </w:p>
    <w:p>
      <w:pPr>
        <w:pStyle w:val="Heading2"/>
        <w:spacing w:line="240" w:lineRule="auto" w:before="26"/>
        <w:ind w:right="103"/>
        <w:jc w:val="left"/>
        <w:rPr>
          <w:b w:val="0"/>
          <w:bCs w:val="0"/>
        </w:rPr>
      </w:pPr>
      <w:bookmarkStart w:name="四、董事会下设专门委员会在报告期内履行职责情况" w:id="118"/>
      <w:bookmarkEnd w:id="118"/>
      <w:r>
        <w:rPr>
          <w:b w:val="0"/>
          <w:bCs w:val="0"/>
        </w:rPr>
      </w:r>
      <w:r>
        <w:rPr/>
        <w:t>三、报告期内独立</w:t>
      </w:r>
      <w:bookmarkStart w:name="三、报告期内独立董事履行职责的情况" w:id="119"/>
      <w:bookmarkEnd w:id="119"/>
      <w:r>
        <w:rPr/>
        <w:t>董事</w:t>
      </w:r>
      <w:r>
        <w:rPr/>
        <w:t>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3"/>
        <w:jc w:val="left"/>
        <w:rPr>
          <w:b w:val="0"/>
          <w:bCs w:val="0"/>
        </w:rPr>
      </w:pPr>
      <w:r>
        <w:rPr>
          <w:rFonts w:ascii="Times New Roman" w:hAnsi="Times New Roman" w:cs="Times New Roman" w:eastAsia="Times New Roman" w:hint="default"/>
        </w:rPr>
        <w:t>1</w:t>
      </w:r>
      <w:r>
        <w:rPr/>
        <w:t>、独立董事出席董事会及</w:t>
      </w:r>
      <w:bookmarkStart w:name="1、独立董事出席董事会及股东大会的情况" w:id="120"/>
      <w:bookmarkEnd w:id="120"/>
      <w:r>
        <w:rPr/>
        <w:t>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2"/>
        <w:gridCol w:w="1325"/>
        <w:gridCol w:w="1325"/>
        <w:gridCol w:w="1322"/>
        <w:gridCol w:w="1325"/>
        <w:gridCol w:w="1325"/>
      </w:tblGrid>
      <w:tr>
        <w:trPr>
          <w:trHeight w:val="403"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06" w:right="2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77" w:right="26"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邱文溢</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潘琰</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孙敏</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60" w:lineRule="auto" w:before="49"/>
        <w:ind w:right="7174"/>
        <w:jc w:val="left"/>
      </w:pPr>
      <w:r>
        <w:rPr/>
        <w:t>连续两次未亲自出席董事会的说明 无。</w:t>
      </w:r>
    </w:p>
    <w:p>
      <w:pPr>
        <w:spacing w:line="240" w:lineRule="auto" w:before="2"/>
        <w:rPr>
          <w:rFonts w:ascii="宋体" w:hAnsi="宋体" w:cs="宋体" w:eastAsia="宋体" w:hint="default"/>
          <w:sz w:val="20"/>
          <w:szCs w:val="20"/>
        </w:rPr>
      </w:pPr>
    </w:p>
    <w:p>
      <w:pPr>
        <w:pStyle w:val="Heading3"/>
        <w:spacing w:line="240" w:lineRule="auto"/>
        <w:ind w:right="10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3"/>
        <w:jc w:val="left"/>
      </w:pPr>
      <w:r>
        <w:rPr/>
        <w:t>独立董事对公司有关事项是否提出异议</w:t>
      </w:r>
    </w:p>
    <w:p>
      <w:pPr>
        <w:pStyle w:val="BodyText"/>
        <w:spacing w:line="338" w:lineRule="auto" w:before="117"/>
        <w:ind w:right="60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3"/>
        <w:spacing w:line="240" w:lineRule="auto"/>
        <w:ind w:right="10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3"/>
        <w:jc w:val="left"/>
      </w:pPr>
      <w:r>
        <w:rPr/>
        <w:t>独立董事对公司有关建议是否被采纳</w:t>
      </w:r>
    </w:p>
    <w:p>
      <w:pPr>
        <w:pStyle w:val="BodyText"/>
        <w:spacing w:line="338" w:lineRule="auto" w:before="117"/>
        <w:ind w:right="591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2" w:lineRule="auto" w:before="43"/>
        <w:ind w:right="250" w:firstLine="360"/>
        <w:jc w:val="both"/>
      </w:pPr>
      <w:r>
        <w:rPr/>
        <w:t>公司独立董事在</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年度勤勉</w:t>
      </w:r>
      <w:bookmarkStart w:name="2、独立董事对公司有关事项提出异议的情况" w:id="121"/>
      <w:bookmarkEnd w:id="121"/>
      <w:r>
        <w:rPr/>
      </w:r>
      <w:bookmarkStart w:name="3、独立董事履行职责的其他说明" w:id="122"/>
      <w:bookmarkEnd w:id="122"/>
      <w:r>
        <w:rPr/>
        <w:t>尽责，忠实履行独立董事职务，积极了解公司的生产经营情况和财务状况，详实听取了</w:t>
      </w:r>
      <w:r>
        <w:rPr/>
        <w:t> </w:t>
      </w:r>
      <w:r>
        <w:rPr>
          <w:spacing w:val="-2"/>
        </w:rPr>
        <w:t>公司相关人员的汇报，定期审阅公司提供的信息报告，掌握公司的运行动态；在董事会上发表意见、行使职权，对公司信息</w:t>
      </w:r>
      <w:r>
        <w:rPr>
          <w:spacing w:val="-67"/>
        </w:rPr>
        <w:t> </w:t>
      </w:r>
      <w:r>
        <w:rPr>
          <w:spacing w:val="-67"/>
        </w:rPr>
      </w:r>
      <w:r>
        <w:rPr>
          <w:spacing w:val="-2"/>
        </w:rPr>
        <w:t>披露情况等进行监督和核查，提出了众多有效的建议，出具了独立、公正的独立董事意见，积极有效地履行了独立董事的职</w:t>
      </w:r>
      <w:r>
        <w:rPr>
          <w:spacing w:val="-65"/>
        </w:rPr>
        <w:t> </w:t>
      </w:r>
      <w:r>
        <w:rPr>
          <w:spacing w:val="-65"/>
        </w:rPr>
      </w:r>
      <w:r>
        <w:rPr/>
        <w:t>责，维护了公司和中小股东的合法权益。</w:t>
      </w:r>
    </w:p>
    <w:p>
      <w:pPr>
        <w:spacing w:line="240" w:lineRule="auto" w:before="2"/>
        <w:rPr>
          <w:rFonts w:ascii="宋体" w:hAnsi="宋体" w:cs="宋体" w:eastAsia="宋体" w:hint="default"/>
          <w:sz w:val="21"/>
          <w:szCs w:val="21"/>
        </w:rPr>
      </w:pPr>
    </w:p>
    <w:p>
      <w:pPr>
        <w:pStyle w:val="Heading2"/>
        <w:spacing w:line="240" w:lineRule="auto"/>
        <w:ind w:right="103"/>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253" w:firstLine="360"/>
        <w:jc w:val="both"/>
      </w:pPr>
      <w:r>
        <w:rPr/>
        <w:t>公司董事会下设四个专门委员会，分别为审计委员会、提名委员会、战略委员会、薪酬与考核委员会。</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年度各专 </w:t>
      </w:r>
      <w:r>
        <w:rPr>
          <w:spacing w:val="-2"/>
        </w:rPr>
        <w:t>门委员会本着勤勉尽责的原则，按照有关法律法规、规范性文件及公司各专门委员会工作细则的有关规定开展相关工作，报</w:t>
      </w:r>
      <w:r>
        <w:rPr>
          <w:spacing w:val="-66"/>
        </w:rPr>
        <w:t> </w:t>
      </w:r>
      <w:r>
        <w:rPr>
          <w:spacing w:val="-66"/>
        </w:rPr>
      </w:r>
      <w:r>
        <w:rPr/>
        <w:t>告期内，各专门委员会履职情况如下：</w:t>
      </w:r>
    </w:p>
    <w:p>
      <w:pPr>
        <w:spacing w:after="0" w:line="309" w:lineRule="auto"/>
        <w:jc w:val="both"/>
        <w:sectPr>
          <w:pgSz w:w="11910" w:h="16840"/>
          <w:pgMar w:header="745" w:footer="982" w:top="1060" w:bottom="1180" w:left="980" w:right="880"/>
        </w:sectPr>
      </w:pPr>
    </w:p>
    <w:p>
      <w:pPr>
        <w:spacing w:line="240" w:lineRule="auto" w:before="9"/>
        <w:rPr>
          <w:rFonts w:ascii="宋体" w:hAnsi="宋体" w:cs="宋体" w:eastAsia="宋体" w:hint="default"/>
          <w:sz w:val="25"/>
          <w:szCs w:val="25"/>
        </w:rPr>
      </w:pPr>
    </w:p>
    <w:p>
      <w:pPr>
        <w:pStyle w:val="BodyText"/>
        <w:spacing w:line="360" w:lineRule="auto" w:before="44"/>
        <w:ind w:left="512" w:right="0"/>
        <w:jc w:val="left"/>
      </w:pPr>
      <w:r>
        <w:rPr/>
        <w:t>（一）审计委员会 </w:t>
      </w:r>
      <w:r>
        <w:rPr>
          <w:spacing w:val="-2"/>
        </w:rPr>
        <w:t>报告期内，审计委员会根据《公司董事会审计委员会实施细则》及其他有关规定积极开展工作，认真履行职责。报告期</w:t>
      </w:r>
    </w:p>
    <w:p>
      <w:pPr>
        <w:pStyle w:val="BodyText"/>
        <w:spacing w:line="236" w:lineRule="exact"/>
        <w:ind w:right="0"/>
        <w:jc w:val="left"/>
      </w:pPr>
      <w:r>
        <w:rPr>
          <w:spacing w:val="-3"/>
        </w:rPr>
        <w:t>内，审计委员会召开了</w:t>
      </w:r>
      <w:r>
        <w:rPr>
          <w:spacing w:val="-73"/>
        </w:rPr>
        <w:t> </w:t>
      </w:r>
      <w:r>
        <w:rPr>
          <w:rFonts w:ascii="Times New Roman" w:hAnsi="Times New Roman" w:cs="Times New Roman" w:eastAsia="Times New Roman" w:hint="default"/>
        </w:rPr>
        <w:t>7</w:t>
      </w:r>
      <w:r>
        <w:rPr>
          <w:rFonts w:ascii="Times New Roman" w:hAnsi="Times New Roman" w:cs="Times New Roman" w:eastAsia="Times New Roman" w:hint="default"/>
          <w:spacing w:val="-27"/>
        </w:rPr>
        <w:t> </w:t>
      </w:r>
      <w:r>
        <w:rPr/>
        <w:t>次会议，审查了公司内部控制制度及执行情况，审核了公司所有重要的会计政策，定期了解公司财</w:t>
      </w:r>
    </w:p>
    <w:p>
      <w:pPr>
        <w:pStyle w:val="BodyText"/>
        <w:spacing w:line="316" w:lineRule="auto" w:before="62"/>
        <w:ind w:right="0"/>
        <w:jc w:val="left"/>
      </w:pPr>
      <w:r>
        <w:rPr>
          <w:spacing w:val="-2"/>
        </w:rPr>
        <w:t>务状况和经营情况，督促和指导公司审计部门对公司财务管理运行情况进行定期和不定期的检查和评估，委员会认为公司内</w:t>
      </w:r>
      <w:r>
        <w:rPr>
          <w:spacing w:val="-64"/>
        </w:rPr>
        <w:t> </w:t>
      </w:r>
      <w:r>
        <w:rPr>
          <w:spacing w:val="-64"/>
        </w:rPr>
      </w:r>
      <w:r>
        <w:rPr/>
        <w:t>控制度体系符合法律、法规及《公司章程》的要求，适应当前公司生产经营实际情况的需要，具体工作如下：</w:t>
      </w:r>
    </w:p>
    <w:p>
      <w:pPr>
        <w:pStyle w:val="BodyText"/>
        <w:spacing w:line="300" w:lineRule="auto" w:before="57"/>
        <w:ind w:right="184" w:firstLine="360"/>
        <w:jc w:val="left"/>
      </w:pPr>
      <w:r>
        <w:rPr>
          <w:rFonts w:ascii="Times New Roman" w:hAnsi="Times New Roman" w:cs="Times New Roman" w:eastAsia="Times New Roman" w:hint="default"/>
        </w:rPr>
        <w:t>1</w:t>
      </w:r>
      <w:r>
        <w:rPr/>
        <w:t>、与会计师事务所就年度审计报告编制进行沟通与交流，要求审计机构密切关注中国证监会、深圳证券交易所等监管 部门对年报审计工作的相关政策和要求，确保审计的独立性和审计工作保质保量如期完成。</w:t>
      </w:r>
    </w:p>
    <w:p>
      <w:pPr>
        <w:pStyle w:val="BodyText"/>
        <w:spacing w:line="240" w:lineRule="auto" w:before="72"/>
        <w:ind w:left="512" w:right="0"/>
        <w:jc w:val="left"/>
      </w:pPr>
      <w:r>
        <w:rPr>
          <w:rFonts w:ascii="Times New Roman" w:hAnsi="Times New Roman" w:cs="Times New Roman" w:eastAsia="Times New Roman" w:hint="default"/>
        </w:rPr>
        <w:t>2</w:t>
      </w:r>
      <w:r>
        <w:rPr/>
        <w:t>、审议公司审计部门提交的季度工作报告，年度工作计划。</w:t>
      </w:r>
    </w:p>
    <w:p>
      <w:pPr>
        <w:pStyle w:val="BodyText"/>
        <w:spacing w:line="240" w:lineRule="auto" w:before="103"/>
        <w:ind w:left="512" w:right="0"/>
        <w:jc w:val="left"/>
      </w:pPr>
      <w:r>
        <w:rPr>
          <w:rFonts w:ascii="Times New Roman" w:hAnsi="Times New Roman" w:cs="Times New Roman" w:eastAsia="Times New Roman" w:hint="default"/>
        </w:rPr>
        <w:t>3</w:t>
      </w:r>
      <w:r>
        <w:rPr/>
        <w:t>、对会计师事务所的工作进行评价和总结，并向第二届董事会第十二次会议提出续聘议案。</w:t>
      </w:r>
    </w:p>
    <w:p>
      <w:pPr>
        <w:pStyle w:val="BodyText"/>
        <w:spacing w:line="240" w:lineRule="auto" w:before="101"/>
        <w:ind w:left="512" w:right="0"/>
        <w:jc w:val="left"/>
      </w:pPr>
      <w:r>
        <w:rPr>
          <w:rFonts w:ascii="Times New Roman" w:hAnsi="Times New Roman" w:cs="Times New Roman" w:eastAsia="Times New Roman" w:hint="default"/>
        </w:rPr>
        <w:t>4</w:t>
      </w:r>
      <w:r>
        <w:rPr/>
        <w:t>、对会计师事务所的评估，并向第二届董事会第十八次会议提出改聘致同会计师事务所（特殊普通合伙）的议案。</w:t>
      </w:r>
    </w:p>
    <w:p>
      <w:pPr>
        <w:pStyle w:val="BodyText"/>
        <w:spacing w:line="360" w:lineRule="auto" w:before="103"/>
        <w:ind w:left="512" w:right="0"/>
        <w:jc w:val="left"/>
      </w:pPr>
      <w:r>
        <w:rPr/>
        <w:t>（二）提名委员会 </w:t>
      </w:r>
      <w:r>
        <w:rPr>
          <w:spacing w:val="-2"/>
        </w:rPr>
        <w:t>报告期内，提名委员会根据《公司董事会提名委员会实施细则》及其他有关规定积极开展工作，认真履行职责。报告期</w:t>
      </w:r>
    </w:p>
    <w:p>
      <w:pPr>
        <w:pStyle w:val="BodyText"/>
        <w:spacing w:line="236" w:lineRule="exact"/>
        <w:ind w:right="0"/>
        <w:jc w:val="left"/>
      </w:pPr>
      <w:r>
        <w:rPr>
          <w:spacing w:val="-3"/>
        </w:rPr>
        <w:t>内，提名委员会召开了</w:t>
      </w:r>
      <w:r>
        <w:rPr>
          <w:spacing w:val="-72"/>
        </w:rPr>
        <w:t>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次会议，对公司高级管理人员副总裁候选人赵坚、宾壮兴、靳谊的任职资格等相关事宜进行了认真</w:t>
      </w:r>
    </w:p>
    <w:p>
      <w:pPr>
        <w:pStyle w:val="BodyText"/>
        <w:spacing w:line="316" w:lineRule="auto" w:before="62"/>
        <w:ind w:right="0"/>
        <w:jc w:val="left"/>
      </w:pPr>
      <w:r>
        <w:rPr>
          <w:spacing w:val="-2"/>
        </w:rPr>
        <w:t>的评审，认为候选人赵坚、宾壮兴、靳谊具有丰富的行业经验和管理经验，完全胜任各自的工作，提请第二届董事会第十九</w:t>
      </w:r>
      <w:r>
        <w:rPr>
          <w:spacing w:val="-67"/>
        </w:rPr>
        <w:t> </w:t>
      </w:r>
      <w:r>
        <w:rPr>
          <w:spacing w:val="-67"/>
        </w:rPr>
      </w:r>
      <w:r>
        <w:rPr/>
        <w:t>次会议审议。</w:t>
      </w:r>
    </w:p>
    <w:p>
      <w:pPr>
        <w:pStyle w:val="BodyText"/>
        <w:spacing w:line="360" w:lineRule="auto" w:before="57"/>
        <w:ind w:left="512" w:right="0"/>
        <w:jc w:val="left"/>
      </w:pPr>
      <w:r>
        <w:rPr/>
        <w:t>（三）薪酬与考核委员会 </w:t>
      </w:r>
      <w:r>
        <w:rPr>
          <w:spacing w:val="-4"/>
        </w:rPr>
        <w:t>报告期内，薪酬与考核委员会根据《董事会薪酬与考核委员会实施细则》及其他有关规定积极开展工作，认真履行职责。</w:t>
      </w:r>
    </w:p>
    <w:p>
      <w:pPr>
        <w:pStyle w:val="BodyText"/>
        <w:spacing w:line="236" w:lineRule="exact"/>
        <w:ind w:right="0"/>
        <w:jc w:val="left"/>
      </w:pPr>
      <w:r>
        <w:rPr/>
        <w:t>报告期内，薪酬与考核委员会召开了</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次会议，根据公司</w:t>
      </w:r>
      <w:r>
        <w:rPr>
          <w:spacing w:val="-3"/>
        </w:rPr>
        <w:t>《</w:t>
      </w:r>
      <w:r>
        <w:rPr/>
        <w:t>章程》及《公司董事会薪酬与考核委员会实施细则</w:t>
      </w:r>
      <w:r>
        <w:rPr>
          <w:spacing w:val="-92"/>
        </w:rPr>
        <w:t>》</w:t>
      </w:r>
      <w:r>
        <w:rPr/>
        <w:t>，结合</w:t>
      </w:r>
      <w:r>
        <w:rPr>
          <w:spacing w:val="2"/>
        </w:rPr>
        <w:t>公</w:t>
      </w:r>
      <w:r>
        <w:rPr/>
        <w:t>司</w:t>
      </w:r>
    </w:p>
    <w:p>
      <w:pPr>
        <w:pStyle w:val="BodyText"/>
        <w:spacing w:line="240" w:lineRule="auto" w:before="62"/>
        <w:ind w:right="0"/>
        <w:jc w:val="left"/>
      </w:pPr>
      <w:r>
        <w:rPr/>
        <w:t>经营规模等实际情况并参照行业薪酬水平，对公司董事、监事和高级管理人员的薪酬情况进行了审核，制定《公司</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p>
    <w:p>
      <w:pPr>
        <w:pStyle w:val="BodyText"/>
        <w:spacing w:line="240" w:lineRule="auto" w:before="62"/>
        <w:ind w:right="0"/>
        <w:jc w:val="left"/>
      </w:pPr>
      <w:r>
        <w:rPr/>
        <w:t>度董事、高级管理人员薪酬方案</w:t>
      </w:r>
      <w:r>
        <w:rPr>
          <w:spacing w:val="-92"/>
        </w:rPr>
        <w:t>》</w:t>
      </w:r>
      <w:r>
        <w:rPr/>
        <w:t>，并提请第二届董事会第</w:t>
      </w:r>
      <w:r>
        <w:rPr>
          <w:spacing w:val="2"/>
        </w:rPr>
        <w:t>十</w:t>
      </w:r>
      <w:r>
        <w:rPr/>
        <w:t>二次会议及</w:t>
      </w:r>
      <w:r>
        <w:rPr>
          <w:spacing w:val="-45"/>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年度股东大</w:t>
      </w:r>
      <w:r>
        <w:rPr>
          <w:spacing w:val="-3"/>
        </w:rPr>
        <w:t>会</w:t>
      </w:r>
      <w:r>
        <w:rPr/>
        <w:t>审议。</w:t>
      </w:r>
    </w:p>
    <w:p>
      <w:pPr>
        <w:pStyle w:val="BodyText"/>
        <w:spacing w:line="357" w:lineRule="auto" w:before="103"/>
        <w:ind w:left="512" w:right="0"/>
        <w:jc w:val="left"/>
      </w:pPr>
      <w:r>
        <w:rPr/>
        <w:t>（四）战略委员会 </w:t>
      </w:r>
      <w:r>
        <w:rPr>
          <w:spacing w:val="-2"/>
        </w:rPr>
        <w:t>报告期内，战略委员会根据《董事会战略委员会实施细则》及其他有关规定积极开展工作，认真履行职。报告期内，战</w:t>
      </w:r>
    </w:p>
    <w:p>
      <w:pPr>
        <w:pStyle w:val="BodyText"/>
        <w:spacing w:line="237" w:lineRule="exact"/>
        <w:ind w:right="0"/>
        <w:jc w:val="left"/>
      </w:pPr>
      <w:r>
        <w:rPr/>
        <w:t>略委员会召开了</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2"/>
        </w:rPr>
        <w:t>次会议战略委员会，向董事会提出的建议，明晰了公司的经营策略。对公司持续稳定健康的发展起到了及</w:t>
      </w:r>
    </w:p>
    <w:p>
      <w:pPr>
        <w:pStyle w:val="BodyText"/>
        <w:spacing w:line="240" w:lineRule="auto" w:before="62"/>
        <w:ind w:right="0"/>
        <w:jc w:val="left"/>
      </w:pPr>
      <w:r>
        <w:rPr/>
        <w:t>其重要的促进作用，对公司重要投资事项进行深入的分析研究，为公司发展战略的实施提出了合理的建议：</w:t>
      </w:r>
    </w:p>
    <w:p>
      <w:pPr>
        <w:pStyle w:val="BodyText"/>
        <w:spacing w:line="300" w:lineRule="auto" w:before="117"/>
        <w:ind w:right="187" w:firstLine="360"/>
        <w:jc w:val="left"/>
      </w:pPr>
      <w:r>
        <w:rPr>
          <w:rFonts w:ascii="Times New Roman" w:hAnsi="Times New Roman" w:cs="Times New Roman" w:eastAsia="Times New Roman" w:hint="default"/>
        </w:rPr>
        <w:t>1</w:t>
      </w:r>
      <w:r>
        <w:rPr/>
        <w:t>、审议通过公司拟以自有资金换汇出资</w:t>
      </w:r>
      <w:r>
        <w:rPr>
          <w:spacing w:val="-47"/>
        </w:rPr>
        <w:t> </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t>万元港币在中华人民共和国香港特别行政区设立全资子公司榕基国际控股 有限公司的事项。该事项由第二届董事会第十三次会议审议通过。</w:t>
      </w:r>
    </w:p>
    <w:p>
      <w:pPr>
        <w:pStyle w:val="BodyText"/>
        <w:spacing w:line="240" w:lineRule="auto" w:before="72"/>
        <w:ind w:left="512" w:right="0"/>
        <w:jc w:val="left"/>
      </w:pPr>
      <w:r>
        <w:rPr>
          <w:rFonts w:ascii="Times New Roman" w:hAnsi="Times New Roman" w:cs="Times New Roman" w:eastAsia="Times New Roman" w:hint="default"/>
        </w:rPr>
        <w:t>2</w:t>
      </w:r>
      <w:r>
        <w:rPr/>
        <w:t>、审议通过公司和尚大斌对浙江榕基进行增资的事项，浙江榕基的注册资本增加至人民币</w:t>
      </w:r>
      <w:r>
        <w:rPr>
          <w:spacing w:val="-45"/>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万元，新增注册资本</w:t>
      </w:r>
    </w:p>
    <w:p>
      <w:pPr>
        <w:pStyle w:val="BodyText"/>
        <w:spacing w:line="240" w:lineRule="auto" w:before="62"/>
        <w:ind w:right="0"/>
        <w:jc w:val="left"/>
      </w:pPr>
      <w:r>
        <w:rPr/>
        <w:t>人民币</w:t>
      </w:r>
      <w:r>
        <w:rPr>
          <w:spacing w:val="-48"/>
        </w:rPr>
        <w:t> </w:t>
      </w:r>
      <w:r>
        <w:rPr>
          <w:rFonts w:ascii="Times New Roman" w:hAnsi="Times New Roman" w:cs="Times New Roman" w:eastAsia="Times New Roman" w:hint="default"/>
        </w:rPr>
        <w:t>1,500</w:t>
      </w:r>
      <w:r>
        <w:rPr>
          <w:rFonts w:ascii="Times New Roman" w:hAnsi="Times New Roman" w:cs="Times New Roman" w:eastAsia="Times New Roman" w:hint="default"/>
          <w:spacing w:val="-3"/>
        </w:rPr>
        <w:t> </w:t>
      </w:r>
      <w:r>
        <w:rPr/>
        <w:t>万元，由公司、尚大斌按其持股比例以人民币现金进行认缴，即公司以人民币现金认缴</w:t>
      </w:r>
      <w:r>
        <w:rPr>
          <w:spacing w:val="-48"/>
        </w:rPr>
        <w:t> </w:t>
      </w:r>
      <w:r>
        <w:rPr>
          <w:rFonts w:ascii="Times New Roman" w:hAnsi="Times New Roman" w:cs="Times New Roman" w:eastAsia="Times New Roman" w:hint="default"/>
        </w:rPr>
        <w:t>1,350</w:t>
      </w:r>
      <w:r>
        <w:rPr>
          <w:rFonts w:ascii="Times New Roman" w:hAnsi="Times New Roman" w:cs="Times New Roman" w:eastAsia="Times New Roman" w:hint="default"/>
          <w:spacing w:val="-3"/>
        </w:rPr>
        <w:t> </w:t>
      </w:r>
      <w:r>
        <w:rPr/>
        <w:t>万元，尚大斌以</w:t>
      </w:r>
    </w:p>
    <w:p>
      <w:pPr>
        <w:pStyle w:val="BodyText"/>
        <w:spacing w:line="240" w:lineRule="auto" w:before="62"/>
        <w:ind w:right="0"/>
        <w:jc w:val="left"/>
      </w:pPr>
      <w:r>
        <w:rPr/>
        <w:t>人民币现金认缴</w:t>
      </w:r>
      <w:r>
        <w:rPr>
          <w:spacing w:val="-47"/>
        </w:rPr>
        <w:t> </w:t>
      </w:r>
      <w:r>
        <w:rPr>
          <w:rFonts w:ascii="Times New Roman" w:hAnsi="Times New Roman" w:cs="Times New Roman" w:eastAsia="Times New Roman" w:hint="default"/>
        </w:rPr>
        <w:t>150</w:t>
      </w:r>
      <w:r>
        <w:rPr>
          <w:rFonts w:ascii="Times New Roman" w:hAnsi="Times New Roman" w:cs="Times New Roman" w:eastAsia="Times New Roman" w:hint="default"/>
          <w:spacing w:val="-1"/>
        </w:rPr>
        <w:t> </w:t>
      </w:r>
      <w:r>
        <w:rPr/>
        <w:t>万元。该事项由第二届董事会第十三次会议审议通过。</w:t>
      </w:r>
    </w:p>
    <w:p>
      <w:pPr>
        <w:pStyle w:val="BodyText"/>
        <w:spacing w:line="300" w:lineRule="auto" w:before="101"/>
        <w:ind w:right="185" w:firstLine="359"/>
        <w:jc w:val="left"/>
      </w:pPr>
      <w:r>
        <w:rPr>
          <w:rFonts w:ascii="Times New Roman" w:hAnsi="Times New Roman" w:cs="Times New Roman" w:eastAsia="Times New Roman" w:hint="default"/>
        </w:rPr>
        <w:t>3</w:t>
      </w:r>
      <w:r>
        <w:rPr/>
        <w:t>、审议通过公司出资设立一家投资公司，注册资本人民币</w:t>
      </w:r>
      <w:r>
        <w:rPr>
          <w:spacing w:val="-50"/>
        </w:rPr>
        <w:t>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spacing w:val="-3"/>
        </w:rPr>
        <w:t>万元，全部以自有资金出资，总投资额为</w:t>
      </w:r>
      <w:r>
        <w:rPr>
          <w:spacing w:val="-50"/>
        </w:rPr>
        <w:t>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spacing w:val="-6"/>
        </w:rPr>
        <w:t>万，占</w:t>
      </w:r>
      <w:r>
        <w:rPr/>
        <w:t> 投资公司注册资本的</w:t>
      </w:r>
      <w:r>
        <w:rPr>
          <w:spacing w:val="-47"/>
        </w:rPr>
        <w:t> </w:t>
      </w:r>
      <w:r>
        <w:rPr>
          <w:rFonts w:ascii="Times New Roman" w:hAnsi="Times New Roman" w:cs="Times New Roman" w:eastAsia="Times New Roman" w:hint="default"/>
        </w:rPr>
        <w:t>100%</w:t>
      </w:r>
      <w:r>
        <w:rPr/>
        <w:t>。该事项由第二届董事会第十四次会议审议通过。</w:t>
      </w:r>
    </w:p>
    <w:p>
      <w:pPr>
        <w:pStyle w:val="BodyText"/>
        <w:spacing w:line="300" w:lineRule="auto" w:before="53"/>
        <w:ind w:right="184" w:firstLine="360"/>
        <w:jc w:val="left"/>
      </w:pPr>
      <w:r>
        <w:rPr>
          <w:rFonts w:ascii="Times New Roman" w:hAnsi="Times New Roman" w:cs="Times New Roman" w:eastAsia="Times New Roman" w:hint="default"/>
        </w:rPr>
        <w:t>4</w:t>
      </w:r>
      <w:r>
        <w:rPr/>
        <w:t>、审议通过公司全资子公司河南榕基信息技术有限公司与郑州市金水区科教新城筹备工作组签订金水区科教新城入园 项目投资意向协议书。</w:t>
      </w:r>
    </w:p>
    <w:p>
      <w:pPr>
        <w:pStyle w:val="BodyText"/>
        <w:spacing w:line="300" w:lineRule="auto" w:before="72"/>
        <w:ind w:right="200" w:firstLine="360"/>
        <w:jc w:val="both"/>
      </w:pPr>
      <w:r>
        <w:rPr>
          <w:rFonts w:ascii="Times New Roman" w:hAnsi="Times New Roman" w:cs="Times New Roman" w:eastAsia="Times New Roman" w:hint="default"/>
        </w:rPr>
        <w:t>5</w:t>
      </w:r>
      <w:r>
        <w:rPr/>
        <w:t>、审议通过公司全资子公司河南榕基信息技术有限公司使用超募资金购买土地使用权的事项，河南榕基信息技术有限 公司将使用超募资金</w:t>
      </w:r>
      <w:r>
        <w:rPr>
          <w:spacing w:val="-47"/>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万元和自有资金支付土地款，如有项目用款余额，将用于建设科研、商务办公等生产经营性建 筑物项目。该事项由第二届董事会第十六次会议审议通过。</w:t>
      </w:r>
    </w:p>
    <w:p>
      <w:pPr>
        <w:pStyle w:val="BodyText"/>
        <w:spacing w:line="240" w:lineRule="auto" w:before="70"/>
        <w:ind w:left="512" w:right="0"/>
        <w:jc w:val="left"/>
      </w:pPr>
      <w:r>
        <w:rPr>
          <w:rFonts w:ascii="Times New Roman" w:hAnsi="Times New Roman" w:cs="Times New Roman" w:eastAsia="Times New Roman" w:hint="default"/>
        </w:rPr>
        <w:t>6</w:t>
      </w:r>
      <w:r>
        <w:rPr/>
        <w:t>、审议通过公司追加投资设立榕基国际控股有限公司，公司本次以自有资金换汇追加出资港币</w:t>
      </w:r>
      <w:r>
        <w:rPr>
          <w:spacing w:val="-46"/>
        </w:rPr>
        <w:t> </w:t>
      </w:r>
      <w:r>
        <w:rPr>
          <w:rFonts w:ascii="Times New Roman" w:hAnsi="Times New Roman" w:cs="Times New Roman" w:eastAsia="Times New Roman" w:hint="default"/>
        </w:rPr>
        <w:t>2,700 </w:t>
      </w:r>
      <w:r>
        <w:rPr/>
        <w:t>万元，原计划投</w:t>
      </w:r>
    </w:p>
    <w:p>
      <w:pPr>
        <w:pStyle w:val="BodyText"/>
        <w:spacing w:line="340" w:lineRule="auto" w:before="62"/>
        <w:ind w:left="512" w:right="146" w:hanging="360"/>
        <w:jc w:val="left"/>
        <w:rPr>
          <w:rFonts w:ascii="Times New Roman" w:hAnsi="Times New Roman" w:cs="Times New Roman" w:eastAsia="Times New Roman" w:hint="default"/>
        </w:rPr>
      </w:pPr>
      <w:r>
        <w:rPr/>
        <w:t>资港币</w:t>
      </w:r>
      <w:r>
        <w:rPr>
          <w:spacing w:val="-46"/>
        </w:rPr>
        <w:t> </w:t>
      </w:r>
      <w:r>
        <w:rPr>
          <w:rFonts w:ascii="Times New Roman" w:hAnsi="Times New Roman" w:cs="Times New Roman" w:eastAsia="Times New Roman" w:hint="default"/>
        </w:rPr>
        <w:t>300 </w:t>
      </w:r>
      <w:r>
        <w:rPr/>
        <w:t>万元，总投资港币</w:t>
      </w:r>
      <w:r>
        <w:rPr>
          <w:spacing w:val="-48"/>
        </w:rPr>
        <w:t> </w:t>
      </w:r>
      <w:r>
        <w:rPr>
          <w:rFonts w:ascii="Times New Roman" w:hAnsi="Times New Roman" w:cs="Times New Roman" w:eastAsia="Times New Roman" w:hint="default"/>
        </w:rPr>
        <w:t>3,000 </w:t>
      </w:r>
      <w:r>
        <w:rPr/>
        <w:t>万元，占注册资本的</w:t>
      </w:r>
      <w:r>
        <w:rPr>
          <w:spacing w:val="-46"/>
        </w:rPr>
        <w:t> </w:t>
      </w:r>
      <w:r>
        <w:rPr>
          <w:rFonts w:ascii="Times New Roman" w:hAnsi="Times New Roman" w:cs="Times New Roman" w:eastAsia="Times New Roman" w:hint="default"/>
        </w:rPr>
        <w:t>100%</w:t>
      </w:r>
      <w:r>
        <w:rPr/>
        <w:t>。该事项由第二届董事会第二十次会议审议通过。 </w:t>
      </w:r>
      <w:r>
        <w:rPr>
          <w:rFonts w:ascii="Times New Roman" w:hAnsi="Times New Roman" w:cs="Times New Roman" w:eastAsia="Times New Roman" w:hint="default"/>
          <w:spacing w:val="-8"/>
          <w:w w:val="99"/>
        </w:rPr>
        <w:t>7</w:t>
      </w:r>
      <w:r>
        <w:rPr>
          <w:spacing w:val="-8"/>
          <w:w w:val="99"/>
        </w:rPr>
        <w:t>、审议通过榕基五一（北京）信息技术有限公司与苏州康普国际贸易有限公司（</w:t>
      </w:r>
      <w:r>
        <w:rPr>
          <w:rFonts w:ascii="Times New Roman" w:hAnsi="Times New Roman" w:cs="Times New Roman" w:eastAsia="Times New Roman" w:hint="default"/>
          <w:spacing w:val="-8"/>
          <w:w w:val="99"/>
        </w:rPr>
        <w:t>COMMSCOPE</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(SUZHOU)</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TRADING</w:t>
      </w:r>
      <w:r>
        <w:rPr>
          <w:rFonts w:ascii="Times New Roman" w:hAnsi="Times New Roman" w:cs="Times New Roman" w:eastAsia="Times New Roman" w:hint="default"/>
          <w:spacing w:val="28"/>
          <w:w w:val="99"/>
        </w:rPr>
        <w:t> </w:t>
      </w:r>
      <w:r>
        <w:rPr>
          <w:rFonts w:ascii="Times New Roman" w:hAnsi="Times New Roman" w:cs="Times New Roman" w:eastAsia="Times New Roman" w:hint="default"/>
          <w:w w:val="99"/>
        </w:rPr>
        <w:t>CO.,</w:t>
      </w:r>
    </w:p>
    <w:p>
      <w:pPr>
        <w:pStyle w:val="BodyText"/>
        <w:spacing w:line="228" w:lineRule="exact"/>
        <w:ind w:right="0"/>
        <w:jc w:val="left"/>
      </w:pPr>
      <w:r>
        <w:rPr>
          <w:rFonts w:ascii="Times New Roman" w:hAnsi="Times New Roman" w:cs="Times New Roman" w:eastAsia="Times New Roman" w:hint="default"/>
          <w:spacing w:val="-17"/>
        </w:rPr>
        <w:t>L</w:t>
      </w:r>
      <w:r>
        <w:rPr>
          <w:rFonts w:ascii="Times New Roman" w:hAnsi="Times New Roman" w:cs="Times New Roman" w:eastAsia="Times New Roman" w:hint="default"/>
          <w:spacing w:val="-2"/>
        </w:rPr>
        <w:t>T</w:t>
      </w:r>
      <w:r>
        <w:rPr>
          <w:rFonts w:ascii="Times New Roman" w:hAnsi="Times New Roman" w:cs="Times New Roman" w:eastAsia="Times New Roman" w:hint="default"/>
          <w:spacing w:val="-1"/>
          <w:w w:val="99"/>
        </w:rPr>
        <w:t>D</w:t>
      </w:r>
      <w:r>
        <w:rPr>
          <w:rFonts w:ascii="Times New Roman" w:hAnsi="Times New Roman" w:cs="Times New Roman" w:eastAsia="Times New Roman" w:hint="default"/>
        </w:rPr>
        <w:t>.</w:t>
      </w:r>
      <w:r>
        <w:rPr>
          <w:spacing w:val="-92"/>
        </w:rPr>
        <w:t>）</w:t>
      </w:r>
      <w:r>
        <w:rPr/>
        <w:t>（以下简称</w:t>
      </w:r>
      <w:r>
        <w:rPr>
          <w:rFonts w:ascii="Times New Roman" w:hAnsi="Times New Roman" w:cs="Times New Roman" w:eastAsia="Times New Roman" w:hint="default"/>
          <w:spacing w:val="-1"/>
        </w:rPr>
        <w:t>“</w:t>
      </w:r>
      <w:r>
        <w:rPr>
          <w:spacing w:val="2"/>
        </w:rPr>
        <w:t>康</w:t>
      </w:r>
      <w:r>
        <w:rPr/>
        <w:t>普国际</w:t>
      </w:r>
      <w:r>
        <w:rPr>
          <w:rFonts w:ascii="Times New Roman" w:hAnsi="Times New Roman" w:cs="Times New Roman" w:eastAsia="Times New Roman" w:hint="default"/>
          <w:spacing w:val="-1"/>
        </w:rPr>
        <w:t>”</w:t>
      </w:r>
      <w:r>
        <w:rPr>
          <w:spacing w:val="2"/>
        </w:rPr>
        <w:t>）</w:t>
      </w:r>
      <w:r>
        <w:rPr/>
        <w:t>签署《康普国际与榕基五一经销协议》的事项。</w:t>
      </w:r>
    </w:p>
    <w:p>
      <w:pPr>
        <w:spacing w:after="0" w:line="228" w:lineRule="exact"/>
        <w:jc w:val="left"/>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七、同业竞争情况" w:id="123"/>
      <w:bookmarkEnd w:id="123"/>
      <w:r>
        <w:rPr>
          <w:b w:val="0"/>
          <w:bCs w:val="0"/>
        </w:rPr>
      </w:r>
      <w:r>
        <w:rPr/>
        <w:t>五</w:t>
      </w:r>
      <w:bookmarkStart w:name="五、监事会工作情况" w:id="124"/>
      <w:bookmarkEnd w:id="124"/>
      <w:r>
        <w:rPr/>
        <w:t>、</w:t>
      </w:r>
      <w:r>
        <w:rPr/>
        <w:t>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5"/>
        <w:ind w:right="67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六、公司相对于控</w:t>
      </w:r>
      <w:bookmarkStart w:name="六、公司相对于控股股东在业务、人员、资产、机构、财务等方面的独立完整情况" w:id="125"/>
      <w:bookmarkEnd w:id="125"/>
      <w:r>
        <w:rPr/>
        <w:t>股股</w:t>
      </w:r>
      <w:r>
        <w:rPr/>
        <w:t>东在业务、人员、资产、机构、财务等方面的独立完整情况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t>公司严格按照《公司法》和《公司章程》规范运作，逐步建立健全公司的法人治理结构，在业务、资产、人员、机构、 财务等方面均具备独立运营能力。</w:t>
      </w:r>
    </w:p>
    <w:p>
      <w:pPr>
        <w:pStyle w:val="BodyText"/>
        <w:spacing w:line="360" w:lineRule="auto" w:before="59"/>
        <w:ind w:left="512" w:right="0"/>
        <w:jc w:val="left"/>
      </w:pPr>
      <w:r>
        <w:rPr/>
        <w:t>（一）业务独立情况 </w:t>
      </w:r>
      <w:r>
        <w:rPr>
          <w:spacing w:val="-2"/>
        </w:rPr>
        <w:t>本公司主营业务为软件产品的开发与销售、计算机系统集成及技术支持与服务。公司独立进行产品的技术研发、生产和</w:t>
      </w:r>
    </w:p>
    <w:p>
      <w:pPr>
        <w:pStyle w:val="BodyText"/>
        <w:spacing w:line="222" w:lineRule="exact"/>
        <w:ind w:right="0"/>
        <w:jc w:val="both"/>
      </w:pPr>
      <w:r>
        <w:rPr>
          <w:spacing w:val="-4"/>
        </w:rPr>
        <w:t>销售，具有独立的软件开发技术，拥有具有自主知识产权的软件产品，拥有独立的注册商标，具备相关业务市场的准入资质。</w:t>
      </w:r>
    </w:p>
    <w:p>
      <w:pPr>
        <w:pStyle w:val="BodyText"/>
        <w:spacing w:line="316" w:lineRule="auto" w:before="76"/>
        <w:ind w:right="94"/>
        <w:jc w:val="left"/>
      </w:pPr>
      <w:r>
        <w:rPr>
          <w:spacing w:val="-2"/>
        </w:rPr>
        <w:t>公司已建立了完整的职能部门架构，拥有独立的采购、生产、销售和研发系统，能独立开展业务；公司生产经营所需技术为</w:t>
      </w:r>
      <w:r>
        <w:rPr>
          <w:spacing w:val="-67"/>
        </w:rPr>
        <w:t> </w:t>
      </w:r>
      <w:r>
        <w:rPr>
          <w:spacing w:val="-67"/>
        </w:rPr>
      </w:r>
      <w:r>
        <w:rPr/>
        <w:t>公司合法独立拥有，没有产权争议；公司独立对外签订所有合同，具有独立生产经营决策，独立从事生产经营活动的能力， 所有业务环节不存在依赖控股股东及主要股东的情况。</w:t>
      </w:r>
    </w:p>
    <w:p>
      <w:pPr>
        <w:pStyle w:val="BodyText"/>
        <w:spacing w:line="240" w:lineRule="auto" w:before="57"/>
        <w:ind w:left="512" w:right="0"/>
        <w:jc w:val="left"/>
      </w:pPr>
      <w:r>
        <w:rPr/>
        <w:t>（二）人员独立情况</w:t>
      </w:r>
    </w:p>
    <w:p>
      <w:pPr>
        <w:pStyle w:val="BodyText"/>
        <w:spacing w:line="309" w:lineRule="auto" w:before="117"/>
        <w:ind w:right="94" w:firstLine="360"/>
        <w:jc w:val="left"/>
      </w:pPr>
      <w:r>
        <w:rPr>
          <w:spacing w:val="-3"/>
        </w:rPr>
        <w:t>本公司的研发、生产、采购、销售和行政管理人员均完全独立。截至</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日，本公司共有正式员工</w:t>
      </w:r>
      <w:r>
        <w:rPr>
          <w:spacing w:val="-45"/>
        </w:rPr>
        <w:t> </w:t>
      </w:r>
      <w:r>
        <w:rPr>
          <w:rFonts w:ascii="Times New Roman" w:hAnsi="Times New Roman" w:cs="Times New Roman" w:eastAsia="Times New Roman" w:hint="default"/>
        </w:rPr>
        <w:t>724</w:t>
      </w:r>
      <w:r>
        <w:rPr>
          <w:rFonts w:ascii="Times New Roman" w:hAnsi="Times New Roman" w:cs="Times New Roman" w:eastAsia="Times New Roman" w:hint="default"/>
          <w:spacing w:val="1"/>
        </w:rPr>
        <w:t> </w:t>
      </w:r>
      <w:r>
        <w:rPr/>
        <w:t>人， </w:t>
      </w:r>
      <w:r>
        <w:rPr>
          <w:spacing w:val="-2"/>
        </w:rPr>
        <w:t>均与公司签订了劳动聘用合同，公司根据工资管理制度发放工资。公司总裁、副总裁、财务负责人、董事会秘书及核心技术</w:t>
      </w:r>
      <w:r>
        <w:rPr>
          <w:spacing w:val="-65"/>
        </w:rPr>
        <w:t> </w:t>
      </w:r>
      <w:r>
        <w:rPr>
          <w:spacing w:val="-65"/>
        </w:rPr>
      </w:r>
      <w:r>
        <w:rPr/>
        <w:t>人员均专职于公司工作，并领取报酬，目前并无在持有公司</w:t>
      </w:r>
      <w:r>
        <w:rPr>
          <w:spacing w:val="-48"/>
        </w:rPr>
        <w:t> </w:t>
      </w:r>
      <w:r>
        <w:rPr>
          <w:rFonts w:ascii="Times New Roman" w:hAnsi="Times New Roman" w:cs="Times New Roman" w:eastAsia="Times New Roman" w:hint="default"/>
        </w:rPr>
        <w:t>5%</w:t>
      </w:r>
      <w:r>
        <w:rPr/>
        <w:t>以上股份的股东下属企业担任董事、监事以外的其他职务的 </w:t>
      </w:r>
      <w:r>
        <w:rPr>
          <w:spacing w:val="-5"/>
        </w:rPr>
        <w:t>情况。公司董事、监事及其他高级管理人员均依《公司法》、《公司章程》等规定的合法程序选举或聘任，公司具有独立的人</w:t>
      </w:r>
      <w:r>
        <w:rPr>
          <w:spacing w:val="-82"/>
        </w:rPr>
        <w:t> </w:t>
      </w:r>
      <w:r>
        <w:rPr>
          <w:spacing w:val="-82"/>
        </w:rPr>
      </w:r>
      <w:r>
        <w:rPr>
          <w:spacing w:val="-4"/>
        </w:rPr>
        <w:t>事任免权力，不存在控股股东及主要股东干预公司董事会和股东大会，或是超越董事会和股东大会做出人事任免决定的情况。</w:t>
      </w:r>
    </w:p>
    <w:p>
      <w:pPr>
        <w:pStyle w:val="BodyText"/>
        <w:spacing w:line="360" w:lineRule="auto" w:before="24"/>
        <w:ind w:left="512" w:right="0" w:hanging="360"/>
        <w:jc w:val="left"/>
      </w:pPr>
      <w:r>
        <w:rPr/>
        <w:t>（三）资产独立情况 </w:t>
      </w:r>
      <w:r>
        <w:rPr>
          <w:spacing w:val="-2"/>
        </w:rPr>
        <w:t>公司资产与股东资产严格分开，权属明确，并完全独立运营，公司目前业务和生产经营必需的机器设备、房屋、土地使</w:t>
      </w:r>
    </w:p>
    <w:p>
      <w:pPr>
        <w:pStyle w:val="BodyText"/>
        <w:spacing w:line="222" w:lineRule="exact"/>
        <w:ind w:right="0"/>
        <w:jc w:val="both"/>
      </w:pPr>
      <w:r>
        <w:rPr/>
        <w:t>用权、商标、专利及其他资产的权属完全由公司独立享有，不存在与股东共用的情况。公司对所有资产拥有完全的控制和支</w:t>
      </w:r>
    </w:p>
    <w:p>
      <w:pPr>
        <w:pStyle w:val="BodyText"/>
        <w:spacing w:line="240" w:lineRule="auto" w:before="76"/>
        <w:ind w:right="0"/>
        <w:jc w:val="both"/>
      </w:pPr>
      <w:r>
        <w:rPr/>
        <w:t>配权，不存在资产、资金被股东占用而损害公司利益的情况。公司不存在为股东和其他个人提供担保的情形。</w:t>
      </w:r>
    </w:p>
    <w:p>
      <w:pPr>
        <w:pStyle w:val="BodyText"/>
        <w:spacing w:line="360" w:lineRule="auto" w:before="115"/>
        <w:ind w:left="512" w:right="0"/>
        <w:jc w:val="left"/>
      </w:pPr>
      <w:r>
        <w:rPr/>
        <w:t>（四）机构独立情况 </w:t>
      </w:r>
      <w:r>
        <w:rPr>
          <w:spacing w:val="-2"/>
        </w:rPr>
        <w:t>公司设有独立的职能部门，组织结构健全，独立运作，在机构设置上完全分开，不存在与控股股东混合经营、合署办公</w:t>
      </w:r>
    </w:p>
    <w:p>
      <w:pPr>
        <w:pStyle w:val="BodyText"/>
        <w:spacing w:line="222" w:lineRule="exact"/>
        <w:ind w:right="0"/>
        <w:jc w:val="both"/>
      </w:pPr>
      <w:r>
        <w:rPr/>
        <w:t>等情况。</w:t>
      </w:r>
    </w:p>
    <w:p>
      <w:pPr>
        <w:pStyle w:val="BodyText"/>
        <w:spacing w:line="357" w:lineRule="auto" w:before="117"/>
        <w:ind w:left="512" w:right="94"/>
        <w:jc w:val="left"/>
      </w:pPr>
      <w:r>
        <w:rPr/>
        <w:t>（五）财务独立情况 公司设立了独立的财务部门，配备了专职财务人员，建立了独立的会计核算体系。公司具有独立作出财务决策的能力。</w:t>
      </w:r>
    </w:p>
    <w:p>
      <w:pPr>
        <w:pStyle w:val="BodyText"/>
        <w:spacing w:line="224" w:lineRule="exact"/>
        <w:ind w:right="0"/>
        <w:jc w:val="both"/>
      </w:pPr>
      <w:r>
        <w:rPr/>
        <w:t>公司经营活动和重大资产处置行为的财务会计处理，均以股东大会决议、董事会决议及相关合同文本为依据，未出现股东干</w:t>
      </w:r>
    </w:p>
    <w:p>
      <w:pPr>
        <w:pStyle w:val="BodyText"/>
        <w:spacing w:line="309" w:lineRule="auto" w:before="76"/>
        <w:ind w:right="104"/>
        <w:jc w:val="both"/>
      </w:pPr>
      <w:r>
        <w:rPr/>
        <w:t>预公司财务部门业务开展的情形。公司对所拥有资产有完全控制支配权，不存在股东占用公司资产而损害公司利益的情况。 </w:t>
      </w:r>
      <w:r>
        <w:rPr>
          <w:spacing w:val="-3"/>
        </w:rPr>
        <w:t>公司独立纳税，国地税登记号为 </w:t>
      </w:r>
      <w:r>
        <w:rPr>
          <w:rFonts w:ascii="Times New Roman" w:hAnsi="Times New Roman" w:cs="Times New Roman" w:eastAsia="Times New Roman" w:hint="default"/>
          <w:spacing w:val="-3"/>
        </w:rPr>
        <w:t>350111628507579</w:t>
      </w:r>
      <w:r>
        <w:rPr>
          <w:spacing w:val="-3"/>
        </w:rPr>
        <w:t>。公司独立开设银行账户，基本开户银行为中国农业银行福州市冶山支行，</w:t>
      </w:r>
      <w:r>
        <w:rPr>
          <w:spacing w:val="-83"/>
        </w:rPr>
        <w:t> </w:t>
      </w:r>
      <w:r>
        <w:rPr>
          <w:spacing w:val="-83"/>
        </w:rPr>
      </w:r>
      <w:r>
        <w:rPr/>
        <w:t>账号为</w:t>
      </w:r>
      <w:r>
        <w:rPr>
          <w:spacing w:val="-56"/>
        </w:rPr>
        <w:t> </w:t>
      </w:r>
      <w:r>
        <w:rPr>
          <w:rFonts w:ascii="Times New Roman" w:hAnsi="Times New Roman" w:cs="Times New Roman" w:eastAsia="Times New Roman" w:hint="default"/>
        </w:rPr>
        <w:t>13110301040006438</w:t>
      </w:r>
      <w:r>
        <w:rPr/>
        <w:t>。</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2" w:right="0"/>
        <w:jc w:val="left"/>
      </w:pPr>
      <w:r>
        <w:rPr/>
        <w:t>公司与控股股东以及实际控制人之间不存在同业竞争情况。公司的控股股东及实际控制人鲁峰先生已向本公司出具了</w:t>
      </w:r>
    </w:p>
    <w:p>
      <w:pPr>
        <w:pStyle w:val="BodyText"/>
        <w:spacing w:line="316" w:lineRule="auto" w:before="76"/>
        <w:ind w:right="193"/>
        <w:jc w:val="both"/>
      </w:pPr>
      <w:r>
        <w:rPr>
          <w:spacing w:val="-2"/>
        </w:rPr>
        <w:t>《放弃竞争与利益冲突承诺书》，承诺不生产、开发任何与股份公司及下属子公司生产的产品构成竞争或可能构成竞争的产</w:t>
      </w:r>
      <w:r>
        <w:rPr>
          <w:spacing w:val="-71"/>
        </w:rPr>
        <w:t> </w:t>
      </w:r>
      <w:r>
        <w:rPr>
          <w:spacing w:val="-71"/>
        </w:rPr>
      </w:r>
      <w:r>
        <w:rPr>
          <w:spacing w:val="-2"/>
        </w:rPr>
        <w:t>品，不直接或间接经营任何与股份公司及其下属子公司经营的业务构成竞争或可能构成竞争的业务，也不参与投资任何与股</w:t>
      </w:r>
      <w:r>
        <w:rPr>
          <w:spacing w:val="-64"/>
        </w:rPr>
        <w:t> </w:t>
      </w:r>
      <w:r>
        <w:rPr>
          <w:spacing w:val="-64"/>
        </w:rPr>
      </w:r>
      <w:r>
        <w:rPr/>
        <w:t>份公司及其下属子公司生产的产品或经营的业务构成竞争或可能构成竞争的其他企业。</w:t>
      </w:r>
    </w:p>
    <w:p>
      <w:pPr>
        <w:spacing w:after="0" w:line="316" w:lineRule="auto"/>
        <w:jc w:val="both"/>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47"/>
        <w:jc w:val="left"/>
        <w:rPr>
          <w:b w:val="0"/>
          <w:bCs w:val="0"/>
        </w:rPr>
      </w:pPr>
      <w:r>
        <w:rPr/>
        <w:t>八</w:t>
      </w:r>
      <w:bookmarkStart w:name="八、高级管理人员的考评及激励情况" w:id="126"/>
      <w:bookmarkEnd w:id="126"/>
      <w:r>
        <w:rPr/>
        <w:t>、</w:t>
      </w:r>
      <w:r>
        <w:rPr/>
        <w:t>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41" w:firstLine="633"/>
        <w:jc w:val="left"/>
      </w:pPr>
      <w:r>
        <w:rPr/>
        <w:t>公司的高级管理人员依据《公司章程》和岗位职责开展工作。公司董事会薪酬与考核委员会依据董事、监事及高级 管理人员职责履行情况及业绩，对其进行考评，并依据考评结果提出薪酬方案，并提交董事会、股东大会审议。</w:t>
      </w:r>
    </w:p>
    <w:p>
      <w:pPr>
        <w:spacing w:after="0" w:line="316"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87" w:right="3627"/>
        <w:jc w:val="center"/>
        <w:rPr>
          <w:b w:val="0"/>
          <w:bCs w:val="0"/>
        </w:rPr>
      </w:pPr>
      <w:bookmarkStart w:name="第九节 内部控制" w:id="127"/>
      <w:bookmarkEnd w:id="127"/>
      <w:r>
        <w:rPr>
          <w:b w:val="0"/>
          <w:bCs w:val="0"/>
        </w:rPr>
      </w:r>
      <w:bookmarkStart w:name="_bookmark8" w:id="128"/>
      <w:bookmarkEnd w:id="128"/>
      <w:r>
        <w:rPr>
          <w:b w:val="0"/>
          <w:bCs w:val="0"/>
        </w:rPr>
      </w:r>
      <w:r>
        <w:rPr/>
        <w:t>第九节</w:t>
      </w:r>
      <w:r>
        <w:rPr>
          <w:spacing w:val="-4"/>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一、内部控制</w:t>
      </w:r>
      <w:bookmarkStart w:name="一、内部控制建设情况" w:id="129"/>
      <w:bookmarkEnd w:id="129"/>
      <w:r>
        <w:rPr/>
        <w:t>建</w:t>
      </w:r>
      <w:r>
        <w:rPr/>
        <w:t>设情况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pPr>
      <w:r>
        <w:rPr>
          <w:spacing w:val="-6"/>
        </w:rPr>
        <w:t>为规范经营管理，控制风险，保证经营业务活动的正常开展，公司依据《中华人民共和国公司法》、《中华人民共和国证</w:t>
      </w:r>
      <w:r>
        <w:rPr/>
        <w:t> </w:t>
      </w:r>
      <w:r>
        <w:rPr>
          <w:spacing w:val="-11"/>
        </w:rPr>
        <w:t>券法》、《企业内部控制基本规范》、《深圳证券交易所上市公司内部控制指引》、《深圳证券交易所中小企业板上市公司规范运</w:t>
      </w:r>
      <w:r>
        <w:rPr>
          <w:spacing w:val="-87"/>
        </w:rPr>
        <w:t> </w:t>
      </w:r>
      <w:r>
        <w:rPr>
          <w:spacing w:val="-87"/>
        </w:rPr>
      </w:r>
      <w:r>
        <w:rPr>
          <w:spacing w:val="-2"/>
        </w:rPr>
        <w:t>作指引》等相关法律、法规的要求，结合自身经营管理的特点，逐步完善和提高了公司内部控制制度和规范运作水平，为公</w:t>
      </w:r>
      <w:r>
        <w:rPr>
          <w:spacing w:val="-67"/>
        </w:rPr>
        <w:t> </w:t>
      </w:r>
      <w:r>
        <w:rPr>
          <w:spacing w:val="-67"/>
        </w:rPr>
      </w:r>
      <w:r>
        <w:rPr/>
        <w:t>司的长远发展奠定了良好的基础。公司内部控制制度建立健全情况如下：</w:t>
      </w:r>
    </w:p>
    <w:p>
      <w:pPr>
        <w:pStyle w:val="BodyText"/>
        <w:spacing w:line="357" w:lineRule="auto" w:before="59"/>
        <w:ind w:left="512" w:right="0"/>
        <w:jc w:val="left"/>
      </w:pPr>
      <w:r>
        <w:rPr/>
        <w:t>（一）法人治理结构 </w:t>
      </w:r>
      <w:r>
        <w:rPr>
          <w:spacing w:val="-9"/>
        </w:rPr>
        <w:t>公司有较为健全的法人治理结构和完善的管理制度，主要包括《公司章程》、《公司股东大会议事规则》、《公司董事会议</w:t>
      </w:r>
    </w:p>
    <w:p>
      <w:pPr>
        <w:pStyle w:val="BodyText"/>
        <w:spacing w:line="224" w:lineRule="exact"/>
        <w:ind w:right="0"/>
        <w:jc w:val="both"/>
      </w:pPr>
      <w:r>
        <w:rPr/>
        <w:t>事规则</w:t>
      </w:r>
      <w:r>
        <w:rPr>
          <w:spacing w:val="-92"/>
        </w:rPr>
        <w:t>》</w:t>
      </w:r>
      <w:r>
        <w:rPr>
          <w:spacing w:val="-108"/>
        </w:rPr>
        <w:t>、</w:t>
      </w:r>
      <w:r>
        <w:rPr/>
        <w:t>《公司监事会议事</w:t>
      </w:r>
      <w:r>
        <w:rPr>
          <w:spacing w:val="2"/>
        </w:rPr>
        <w:t>规</w:t>
      </w:r>
      <w:r>
        <w:rPr/>
        <w:t>则</w:t>
      </w:r>
      <w:r>
        <w:rPr>
          <w:spacing w:val="-92"/>
        </w:rPr>
        <w:t>》</w:t>
      </w:r>
      <w:r>
        <w:rPr>
          <w:spacing w:val="-108"/>
        </w:rPr>
        <w:t>、</w:t>
      </w:r>
      <w:r>
        <w:rPr/>
        <w:t>《公司总裁工作细</w:t>
      </w:r>
      <w:r>
        <w:rPr>
          <w:spacing w:val="2"/>
        </w:rPr>
        <w:t>则</w:t>
      </w:r>
      <w:r>
        <w:rPr>
          <w:spacing w:val="-92"/>
        </w:rPr>
        <w:t>》</w:t>
      </w:r>
      <w:r>
        <w:rPr>
          <w:spacing w:val="-108"/>
        </w:rPr>
        <w:t>、</w:t>
      </w:r>
      <w:r>
        <w:rPr>
          <w:spacing w:val="2"/>
        </w:rPr>
        <w:t>《</w:t>
      </w:r>
      <w:r>
        <w:rPr/>
        <w:t>公司独立董事工作制度</w:t>
      </w:r>
      <w:r>
        <w:rPr>
          <w:spacing w:val="-92"/>
        </w:rPr>
        <w:t>》</w:t>
      </w:r>
      <w:r>
        <w:rPr>
          <w:spacing w:val="-108"/>
        </w:rPr>
        <w:t>、</w:t>
      </w:r>
      <w:r>
        <w:rPr/>
        <w:t>《</w:t>
      </w:r>
      <w:r>
        <w:rPr>
          <w:spacing w:val="2"/>
        </w:rPr>
        <w:t>公</w:t>
      </w:r>
      <w:r>
        <w:rPr/>
        <w:t>司董事会秘书工作细则</w:t>
      </w:r>
      <w:r>
        <w:rPr>
          <w:spacing w:val="-92"/>
        </w:rPr>
        <w:t>》</w:t>
      </w:r>
      <w:r>
        <w:rPr>
          <w:spacing w:val="-108"/>
        </w:rPr>
        <w:t>、</w:t>
      </w:r>
      <w:r>
        <w:rPr/>
        <w:t>《</w:t>
      </w:r>
      <w:r>
        <w:rPr>
          <w:spacing w:val="2"/>
        </w:rPr>
        <w:t>公</w:t>
      </w:r>
      <w:r>
        <w:rPr/>
        <w:t>司董</w:t>
      </w:r>
    </w:p>
    <w:p>
      <w:pPr>
        <w:pStyle w:val="BodyText"/>
        <w:spacing w:line="316" w:lineRule="auto" w:before="76"/>
        <w:ind w:right="102"/>
        <w:jc w:val="both"/>
      </w:pPr>
      <w:r>
        <w:rPr/>
        <w:t>事会战略委员会实施细则</w:t>
      </w:r>
      <w:r>
        <w:rPr>
          <w:spacing w:val="-92"/>
        </w:rPr>
        <w:t>》</w:t>
      </w:r>
      <w:r>
        <w:rPr>
          <w:spacing w:val="-118"/>
        </w:rPr>
        <w:t>、</w:t>
      </w:r>
      <w:r>
        <w:rPr>
          <w:spacing w:val="2"/>
        </w:rPr>
        <w:t>《</w:t>
      </w:r>
      <w:r>
        <w:rPr/>
        <w:t>公司董事会提名委员会实施细则</w:t>
      </w:r>
      <w:r>
        <w:rPr>
          <w:spacing w:val="-92"/>
        </w:rPr>
        <w:t>》</w:t>
      </w:r>
      <w:r>
        <w:rPr>
          <w:spacing w:val="-118"/>
        </w:rPr>
        <w:t>、</w:t>
      </w:r>
      <w:r>
        <w:rPr/>
        <w:t>《公司董事会审计委员</w:t>
      </w:r>
      <w:r>
        <w:rPr>
          <w:spacing w:val="2"/>
        </w:rPr>
        <w:t>会</w:t>
      </w:r>
      <w:r>
        <w:rPr/>
        <w:t>实施细则</w:t>
      </w:r>
      <w:r>
        <w:rPr>
          <w:spacing w:val="-92"/>
        </w:rPr>
        <w:t>》</w:t>
      </w:r>
      <w:r>
        <w:rPr>
          <w:spacing w:val="-118"/>
        </w:rPr>
        <w:t>、</w:t>
      </w:r>
      <w:r>
        <w:rPr/>
        <w:t>《公司董事会薪</w:t>
      </w:r>
      <w:r>
        <w:rPr>
          <w:spacing w:val="2"/>
        </w:rPr>
        <w:t>酬</w:t>
      </w:r>
      <w:r>
        <w:rPr/>
        <w:t>与考</w:t>
      </w:r>
      <w:r>
        <w:rPr/>
        <w:t> 核委员会实施细则</w:t>
      </w:r>
      <w:r>
        <w:rPr>
          <w:spacing w:val="-92"/>
        </w:rPr>
        <w:t>》</w:t>
      </w:r>
      <w:r>
        <w:rPr>
          <w:spacing w:val="-111"/>
        </w:rPr>
        <w:t>、</w:t>
      </w:r>
      <w:r>
        <w:rPr/>
        <w:t>《公司</w:t>
      </w:r>
      <w:r>
        <w:rPr>
          <w:spacing w:val="2"/>
        </w:rPr>
        <w:t>募</w:t>
      </w:r>
      <w:r>
        <w:rPr/>
        <w:t>集资金管理制度</w:t>
      </w:r>
      <w:r>
        <w:rPr>
          <w:spacing w:val="-92"/>
        </w:rPr>
        <w:t>》</w:t>
      </w:r>
      <w:r>
        <w:rPr>
          <w:spacing w:val="-111"/>
        </w:rPr>
        <w:t>、</w:t>
      </w:r>
      <w:r>
        <w:rPr/>
        <w:t>《公司关</w:t>
      </w:r>
      <w:r>
        <w:rPr>
          <w:spacing w:val="2"/>
        </w:rPr>
        <w:t>联</w:t>
      </w:r>
      <w:r>
        <w:rPr/>
        <w:t>交易管理制度</w:t>
      </w:r>
      <w:r>
        <w:rPr>
          <w:spacing w:val="-92"/>
        </w:rPr>
        <w:t>》</w:t>
      </w:r>
      <w:r>
        <w:rPr>
          <w:spacing w:val="-111"/>
        </w:rPr>
        <w:t>、</w:t>
      </w:r>
      <w:r>
        <w:rPr/>
        <w:t>《公司对外</w:t>
      </w:r>
      <w:r>
        <w:rPr>
          <w:spacing w:val="2"/>
        </w:rPr>
        <w:t>投</w:t>
      </w:r>
      <w:r>
        <w:rPr/>
        <w:t>资管理办法</w:t>
      </w:r>
      <w:r>
        <w:rPr>
          <w:spacing w:val="-92"/>
        </w:rPr>
        <w:t>》</w:t>
      </w:r>
      <w:r>
        <w:rPr>
          <w:spacing w:val="-113"/>
        </w:rPr>
        <w:t>、</w:t>
      </w:r>
      <w:r>
        <w:rPr>
          <w:spacing w:val="2"/>
        </w:rPr>
        <w:t>《</w:t>
      </w:r>
      <w:r>
        <w:rPr/>
        <w:t>公司对外担</w:t>
      </w:r>
      <w:r>
        <w:rPr>
          <w:spacing w:val="2"/>
        </w:rPr>
        <w:t>保</w:t>
      </w:r>
      <w:r>
        <w:rPr>
          <w:spacing w:val="-3"/>
        </w:rPr>
        <w:t>管</w:t>
      </w:r>
      <w:r>
        <w:rPr/>
        <w:t>理</w:t>
      </w:r>
      <w:r>
        <w:rPr/>
        <w:t> 制度</w:t>
      </w:r>
      <w:r>
        <w:rPr>
          <w:spacing w:val="-92"/>
        </w:rPr>
        <w:t>》</w:t>
      </w:r>
      <w:r>
        <w:rPr>
          <w:spacing w:val="-108"/>
        </w:rPr>
        <w:t>、</w:t>
      </w:r>
      <w:r>
        <w:rPr/>
        <w:t>《公司内部审计制</w:t>
      </w:r>
      <w:r>
        <w:rPr>
          <w:spacing w:val="2"/>
        </w:rPr>
        <w:t>度</w:t>
      </w:r>
      <w:r>
        <w:rPr>
          <w:spacing w:val="-92"/>
        </w:rPr>
        <w:t>》</w:t>
      </w:r>
      <w:r>
        <w:rPr>
          <w:spacing w:val="-106"/>
        </w:rPr>
        <w:t>、</w:t>
      </w:r>
      <w:r>
        <w:rPr/>
        <w:t>《公司信息披露管理制度</w:t>
      </w:r>
      <w:r>
        <w:rPr>
          <w:spacing w:val="-92"/>
        </w:rPr>
        <w:t>》</w:t>
      </w:r>
      <w:r>
        <w:rPr>
          <w:spacing w:val="-108"/>
        </w:rPr>
        <w:t>、</w:t>
      </w:r>
      <w:r>
        <w:rPr>
          <w:spacing w:val="2"/>
        </w:rPr>
        <w:t>《</w:t>
      </w:r>
      <w:r>
        <w:rPr/>
        <w:t>公司内幕信息知情人报备制度</w:t>
      </w:r>
      <w:r>
        <w:rPr>
          <w:spacing w:val="-89"/>
        </w:rPr>
        <w:t>》</w:t>
      </w:r>
      <w:r>
        <w:rPr>
          <w:spacing w:val="-108"/>
        </w:rPr>
        <w:t>、</w:t>
      </w:r>
      <w:r>
        <w:rPr/>
        <w:t>《控股股东</w:t>
      </w:r>
      <w:r>
        <w:rPr>
          <w:spacing w:val="-17"/>
        </w:rPr>
        <w:t>、</w:t>
      </w:r>
      <w:r>
        <w:rPr/>
        <w:t>实际控制人行</w:t>
      </w:r>
      <w:r>
        <w:rPr>
          <w:spacing w:val="2"/>
        </w:rPr>
        <w:t>为</w:t>
      </w:r>
      <w:r>
        <w:rPr/>
        <w:t>规</w:t>
      </w:r>
      <w:r>
        <w:rPr/>
        <w:t> 范</w:t>
      </w:r>
      <w:r>
        <w:rPr>
          <w:spacing w:val="-92"/>
        </w:rPr>
        <w:t>》</w:t>
      </w:r>
      <w:r>
        <w:rPr>
          <w:spacing w:val="-108"/>
        </w:rPr>
        <w:t>、</w:t>
      </w:r>
      <w:r>
        <w:rPr/>
        <w:t>《公司重大信息内部报</w:t>
      </w:r>
      <w:r>
        <w:rPr>
          <w:spacing w:val="2"/>
        </w:rPr>
        <w:t>告</w:t>
      </w:r>
      <w:r>
        <w:rPr/>
        <w:t>制度</w:t>
      </w:r>
      <w:r>
        <w:rPr>
          <w:spacing w:val="-92"/>
        </w:rPr>
        <w:t>》</w:t>
      </w:r>
      <w:r>
        <w:rPr>
          <w:spacing w:val="-108"/>
        </w:rPr>
        <w:t>、</w:t>
      </w:r>
      <w:r>
        <w:rPr/>
        <w:t>《公司重大信息内部</w:t>
      </w:r>
      <w:r>
        <w:rPr>
          <w:spacing w:val="2"/>
        </w:rPr>
        <w:t>保</w:t>
      </w:r>
      <w:r>
        <w:rPr/>
        <w:t>密制度</w:t>
      </w:r>
      <w:r>
        <w:rPr>
          <w:spacing w:val="-92"/>
        </w:rPr>
        <w:t>》</w:t>
      </w:r>
      <w:r>
        <w:rPr>
          <w:spacing w:val="-108"/>
        </w:rPr>
        <w:t>、</w:t>
      </w:r>
      <w:r>
        <w:rPr/>
        <w:t>《投资者关系管理</w:t>
      </w:r>
      <w:r>
        <w:rPr>
          <w:spacing w:val="2"/>
        </w:rPr>
        <w:t>制</w:t>
      </w:r>
      <w:r>
        <w:rPr/>
        <w:t>度</w:t>
      </w:r>
      <w:r>
        <w:rPr>
          <w:spacing w:val="-92"/>
        </w:rPr>
        <w:t>》</w:t>
      </w:r>
      <w:r>
        <w:rPr>
          <w:spacing w:val="-108"/>
        </w:rPr>
        <w:t>、</w:t>
      </w:r>
      <w:r>
        <w:rPr/>
        <w:t>《董事</w:t>
      </w:r>
      <w:r>
        <w:rPr>
          <w:spacing w:val="-17"/>
        </w:rPr>
        <w:t>、</w:t>
      </w:r>
      <w:r>
        <w:rPr/>
        <w:t>监事和高级管</w:t>
      </w:r>
      <w:r>
        <w:rPr>
          <w:spacing w:val="2"/>
        </w:rPr>
        <w:t>理</w:t>
      </w:r>
      <w:r>
        <w:rPr/>
        <w:t>人员</w:t>
      </w:r>
      <w:r>
        <w:rPr/>
        <w:t> 所持公司股份及其变动管理制度</w:t>
      </w:r>
      <w:r>
        <w:rPr>
          <w:spacing w:val="-92"/>
        </w:rPr>
        <w:t>》</w:t>
      </w:r>
      <w:r>
        <w:rPr>
          <w:spacing w:val="-113"/>
        </w:rPr>
        <w:t>、</w:t>
      </w:r>
      <w:r>
        <w:rPr/>
        <w:t>《审计委</w:t>
      </w:r>
      <w:r>
        <w:rPr>
          <w:spacing w:val="2"/>
        </w:rPr>
        <w:t>员</w:t>
      </w:r>
      <w:r>
        <w:rPr/>
        <w:t>会年报工作</w:t>
      </w:r>
      <w:r>
        <w:rPr>
          <w:spacing w:val="2"/>
        </w:rPr>
        <w:t>规</w:t>
      </w:r>
      <w:r>
        <w:rPr/>
        <w:t>程</w:t>
      </w:r>
      <w:r>
        <w:rPr>
          <w:spacing w:val="-92"/>
        </w:rPr>
        <w:t>》</w:t>
      </w:r>
      <w:r>
        <w:rPr>
          <w:spacing w:val="-113"/>
        </w:rPr>
        <w:t>、</w:t>
      </w:r>
      <w:r>
        <w:rPr/>
        <w:t>《社会责</w:t>
      </w:r>
      <w:r>
        <w:rPr>
          <w:spacing w:val="2"/>
        </w:rPr>
        <w:t>任</w:t>
      </w:r>
      <w:r>
        <w:rPr/>
        <w:t>制度</w:t>
      </w:r>
      <w:r>
        <w:rPr>
          <w:spacing w:val="-89"/>
        </w:rPr>
        <w:t>》</w:t>
      </w:r>
      <w:r>
        <w:rPr>
          <w:spacing w:val="-113"/>
        </w:rPr>
        <w:t>、</w:t>
      </w:r>
      <w:r>
        <w:rPr/>
        <w:t>《独</w:t>
      </w:r>
      <w:r>
        <w:rPr>
          <w:spacing w:val="2"/>
        </w:rPr>
        <w:t>立</w:t>
      </w:r>
      <w:r>
        <w:rPr/>
        <w:t>董事年报工作制度</w:t>
      </w:r>
      <w:r>
        <w:rPr>
          <w:spacing w:val="-92"/>
        </w:rPr>
        <w:t>》</w:t>
      </w:r>
      <w:r>
        <w:rPr>
          <w:spacing w:val="-111"/>
        </w:rPr>
        <w:t>、</w:t>
      </w:r>
      <w:r>
        <w:rPr/>
        <w:t>《年报</w:t>
      </w:r>
      <w:r>
        <w:rPr>
          <w:spacing w:val="2"/>
        </w:rPr>
        <w:t>信</w:t>
      </w:r>
      <w:r>
        <w:rPr/>
        <w:t>息披</w:t>
      </w:r>
      <w:r>
        <w:rPr/>
        <w:t> 露重大差错责任追究制度</w:t>
      </w:r>
      <w:r>
        <w:rPr>
          <w:spacing w:val="-92"/>
        </w:rPr>
        <w:t>》</w:t>
      </w:r>
      <w:r>
        <w:rPr>
          <w:spacing w:val="-111"/>
        </w:rPr>
        <w:t>、</w:t>
      </w:r>
      <w:r>
        <w:rPr>
          <w:spacing w:val="2"/>
        </w:rPr>
        <w:t>《</w:t>
      </w:r>
      <w:r>
        <w:rPr/>
        <w:t>会计政策</w:t>
      </w:r>
      <w:r>
        <w:rPr>
          <w:spacing w:val="-22"/>
        </w:rPr>
        <w:t>、</w:t>
      </w:r>
      <w:r>
        <w:rPr/>
        <w:t>会计估计变更和</w:t>
      </w:r>
      <w:r>
        <w:rPr>
          <w:spacing w:val="2"/>
        </w:rPr>
        <w:t>会</w:t>
      </w:r>
      <w:r>
        <w:rPr/>
        <w:t>计差错管理制度</w:t>
      </w:r>
      <w:r>
        <w:rPr>
          <w:spacing w:val="-92"/>
        </w:rPr>
        <w:t>》</w:t>
      </w:r>
      <w:r>
        <w:rPr>
          <w:spacing w:val="-111"/>
        </w:rPr>
        <w:t>、</w:t>
      </w:r>
      <w:r>
        <w:rPr/>
        <w:t>《董事</w:t>
      </w:r>
      <w:r>
        <w:rPr>
          <w:spacing w:val="-22"/>
        </w:rPr>
        <w:t>、</w:t>
      </w:r>
      <w:r>
        <w:rPr>
          <w:spacing w:val="2"/>
        </w:rPr>
        <w:t>监</w:t>
      </w:r>
      <w:r>
        <w:rPr/>
        <w:t>事和高级管理人员内部问责制度</w:t>
      </w:r>
      <w:r>
        <w:rPr>
          <w:spacing w:val="-92"/>
        </w:rPr>
        <w:t>》</w:t>
      </w:r>
      <w:r>
        <w:rPr/>
        <w:t>、</w:t>
      </w:r>
    </w:p>
    <w:p>
      <w:pPr>
        <w:pStyle w:val="BodyText"/>
        <w:spacing w:line="316" w:lineRule="auto" w:before="18"/>
        <w:ind w:right="191"/>
        <w:jc w:val="both"/>
      </w:pPr>
      <w:r>
        <w:rPr>
          <w:spacing w:val="-14"/>
        </w:rPr>
        <w:t>《货币资金管理制度》、《董事会秘书履职保障制度》、《资产减值准备计提及核销管理制度》、《媒体信息排查制度》、《敏感信</w:t>
      </w:r>
      <w:r>
        <w:rPr>
          <w:spacing w:val="-83"/>
        </w:rPr>
        <w:t> </w:t>
      </w:r>
      <w:r>
        <w:rPr>
          <w:spacing w:val="-83"/>
        </w:rPr>
      </w:r>
      <w:r>
        <w:rPr>
          <w:spacing w:val="-11"/>
        </w:rPr>
        <w:t>息排查管理制度》、《外部信息使用人管理制度》、《内幕信息知情人登记管理制度》、《新媒体登记监控制度》等制度。公司各</w:t>
      </w:r>
      <w:r>
        <w:rPr/>
        <w:t> 项管理制度建立之后均能得到有效的贯彻执行。</w:t>
      </w:r>
    </w:p>
    <w:p>
      <w:pPr>
        <w:pStyle w:val="BodyText"/>
        <w:spacing w:line="360" w:lineRule="auto" w:before="59"/>
        <w:ind w:left="512" w:right="94"/>
        <w:jc w:val="left"/>
      </w:pPr>
      <w:r>
        <w:rPr/>
        <w:t>（二）生产经营控制 根据公司生产经营的特点，公司针对每个岗位，制定了明确的工作职责和岗位说明书及工作流程，并制定了涉及研发、</w:t>
      </w:r>
    </w:p>
    <w:p>
      <w:pPr>
        <w:pStyle w:val="BodyText"/>
        <w:spacing w:line="222" w:lineRule="exact"/>
        <w:ind w:right="0"/>
        <w:jc w:val="both"/>
      </w:pPr>
      <w:r>
        <w:rPr/>
        <w:t>实施、质量控制、采购、销售、仓储、财务出纳、财务会计、人事管理等一系列内部控制制度，不同岗位的设置尽量要求能</w:t>
      </w:r>
    </w:p>
    <w:p>
      <w:pPr>
        <w:pStyle w:val="BodyText"/>
        <w:spacing w:line="240" w:lineRule="auto" w:before="76"/>
        <w:ind w:right="0"/>
        <w:jc w:val="both"/>
      </w:pPr>
      <w:r>
        <w:rPr/>
        <w:t>够做到互相配合和互相检查监督，保证公司经营管理目标的实现。</w:t>
      </w:r>
    </w:p>
    <w:p>
      <w:pPr>
        <w:pStyle w:val="BodyText"/>
        <w:spacing w:line="360" w:lineRule="auto" w:before="115"/>
        <w:ind w:left="512" w:right="0"/>
        <w:jc w:val="left"/>
      </w:pPr>
      <w:r>
        <w:rPr/>
        <w:t>（三）财务管理控制 </w:t>
      </w:r>
      <w:r>
        <w:rPr>
          <w:spacing w:val="-6"/>
        </w:rPr>
        <w:t>为了加强公司的财务会计工作，维护股东和债权人的合法权益，根据《会计法》、《企业会计准则》和《会计基础工作规</w:t>
      </w:r>
    </w:p>
    <w:p>
      <w:pPr>
        <w:pStyle w:val="BodyText"/>
        <w:spacing w:line="222" w:lineRule="exact"/>
        <w:ind w:right="0"/>
        <w:jc w:val="both"/>
      </w:pPr>
      <w:r>
        <w:rPr/>
        <w:t>范》及国家其他有关法律和法规，结合公司实际情况，公司制定了《财务管理制度》进行财务管理。该制度是公司各项财务</w:t>
      </w:r>
    </w:p>
    <w:p>
      <w:pPr>
        <w:pStyle w:val="BodyText"/>
        <w:spacing w:line="240" w:lineRule="auto" w:before="76"/>
        <w:ind w:right="0"/>
        <w:jc w:val="both"/>
      </w:pPr>
      <w:r>
        <w:rPr/>
        <w:t>活动的基本行为准则，从根本上规范公司会计核算，确保了财务会计核算和财务管理的合法、合规。</w:t>
      </w:r>
    </w:p>
    <w:p>
      <w:pPr>
        <w:pStyle w:val="BodyText"/>
        <w:spacing w:line="357" w:lineRule="auto" w:before="117"/>
        <w:ind w:left="512" w:right="0"/>
        <w:jc w:val="left"/>
      </w:pPr>
      <w:r>
        <w:rPr/>
        <w:t>（四）信息披露控制 </w:t>
      </w:r>
      <w:r>
        <w:rPr>
          <w:spacing w:val="-9"/>
        </w:rPr>
        <w:t>公司制定了《公司信息披露管理制度》、《公司重大信息内部报告制度》、《公司内幕信息知情人报备制度》和《公司投资</w:t>
      </w:r>
    </w:p>
    <w:p>
      <w:pPr>
        <w:pStyle w:val="BodyText"/>
        <w:spacing w:line="224" w:lineRule="exact"/>
        <w:ind w:right="0"/>
        <w:jc w:val="both"/>
      </w:pPr>
      <w:r>
        <w:rPr/>
        <w:t>者关系管理制度</w:t>
      </w:r>
      <w:r>
        <w:rPr>
          <w:spacing w:val="-92"/>
        </w:rPr>
        <w:t>》</w:t>
      </w:r>
      <w:r>
        <w:rPr>
          <w:spacing w:val="-108"/>
        </w:rPr>
        <w:t>、</w:t>
      </w:r>
      <w:r>
        <w:rPr/>
        <w:t>《内幕信</w:t>
      </w:r>
      <w:r>
        <w:rPr>
          <w:spacing w:val="2"/>
        </w:rPr>
        <w:t>息</w:t>
      </w:r>
      <w:r>
        <w:rPr/>
        <w:t>知情人登记管理制度</w:t>
      </w:r>
      <w:r>
        <w:rPr>
          <w:spacing w:val="-17"/>
        </w:rPr>
        <w:t>》</w:t>
      </w:r>
      <w:r>
        <w:rPr/>
        <w:t>等</w:t>
      </w:r>
      <w:r>
        <w:rPr>
          <w:spacing w:val="-17"/>
        </w:rPr>
        <w:t>。</w:t>
      </w:r>
      <w:r>
        <w:rPr/>
        <w:t>在制度中规定了信息披露事务管理部门</w:t>
      </w:r>
      <w:r>
        <w:rPr>
          <w:spacing w:val="-17"/>
        </w:rPr>
        <w:t>、</w:t>
      </w:r>
      <w:r>
        <w:rPr/>
        <w:t>责任人及义务人职责</w:t>
      </w:r>
      <w:r>
        <w:rPr>
          <w:spacing w:val="-17"/>
        </w:rPr>
        <w:t>；</w:t>
      </w:r>
      <w:r>
        <w:rPr/>
        <w:t>信</w:t>
      </w:r>
    </w:p>
    <w:p>
      <w:pPr>
        <w:pStyle w:val="BodyText"/>
        <w:spacing w:line="316" w:lineRule="auto" w:before="76"/>
        <w:ind w:right="111"/>
        <w:jc w:val="both"/>
      </w:pPr>
      <w:r>
        <w:rPr/>
        <w:t>息披露的范围和内容及重大信息的范围；信息披露的报告、传递、审核、披露程序；信息披露相关文件、资料的档案管理； 投资者关系活动等等。报告期内，公司信息披露相关制度得到有效执行，公司对外接待、网上路演等投资者关系活动规范， 确保了信息披露公平。</w:t>
      </w:r>
    </w:p>
    <w:p>
      <w:pPr>
        <w:pStyle w:val="BodyText"/>
        <w:spacing w:line="360" w:lineRule="auto" w:before="59"/>
        <w:ind w:left="512" w:right="198"/>
        <w:jc w:val="left"/>
      </w:pPr>
      <w:r>
        <w:rPr/>
        <w:t>（五）内部监督控制制度 </w:t>
      </w:r>
      <w:r>
        <w:rPr>
          <w:spacing w:val="-2"/>
        </w:rPr>
        <w:t>公司制定了《内部审计制度》，明确规定了审计部门的职责、权限、工作内容、工作方法和程序。通过内部审计工作的</w:t>
      </w:r>
    </w:p>
    <w:p>
      <w:pPr>
        <w:pStyle w:val="BodyText"/>
        <w:spacing w:line="222" w:lineRule="exact"/>
        <w:ind w:right="0"/>
        <w:jc w:val="both"/>
      </w:pPr>
      <w:r>
        <w:rPr/>
        <w:t>有效开展，持续监督检查公司各项经营活动和主要内部控制制度的执行情况，不断提出改进意见和建议，有效防范了内部控</w:t>
      </w:r>
    </w:p>
    <w:p>
      <w:pPr>
        <w:pStyle w:val="BodyText"/>
        <w:spacing w:line="240" w:lineRule="auto" w:before="76"/>
        <w:ind w:right="0"/>
        <w:jc w:val="both"/>
      </w:pPr>
      <w:r>
        <w:rPr/>
        <w:t>制的风险，保障了公司经营管理活动的正常进行。</w:t>
      </w:r>
    </w:p>
    <w:p>
      <w:pPr>
        <w:spacing w:after="0" w:line="240" w:lineRule="auto"/>
        <w:jc w:val="both"/>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年度报告重大差错责任追究制度的建立与执行情况" w:id="130"/>
      <w:bookmarkEnd w:id="130"/>
      <w:r>
        <w:rPr>
          <w:b w:val="0"/>
          <w:bCs w:val="0"/>
        </w:rPr>
      </w:r>
      <w:r>
        <w:rPr/>
        <w:t>二</w:t>
      </w:r>
      <w:bookmarkStart w:name="二、董事会关于内部控制责任的声明" w:id="131"/>
      <w:bookmarkEnd w:id="131"/>
      <w:r>
        <w:rPr/>
        <w:t>、</w:t>
      </w:r>
      <w:r>
        <w:rPr/>
        <w:t>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96" w:firstLine="360"/>
        <w:jc w:val="left"/>
      </w:pPr>
      <w:r>
        <w:rPr>
          <w:spacing w:val="-2"/>
        </w:rPr>
        <w:t>公司现有的内部控制已覆盖了公司运营的各个层面和环节，公司法人治理、日常经营、信息披露等各项活动均严格按照</w:t>
      </w:r>
      <w:r>
        <w:rPr/>
        <w:t> </w:t>
      </w:r>
      <w:r>
        <w:rPr>
          <w:spacing w:val="-2"/>
        </w:rPr>
        <w:t>内部控制规定进行，能有效保证公司经营管理的正常进行。公司内部控制的设计是完整和合理的，执行是有效的，能够合理</w:t>
      </w:r>
      <w:r>
        <w:rPr>
          <w:spacing w:val="-64"/>
        </w:rPr>
        <w:t> </w:t>
      </w:r>
      <w:r>
        <w:rPr>
          <w:spacing w:val="-64"/>
        </w:rPr>
      </w:r>
      <w:r>
        <w:rPr>
          <w:spacing w:val="-1"/>
        </w:rPr>
        <w:t>地保证内部控制目标的达成。公司董事会及全体董事保证《</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9"/>
        </w:rPr>
        <w:t> </w:t>
      </w:r>
      <w:r>
        <w:rPr>
          <w:spacing w:val="-1"/>
        </w:rPr>
        <w:t>年度内部控制自我评价报告》的内容不存在任何虚假记载、</w:t>
      </w:r>
      <w:r>
        <w:rPr>
          <w:spacing w:val="-88"/>
        </w:rPr>
        <w:t> </w:t>
      </w:r>
      <w:r>
        <w:rPr>
          <w:spacing w:val="-88"/>
        </w:rPr>
      </w:r>
      <w:r>
        <w:rPr/>
        <w:t>误导性陈述或重大遗漏，并对报告内容的真实性、准确性和完整性承担个别及连带责任。</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r>
        <w:rPr/>
        <w:t>三、建立财务报告</w:t>
      </w:r>
      <w:bookmarkStart w:name="三、建立财务报告内部控制的依据" w:id="132"/>
      <w:bookmarkEnd w:id="132"/>
      <w:r>
        <w:rPr/>
        <w:t>内部</w:t>
      </w:r>
      <w:r>
        <w:rPr/>
        <w:t>控制的依据</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0" w:firstLine="360"/>
        <w:jc w:val="both"/>
      </w:pPr>
      <w:r>
        <w:rPr>
          <w:spacing w:val="-9"/>
        </w:rPr>
        <w:t>公司根据《会计法》、《企业会计准则》、《企业内部控制基本规范》及监管部门的相关规范性文件要求，建立了财务报告</w:t>
      </w:r>
      <w:r>
        <w:rPr/>
        <w:t> </w:t>
      </w:r>
      <w:r>
        <w:rPr>
          <w:spacing w:val="-2"/>
        </w:rPr>
        <w:t>内部控制，本年度的财务报告内部控制不存在重大缺陷。经过审计的财务报告由公司法定代表人、财务负责人及会计机构负</w:t>
      </w:r>
      <w:r>
        <w:rPr>
          <w:spacing w:val="-63"/>
        </w:rPr>
        <w:t> </w:t>
      </w:r>
      <w:r>
        <w:rPr>
          <w:spacing w:val="-63"/>
        </w:rPr>
      </w:r>
      <w:r>
        <w:rPr/>
        <w:t>责人签名盖章。</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四、内部控制自我评价报告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88" w:right="0"/>
              <w:jc w:val="left"/>
              <w:rPr>
                <w:rFonts w:ascii="宋体" w:hAnsi="宋体" w:cs="宋体" w:eastAsia="宋体" w:hint="default"/>
                <w:sz w:val="18"/>
                <w:szCs w:val="18"/>
              </w:rPr>
            </w:pPr>
            <w:bookmarkStart w:name="四、内部控制自我评价报告" w:id="133"/>
            <w:bookmarkEnd w:id="133"/>
            <w:r>
              <w:rPr/>
            </w:r>
            <w:r>
              <w:rPr>
                <w:rFonts w:ascii="宋体" w:hAnsi="宋体" w:cs="宋体" w:eastAsia="宋体" w:hint="default"/>
                <w:sz w:val="18"/>
                <w:szCs w:val="18"/>
              </w:rPr>
              <w:t>内部控制自我评价报告中报告期内发现的内部控制重大缺陷的具体情况</w:t>
            </w:r>
          </w:p>
        </w:tc>
      </w:tr>
      <w:tr>
        <w:trPr>
          <w:trHeight w:val="403"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2" w:right="95"/>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95"/>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日的《证券时报》和巨潮资讯网</w:t>
            </w:r>
            <w:r>
              <w:rPr>
                <w:rFonts w:ascii="宋体" w:hAnsi="宋体" w:cs="宋体" w:eastAsia="宋体" w:hint="default"/>
                <w:spacing w:val="-49"/>
                <w:sz w:val="18"/>
                <w:szCs w:val="18"/>
              </w:rPr>
              <w:t> </w:t>
            </w:r>
            <w:hyperlink r:id="rId13">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的《关于</w:t>
            </w:r>
          </w:p>
          <w:p>
            <w:pPr>
              <w:pStyle w:val="TableParagraph"/>
              <w:spacing w:line="240" w:lineRule="auto" w:before="63"/>
              <w:ind w:left="27"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年度公司内部控制自我</w:t>
            </w:r>
            <w:r>
              <w:rPr>
                <w:rFonts w:ascii="宋体" w:hAnsi="宋体" w:cs="宋体" w:eastAsia="宋体" w:hint="default"/>
                <w:spacing w:val="-3"/>
                <w:sz w:val="18"/>
                <w:szCs w:val="18"/>
              </w:rPr>
              <w:t>评</w:t>
            </w:r>
            <w:r>
              <w:rPr>
                <w:rFonts w:ascii="宋体" w:hAnsi="宋体" w:cs="宋体" w:eastAsia="宋体" w:hint="default"/>
                <w:sz w:val="18"/>
                <w:szCs w:val="18"/>
              </w:rPr>
              <w:t>价报告</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五、内部控制审计报告</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4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会计师事务所是否出具非标准意见的内部控制审计报告</w:t>
      </w:r>
    </w:p>
    <w:p>
      <w:pPr>
        <w:pStyle w:val="BodyText"/>
        <w:spacing w:line="338" w:lineRule="auto" w:before="41"/>
        <w:ind w:left="153" w:right="369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会计师事务所出具的内部控制审计报告与董事会的自我评价报告意见是否一致</w:t>
      </w:r>
    </w:p>
    <w:p>
      <w:pPr>
        <w:pStyle w:val="BodyText"/>
        <w:spacing w:line="348" w:lineRule="auto" w:before="43"/>
        <w:ind w:left="153" w:right="297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会计师事务所出具的内部控制审计报告与董事会的自我评价报告意见不一致的原因说明 无。</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95" w:firstLine="362"/>
        <w:jc w:val="both"/>
      </w:pPr>
      <w:r>
        <w:rPr/>
        <w:t>公司于</w:t>
      </w:r>
      <w:r>
        <w:rPr>
          <w:spacing w:val="-43"/>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6"/>
        </w:rPr>
        <w:t> </w:t>
      </w:r>
      <w:r>
        <w:rPr>
          <w:spacing w:val="-3"/>
        </w:rPr>
        <w:t>日</w:t>
      </w:r>
      <w:bookmarkStart w:name="五、内部控制审计报告" w:id="134"/>
      <w:bookmarkEnd w:id="134"/>
      <w:r>
        <w:rPr>
          <w:spacing w:val="-3"/>
        </w:rPr>
        <w:t>召开第二届董事会第四次会议，审议通过《公司年报信息披露重大差错责任追究制度</w:t>
      </w:r>
      <w:r>
        <w:rPr>
          <w:spacing w:val="-3"/>
        </w:rPr>
        <w:t>》。报告</w:t>
      </w:r>
      <w:r>
        <w:rPr/>
        <w:t> </w:t>
      </w:r>
      <w:r>
        <w:rPr>
          <w:spacing w:val="-2"/>
        </w:rPr>
        <w:t>期内，公司严格执行《公司年报信息披露重大差错责任追究制度》的各项规定，以确保年报信息披露的质量和透明度。报告</w:t>
      </w:r>
      <w:r>
        <w:rPr>
          <w:spacing w:val="-67"/>
        </w:rPr>
        <w:t> </w:t>
      </w:r>
      <w:r>
        <w:rPr>
          <w:spacing w:val="-67"/>
        </w:rPr>
      </w:r>
      <w:r>
        <w:rPr/>
        <w:t>期内执行情况良好，不存在发生重大会计差错更正、重大遗漏信息补充等情况。</w:t>
      </w:r>
    </w:p>
    <w:p>
      <w:pPr>
        <w:spacing w:after="0" w:line="309" w:lineRule="auto"/>
        <w:jc w:val="both"/>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87" w:right="3627"/>
        <w:jc w:val="center"/>
        <w:rPr>
          <w:b w:val="0"/>
          <w:bCs w:val="0"/>
        </w:rPr>
      </w:pPr>
      <w:bookmarkStart w:name="二、财务报表" w:id="135"/>
      <w:bookmarkEnd w:id="135"/>
      <w:r>
        <w:rPr>
          <w:b w:val="0"/>
          <w:bCs w:val="0"/>
        </w:rPr>
      </w:r>
      <w:bookmarkStart w:name="第十节 财务报告" w:id="136"/>
      <w:bookmarkEnd w:id="136"/>
      <w:r>
        <w:rPr>
          <w:b w:val="0"/>
          <w:bCs w:val="0"/>
        </w:rPr>
      </w:r>
      <w:bookmarkStart w:name="_bookmark9" w:id="137"/>
      <w:bookmarkEnd w:id="137"/>
      <w:r>
        <w:rPr>
          <w:b w:val="0"/>
          <w:bCs w:val="0"/>
        </w:rPr>
      </w:r>
      <w:r>
        <w:rPr/>
        <w:t>第十节</w:t>
      </w:r>
      <w:r>
        <w:rPr>
          <w:spacing w:val="-4"/>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bookmarkStart w:name="一、审计报告" w:id="138"/>
            <w:bookmarkEnd w:id="138"/>
            <w:r>
              <w:rPr/>
            </w:r>
            <w:r>
              <w:rPr>
                <w:rFonts w:ascii="宋体" w:hAnsi="宋体" w:cs="宋体" w:eastAsia="宋体" w:hint="default"/>
                <w:sz w:val="18"/>
                <w:szCs w:val="18"/>
              </w:rPr>
              <w:t>标准无保留审计意见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350ZA0557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pStyle w:val="BodyText"/>
        <w:spacing w:line="240" w:lineRule="auto" w:before="49"/>
        <w:ind w:left="3587" w:right="3627"/>
        <w:jc w:val="center"/>
      </w:pPr>
      <w:r>
        <w:rPr/>
        <w:t>审计报告正文</w:t>
      </w:r>
    </w:p>
    <w:p>
      <w:pPr>
        <w:pStyle w:val="BodyText"/>
        <w:spacing w:line="240" w:lineRule="auto" w:before="117"/>
        <w:ind w:right="0"/>
        <w:jc w:val="left"/>
      </w:pPr>
      <w:r>
        <w:rPr/>
        <w:t>福建榕基软件股份有限公司全体股东：</w:t>
      </w:r>
    </w:p>
    <w:p>
      <w:pPr>
        <w:pStyle w:val="BodyText"/>
        <w:spacing w:line="300" w:lineRule="auto" w:before="115"/>
        <w:ind w:right="0" w:firstLine="496"/>
        <w:jc w:val="left"/>
      </w:pPr>
      <w:r>
        <w:rPr>
          <w:spacing w:val="-1"/>
        </w:rPr>
        <w:t>我们审计了后附的福建榕基软件股份有限公司（以下简称榕基软件公司）财务报表，包括</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w:t>
      </w:r>
      <w:r>
        <w:rPr/>
        <w:t> 司资产负债表，</w:t>
      </w:r>
      <w:r>
        <w:rPr>
          <w:rFonts w:ascii="Times New Roman" w:hAnsi="Times New Roman" w:cs="Times New Roman" w:eastAsia="Times New Roman" w:hint="default"/>
        </w:rPr>
        <w:t>2012</w:t>
      </w:r>
      <w:r>
        <w:rPr/>
        <w:t>年度的合并及公司利润表、合并及公司现金流量表、合并及公司股东权益变动表以及财务报表附注。</w:t>
      </w:r>
    </w:p>
    <w:p>
      <w:pPr>
        <w:pStyle w:val="BodyText"/>
        <w:spacing w:line="360" w:lineRule="auto" w:before="53"/>
        <w:ind w:left="649" w:right="0" w:hanging="15"/>
        <w:jc w:val="left"/>
      </w:pPr>
      <w:r>
        <w:rPr/>
        <w:t>一、管理层对财务报表的责任 编制和公允列报财务报表是榕基软件公司管理层的责任，这种责任包括：（</w:t>
      </w:r>
      <w:r>
        <w:rPr>
          <w:rFonts w:ascii="Times New Roman" w:hAnsi="Times New Roman" w:cs="Times New Roman" w:eastAsia="Times New Roman" w:hint="default"/>
        </w:rPr>
        <w:t>1</w:t>
      </w:r>
      <w:r>
        <w:rPr/>
        <w:t>）按照企业会计准则的规定编制财务报</w:t>
      </w:r>
    </w:p>
    <w:p>
      <w:pPr>
        <w:pStyle w:val="BodyText"/>
        <w:spacing w:line="212" w:lineRule="exact"/>
        <w:ind w:left="153" w:right="0"/>
        <w:jc w:val="left"/>
      </w:pPr>
      <w:r>
        <w:rPr>
          <w:spacing w:val="-2"/>
        </w:rPr>
        <w:t>表，并使其实现公允反映；（</w:t>
      </w:r>
      <w:r>
        <w:rPr>
          <w:rFonts w:ascii="Times New Roman" w:hAnsi="Times New Roman" w:cs="Times New Roman" w:eastAsia="Times New Roman" w:hint="default"/>
          <w:spacing w:val="-2"/>
        </w:rPr>
        <w:t>2</w:t>
      </w:r>
      <w:r>
        <w:rPr>
          <w:spacing w:val="-2"/>
        </w:rPr>
        <w:t>）设计、执行和维护必要的内部控制，以使财务报表不存在由于舞弊或错误导致的重大错报。</w:t>
      </w:r>
    </w:p>
    <w:p>
      <w:pPr>
        <w:pStyle w:val="BodyText"/>
        <w:spacing w:line="360" w:lineRule="auto" w:before="101"/>
        <w:ind w:left="649" w:right="188" w:hanging="15"/>
        <w:jc w:val="left"/>
      </w:pPr>
      <w:r>
        <w:rPr/>
        <w:t>二、注册会计师的责任 </w:t>
      </w:r>
      <w:r>
        <w:rPr>
          <w:spacing w:val="-1"/>
        </w:rPr>
        <w:t>我们的责任是在执行审计工作的基础上对财务报表发表审计意见。我们按照中国注册会计师审计准则的规定执行了审</w:t>
      </w:r>
    </w:p>
    <w:p>
      <w:pPr>
        <w:pStyle w:val="BodyText"/>
        <w:spacing w:line="222" w:lineRule="exact"/>
        <w:ind w:left="153" w:right="0"/>
        <w:jc w:val="left"/>
      </w:pPr>
      <w:r>
        <w:rPr/>
        <w:t>计工作。中国注册会计师审计准则要求我们遵守中国注册会计师职业道德守则，计划和执行审计工作以对财务报表是否不存</w:t>
      </w:r>
    </w:p>
    <w:p>
      <w:pPr>
        <w:pStyle w:val="BodyText"/>
        <w:spacing w:line="360" w:lineRule="auto" w:before="76"/>
        <w:ind w:left="649" w:right="0" w:hanging="497"/>
        <w:jc w:val="left"/>
      </w:pPr>
      <w:r>
        <w:rPr/>
        <w:t>在重大错报获取合理保证。 </w:t>
      </w:r>
      <w:r>
        <w:rPr>
          <w:spacing w:val="-3"/>
        </w:rPr>
        <w:t>审计工作涉及实施审计程序，以获取有关财务报表金额和披露的审计证据。选择的审计程序取决于注册会计师的判断，</w:t>
      </w:r>
    </w:p>
    <w:p>
      <w:pPr>
        <w:pStyle w:val="BodyText"/>
        <w:spacing w:line="222" w:lineRule="exact"/>
        <w:ind w:left="153" w:right="0"/>
        <w:jc w:val="left"/>
      </w:pPr>
      <w:r>
        <w:rPr/>
        <w:t>包括对由于舞弊或错误导致的财务报表重大错报风险的评估。在进行风险评估时，注册会计师考虑与财务报表编制和公允列</w:t>
      </w:r>
    </w:p>
    <w:p>
      <w:pPr>
        <w:pStyle w:val="BodyText"/>
        <w:spacing w:line="316" w:lineRule="auto" w:before="76"/>
        <w:ind w:left="153" w:right="0"/>
        <w:jc w:val="left"/>
      </w:pP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pStyle w:val="BodyText"/>
        <w:spacing w:line="360" w:lineRule="auto" w:before="57"/>
        <w:ind w:left="635" w:right="3017" w:firstLine="14"/>
        <w:jc w:val="left"/>
      </w:pPr>
      <w:r>
        <w:rPr/>
        <w:t>我们相信，我们获取的审计证据是充分、适当的，为发表审计意见提供了基础。 三、审计意见</w:t>
      </w:r>
    </w:p>
    <w:p>
      <w:pPr>
        <w:pStyle w:val="BodyText"/>
        <w:spacing w:line="300" w:lineRule="auto" w:before="27"/>
        <w:ind w:left="153" w:right="191" w:firstLine="496"/>
        <w:jc w:val="left"/>
      </w:pPr>
      <w:r>
        <w:rPr>
          <w:spacing w:val="-1"/>
        </w:rPr>
        <w:t>我们认为，榕基软件公司财务报表在所有重大方面按照企业会计准则的规定编制，公允反映了榕基软件公司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2012</w:t>
      </w:r>
      <w:r>
        <w:rPr/>
        <w:t>年度的合并及公司经营成果和合并及公司现金流量。</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after="0" w:line="24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47"/>
        <w:jc w:val="left"/>
        <w:rPr>
          <w:b w:val="0"/>
          <w:bCs w:val="0"/>
        </w:rPr>
      </w:pPr>
      <w:r>
        <w:rPr>
          <w:rFonts w:ascii="Times New Roman" w:hAnsi="Times New Roman" w:cs="Times New Roman" w:eastAsia="Times New Roman" w:hint="default"/>
        </w:rPr>
        <w:t>1</w:t>
      </w:r>
      <w:bookmarkStart w:name="1、合并资产负债表" w:id="139"/>
      <w:bookmarkEnd w:id="139"/>
      <w:r>
        <w:rPr>
          <w:rFonts w:ascii="Times New Roman" w:hAnsi="Times New Roman" w:cs="Times New Roman" w:eastAsia="Times New Roman" w:hint="default"/>
        </w:rPr>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7"/>
        <w:jc w:val="left"/>
      </w:pPr>
      <w:r>
        <w:rPr/>
        <w:t>编制单位：福建榕基软件股份有限公司</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1,071,886,397.96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1,044,731,930.00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15,735,600.55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46,093,815.83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47,293,011.60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74,958,289.67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12,992,594.58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12,778,660.60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322,168.03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17,543,318.87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10,862,676.81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134,949,426.71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70,178,043.39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5,340,734.67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1,379,286,244.86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1,187,360,424.41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18,408,881.37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15,151,420.52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38,911,413.17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36,919,473.74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673,031.50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29,018,377.76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43,306,493.47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20,256,691.77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20,401,893.05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813,389.97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34,986.10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3,041,075.02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2,225,008.51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110,449,829.06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118,712,306.89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1,489,736,073.92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1,306,072,731.30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24,913,862.36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25,930,644.30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121,794,267.23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28,652,895.74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5,138,219.46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6,050,103.92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-363,931.78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14,375,778.12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4,775,391.90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3,779,516.72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2,129,841.26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1,281,341.45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158,387,650.43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80,070,280.25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30,847.69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151,528.18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12,954,792.68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428,292.69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12,985,640.37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579,820.87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171,373,290.80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80,650,101.12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207,400,000.00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103,700,000.00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778,442,750.88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882,142,750.88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38,118,578.58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29,217,043.53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294,949,461.63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210,616,389.49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1,318,910,791.09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1,225,676,183.90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-548,007.97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-253,553.72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1,318,362,783.12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1,225,422,630.18</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1,489,736,073.92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1,306,072,731.30</w:t>
            </w:r>
          </w:p>
        </w:tc>
      </w:tr>
    </w:tbl>
    <w:p>
      <w:pPr>
        <w:spacing w:line="240" w:lineRule="auto" w:before="11"/>
        <w:rPr>
          <w:rFonts w:ascii="Times New Roman" w:hAnsi="Times New Roman" w:cs="Times New Roman" w:eastAsia="Times New Roman" w:hint="default"/>
          <w:sz w:val="22"/>
          <w:szCs w:val="22"/>
        </w:rPr>
      </w:pPr>
    </w:p>
    <w:p>
      <w:pPr>
        <w:pStyle w:val="BodyText"/>
        <w:tabs>
          <w:tab w:pos="3577" w:val="left" w:leader="none"/>
          <w:tab w:pos="7720" w:val="left" w:leader="none"/>
        </w:tabs>
        <w:spacing w:line="240" w:lineRule="auto" w:before="44"/>
        <w:ind w:right="147"/>
        <w:jc w:val="left"/>
      </w:pPr>
      <w:bookmarkStart w:name="2、母公司资产负债表" w:id="140"/>
      <w:bookmarkEnd w:id="140"/>
      <w:r>
        <w:rPr/>
      </w:r>
      <w:r>
        <w:rPr/>
        <w:t>法定代表人：鲁峰</w:t>
        <w:tab/>
      </w:r>
      <w:r>
        <w:rPr>
          <w:spacing w:val="-1"/>
        </w:rPr>
        <w:t>主管会计工作负责人：侯伟</w:t>
        <w:tab/>
      </w:r>
      <w:r>
        <w:rPr/>
        <w:t>会计机构负责人：镇千金</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7"/>
        <w:jc w:val="left"/>
      </w:pPr>
      <w:r>
        <w:rPr/>
        <w:t>编制单位：福建榕基软件股份有限公司</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52"/>
        <w:gridCol w:w="3313"/>
        <w:gridCol w:w="3302"/>
      </w:tblGrid>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283"/>
              <w:jc w:val="right"/>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545,204,462.63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573,063,748.36</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297"/>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14,598,373.60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980,000.00</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42,234,705.00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43,449,735.32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2"/>
        <w:gridCol w:w="3313"/>
        <w:gridCol w:w="3302"/>
      </w:tblGrid>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23,870,021.01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10,585,109.70</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3,227,491.85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198,602.72</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58,836,662.82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13,217,607.47</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95,562,466.39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59,584,468.81</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5,326,749.13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788,860,932.43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701,079,272.38</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566,996,345.89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516,996,345.89</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35,552,426.14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35,337,763.15</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673,031.50</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29,009,977.76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17,566,493.51</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23,843,468.04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20,954,553.16</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734,202.47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34,986.10</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1,849,673.04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1,488,475.14</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657,986,093.34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593,051,648.45</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1,446,847,025.77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1,294,130,920.83</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47,231,085.56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16,077,992.01</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115,720,186.07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26,747,703.54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2"/>
        <w:gridCol w:w="3313"/>
        <w:gridCol w:w="3302"/>
      </w:tblGrid>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3,551,068.46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5,482,461.08</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-2,701,808.65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13,794,589.73</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4,503,897.92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12,358,747.85</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2,129,841.26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1,281,341.45</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170,434,270.62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75,742,835.66</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30,847.69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151,528.18</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668,292.68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428,292.69</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699,140.37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579,820.87</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171,133,410.99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76,322,656.53</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207,400,000.00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103,700,000.00</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778,993,237.65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882,693,237.65</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38,118,578.58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29,217,043.53</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251,201,798.55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202,197,983.12</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1,275,713,614.78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1,217,808,264.30</w:t>
            </w:r>
          </w:p>
        </w:tc>
      </w:tr>
      <w:tr>
        <w:trPr>
          <w:trHeight w:val="715"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37"/>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1,446,847,025.77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1,294,130,920.83</w:t>
            </w:r>
          </w:p>
        </w:tc>
      </w:tr>
    </w:tbl>
    <w:p>
      <w:pPr>
        <w:spacing w:line="240" w:lineRule="auto" w:before="11"/>
        <w:rPr>
          <w:rFonts w:ascii="Times New Roman" w:hAnsi="Times New Roman" w:cs="Times New Roman" w:eastAsia="Times New Roman" w:hint="default"/>
          <w:sz w:val="22"/>
          <w:szCs w:val="22"/>
        </w:rPr>
      </w:pPr>
    </w:p>
    <w:p>
      <w:pPr>
        <w:pStyle w:val="BodyText"/>
        <w:tabs>
          <w:tab w:pos="3577" w:val="left" w:leader="none"/>
          <w:tab w:pos="7720" w:val="left" w:leader="none"/>
        </w:tabs>
        <w:spacing w:line="240" w:lineRule="auto" w:before="44"/>
        <w:ind w:right="147"/>
        <w:jc w:val="left"/>
      </w:pPr>
      <w:bookmarkStart w:name="3、合并利润表" w:id="141"/>
      <w:bookmarkEnd w:id="141"/>
      <w:r>
        <w:rPr/>
      </w:r>
      <w:r>
        <w:rPr/>
        <w:t>法定代表人：鲁峰</w:t>
        <w:tab/>
      </w:r>
      <w:r>
        <w:rPr>
          <w:spacing w:val="-1"/>
        </w:rPr>
        <w:t>主管会计工作负责人：侯伟</w:t>
        <w:tab/>
      </w:r>
      <w:r>
        <w:rPr/>
        <w:t>会计机构负责人：镇千金</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编制单位：福建榕基软件股份有限公司</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568,319,810.56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432,930,770.34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568,319,810.56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432,930,770.34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455,242,035.37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315,736,750.00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355,937,416.61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245,232,989.62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3,708,862.16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3,456,364.06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40,133,879.35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33,300,543.04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80,959,230.65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48,270,144.48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-25,463,604.08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-17,299,176.00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-33,749.32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2,775,884.80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4,657,460.85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4,045,094.70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4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4,657,460.85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4,045,094.70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117,735,236.04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121,239,115.04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16,749,895.32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11,614,106.19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834,141.13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69,018.45</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771,872.16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44,995.30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133,650,990.23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132,784,202.78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9,600,837.29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13,367,330.33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124,050,152.94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119,416,872.45</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124,344,607.19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119,476,714.75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-294,454.25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-59,842.30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0.5995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0.5761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0.5995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0.5761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124,050,152.94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119,416,872.45</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124,344,607.19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119,476,714.75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-294,454.25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-59,842.30</w:t>
            </w:r>
            <w:r>
              <w:rPr>
                <w:rFonts w:ascii="Times New Roman"/>
                <w:sz w:val="18"/>
              </w:rPr>
            </w:r>
          </w:p>
        </w:tc>
      </w:tr>
    </w:tbl>
    <w:p>
      <w:pPr>
        <w:pStyle w:val="BodyText"/>
        <w:spacing w:line="240" w:lineRule="auto" w:before="49"/>
        <w:ind w:right="147"/>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577" w:val="left" w:leader="none"/>
          <w:tab w:pos="7720" w:val="left" w:leader="none"/>
        </w:tabs>
        <w:spacing w:line="240" w:lineRule="auto" w:before="138"/>
        <w:ind w:right="147"/>
        <w:jc w:val="left"/>
      </w:pPr>
      <w:r>
        <w:rPr/>
        <w:t>法定代表人：鲁峰</w:t>
        <w:tab/>
      </w:r>
      <w:r>
        <w:rPr>
          <w:spacing w:val="-1"/>
        </w:rPr>
        <w:t>主管会计工作负责人：侯伟</w:t>
        <w:tab/>
      </w:r>
      <w:r>
        <w:rPr/>
        <w:t>会计机构负责人：镇千金</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7"/>
        <w:jc w:val="left"/>
      </w:pPr>
      <w:r>
        <w:rPr/>
        <w:t>编制单位：福建榕基软件股份有限公司</w:t>
      </w:r>
    </w:p>
    <w:p>
      <w:pPr>
        <w:pStyle w:val="BodyText"/>
        <w:spacing w:line="240" w:lineRule="auto" w:before="117"/>
        <w:ind w:left="0" w:right="153"/>
        <w:jc w:val="right"/>
      </w:pPr>
      <w:bookmarkStart w:name="4、母公司利润表" w:id="142"/>
      <w:bookmarkEnd w:id="142"/>
      <w:r>
        <w:rPr/>
      </w: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52"/>
        <w:gridCol w:w="3313"/>
        <w:gridCol w:w="3302"/>
      </w:tblGrid>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453,765,738.70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410,632,426.84</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297,705,516.32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230,529,899.54</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3,152,093.45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3,296,982.61</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28,253,250.39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29,308,956.80</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51,839,427.51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39,162,644.12</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-10,937,122.75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-16,109,182.49</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-210,049.17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2,227,209.87</w:t>
            </w:r>
            <w:r>
              <w:rPr>
                <w:rFonts w:ascii="Times New Roman"/>
                <w:sz w:val="18"/>
              </w:rPr>
            </w:r>
          </w:p>
        </w:tc>
      </w:tr>
      <w:tr>
        <w:trPr>
          <w:trHeight w:val="71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37"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83,962,622.95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122,215,916.39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52"/>
        <w:gridCol w:w="3313"/>
        <w:gridCol w:w="3302"/>
      </w:tblGrid>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15,400,978.24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11,379,855.81</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766,119.46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46,010.36</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723,850.49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44,995.30</w:t>
            </w:r>
          </w:p>
        </w:tc>
      </w:tr>
      <w:tr>
        <w:trPr>
          <w:trHeight w:val="715"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98,597,481.73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133,549,761.84</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9,582,131.25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13,761,965.33</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89,015,350.48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119,787,796.51</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89,015,350.48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119,787,796.51</w:t>
            </w:r>
          </w:p>
        </w:tc>
      </w:tr>
    </w:tbl>
    <w:p>
      <w:pPr>
        <w:spacing w:line="240" w:lineRule="auto" w:before="2"/>
        <w:rPr>
          <w:rFonts w:ascii="宋体" w:hAnsi="宋体" w:cs="宋体" w:eastAsia="宋体" w:hint="default"/>
          <w:sz w:val="20"/>
          <w:szCs w:val="20"/>
        </w:rPr>
      </w:pPr>
    </w:p>
    <w:p>
      <w:pPr>
        <w:pStyle w:val="BodyText"/>
        <w:tabs>
          <w:tab w:pos="3577" w:val="left" w:leader="none"/>
          <w:tab w:pos="7720" w:val="left" w:leader="none"/>
        </w:tabs>
        <w:spacing w:line="240" w:lineRule="auto" w:before="44"/>
        <w:ind w:right="147"/>
        <w:jc w:val="left"/>
      </w:pPr>
      <w:r>
        <w:rPr/>
        <w:t>法定代表人：鲁峰</w:t>
        <w:tab/>
      </w:r>
      <w:r>
        <w:rPr>
          <w:spacing w:val="-1"/>
        </w:rPr>
        <w:t>主管会计工作负责人：侯伟</w:t>
        <w:tab/>
      </w:r>
      <w:r>
        <w:rPr/>
        <w:t>会计机构负责人：镇千金</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7"/>
        <w:jc w:val="left"/>
      </w:pPr>
      <w:r>
        <w:rPr/>
        <w:t>编制单位：福建榕基软件股份有限公司</w:t>
      </w:r>
    </w:p>
    <w:p>
      <w:pPr>
        <w:pStyle w:val="BodyText"/>
        <w:spacing w:line="240" w:lineRule="auto" w:before="117"/>
        <w:ind w:left="0" w:right="153"/>
        <w:jc w:val="right"/>
      </w:pPr>
      <w:bookmarkStart w:name="5、合并现金流量表" w:id="143"/>
      <w:bookmarkEnd w:id="143"/>
      <w:r>
        <w:rPr/>
      </w: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723,561,828.02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471,856,815.43</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10,879,837.08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4,061,292.90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27,315,914.51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18,289,300.40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761,757,579.61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494,207,408.73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468,537,275.21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311,552,934.96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45,541,081.71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29,334,975.16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45,522,554.80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17,787,718.45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83,898,588.99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51,713,908.17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643,499,500.71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410,389,536.74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118,258,078.90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83,817,871.99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191,950,000.00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740,000,000.00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9,076,220.76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17,709,170.92</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201,064,220.76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757,711,170.92</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79,064,638.00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61,434,829.44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330,152,470.00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191,950,000.00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409,217,108.00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253,384,829.44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-208,152,887.24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504,326,341.48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69,000,000.00</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69,000,000.00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69,000,000.00</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31,110,000.00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62,741,885.00</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31,110,000.00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131,741,885.00</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-31,110,000.00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-62,741,885.00</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-121,004,808.34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525,402,328.47</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848,563,454.60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323,161,126.13</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727,558,646.26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848,563,454.60</w:t>
            </w:r>
            <w:r>
              <w:rPr>
                <w:rFonts w:ascii="Times New Roman"/>
                <w:sz w:val="18"/>
              </w:rPr>
            </w:r>
          </w:p>
        </w:tc>
      </w:tr>
    </w:tbl>
    <w:p>
      <w:pPr>
        <w:spacing w:line="240" w:lineRule="auto" w:before="11"/>
        <w:rPr>
          <w:rFonts w:ascii="Times New Roman" w:hAnsi="Times New Roman" w:cs="Times New Roman" w:eastAsia="Times New Roman" w:hint="default"/>
          <w:sz w:val="22"/>
          <w:szCs w:val="22"/>
        </w:rPr>
      </w:pPr>
    </w:p>
    <w:p>
      <w:pPr>
        <w:pStyle w:val="BodyText"/>
        <w:tabs>
          <w:tab w:pos="3577" w:val="left" w:leader="none"/>
          <w:tab w:pos="7720" w:val="left" w:leader="none"/>
        </w:tabs>
        <w:spacing w:line="240" w:lineRule="auto" w:before="44"/>
        <w:ind w:right="147"/>
        <w:jc w:val="left"/>
      </w:pPr>
      <w:r>
        <w:rPr/>
        <w:t>法定代表人：鲁峰</w:t>
        <w:tab/>
      </w:r>
      <w:r>
        <w:rPr>
          <w:spacing w:val="-1"/>
        </w:rPr>
        <w:t>主管会计工作负责人：侯伟</w:t>
        <w:tab/>
      </w:r>
      <w:r>
        <w:rPr/>
        <w:t>会计机构负责人：镇千金</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7"/>
        <w:jc w:val="left"/>
      </w:pPr>
      <w:r>
        <w:rPr/>
        <w:t>编制单位：福建榕基软件股份有限公司</w:t>
      </w:r>
    </w:p>
    <w:p>
      <w:pPr>
        <w:pStyle w:val="BodyText"/>
        <w:spacing w:line="240" w:lineRule="auto" w:before="115"/>
        <w:ind w:left="0" w:right="153"/>
        <w:jc w:val="right"/>
      </w:pPr>
      <w:bookmarkStart w:name="6、母公司现金流量表" w:id="144"/>
      <w:bookmarkEnd w:id="144"/>
      <w:r>
        <w:rPr/>
      </w: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590,985,351.52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446,966,238.12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10,305,478.04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3,828,542.52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11,153,046.39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22,430,066.95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612,443,875.95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473,224,847.59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366,922,857.74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295,218,917.48</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28,428,404.48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24,208,710.95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42,093,696.12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16,905,854.13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101,540,813.19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48,175,841.92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538,985,771.53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384,509,324.48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73,458,104.42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88,715,523.11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740,000,000.00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4,688,720.76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16,659,170.92</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96,688,720.76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756,661,170.92</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34,679,917.21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34,461,067.44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80,152,500.00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592,000,000.00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114,832,417.21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626,461,067.44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-18,143,696.45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130,200,103.48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69,000,000.00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31,110,000.00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62,741,885.00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31,110,000.00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131,741,885.00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-31,110,000.00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-62,741,885.00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24,204,407.97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156,173,741.59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476,845,272.96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320,671,531.37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501,049,680.93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476,845,272.96</w:t>
            </w:r>
            <w:r>
              <w:rPr>
                <w:rFonts w:ascii="Times New Roman"/>
                <w:sz w:val="18"/>
              </w:rPr>
            </w:r>
          </w:p>
        </w:tc>
      </w:tr>
    </w:tbl>
    <w:p>
      <w:pPr>
        <w:spacing w:line="240" w:lineRule="auto" w:before="2"/>
        <w:rPr>
          <w:rFonts w:ascii="宋体" w:hAnsi="宋体" w:cs="宋体" w:eastAsia="宋体" w:hint="default"/>
          <w:sz w:val="20"/>
          <w:szCs w:val="20"/>
        </w:rPr>
      </w:pPr>
    </w:p>
    <w:p>
      <w:pPr>
        <w:pStyle w:val="BodyText"/>
        <w:tabs>
          <w:tab w:pos="3577" w:val="left" w:leader="none"/>
          <w:tab w:pos="7720" w:val="left" w:leader="none"/>
        </w:tabs>
        <w:spacing w:line="240" w:lineRule="auto" w:before="44"/>
        <w:ind w:right="147"/>
        <w:jc w:val="left"/>
      </w:pPr>
      <w:r>
        <w:rPr/>
        <w:t>法定代表人：鲁峰</w:t>
        <w:tab/>
      </w:r>
      <w:r>
        <w:rPr>
          <w:spacing w:val="-1"/>
        </w:rPr>
        <w:t>主管会计工作负责人：侯伟</w:t>
        <w:tab/>
      </w:r>
      <w:r>
        <w:rPr/>
        <w:t>会计机构负责人：镇千金</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7"/>
        <w:jc w:val="left"/>
        <w:rPr>
          <w:b w:val="0"/>
          <w:bCs w:val="0"/>
        </w:rPr>
      </w:pPr>
      <w:r>
        <w:rPr>
          <w:rFonts w:ascii="Times New Roman" w:hAnsi="Times New Roman" w:cs="Times New Roman" w:eastAsia="Times New Roman" w:hint="default"/>
        </w:rPr>
        <w:t>7</w:t>
      </w:r>
      <w:bookmarkStart w:name="7、合并所有者权益变动表" w:id="145"/>
      <w:bookmarkEnd w:id="145"/>
      <w:r>
        <w:rPr>
          <w:rFonts w:ascii="Times New Roman" w:hAnsi="Times New Roman" w:cs="Times New Roman" w:eastAsia="Times New Roman" w:hint="default"/>
        </w:rPr>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57" w:lineRule="auto" w:before="44"/>
        <w:ind w:right="-20"/>
        <w:jc w:val="left"/>
      </w:pPr>
      <w:r>
        <w:rPr/>
        <w:t>编制单位：福建榕基软件股份有限公司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2" w:equalWidth="0">
            <w:col w:w="3213" w:space="5705"/>
            <w:col w:w="1032"/>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7"/>
        <w:gridCol w:w="686"/>
        <w:gridCol w:w="686"/>
        <w:gridCol w:w="686"/>
        <w:gridCol w:w="684"/>
        <w:gridCol w:w="684"/>
        <w:gridCol w:w="686"/>
        <w:gridCol w:w="686"/>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4D4D4"/>
          </w:tcPr>
          <w:p>
            <w:pPr/>
          </w:p>
        </w:tc>
        <w:tc>
          <w:tcPr>
            <w:tcW w:w="7208"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4D4D4"/>
          </w:tcPr>
          <w:p>
            <w:pPr/>
          </w:p>
        </w:tc>
        <w:tc>
          <w:tcPr>
            <w:tcW w:w="5497"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6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4D4D4"/>
          </w:tcPr>
          <w:p>
            <w:pPr/>
          </w:p>
        </w:tc>
        <w:tc>
          <w:tcPr>
            <w:tcW w:w="893"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2"/>
              <w:ind w:left="78" w:right="67"/>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vMerge w:val="restart"/>
            <w:tcBorders>
              <w:top w:val="single" w:sz="4" w:space="0" w:color="000000"/>
              <w:left w:val="single" w:sz="4" w:space="0" w:color="000000"/>
              <w:right w:val="single" w:sz="4" w:space="0" w:color="000000"/>
            </w:tcBorders>
            <w:shd w:val="clear" w:color="auto" w:fill="D4D4D4"/>
          </w:tcPr>
          <w:p>
            <w:pPr/>
          </w:p>
        </w:tc>
        <w:tc>
          <w:tcPr>
            <w:tcW w:w="81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4D4D4"/>
          </w:tcPr>
          <w:p>
            <w:pPr/>
          </w:p>
        </w:tc>
        <w:tc>
          <w:tcPr>
            <w:tcW w:w="697" w:type="dxa"/>
            <w:vMerge/>
            <w:tcBorders>
              <w:left w:val="single" w:sz="4" w:space="0" w:color="000000"/>
              <w:right w:val="single" w:sz="4" w:space="0" w:color="000000"/>
            </w:tcBorders>
            <w:shd w:val="clear" w:color="auto" w:fill="D4D4D4"/>
          </w:tcPr>
          <w:p>
            <w:pP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vMerge/>
            <w:tcBorders>
              <w:left w:val="single" w:sz="4" w:space="0" w:color="000000"/>
              <w:bottom w:val="nil" w:sz="6" w:space="0" w:color="auto"/>
              <w:right w:val="single" w:sz="4" w:space="0" w:color="000000"/>
            </w:tcBorders>
            <w:shd w:val="clear" w:color="auto" w:fill="D4D4D4"/>
          </w:tcPr>
          <w:p>
            <w:pPr/>
          </w:p>
        </w:tc>
        <w:tc>
          <w:tcPr>
            <w:tcW w:w="818" w:type="dxa"/>
            <w:vMerge/>
            <w:tcBorders>
              <w:left w:val="single" w:sz="4" w:space="0" w:color="000000"/>
              <w:right w:val="single" w:sz="4" w:space="0" w:color="000000"/>
            </w:tcBorders>
            <w:shd w:val="clear" w:color="auto" w:fill="D4D4D4"/>
          </w:tcPr>
          <w:p>
            <w:pPr/>
          </w:p>
        </w:tc>
        <w:tc>
          <w:tcPr>
            <w:tcW w:w="893" w:type="dxa"/>
            <w:vMerge/>
            <w:tcBorders>
              <w:left w:val="single" w:sz="4" w:space="0" w:color="000000"/>
              <w:right w:val="single" w:sz="4" w:space="0" w:color="000000"/>
            </w:tcBorders>
            <w:shd w:val="clear" w:color="auto" w:fill="D4D4D4"/>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4D4D4"/>
          </w:tcPr>
          <w:p>
            <w:pPr/>
          </w:p>
        </w:tc>
        <w:tc>
          <w:tcPr>
            <w:tcW w:w="697"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4D4D4"/>
          </w:tcPr>
          <w:p>
            <w:pPr/>
          </w:p>
        </w:tc>
        <w:tc>
          <w:tcPr>
            <w:tcW w:w="893"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2344" w:type="dxa"/>
            <w:vMerge/>
            <w:tcBorders>
              <w:left w:val="single" w:sz="4" w:space="0" w:color="000000"/>
              <w:right w:val="single" w:sz="4" w:space="0" w:color="000000"/>
            </w:tcBorders>
            <w:shd w:val="clear" w:color="auto" w:fill="D4D4D4"/>
          </w:tcPr>
          <w:p>
            <w:pPr/>
          </w:p>
        </w:tc>
        <w:tc>
          <w:tcPr>
            <w:tcW w:w="697" w:type="dxa"/>
            <w:vMerge/>
            <w:tcBorders>
              <w:left w:val="single" w:sz="4" w:space="0" w:color="000000"/>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4" w:type="dxa"/>
            <w:vMerge/>
            <w:tcBorders>
              <w:left w:val="single" w:sz="4" w:space="0" w:color="000000"/>
              <w:bottom w:val="nil" w:sz="6" w:space="0" w:color="auto"/>
              <w:right w:val="single" w:sz="4" w:space="0" w:color="000000"/>
            </w:tcBorders>
            <w:shd w:val="clear" w:color="auto" w:fill="D4D4D4"/>
          </w:tcPr>
          <w:p>
            <w:pPr/>
          </w:p>
        </w:tc>
        <w:tc>
          <w:tcPr>
            <w:tcW w:w="684"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6" w:type="dxa"/>
            <w:vMerge w:val="restart"/>
            <w:tcBorders>
              <w:top w:val="nil" w:sz="6" w:space="0" w:color="auto"/>
              <w:left w:val="single" w:sz="4" w:space="0" w:color="000000"/>
              <w:right w:val="single" w:sz="4" w:space="0" w:color="000000"/>
            </w:tcBorders>
            <w:shd w:val="clear" w:color="auto" w:fill="D4D4D4"/>
          </w:tcPr>
          <w:p>
            <w:pPr/>
          </w:p>
        </w:tc>
        <w:tc>
          <w:tcPr>
            <w:tcW w:w="818" w:type="dxa"/>
            <w:vMerge w:val="restart"/>
            <w:tcBorders>
              <w:top w:val="nil" w:sz="6" w:space="0" w:color="auto"/>
              <w:left w:val="single" w:sz="4" w:space="0" w:color="000000"/>
              <w:right w:val="single" w:sz="4" w:space="0" w:color="000000"/>
            </w:tcBorders>
            <w:shd w:val="clear" w:color="auto" w:fill="D4D4D4"/>
          </w:tcPr>
          <w:p>
            <w:pPr/>
          </w:p>
        </w:tc>
        <w:tc>
          <w:tcPr>
            <w:tcW w:w="893"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4D4D4"/>
          </w:tcPr>
          <w:p>
            <w:pPr/>
          </w:p>
        </w:tc>
        <w:tc>
          <w:tcPr>
            <w:tcW w:w="697" w:type="dxa"/>
            <w:vMerge/>
            <w:tcBorders>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vMerge/>
            <w:tcBorders>
              <w:left w:val="single" w:sz="4" w:space="0" w:color="000000"/>
              <w:bottom w:val="single" w:sz="4" w:space="0" w:color="000000"/>
              <w:right w:val="single" w:sz="4" w:space="0" w:color="000000"/>
            </w:tcBorders>
            <w:shd w:val="clear" w:color="auto" w:fill="D4D4D4"/>
          </w:tcPr>
          <w:p>
            <w:pPr/>
          </w:p>
        </w:tc>
        <w:tc>
          <w:tcPr>
            <w:tcW w:w="818" w:type="dxa"/>
            <w:vMerge/>
            <w:tcBorders>
              <w:left w:val="single" w:sz="4" w:space="0" w:color="000000"/>
              <w:bottom w:val="single" w:sz="4" w:space="0" w:color="000000"/>
              <w:right w:val="single" w:sz="4" w:space="0" w:color="000000"/>
            </w:tcBorders>
            <w:shd w:val="clear" w:color="auto" w:fill="D4D4D4"/>
          </w:tcPr>
          <w:p>
            <w:pPr/>
          </w:p>
        </w:tc>
        <w:tc>
          <w:tcPr>
            <w:tcW w:w="893"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103,700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882,142,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750.88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29,217,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043.53</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210,616,</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389.49</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-253,553.</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1,225,422,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630.18</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103,700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882,142,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750.88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29,217,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043.53</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210,616,</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389.49</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-253,553.</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1,225,422,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630.18</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8"/>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103,700</w:t>
            </w:r>
          </w:p>
          <w:p>
            <w:pPr>
              <w:pStyle w:val="TableParagraph"/>
              <w:spacing w:line="240" w:lineRule="auto" w:before="102"/>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-103,70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8,901,5</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35.05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84,333,0</w:t>
            </w:r>
          </w:p>
          <w:p>
            <w:pPr>
              <w:pStyle w:val="TableParagraph"/>
              <w:spacing w:line="240" w:lineRule="auto" w:before="102"/>
              <w:ind w:left="252" w:right="0"/>
              <w:jc w:val="left"/>
              <w:rPr>
                <w:rFonts w:ascii="Times New Roman" w:hAnsi="Times New Roman" w:cs="Times New Roman" w:eastAsia="Times New Roman" w:hint="default"/>
                <w:sz w:val="18"/>
                <w:szCs w:val="18"/>
              </w:rPr>
            </w:pPr>
            <w:r>
              <w:rPr>
                <w:rFonts w:ascii="Times New Roman"/>
                <w:sz w:val="18"/>
              </w:rPr>
              <w:t>72.14</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-294,454.</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92,940,152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.94</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124,344,</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607.19</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-294,454.</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124,050,15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2.94</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124,344,</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607.19</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-294,454.</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124,050,15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2.94</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12"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8,901,5</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35.05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-40,011,</w:t>
            </w:r>
          </w:p>
          <w:p>
            <w:pPr>
              <w:pStyle w:val="TableParagraph"/>
              <w:spacing w:line="240" w:lineRule="auto" w:before="102"/>
              <w:ind w:left="163" w:right="0"/>
              <w:jc w:val="left"/>
              <w:rPr>
                <w:rFonts w:ascii="Times New Roman" w:hAnsi="Times New Roman" w:cs="Times New Roman" w:eastAsia="Times New Roman" w:hint="default"/>
                <w:sz w:val="18"/>
                <w:szCs w:val="18"/>
              </w:rPr>
            </w:pPr>
            <w:r>
              <w:rPr>
                <w:rFonts w:ascii="Times New Roman"/>
                <w:sz w:val="18"/>
              </w:rPr>
              <w:t>535.05</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-31,110,00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8,901,5</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35.05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-8,901,5</w:t>
            </w:r>
          </w:p>
          <w:p>
            <w:pPr>
              <w:pStyle w:val="TableParagraph"/>
              <w:spacing w:line="240" w:lineRule="auto" w:before="105"/>
              <w:ind w:left="235" w:right="0"/>
              <w:jc w:val="center"/>
              <w:rPr>
                <w:rFonts w:ascii="Times New Roman" w:hAnsi="Times New Roman" w:cs="Times New Roman" w:eastAsia="Times New Roman" w:hint="default"/>
                <w:sz w:val="18"/>
                <w:szCs w:val="18"/>
              </w:rPr>
            </w:pPr>
            <w:r>
              <w:rPr>
                <w:rFonts w:ascii="Times New Roman"/>
                <w:sz w:val="18"/>
              </w:rPr>
              <w:t>35.05</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-31,110,</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-31,110,00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10"/>
              <w:ind w:left="70" w:right="0"/>
              <w:jc w:val="left"/>
              <w:rPr>
                <w:rFonts w:ascii="Times New Roman" w:hAnsi="Times New Roman" w:cs="Times New Roman" w:eastAsia="Times New Roman" w:hint="default"/>
                <w:sz w:val="18"/>
                <w:szCs w:val="18"/>
              </w:rPr>
            </w:pPr>
            <w:r>
              <w:rPr>
                <w:rFonts w:ascii="Times New Roman"/>
                <w:sz w:val="18"/>
              </w:rPr>
              <w:t>103,700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-103,70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5"/>
        <w:gridCol w:w="686"/>
        <w:gridCol w:w="686"/>
        <w:gridCol w:w="686"/>
        <w:gridCol w:w="686"/>
        <w:gridCol w:w="684"/>
        <w:gridCol w:w="684"/>
        <w:gridCol w:w="686"/>
        <w:gridCol w:w="686"/>
        <w:gridCol w:w="818"/>
        <w:gridCol w:w="893"/>
      </w:tblGrid>
      <w:tr>
        <w:trPr>
          <w:trHeight w:val="362"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103,700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-103,70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207,400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778,442,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750.88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38,118,5</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78.58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294,949,</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461.63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-548,007.</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1,318,362,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783.12</w:t>
            </w:r>
          </w:p>
        </w:tc>
      </w:tr>
    </w:tbl>
    <w:p>
      <w:pPr>
        <w:pStyle w:val="BodyText"/>
        <w:spacing w:line="240" w:lineRule="auto" w:before="49"/>
        <w:ind w:right="147"/>
        <w:jc w:val="left"/>
      </w:pPr>
      <w:r>
        <w:rPr/>
        <w:t>上年金额</w:t>
      </w:r>
    </w:p>
    <w:p>
      <w:pPr>
        <w:pStyle w:val="BodyText"/>
        <w:spacing w:line="240" w:lineRule="auto" w:before="117"/>
        <w:ind w:left="0" w:right="153"/>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7"/>
        <w:gridCol w:w="686"/>
        <w:gridCol w:w="686"/>
        <w:gridCol w:w="686"/>
        <w:gridCol w:w="684"/>
        <w:gridCol w:w="684"/>
        <w:gridCol w:w="686"/>
        <w:gridCol w:w="686"/>
        <w:gridCol w:w="818"/>
        <w:gridCol w:w="893"/>
      </w:tblGrid>
      <w:tr>
        <w:trPr>
          <w:trHeight w:val="402" w:hRule="exact"/>
        </w:trPr>
        <w:tc>
          <w:tcPr>
            <w:tcW w:w="2344" w:type="dxa"/>
            <w:vMerge w:val="restart"/>
            <w:tcBorders>
              <w:top w:val="single" w:sz="4" w:space="0" w:color="000000"/>
              <w:left w:val="single" w:sz="4" w:space="0" w:color="000000"/>
              <w:right w:val="single" w:sz="4" w:space="0" w:color="000000"/>
            </w:tcBorders>
            <w:shd w:val="clear" w:color="auto" w:fill="D4D4D4"/>
          </w:tcPr>
          <w:p>
            <w:pPr/>
          </w:p>
        </w:tc>
        <w:tc>
          <w:tcPr>
            <w:tcW w:w="7208"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9" w:hRule="exact"/>
        </w:trPr>
        <w:tc>
          <w:tcPr>
            <w:tcW w:w="2344" w:type="dxa"/>
            <w:vMerge/>
            <w:tcBorders>
              <w:left w:val="single" w:sz="4" w:space="0" w:color="000000"/>
              <w:bottom w:val="nil" w:sz="6" w:space="0" w:color="auto"/>
              <w:right w:val="single" w:sz="4" w:space="0" w:color="000000"/>
            </w:tcBorders>
            <w:shd w:val="clear" w:color="auto" w:fill="D4D4D4"/>
          </w:tcPr>
          <w:p>
            <w:pPr/>
          </w:p>
        </w:tc>
        <w:tc>
          <w:tcPr>
            <w:tcW w:w="5497"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6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4D4D4"/>
          </w:tcPr>
          <w:p>
            <w:pPr/>
          </w:p>
        </w:tc>
        <w:tc>
          <w:tcPr>
            <w:tcW w:w="893"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05" w:hRule="exact"/>
        </w:trPr>
        <w:tc>
          <w:tcPr>
            <w:tcW w:w="23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2"/>
              <w:ind w:left="78" w:right="67"/>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vMerge w:val="restart"/>
            <w:tcBorders>
              <w:top w:val="single" w:sz="4" w:space="0" w:color="000000"/>
              <w:left w:val="single" w:sz="4" w:space="0" w:color="000000"/>
              <w:right w:val="single" w:sz="4" w:space="0" w:color="000000"/>
            </w:tcBorders>
            <w:shd w:val="clear" w:color="auto" w:fill="D4D4D4"/>
          </w:tcPr>
          <w:p>
            <w:pPr/>
          </w:p>
        </w:tc>
        <w:tc>
          <w:tcPr>
            <w:tcW w:w="81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2"/>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2"/>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0" w:hRule="exact"/>
        </w:trPr>
        <w:tc>
          <w:tcPr>
            <w:tcW w:w="2344" w:type="dxa"/>
            <w:vMerge/>
            <w:tcBorders>
              <w:left w:val="single" w:sz="4" w:space="0" w:color="000000"/>
              <w:bottom w:val="nil" w:sz="6" w:space="0" w:color="auto"/>
              <w:right w:val="single" w:sz="4" w:space="0" w:color="000000"/>
            </w:tcBorders>
            <w:shd w:val="clear" w:color="auto" w:fill="D4D4D4"/>
          </w:tcPr>
          <w:p>
            <w:pPr/>
          </w:p>
        </w:tc>
        <w:tc>
          <w:tcPr>
            <w:tcW w:w="697" w:type="dxa"/>
            <w:vMerge/>
            <w:tcBorders>
              <w:left w:val="single" w:sz="4" w:space="0" w:color="000000"/>
              <w:right w:val="single" w:sz="4" w:space="0" w:color="000000"/>
            </w:tcBorders>
            <w:shd w:val="clear" w:color="auto" w:fill="D4D4D4"/>
          </w:tcPr>
          <w:p>
            <w:pP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vMerge/>
            <w:tcBorders>
              <w:left w:val="single" w:sz="4" w:space="0" w:color="000000"/>
              <w:bottom w:val="nil" w:sz="6" w:space="0" w:color="auto"/>
              <w:right w:val="single" w:sz="4" w:space="0" w:color="000000"/>
            </w:tcBorders>
            <w:shd w:val="clear" w:color="auto" w:fill="D4D4D4"/>
          </w:tcPr>
          <w:p>
            <w:pPr/>
          </w:p>
        </w:tc>
        <w:tc>
          <w:tcPr>
            <w:tcW w:w="818" w:type="dxa"/>
            <w:vMerge/>
            <w:tcBorders>
              <w:left w:val="single" w:sz="4" w:space="0" w:color="000000"/>
              <w:right w:val="single" w:sz="4" w:space="0" w:color="000000"/>
            </w:tcBorders>
            <w:shd w:val="clear" w:color="auto" w:fill="D4D4D4"/>
          </w:tcPr>
          <w:p>
            <w:pPr/>
          </w:p>
        </w:tc>
        <w:tc>
          <w:tcPr>
            <w:tcW w:w="893" w:type="dxa"/>
            <w:vMerge/>
            <w:tcBorders>
              <w:left w:val="single" w:sz="4" w:space="0" w:color="000000"/>
              <w:right w:val="single" w:sz="4" w:space="0" w:color="000000"/>
            </w:tcBorders>
            <w:shd w:val="clear" w:color="auto" w:fill="D4D4D4"/>
          </w:tcPr>
          <w:p>
            <w:pPr/>
          </w:p>
        </w:tc>
      </w:tr>
      <w:tr>
        <w:trPr>
          <w:trHeight w:val="352" w:hRule="exact"/>
        </w:trPr>
        <w:tc>
          <w:tcPr>
            <w:tcW w:w="2344" w:type="dxa"/>
            <w:vMerge w:val="restart"/>
            <w:tcBorders>
              <w:top w:val="nil" w:sz="6" w:space="0" w:color="auto"/>
              <w:left w:val="single" w:sz="4" w:space="0" w:color="000000"/>
              <w:right w:val="single" w:sz="4" w:space="0" w:color="000000"/>
            </w:tcBorders>
            <w:shd w:val="clear" w:color="auto" w:fill="D4D4D4"/>
          </w:tcPr>
          <w:p>
            <w:pPr/>
          </w:p>
        </w:tc>
        <w:tc>
          <w:tcPr>
            <w:tcW w:w="697"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5"/>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4D4D4"/>
          </w:tcPr>
          <w:p>
            <w:pPr/>
          </w:p>
        </w:tc>
        <w:tc>
          <w:tcPr>
            <w:tcW w:w="893"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2344" w:type="dxa"/>
            <w:vMerge/>
            <w:tcBorders>
              <w:left w:val="single" w:sz="4" w:space="0" w:color="000000"/>
              <w:right w:val="single" w:sz="4" w:space="0" w:color="000000"/>
            </w:tcBorders>
            <w:shd w:val="clear" w:color="auto" w:fill="D4D4D4"/>
          </w:tcPr>
          <w:p>
            <w:pPr/>
          </w:p>
        </w:tc>
        <w:tc>
          <w:tcPr>
            <w:tcW w:w="697" w:type="dxa"/>
            <w:vMerge/>
            <w:tcBorders>
              <w:left w:val="single" w:sz="4" w:space="0" w:color="000000"/>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4" w:type="dxa"/>
            <w:vMerge/>
            <w:tcBorders>
              <w:left w:val="single" w:sz="4" w:space="0" w:color="000000"/>
              <w:bottom w:val="nil" w:sz="6" w:space="0" w:color="auto"/>
              <w:right w:val="single" w:sz="4" w:space="0" w:color="000000"/>
            </w:tcBorders>
            <w:shd w:val="clear" w:color="auto" w:fill="D4D4D4"/>
          </w:tcPr>
          <w:p>
            <w:pPr/>
          </w:p>
        </w:tc>
        <w:tc>
          <w:tcPr>
            <w:tcW w:w="684"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6" w:type="dxa"/>
            <w:vMerge w:val="restart"/>
            <w:tcBorders>
              <w:top w:val="nil" w:sz="6" w:space="0" w:color="auto"/>
              <w:left w:val="single" w:sz="4" w:space="0" w:color="000000"/>
              <w:right w:val="single" w:sz="4" w:space="0" w:color="000000"/>
            </w:tcBorders>
            <w:shd w:val="clear" w:color="auto" w:fill="D4D4D4"/>
          </w:tcPr>
          <w:p>
            <w:pPr/>
          </w:p>
        </w:tc>
        <w:tc>
          <w:tcPr>
            <w:tcW w:w="818" w:type="dxa"/>
            <w:vMerge w:val="restart"/>
            <w:tcBorders>
              <w:top w:val="nil" w:sz="6" w:space="0" w:color="auto"/>
              <w:left w:val="single" w:sz="4" w:space="0" w:color="000000"/>
              <w:right w:val="single" w:sz="4" w:space="0" w:color="000000"/>
            </w:tcBorders>
            <w:shd w:val="clear" w:color="auto" w:fill="D4D4D4"/>
          </w:tcPr>
          <w:p>
            <w:pPr/>
          </w:p>
        </w:tc>
        <w:tc>
          <w:tcPr>
            <w:tcW w:w="893"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4D4D4"/>
          </w:tcPr>
          <w:p>
            <w:pPr/>
          </w:p>
        </w:tc>
        <w:tc>
          <w:tcPr>
            <w:tcW w:w="697" w:type="dxa"/>
            <w:vMerge/>
            <w:tcBorders>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vMerge/>
            <w:tcBorders>
              <w:left w:val="single" w:sz="4" w:space="0" w:color="000000"/>
              <w:bottom w:val="single" w:sz="4" w:space="0" w:color="000000"/>
              <w:right w:val="single" w:sz="4" w:space="0" w:color="000000"/>
            </w:tcBorders>
            <w:shd w:val="clear" w:color="auto" w:fill="D4D4D4"/>
          </w:tcPr>
          <w:p>
            <w:pPr/>
          </w:p>
        </w:tc>
        <w:tc>
          <w:tcPr>
            <w:tcW w:w="818" w:type="dxa"/>
            <w:vMerge/>
            <w:tcBorders>
              <w:left w:val="single" w:sz="4" w:space="0" w:color="000000"/>
              <w:bottom w:val="single" w:sz="4" w:space="0" w:color="000000"/>
              <w:right w:val="single" w:sz="4" w:space="0" w:color="000000"/>
            </w:tcBorders>
            <w:shd w:val="clear" w:color="auto" w:fill="D4D4D4"/>
          </w:tcPr>
          <w:p>
            <w:pPr/>
          </w:p>
        </w:tc>
        <w:tc>
          <w:tcPr>
            <w:tcW w:w="893"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103,700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880,943,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237.65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17,238,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263.88</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165,338,</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454.39</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1,295,801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1,168,515,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757.73</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Style w:val="TableParagraph"/>
              <w:spacing w:line="240" w:lineRule="auto" w:before="93"/>
              <w:ind w:left="70" w:right="0"/>
              <w:jc w:val="left"/>
              <w:rPr>
                <w:rFonts w:ascii="Times New Roman" w:hAnsi="Times New Roman" w:cs="Times New Roman" w:eastAsia="Times New Roman" w:hint="default"/>
                <w:sz w:val="18"/>
                <w:szCs w:val="18"/>
              </w:rPr>
            </w:pPr>
            <w:r>
              <w:rPr>
                <w:rFonts w:ascii="Times New Roman"/>
                <w:sz w:val="18"/>
              </w:rPr>
              <w:t>103,700</w:t>
            </w:r>
          </w:p>
          <w:p>
            <w:pPr>
              <w:pStyle w:val="TableParagraph"/>
              <w:spacing w:line="240" w:lineRule="auto" w:before="102"/>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880,943,</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237.65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17,238,</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263.88</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165,338,</w:t>
            </w:r>
          </w:p>
          <w:p>
            <w:pPr>
              <w:pStyle w:val="TableParagraph"/>
              <w:spacing w:line="240" w:lineRule="auto" w:before="102"/>
              <w:ind w:left="143" w:right="0"/>
              <w:jc w:val="center"/>
              <w:rPr>
                <w:rFonts w:ascii="Times New Roman" w:hAnsi="Times New Roman" w:cs="Times New Roman" w:eastAsia="Times New Roman" w:hint="default"/>
                <w:sz w:val="18"/>
                <w:szCs w:val="18"/>
              </w:rPr>
            </w:pPr>
            <w:r>
              <w:rPr>
                <w:rFonts w:ascii="Times New Roman"/>
                <w:sz w:val="18"/>
              </w:rPr>
              <w:t>454.39</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1,295,801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1,168,515,</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757.73</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1,199,51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3.23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11,978,7</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79.65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45,277,9</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35.10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-1,549,35</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5.53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56,906,872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w:t>
            </w:r>
          </w:p>
        </w:tc>
      </w:tr>
      <w:tr>
        <w:trPr>
          <w:trHeight w:val="163"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17" w:right="0"/>
              <w:jc w:val="center"/>
              <w:rPr>
                <w:rFonts w:ascii="Times New Roman" w:hAnsi="Times New Roman" w:cs="Times New Roman" w:eastAsia="Times New Roman" w:hint="default"/>
                <w:sz w:val="18"/>
                <w:szCs w:val="18"/>
              </w:rPr>
            </w:pPr>
            <w:r>
              <w:rPr>
                <w:rFonts w:ascii="Times New Roman"/>
                <w:sz w:val="18"/>
              </w:rPr>
              <w:t>119,476,</w:t>
            </w:r>
          </w:p>
          <w:p>
            <w:pPr>
              <w:pStyle w:val="TableParagraph"/>
              <w:spacing w:line="240" w:lineRule="auto" w:before="102"/>
              <w:ind w:left="143" w:right="0"/>
              <w:jc w:val="center"/>
              <w:rPr>
                <w:rFonts w:ascii="Times New Roman" w:hAnsi="Times New Roman" w:cs="Times New Roman" w:eastAsia="Times New Roman" w:hint="default"/>
                <w:sz w:val="18"/>
                <w:szCs w:val="18"/>
              </w:rPr>
            </w:pPr>
            <w:r>
              <w:rPr>
                <w:rFonts w:ascii="Times New Roman"/>
                <w:sz w:val="18"/>
              </w:rPr>
              <w:t>714.75</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-59,842.3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119,416,87</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2.45</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7" w:type="dxa"/>
            <w:vMerge w:val="restart"/>
            <w:tcBorders>
              <w:top w:val="single" w:sz="4" w:space="0" w:color="000000"/>
              <w:left w:val="single" w:sz="10" w:space="0" w:color="D4D4D4"/>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17" w:right="0"/>
              <w:jc w:val="center"/>
              <w:rPr>
                <w:rFonts w:ascii="Times New Roman" w:hAnsi="Times New Roman" w:cs="Times New Roman" w:eastAsia="Times New Roman" w:hint="default"/>
                <w:sz w:val="18"/>
                <w:szCs w:val="18"/>
              </w:rPr>
            </w:pPr>
            <w:r>
              <w:rPr>
                <w:rFonts w:ascii="Times New Roman"/>
                <w:sz w:val="18"/>
              </w:rPr>
              <w:t>119,476,</w:t>
            </w:r>
          </w:p>
          <w:p>
            <w:pPr>
              <w:pStyle w:val="TableParagraph"/>
              <w:spacing w:line="240" w:lineRule="auto" w:before="102"/>
              <w:ind w:left="143" w:right="0"/>
              <w:jc w:val="center"/>
              <w:rPr>
                <w:rFonts w:ascii="Times New Roman" w:hAnsi="Times New Roman" w:cs="Times New Roman" w:eastAsia="Times New Roman" w:hint="default"/>
                <w:sz w:val="18"/>
                <w:szCs w:val="18"/>
              </w:rPr>
            </w:pPr>
            <w:r>
              <w:rPr>
                <w:rFonts w:ascii="Times New Roman"/>
                <w:sz w:val="18"/>
              </w:rPr>
              <w:t>714.75</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-59,842.3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119,416,87</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2.45</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7"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7"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7" w:type="dxa"/>
            <w:tcBorders>
              <w:top w:val="single" w:sz="4" w:space="0" w:color="000000"/>
              <w:left w:val="single" w:sz="10" w:space="0" w:color="D4D4D4"/>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5" w:right="0"/>
              <w:jc w:val="left"/>
              <w:rPr>
                <w:rFonts w:ascii="Times New Roman" w:hAnsi="Times New Roman" w:cs="Times New Roman" w:eastAsia="Times New Roman" w:hint="default"/>
                <w:sz w:val="18"/>
                <w:szCs w:val="18"/>
              </w:rPr>
            </w:pPr>
            <w:r>
              <w:rPr>
                <w:rFonts w:ascii="Times New Roman"/>
                <w:sz w:val="18"/>
              </w:rPr>
              <w:t>-290,000.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-290,000.0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5"/>
        <w:gridCol w:w="686"/>
        <w:gridCol w:w="686"/>
        <w:gridCol w:w="686"/>
        <w:gridCol w:w="686"/>
        <w:gridCol w:w="684"/>
        <w:gridCol w:w="684"/>
        <w:gridCol w:w="686"/>
        <w:gridCol w:w="686"/>
        <w:gridCol w:w="818"/>
        <w:gridCol w:w="893"/>
      </w:tblGrid>
      <w:tr>
        <w:trPr>
          <w:trHeight w:val="362"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-290,000.</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11,978,7</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79.65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-74,198,</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779.65</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-62,220,00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11,978,7</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79.65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-11,978,</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779.65</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-62,220,00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1,199,51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3.23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-1,199,51</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3.23</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1,199,51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3.23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-1,199,51</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3.23</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103,700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882,142,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750.88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29,217,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043.53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210,616,</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389.49</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-253,553.</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1,225,422,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630.18</w:t>
            </w:r>
          </w:p>
        </w:tc>
      </w:tr>
    </w:tbl>
    <w:p>
      <w:pPr>
        <w:spacing w:line="240" w:lineRule="auto" w:before="2"/>
        <w:rPr>
          <w:rFonts w:ascii="宋体" w:hAnsi="宋体" w:cs="宋体" w:eastAsia="宋体" w:hint="default"/>
          <w:sz w:val="20"/>
          <w:szCs w:val="20"/>
        </w:rPr>
      </w:pPr>
    </w:p>
    <w:p>
      <w:pPr>
        <w:pStyle w:val="BodyText"/>
        <w:tabs>
          <w:tab w:pos="3577" w:val="left" w:leader="none"/>
          <w:tab w:pos="7720" w:val="left" w:leader="none"/>
        </w:tabs>
        <w:spacing w:line="240" w:lineRule="auto" w:before="44"/>
        <w:ind w:right="147"/>
        <w:jc w:val="left"/>
      </w:pPr>
      <w:bookmarkStart w:name="8、母公司所有者权益变动表" w:id="146"/>
      <w:bookmarkEnd w:id="146"/>
      <w:r>
        <w:rPr/>
      </w:r>
      <w:r>
        <w:rPr/>
        <w:t>法定代表人：鲁峰</w:t>
        <w:tab/>
      </w:r>
      <w:r>
        <w:rPr>
          <w:spacing w:val="-1"/>
        </w:rPr>
        <w:t>主管会计工作负责人：侯伟</w:t>
        <w:tab/>
      </w:r>
      <w:r>
        <w:rPr/>
        <w:t>会计机构负责人：镇千金</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57" w:lineRule="auto" w:before="44"/>
        <w:ind w:right="-20"/>
        <w:jc w:val="left"/>
      </w:pPr>
      <w:r>
        <w:rPr/>
        <w:t>编制单位：福建榕基软件股份有限公司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2" w:equalWidth="0">
            <w:col w:w="3213" w:space="5705"/>
            <w:col w:w="1032"/>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76"/>
        <w:gridCol w:w="7090"/>
      </w:tblGrid>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982" w:top="1060" w:bottom="1180" w:left="980" w:right="980"/>
        </w:sectPr>
      </w:pPr>
    </w:p>
    <w:p>
      <w:pPr>
        <w:pStyle w:val="BodyText"/>
        <w:spacing w:line="240" w:lineRule="auto" w:before="44"/>
        <w:ind w:left="0" w:right="125"/>
        <w:jc w:val="right"/>
      </w:pPr>
      <w:r>
        <w:rPr/>
        <w:t>实收资本</w:t>
      </w:r>
    </w:p>
    <w:p>
      <w:pPr>
        <w:pStyle w:val="BodyText"/>
        <w:spacing w:line="240" w:lineRule="auto" w:before="76"/>
        <w:ind w:left="0" w:right="0"/>
        <w:jc w:val="right"/>
      </w:pPr>
      <w:r>
        <w:rPr/>
        <w:t>（或股本）</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2" w:right="-18"/>
        <w:jc w:val="left"/>
      </w:pPr>
      <w:r>
        <w:rPr/>
        <w:t>资本公积 </w:t>
      </w:r>
      <w:r>
        <w:rPr>
          <w:spacing w:val="-15"/>
        </w:rPr>
        <w:t>减：库存股  </w:t>
      </w:r>
      <w:r>
        <w:rPr/>
        <w:t>专项储备</w:t>
      </w:r>
      <w:r>
        <w:rPr>
          <w:spacing w:val="60"/>
        </w:rPr>
        <w:t> </w:t>
      </w:r>
      <w:r>
        <w:rPr/>
        <w:t>盈余公积</w:t>
      </w:r>
    </w:p>
    <w:p>
      <w:pPr>
        <w:pStyle w:val="BodyText"/>
        <w:spacing w:line="316" w:lineRule="auto" w:before="44"/>
        <w:ind w:left="305" w:right="-20" w:hanging="180"/>
        <w:jc w:val="left"/>
      </w:pPr>
      <w:r>
        <w:rPr/>
        <w:br w:type="column"/>
      </w:r>
      <w:r>
        <w:rPr/>
        <w:t>一般风险 准备</w:t>
      </w:r>
    </w:p>
    <w:p>
      <w:pPr>
        <w:pStyle w:val="BodyText"/>
        <w:spacing w:line="316" w:lineRule="auto" w:before="44"/>
        <w:ind w:left="396" w:right="-19" w:hanging="269"/>
        <w:jc w:val="left"/>
      </w:pPr>
      <w:r>
        <w:rPr/>
        <w:br w:type="column"/>
      </w:r>
      <w:r>
        <w:rPr/>
        <w:t>未分配利 润</w:t>
      </w:r>
    </w:p>
    <w:p>
      <w:pPr>
        <w:pStyle w:val="BodyText"/>
        <w:spacing w:line="316" w:lineRule="auto" w:before="44"/>
        <w:ind w:left="216" w:right="292" w:hanging="89"/>
        <w:jc w:val="left"/>
      </w:pPr>
      <w:r>
        <w:rPr/>
        <w:br w:type="column"/>
      </w:r>
      <w:r>
        <w:rPr/>
        <w:t>所有者权 益合计</w:t>
      </w:r>
    </w:p>
    <w:p>
      <w:pPr>
        <w:spacing w:after="0" w:line="316" w:lineRule="auto"/>
        <w:jc w:val="left"/>
        <w:sectPr>
          <w:type w:val="continuous"/>
          <w:pgSz w:w="11910" w:h="16840"/>
          <w:pgMar w:top="1060" w:bottom="1180" w:left="980" w:right="980"/>
          <w:cols w:num="5" w:equalWidth="0">
            <w:col w:w="3559" w:space="40"/>
            <w:col w:w="3376" w:space="40"/>
            <w:col w:w="846" w:space="40"/>
            <w:col w:w="849" w:space="40"/>
            <w:col w:w="1160"/>
          </w:cols>
        </w:sectPr>
      </w:pPr>
    </w:p>
    <w:p>
      <w:pPr>
        <w:spacing w:line="240" w:lineRule="auto" w:before="4"/>
        <w:rPr>
          <w:rFonts w:ascii="宋体" w:hAnsi="宋体" w:cs="宋体" w:eastAsia="宋体" w:hint="default"/>
          <w:sz w:val="20"/>
          <w:szCs w:val="20"/>
        </w:rPr>
      </w:pPr>
    </w:p>
    <w:p>
      <w:pPr>
        <w:pStyle w:val="BodyText"/>
        <w:spacing w:line="219" w:lineRule="exact"/>
        <w:ind w:left="181" w:right="-20"/>
        <w:jc w:val="left"/>
      </w:pPr>
      <w:r>
        <w:rPr/>
        <w:t>一、上年年末余额</w:t>
      </w:r>
    </w:p>
    <w:p>
      <w:pPr>
        <w:pStyle w:val="BodyText"/>
        <w:spacing w:line="240" w:lineRule="auto" w:before="152"/>
        <w:ind w:left="181" w:right="-12"/>
        <w:jc w:val="left"/>
        <w:rPr>
          <w:rFonts w:ascii="Times New Roman" w:hAnsi="Times New Roman" w:cs="Times New Roman" w:eastAsia="Times New Roman" w:hint="default"/>
        </w:rPr>
      </w:pPr>
      <w:r>
        <w:rPr/>
        <w:br w:type="column"/>
      </w:r>
      <w:r>
        <w:rPr>
          <w:rFonts w:ascii="Times New Roman"/>
        </w:rPr>
        <w:t>103,700,00</w:t>
      </w:r>
      <w:r>
        <w:rPr>
          <w:rFonts w:ascii="Times New Roman"/>
          <w:spacing w:val="27"/>
        </w:rPr>
        <w:t> </w:t>
      </w:r>
      <w:r>
        <w:rPr>
          <w:rFonts w:ascii="Times New Roman"/>
        </w:rPr>
        <w:t>882,693,23</w:t>
      </w:r>
    </w:p>
    <w:p>
      <w:pPr>
        <w:pStyle w:val="BodyText"/>
        <w:spacing w:line="240" w:lineRule="auto" w:before="152"/>
        <w:ind w:left="181" w:right="-16"/>
        <w:jc w:val="left"/>
        <w:rPr>
          <w:rFonts w:ascii="Times New Roman" w:hAnsi="Times New Roman" w:cs="Times New Roman" w:eastAsia="Times New Roman" w:hint="default"/>
        </w:rPr>
      </w:pPr>
      <w:r>
        <w:rPr/>
        <w:br w:type="column"/>
      </w:r>
      <w:r>
        <w:rPr>
          <w:rFonts w:ascii="Times New Roman"/>
        </w:rPr>
        <w:t>29,217,043</w:t>
      </w:r>
    </w:p>
    <w:p>
      <w:pPr>
        <w:pStyle w:val="BodyText"/>
        <w:spacing w:line="240" w:lineRule="auto" w:before="152"/>
        <w:ind w:left="181" w:right="-16"/>
        <w:jc w:val="left"/>
        <w:rPr>
          <w:rFonts w:ascii="Times New Roman" w:hAnsi="Times New Roman" w:cs="Times New Roman" w:eastAsia="Times New Roman" w:hint="default"/>
        </w:rPr>
      </w:pPr>
      <w:r>
        <w:rPr/>
        <w:br w:type="column"/>
      </w:r>
      <w:r>
        <w:rPr>
          <w:rFonts w:ascii="Times New Roman"/>
        </w:rPr>
        <w:t>202,197,98</w:t>
      </w:r>
    </w:p>
    <w:p>
      <w:pPr>
        <w:pStyle w:val="BodyText"/>
        <w:spacing w:line="240" w:lineRule="auto" w:before="152"/>
        <w:ind w:left="82" w:right="0"/>
        <w:jc w:val="left"/>
        <w:rPr>
          <w:rFonts w:ascii="Times New Roman" w:hAnsi="Times New Roman" w:cs="Times New Roman" w:eastAsia="Times New Roman" w:hint="default"/>
        </w:rPr>
      </w:pPr>
      <w:r>
        <w:rPr/>
        <w:br w:type="column"/>
      </w:r>
      <w:r>
        <w:rPr>
          <w:rFonts w:ascii="Times New Roman"/>
        </w:rPr>
        <w:t>1,217,808,</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5" w:equalWidth="0">
            <w:col w:w="1622" w:space="871"/>
            <w:col w:w="1881" w:space="1661"/>
            <w:col w:w="996" w:space="778"/>
            <w:col w:w="996" w:space="40"/>
            <w:col w:w="1105"/>
          </w:cols>
        </w:sectPr>
      </w:pPr>
    </w:p>
    <w:p>
      <w:pPr>
        <w:pStyle w:val="BodyText"/>
        <w:tabs>
          <w:tab w:pos="885" w:val="left" w:leader="none"/>
        </w:tabs>
        <w:spacing w:line="184" w:lineRule="exact"/>
        <w:ind w:left="0" w:right="0"/>
        <w:jc w:val="right"/>
        <w:rPr>
          <w:rFonts w:ascii="Times New Roman" w:hAnsi="Times New Roman" w:cs="Times New Roman" w:eastAsia="Times New Roman" w:hint="default"/>
        </w:rPr>
      </w:pPr>
      <w:r>
        <w:rPr>
          <w:rFonts w:ascii="Times New Roman"/>
          <w:spacing w:val="-1"/>
        </w:rPr>
        <w:t>0.00</w:t>
        <w:tab/>
        <w:t>7.65</w:t>
      </w:r>
      <w:r>
        <w:rPr>
          <w:rFonts w:ascii="Times New Roman"/>
        </w:rPr>
      </w:r>
    </w:p>
    <w:p>
      <w:pPr>
        <w:spacing w:line="184" w:lineRule="exact" w:before="0"/>
        <w:ind w:left="0" w:right="0" w:firstLine="0"/>
        <w:jc w:val="right"/>
        <w:rPr>
          <w:rFonts w:ascii="Times New Roman" w:hAnsi="Times New Roman" w:cs="Times New Roman" w:eastAsia="Times New Roman" w:hint="default"/>
          <w:sz w:val="18"/>
          <w:szCs w:val="18"/>
        </w:rPr>
      </w:pPr>
      <w:r>
        <w:rPr/>
        <w:br w:type="column"/>
      </w:r>
      <w:r>
        <w:rPr>
          <w:rFonts w:ascii="Times New Roman"/>
          <w:sz w:val="18"/>
        </w:rPr>
        <w:t>.53</w:t>
      </w:r>
    </w:p>
    <w:p>
      <w:pPr>
        <w:pStyle w:val="BodyText"/>
        <w:spacing w:line="184" w:lineRule="exact"/>
        <w:ind w:left="0" w:right="0"/>
        <w:jc w:val="right"/>
        <w:rPr>
          <w:rFonts w:ascii="Times New Roman" w:hAnsi="Times New Roman" w:cs="Times New Roman" w:eastAsia="Times New Roman" w:hint="default"/>
        </w:rPr>
      </w:pPr>
      <w:r>
        <w:rPr>
          <w:spacing w:val="-1"/>
        </w:rPr>
        <w:br w:type="column"/>
      </w:r>
      <w:r>
        <w:rPr>
          <w:rFonts w:ascii="Times New Roman"/>
          <w:spacing w:val="-1"/>
        </w:rPr>
        <w:t>3.12</w:t>
      </w:r>
      <w:r>
        <w:rPr>
          <w:rFonts w:ascii="Times New Roman"/>
        </w:rPr>
      </w:r>
    </w:p>
    <w:p>
      <w:pPr>
        <w:pStyle w:val="BodyText"/>
        <w:spacing w:line="184" w:lineRule="exact"/>
        <w:ind w:left="356" w:right="0"/>
        <w:jc w:val="left"/>
        <w:rPr>
          <w:rFonts w:ascii="Times New Roman" w:hAnsi="Times New Roman" w:cs="Times New Roman" w:eastAsia="Times New Roman" w:hint="default"/>
        </w:rPr>
      </w:pPr>
      <w:r>
        <w:rPr/>
        <w:br w:type="column"/>
      </w:r>
      <w:r>
        <w:rPr>
          <w:rFonts w:ascii="Times New Roman"/>
        </w:rPr>
        <w:t>264.30</w:t>
      </w:r>
    </w:p>
    <w:p>
      <w:pPr>
        <w:spacing w:after="0" w:line="184" w:lineRule="exact"/>
        <w:jc w:val="left"/>
        <w:rPr>
          <w:rFonts w:ascii="Times New Roman" w:hAnsi="Times New Roman" w:cs="Times New Roman" w:eastAsia="Times New Roman" w:hint="default"/>
        </w:rPr>
        <w:sectPr>
          <w:type w:val="continuous"/>
          <w:pgSz w:w="11910" w:h="16840"/>
          <w:pgMar w:top="1060" w:bottom="1180" w:left="980" w:right="980"/>
          <w:cols w:num="4" w:equalWidth="0">
            <w:col w:w="4372" w:space="40"/>
            <w:col w:w="2619" w:space="40"/>
            <w:col w:w="1733" w:space="40"/>
            <w:col w:w="1106"/>
          </w:cols>
        </w:sectPr>
      </w:pPr>
    </w:p>
    <w:p>
      <w:pPr>
        <w:spacing w:line="240" w:lineRule="auto" w:before="6"/>
        <w:rPr>
          <w:rFonts w:ascii="Times New Roman" w:hAnsi="Times New Roman" w:cs="Times New Roman" w:eastAsia="Times New Roman" w:hint="default"/>
          <w:sz w:val="9"/>
          <w:szCs w:val="9"/>
        </w:rPr>
      </w:pPr>
    </w:p>
    <w:p>
      <w:pPr>
        <w:pStyle w:val="BodyText"/>
        <w:spacing w:line="240" w:lineRule="auto" w:before="44"/>
        <w:ind w:left="541" w:right="147"/>
        <w:jc w:val="left"/>
      </w:pPr>
      <w:r>
        <w:rPr/>
        <w:t>加：会计政策变更</w:t>
      </w:r>
    </w:p>
    <w:p>
      <w:pPr>
        <w:spacing w:line="240" w:lineRule="auto" w:before="5"/>
        <w:rPr>
          <w:rFonts w:ascii="宋体" w:hAnsi="宋体" w:cs="宋体" w:eastAsia="宋体" w:hint="default"/>
          <w:sz w:val="9"/>
          <w:szCs w:val="9"/>
        </w:rPr>
      </w:pPr>
    </w:p>
    <w:p>
      <w:pPr>
        <w:pStyle w:val="BodyText"/>
        <w:spacing w:line="240" w:lineRule="auto" w:before="44"/>
        <w:ind w:left="901" w:right="147"/>
        <w:jc w:val="left"/>
      </w:pPr>
      <w:r>
        <w:rPr/>
        <w:t>前期差错更正</w:t>
      </w:r>
    </w:p>
    <w:p>
      <w:pPr>
        <w:spacing w:line="240" w:lineRule="auto" w:before="3"/>
        <w:rPr>
          <w:rFonts w:ascii="宋体" w:hAnsi="宋体" w:cs="宋体" w:eastAsia="宋体" w:hint="default"/>
          <w:sz w:val="9"/>
          <w:szCs w:val="9"/>
        </w:rPr>
      </w:pPr>
    </w:p>
    <w:p>
      <w:pPr>
        <w:pStyle w:val="BodyText"/>
        <w:spacing w:line="240" w:lineRule="auto" w:before="44"/>
        <w:ind w:left="901" w:right="147"/>
        <w:jc w:val="left"/>
      </w:pPr>
      <w:r>
        <w:rPr/>
        <w:t>其他</w:t>
      </w:r>
    </w:p>
    <w:p>
      <w:pPr>
        <w:spacing w:line="240" w:lineRule="auto" w:before="2"/>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060" w:bottom="1180" w:left="980" w:right="980"/>
        </w:sectPr>
      </w:pPr>
    </w:p>
    <w:p>
      <w:pPr>
        <w:spacing w:line="240" w:lineRule="auto" w:before="7"/>
        <w:rPr>
          <w:rFonts w:ascii="宋体" w:hAnsi="宋体" w:cs="宋体" w:eastAsia="宋体" w:hint="default"/>
          <w:sz w:val="14"/>
          <w:szCs w:val="14"/>
        </w:rPr>
      </w:pPr>
    </w:p>
    <w:p>
      <w:pPr>
        <w:pStyle w:val="BodyText"/>
        <w:spacing w:line="219" w:lineRule="exact"/>
        <w:ind w:left="181" w:right="-20"/>
        <w:jc w:val="left"/>
      </w:pPr>
      <w:r>
        <w:rPr/>
        <w:t>二、本年年初余额</w:t>
      </w:r>
    </w:p>
    <w:p>
      <w:pPr>
        <w:pStyle w:val="BodyText"/>
        <w:spacing w:line="240" w:lineRule="auto" w:before="76"/>
        <w:ind w:left="181" w:right="-12"/>
        <w:jc w:val="left"/>
        <w:rPr>
          <w:rFonts w:ascii="Times New Roman" w:hAnsi="Times New Roman" w:cs="Times New Roman" w:eastAsia="Times New Roman" w:hint="default"/>
        </w:rPr>
      </w:pPr>
      <w:r>
        <w:rPr/>
        <w:br w:type="column"/>
      </w:r>
      <w:r>
        <w:rPr>
          <w:rFonts w:ascii="Times New Roman"/>
        </w:rPr>
        <w:t>103,700,00</w:t>
      </w:r>
      <w:r>
        <w:rPr>
          <w:rFonts w:ascii="Times New Roman"/>
          <w:spacing w:val="27"/>
        </w:rPr>
        <w:t> </w:t>
      </w:r>
      <w:r>
        <w:rPr>
          <w:rFonts w:ascii="Times New Roman"/>
        </w:rPr>
        <w:t>882,693,23</w:t>
      </w:r>
    </w:p>
    <w:p>
      <w:pPr>
        <w:pStyle w:val="BodyText"/>
        <w:spacing w:line="240" w:lineRule="auto" w:before="76"/>
        <w:ind w:left="181" w:right="-16"/>
        <w:jc w:val="left"/>
        <w:rPr>
          <w:rFonts w:ascii="Times New Roman" w:hAnsi="Times New Roman" w:cs="Times New Roman" w:eastAsia="Times New Roman" w:hint="default"/>
        </w:rPr>
      </w:pPr>
      <w:r>
        <w:rPr/>
        <w:br w:type="column"/>
      </w:r>
      <w:r>
        <w:rPr>
          <w:rFonts w:ascii="Times New Roman"/>
        </w:rPr>
        <w:t>29,217,043</w:t>
      </w:r>
    </w:p>
    <w:p>
      <w:pPr>
        <w:pStyle w:val="BodyText"/>
        <w:spacing w:line="240" w:lineRule="auto" w:before="76"/>
        <w:ind w:left="181" w:right="-16"/>
        <w:jc w:val="left"/>
        <w:rPr>
          <w:rFonts w:ascii="Times New Roman" w:hAnsi="Times New Roman" w:cs="Times New Roman" w:eastAsia="Times New Roman" w:hint="default"/>
        </w:rPr>
      </w:pPr>
      <w:r>
        <w:rPr/>
        <w:br w:type="column"/>
      </w:r>
      <w:r>
        <w:rPr>
          <w:rFonts w:ascii="Times New Roman"/>
        </w:rPr>
        <w:t>202,197,98</w:t>
      </w:r>
    </w:p>
    <w:p>
      <w:pPr>
        <w:pStyle w:val="BodyText"/>
        <w:spacing w:line="240" w:lineRule="auto" w:before="76"/>
        <w:ind w:left="82" w:right="0"/>
        <w:jc w:val="left"/>
        <w:rPr>
          <w:rFonts w:ascii="Times New Roman" w:hAnsi="Times New Roman" w:cs="Times New Roman" w:eastAsia="Times New Roman" w:hint="default"/>
        </w:rPr>
      </w:pPr>
      <w:r>
        <w:rPr/>
        <w:br w:type="column"/>
      </w:r>
      <w:r>
        <w:rPr>
          <w:rFonts w:ascii="Times New Roman"/>
        </w:rPr>
        <w:t>1,217,808,</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5" w:equalWidth="0">
            <w:col w:w="1622" w:space="871"/>
            <w:col w:w="1881" w:space="1661"/>
            <w:col w:w="996" w:space="778"/>
            <w:col w:w="996" w:space="40"/>
            <w:col w:w="1105"/>
          </w:cols>
        </w:sectPr>
      </w:pPr>
    </w:p>
    <w:p>
      <w:pPr>
        <w:pStyle w:val="BodyText"/>
        <w:tabs>
          <w:tab w:pos="885" w:val="left" w:leader="none"/>
        </w:tabs>
        <w:spacing w:line="184" w:lineRule="exact"/>
        <w:ind w:left="0" w:right="0"/>
        <w:jc w:val="right"/>
        <w:rPr>
          <w:rFonts w:ascii="Times New Roman" w:hAnsi="Times New Roman" w:cs="Times New Roman" w:eastAsia="Times New Roman" w:hint="default"/>
        </w:rPr>
      </w:pPr>
      <w:r>
        <w:rPr>
          <w:rFonts w:ascii="Times New Roman"/>
          <w:spacing w:val="-1"/>
        </w:rPr>
        <w:t>0.00</w:t>
        <w:tab/>
        <w:t>7.65</w:t>
      </w:r>
      <w:r>
        <w:rPr>
          <w:rFonts w:ascii="Times New Roman"/>
        </w:rPr>
      </w:r>
    </w:p>
    <w:p>
      <w:pPr>
        <w:spacing w:line="184" w:lineRule="exact" w:before="0"/>
        <w:ind w:left="0" w:right="0" w:firstLine="0"/>
        <w:jc w:val="right"/>
        <w:rPr>
          <w:rFonts w:ascii="Times New Roman" w:hAnsi="Times New Roman" w:cs="Times New Roman" w:eastAsia="Times New Roman" w:hint="default"/>
          <w:sz w:val="18"/>
          <w:szCs w:val="18"/>
        </w:rPr>
      </w:pPr>
      <w:r>
        <w:rPr/>
        <w:br w:type="column"/>
      </w:r>
      <w:r>
        <w:rPr>
          <w:rFonts w:ascii="Times New Roman"/>
          <w:sz w:val="18"/>
        </w:rPr>
        <w:t>.53</w:t>
      </w:r>
    </w:p>
    <w:p>
      <w:pPr>
        <w:pStyle w:val="BodyText"/>
        <w:spacing w:line="184" w:lineRule="exact"/>
        <w:ind w:left="0" w:right="0"/>
        <w:jc w:val="right"/>
        <w:rPr>
          <w:rFonts w:ascii="Times New Roman" w:hAnsi="Times New Roman" w:cs="Times New Roman" w:eastAsia="Times New Roman" w:hint="default"/>
        </w:rPr>
      </w:pPr>
      <w:r>
        <w:rPr>
          <w:spacing w:val="-1"/>
        </w:rPr>
        <w:br w:type="column"/>
      </w:r>
      <w:r>
        <w:rPr>
          <w:rFonts w:ascii="Times New Roman"/>
          <w:spacing w:val="-1"/>
        </w:rPr>
        <w:t>3.12</w:t>
      </w:r>
      <w:r>
        <w:rPr>
          <w:rFonts w:ascii="Times New Roman"/>
        </w:rPr>
      </w:r>
    </w:p>
    <w:p>
      <w:pPr>
        <w:pStyle w:val="BodyText"/>
        <w:spacing w:line="184" w:lineRule="exact"/>
        <w:ind w:left="356" w:right="0"/>
        <w:jc w:val="left"/>
        <w:rPr>
          <w:rFonts w:ascii="Times New Roman" w:hAnsi="Times New Roman" w:cs="Times New Roman" w:eastAsia="Times New Roman" w:hint="default"/>
        </w:rPr>
      </w:pPr>
      <w:r>
        <w:rPr/>
        <w:br w:type="column"/>
      </w:r>
      <w:r>
        <w:rPr>
          <w:rFonts w:ascii="Times New Roman"/>
        </w:rPr>
        <w:t>264.30</w:t>
      </w:r>
    </w:p>
    <w:p>
      <w:pPr>
        <w:spacing w:after="0" w:line="184" w:lineRule="exact"/>
        <w:jc w:val="left"/>
        <w:rPr>
          <w:rFonts w:ascii="Times New Roman" w:hAnsi="Times New Roman" w:cs="Times New Roman" w:eastAsia="Times New Roman" w:hint="default"/>
        </w:rPr>
        <w:sectPr>
          <w:type w:val="continuous"/>
          <w:pgSz w:w="11910" w:h="16840"/>
          <w:pgMar w:top="1060" w:bottom="1180" w:left="980" w:right="980"/>
          <w:cols w:num="4" w:equalWidth="0">
            <w:col w:w="4372" w:space="40"/>
            <w:col w:w="2619" w:space="40"/>
            <w:col w:w="1733" w:space="40"/>
            <w:col w:w="1106"/>
          </w:cols>
        </w:sectPr>
      </w:pP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80" w:left="980" w:right="980"/>
        </w:sectPr>
      </w:pPr>
    </w:p>
    <w:p>
      <w:pPr>
        <w:pStyle w:val="BodyText"/>
        <w:spacing w:line="240" w:lineRule="auto" w:before="44"/>
        <w:ind w:left="181" w:right="-20"/>
        <w:jc w:val="left"/>
      </w:pPr>
      <w:r>
        <w:rPr/>
        <w:t>三、本期增减变动金额（减少</w:t>
      </w:r>
    </w:p>
    <w:p>
      <w:pPr>
        <w:pStyle w:val="BodyText"/>
        <w:spacing w:line="240" w:lineRule="auto" w:before="86"/>
        <w:ind w:left="113" w:right="-16"/>
        <w:jc w:val="left"/>
        <w:rPr>
          <w:rFonts w:ascii="Times New Roman" w:hAnsi="Times New Roman" w:cs="Times New Roman" w:eastAsia="Times New Roman" w:hint="default"/>
        </w:rPr>
      </w:pPr>
      <w:r>
        <w:rPr/>
        <w:br w:type="column"/>
      </w:r>
      <w:r>
        <w:rPr>
          <w:rFonts w:ascii="Times New Roman"/>
        </w:rPr>
        <w:t>103,700,00</w:t>
      </w:r>
    </w:p>
    <w:p>
      <w:pPr>
        <w:pStyle w:val="BodyText"/>
        <w:spacing w:line="240" w:lineRule="auto" w:before="86"/>
        <w:ind w:left="63" w:right="-19"/>
        <w:jc w:val="left"/>
        <w:rPr>
          <w:rFonts w:ascii="Times New Roman" w:hAnsi="Times New Roman" w:cs="Times New Roman" w:eastAsia="Times New Roman" w:hint="default"/>
        </w:rPr>
      </w:pPr>
      <w:r>
        <w:rPr/>
        <w:br w:type="column"/>
      </w:r>
      <w:r>
        <w:rPr>
          <w:rFonts w:ascii="Times New Roman"/>
        </w:rPr>
        <w:t>-103,700,0</w:t>
      </w:r>
    </w:p>
    <w:p>
      <w:pPr>
        <w:pStyle w:val="BodyText"/>
        <w:spacing w:line="240" w:lineRule="auto" w:before="86"/>
        <w:ind w:left="181" w:right="-16"/>
        <w:jc w:val="left"/>
        <w:rPr>
          <w:rFonts w:ascii="Times New Roman" w:hAnsi="Times New Roman" w:cs="Times New Roman" w:eastAsia="Times New Roman" w:hint="default"/>
        </w:rPr>
      </w:pPr>
      <w:r>
        <w:rPr/>
        <w:br w:type="column"/>
      </w:r>
      <w:r>
        <w:rPr>
          <w:rFonts w:ascii="Times New Roman"/>
        </w:rPr>
        <w:t>8,901,535.</w:t>
      </w:r>
    </w:p>
    <w:p>
      <w:pPr>
        <w:pStyle w:val="BodyText"/>
        <w:spacing w:line="240" w:lineRule="auto" w:before="86"/>
        <w:ind w:left="181" w:right="0"/>
        <w:jc w:val="left"/>
        <w:rPr>
          <w:rFonts w:ascii="Times New Roman" w:hAnsi="Times New Roman" w:cs="Times New Roman" w:eastAsia="Times New Roman" w:hint="default"/>
        </w:rPr>
      </w:pPr>
      <w:r>
        <w:rPr/>
        <w:br w:type="column"/>
      </w:r>
      <w:r>
        <w:rPr>
          <w:rFonts w:ascii="Times New Roman"/>
        </w:rPr>
        <w:t>49,003,815</w:t>
      </w:r>
      <w:r>
        <w:rPr>
          <w:rFonts w:ascii="Times New Roman"/>
          <w:spacing w:val="31"/>
        </w:rPr>
        <w:t> </w:t>
      </w:r>
      <w:r>
        <w:rPr>
          <w:rFonts w:ascii="Times New Roman"/>
        </w:rPr>
        <w:t>57,905,350</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5" w:equalWidth="0">
            <w:col w:w="2522" w:space="40"/>
            <w:col w:w="928" w:space="40"/>
            <w:col w:w="845" w:space="1708"/>
            <w:col w:w="951" w:space="777"/>
            <w:col w:w="2139"/>
          </w:cols>
        </w:sectPr>
      </w:pPr>
    </w:p>
    <w:p>
      <w:pPr>
        <w:pStyle w:val="BodyText"/>
        <w:spacing w:line="240" w:lineRule="auto" w:before="63"/>
        <w:ind w:left="181" w:right="-13"/>
        <w:jc w:val="left"/>
      </w:pPr>
      <w:r>
        <w:rPr>
          <w:spacing w:val="-1"/>
        </w:rPr>
        <w:t>以</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号填列）</w:t>
      </w:r>
    </w:p>
    <w:p>
      <w:pPr>
        <w:pStyle w:val="BodyText"/>
        <w:spacing w:line="240" w:lineRule="auto" w:before="105"/>
        <w:ind w:left="181" w:right="-17"/>
        <w:jc w:val="left"/>
        <w:rPr>
          <w:rFonts w:ascii="Times New Roman" w:hAnsi="Times New Roman" w:cs="Times New Roman" w:eastAsia="Times New Roman" w:hint="default"/>
        </w:rPr>
      </w:pPr>
      <w:r>
        <w:rPr>
          <w:spacing w:val="-1"/>
        </w:rPr>
        <w:br w:type="column"/>
      </w:r>
      <w:r>
        <w:rPr>
          <w:rFonts w:ascii="Times New Roman"/>
          <w:spacing w:val="-1"/>
        </w:rPr>
        <w:t>0.00</w:t>
      </w:r>
      <w:r>
        <w:rPr>
          <w:rFonts w:ascii="Times New Roman"/>
        </w:rPr>
      </w:r>
    </w:p>
    <w:p>
      <w:pPr>
        <w:pStyle w:val="BodyText"/>
        <w:spacing w:line="240" w:lineRule="auto" w:before="105"/>
        <w:ind w:left="181" w:right="-17"/>
        <w:jc w:val="left"/>
        <w:rPr>
          <w:rFonts w:ascii="Times New Roman" w:hAnsi="Times New Roman" w:cs="Times New Roman" w:eastAsia="Times New Roman" w:hint="default"/>
        </w:rPr>
      </w:pPr>
      <w:r>
        <w:rPr/>
        <w:br w:type="column"/>
      </w:r>
      <w:r>
        <w:rPr>
          <w:rFonts w:ascii="Times New Roman"/>
        </w:rPr>
        <w:t>00.00</w:t>
      </w:r>
    </w:p>
    <w:p>
      <w:pPr>
        <w:pStyle w:val="BodyText"/>
        <w:tabs>
          <w:tab w:pos="1909" w:val="left" w:leader="none"/>
        </w:tabs>
        <w:spacing w:line="240" w:lineRule="auto" w:before="105"/>
        <w:ind w:left="181" w:right="-18"/>
        <w:jc w:val="left"/>
        <w:rPr>
          <w:rFonts w:ascii="Times New Roman" w:hAnsi="Times New Roman" w:cs="Times New Roman" w:eastAsia="Times New Roman" w:hint="default"/>
        </w:rPr>
      </w:pPr>
      <w:r>
        <w:rPr/>
        <w:br w:type="column"/>
      </w:r>
      <w:r>
        <w:rPr>
          <w:rFonts w:ascii="Times New Roman"/>
        </w:rPr>
        <w:t>05</w:t>
        <w:tab/>
        <w:t>.43</w:t>
      </w:r>
    </w:p>
    <w:p>
      <w:pPr>
        <w:spacing w:before="105"/>
        <w:ind w:left="181" w:right="0" w:firstLine="0"/>
        <w:jc w:val="left"/>
        <w:rPr>
          <w:rFonts w:ascii="Times New Roman" w:hAnsi="Times New Roman" w:cs="Times New Roman" w:eastAsia="Times New Roman" w:hint="default"/>
          <w:sz w:val="18"/>
          <w:szCs w:val="18"/>
        </w:rPr>
      </w:pPr>
      <w:r>
        <w:rPr/>
        <w:br w:type="column"/>
      </w:r>
      <w:r>
        <w:rPr>
          <w:rFonts w:ascii="Times New Roman"/>
          <w:sz w:val="18"/>
        </w:rPr>
        <w:t>.48</w:t>
      </w:r>
    </w:p>
    <w:p>
      <w:pPr>
        <w:spacing w:after="0"/>
        <w:jc w:val="left"/>
        <w:rPr>
          <w:rFonts w:ascii="Times New Roman" w:hAnsi="Times New Roman" w:cs="Times New Roman" w:eastAsia="Times New Roman" w:hint="default"/>
          <w:sz w:val="18"/>
          <w:szCs w:val="18"/>
        </w:rPr>
        <w:sectPr>
          <w:type w:val="continuous"/>
          <w:pgSz w:w="11910" w:h="16840"/>
          <w:pgMar w:top="1060" w:bottom="1180" w:left="980" w:right="980"/>
          <w:cols w:num="5" w:equalWidth="0">
            <w:col w:w="1421" w:space="1570"/>
            <w:col w:w="496" w:space="298"/>
            <w:col w:w="590" w:space="2292"/>
            <w:col w:w="2137" w:space="481"/>
            <w:col w:w="665"/>
          </w:cols>
        </w:sectPr>
      </w:pPr>
    </w:p>
    <w:p>
      <w:pPr>
        <w:spacing w:line="240" w:lineRule="auto" w:before="4"/>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type w:val="continuous"/>
          <w:pgSz w:w="11910" w:h="16840"/>
          <w:pgMar w:top="1060" w:bottom="1180" w:left="980" w:right="980"/>
        </w:sectPr>
      </w:pPr>
    </w:p>
    <w:p>
      <w:pPr>
        <w:spacing w:line="240" w:lineRule="auto" w:before="7"/>
        <w:rPr>
          <w:rFonts w:ascii="Times New Roman" w:hAnsi="Times New Roman" w:cs="Times New Roman" w:eastAsia="Times New Roman" w:hint="default"/>
          <w:sz w:val="16"/>
          <w:szCs w:val="16"/>
        </w:rPr>
      </w:pPr>
    </w:p>
    <w:p>
      <w:pPr>
        <w:pStyle w:val="BodyText"/>
        <w:spacing w:line="219" w:lineRule="exact"/>
        <w:ind w:left="181" w:right="-20"/>
        <w:jc w:val="left"/>
      </w:pPr>
      <w:r>
        <w:rPr/>
        <w:t>（一）净利润</w:t>
      </w:r>
    </w:p>
    <w:p>
      <w:pPr>
        <w:pStyle w:val="BodyText"/>
        <w:spacing w:line="240" w:lineRule="auto" w:before="76"/>
        <w:ind w:left="181" w:right="0"/>
        <w:jc w:val="left"/>
        <w:rPr>
          <w:rFonts w:ascii="Times New Roman" w:hAnsi="Times New Roman" w:cs="Times New Roman" w:eastAsia="Times New Roman" w:hint="default"/>
        </w:rPr>
      </w:pPr>
      <w:r>
        <w:rPr/>
        <w:br w:type="column"/>
      </w:r>
      <w:r>
        <w:rPr>
          <w:rFonts w:ascii="Times New Roman"/>
        </w:rPr>
        <w:t>89,015,350</w:t>
      </w:r>
      <w:r>
        <w:rPr>
          <w:rFonts w:ascii="Times New Roman"/>
          <w:spacing w:val="31"/>
        </w:rPr>
        <w:t> </w:t>
      </w:r>
      <w:r>
        <w:rPr>
          <w:rFonts w:ascii="Times New Roman"/>
        </w:rPr>
        <w:t>89,015,350</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2" w:equalWidth="0">
            <w:col w:w="1262" w:space="6547"/>
            <w:col w:w="2141"/>
          </w:cols>
        </w:sectPr>
      </w:pPr>
    </w:p>
    <w:p>
      <w:pPr>
        <w:pStyle w:val="BodyText"/>
        <w:tabs>
          <w:tab w:pos="890" w:val="left" w:leader="none"/>
        </w:tabs>
        <w:spacing w:line="184" w:lineRule="exact"/>
        <w:ind w:left="0" w:right="250"/>
        <w:jc w:val="right"/>
        <w:rPr>
          <w:rFonts w:ascii="Times New Roman" w:hAnsi="Times New Roman" w:cs="Times New Roman" w:eastAsia="Times New Roman" w:hint="default"/>
        </w:rPr>
      </w:pPr>
      <w:r>
        <w:rPr>
          <w:rFonts w:ascii="Times New Roman"/>
        </w:rPr>
        <w:t>.48</w:t>
        <w:tab/>
        <w:t>.48</w:t>
      </w:r>
    </w:p>
    <w:p>
      <w:pPr>
        <w:spacing w:line="240" w:lineRule="auto" w:before="6"/>
        <w:rPr>
          <w:rFonts w:ascii="Times New Roman" w:hAnsi="Times New Roman" w:cs="Times New Roman" w:eastAsia="Times New Roman" w:hint="default"/>
          <w:sz w:val="9"/>
          <w:szCs w:val="9"/>
        </w:rPr>
      </w:pPr>
    </w:p>
    <w:p>
      <w:pPr>
        <w:pStyle w:val="BodyText"/>
        <w:spacing w:line="240" w:lineRule="auto" w:before="44"/>
        <w:ind w:left="181" w:right="147"/>
        <w:jc w:val="left"/>
      </w:pPr>
      <w:r>
        <w:rPr/>
        <w:t>（二）其他综合收益</w:t>
      </w:r>
    </w:p>
    <w:p>
      <w:pPr>
        <w:spacing w:line="240" w:lineRule="auto" w:before="2"/>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060" w:bottom="1180" w:left="980" w:right="980"/>
        </w:sectPr>
      </w:pPr>
    </w:p>
    <w:p>
      <w:pPr>
        <w:spacing w:line="240" w:lineRule="auto" w:before="7"/>
        <w:rPr>
          <w:rFonts w:ascii="宋体" w:hAnsi="宋体" w:cs="宋体" w:eastAsia="宋体" w:hint="default"/>
          <w:sz w:val="14"/>
          <w:szCs w:val="14"/>
        </w:rPr>
      </w:pPr>
    </w:p>
    <w:p>
      <w:pPr>
        <w:pStyle w:val="BodyText"/>
        <w:spacing w:line="219" w:lineRule="exact"/>
        <w:ind w:left="181" w:right="-20"/>
        <w:jc w:val="left"/>
      </w:pPr>
      <w:r>
        <w:rPr/>
        <w:t>上述（一）和（二）小计</w:t>
      </w:r>
    </w:p>
    <w:p>
      <w:pPr>
        <w:pStyle w:val="BodyText"/>
        <w:spacing w:line="240" w:lineRule="auto" w:before="76"/>
        <w:ind w:left="181" w:right="0"/>
        <w:jc w:val="left"/>
        <w:rPr>
          <w:rFonts w:ascii="Times New Roman" w:hAnsi="Times New Roman" w:cs="Times New Roman" w:eastAsia="Times New Roman" w:hint="default"/>
        </w:rPr>
      </w:pPr>
      <w:r>
        <w:rPr/>
        <w:br w:type="column"/>
      </w:r>
      <w:r>
        <w:rPr>
          <w:rFonts w:ascii="Times New Roman"/>
        </w:rPr>
        <w:t>89,015,350</w:t>
      </w:r>
      <w:r>
        <w:rPr>
          <w:rFonts w:ascii="Times New Roman"/>
          <w:spacing w:val="31"/>
        </w:rPr>
        <w:t> </w:t>
      </w:r>
      <w:r>
        <w:rPr>
          <w:rFonts w:ascii="Times New Roman"/>
        </w:rPr>
        <w:t>89,015,350</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2" w:equalWidth="0">
            <w:col w:w="2162" w:space="5647"/>
            <w:col w:w="2141"/>
          </w:cols>
        </w:sectPr>
      </w:pPr>
    </w:p>
    <w:p>
      <w:pPr>
        <w:pStyle w:val="BodyText"/>
        <w:tabs>
          <w:tab w:pos="890" w:val="left" w:leader="none"/>
        </w:tabs>
        <w:spacing w:line="184" w:lineRule="exact"/>
        <w:ind w:left="0" w:right="250"/>
        <w:jc w:val="right"/>
        <w:rPr>
          <w:rFonts w:ascii="Times New Roman" w:hAnsi="Times New Roman" w:cs="Times New Roman" w:eastAsia="Times New Roman" w:hint="default"/>
        </w:rPr>
      </w:pPr>
      <w:r>
        <w:rPr>
          <w:rFonts w:ascii="Times New Roman"/>
        </w:rPr>
        <w:t>.48</w:t>
        <w:tab/>
        <w:t>.48</w:t>
      </w:r>
    </w:p>
    <w:p>
      <w:pPr>
        <w:spacing w:line="240" w:lineRule="auto" w:before="6"/>
        <w:rPr>
          <w:rFonts w:ascii="Times New Roman" w:hAnsi="Times New Roman" w:cs="Times New Roman" w:eastAsia="Times New Roman" w:hint="default"/>
          <w:sz w:val="9"/>
          <w:szCs w:val="9"/>
        </w:rPr>
      </w:pPr>
    </w:p>
    <w:p>
      <w:pPr>
        <w:pStyle w:val="BodyText"/>
        <w:spacing w:line="240" w:lineRule="auto" w:before="44"/>
        <w:ind w:left="181" w:right="147"/>
        <w:jc w:val="left"/>
      </w:pPr>
      <w:r>
        <w:rPr/>
        <w:t>（三）所有者投入和减少资本</w:t>
      </w:r>
    </w:p>
    <w:p>
      <w:pPr>
        <w:spacing w:line="240" w:lineRule="auto" w:before="5"/>
        <w:rPr>
          <w:rFonts w:ascii="宋体" w:hAnsi="宋体" w:cs="宋体" w:eastAsia="宋体" w:hint="default"/>
          <w:sz w:val="9"/>
          <w:szCs w:val="9"/>
        </w:rPr>
      </w:pPr>
    </w:p>
    <w:p>
      <w:pPr>
        <w:pStyle w:val="BodyText"/>
        <w:spacing w:line="240" w:lineRule="auto" w:before="44"/>
        <w:ind w:left="181" w:right="147"/>
        <w:jc w:val="left"/>
      </w:pPr>
      <w:r>
        <w:rPr>
          <w:rFonts w:ascii="Times New Roman" w:hAnsi="Times New Roman" w:cs="Times New Roman" w:eastAsia="Times New Roman" w:hint="default"/>
        </w:rPr>
        <w:t>1</w:t>
      </w:r>
      <w:r>
        <w:rPr/>
        <w:t>．所有者投入资本</w:t>
      </w:r>
    </w:p>
    <w:p>
      <w:pPr>
        <w:spacing w:line="240" w:lineRule="auto" w:before="2"/>
        <w:rPr>
          <w:rFonts w:ascii="宋体" w:hAnsi="宋体" w:cs="宋体" w:eastAsia="宋体" w:hint="default"/>
          <w:sz w:val="8"/>
          <w:szCs w:val="8"/>
        </w:rPr>
      </w:pPr>
    </w:p>
    <w:p>
      <w:pPr>
        <w:pStyle w:val="BodyText"/>
        <w:spacing w:line="300" w:lineRule="auto" w:before="44"/>
        <w:ind w:left="181" w:right="7329"/>
        <w:jc w:val="left"/>
      </w:pPr>
      <w:r>
        <w:rPr>
          <w:rFonts w:ascii="Times New Roman" w:hAnsi="Times New Roman" w:cs="Times New Roman" w:eastAsia="Times New Roman" w:hint="default"/>
          <w:spacing w:val="-1"/>
        </w:rPr>
        <w:t>2</w:t>
      </w:r>
      <w:r>
        <w:rPr>
          <w:spacing w:val="-1"/>
        </w:rPr>
        <w:t>．股份支付计入所有者权益的</w:t>
      </w:r>
      <w:r>
        <w:rPr>
          <w:spacing w:val="-85"/>
        </w:rPr>
        <w:t> </w:t>
      </w:r>
      <w:r>
        <w:rPr>
          <w:spacing w:val="-85"/>
        </w:rPr>
      </w:r>
      <w:r>
        <w:rPr/>
        <w:t>金额</w:t>
      </w:r>
    </w:p>
    <w:p>
      <w:pPr>
        <w:pStyle w:val="BodyText"/>
        <w:spacing w:line="240" w:lineRule="auto" w:before="122"/>
        <w:ind w:left="181" w:right="147"/>
        <w:jc w:val="left"/>
      </w:pPr>
      <w:r>
        <w:rPr>
          <w:rFonts w:ascii="Times New Roman" w:hAnsi="Times New Roman" w:cs="Times New Roman" w:eastAsia="Times New Roman" w:hint="default"/>
        </w:rPr>
        <w:t>3</w:t>
      </w:r>
      <w:r>
        <w:rPr/>
        <w:t>．其他</w:t>
      </w: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80" w:left="980" w:right="980"/>
        </w:sectPr>
      </w:pPr>
    </w:p>
    <w:p>
      <w:pPr>
        <w:spacing w:line="240" w:lineRule="auto" w:before="7"/>
        <w:rPr>
          <w:rFonts w:ascii="宋体" w:hAnsi="宋体" w:cs="宋体" w:eastAsia="宋体" w:hint="default"/>
          <w:sz w:val="14"/>
          <w:szCs w:val="14"/>
        </w:rPr>
      </w:pPr>
    </w:p>
    <w:p>
      <w:pPr>
        <w:pStyle w:val="BodyText"/>
        <w:spacing w:line="240" w:lineRule="auto"/>
        <w:ind w:left="181" w:right="-20"/>
        <w:jc w:val="left"/>
      </w:pPr>
      <w:r>
        <w:rPr/>
        <w:t>（四）利润分配</w:t>
      </w:r>
    </w:p>
    <w:p>
      <w:pPr>
        <w:pStyle w:val="BodyText"/>
        <w:spacing w:line="240" w:lineRule="auto" w:before="76"/>
        <w:ind w:left="0" w:right="0"/>
        <w:jc w:val="right"/>
        <w:rPr>
          <w:rFonts w:ascii="Times New Roman" w:hAnsi="Times New Roman" w:cs="Times New Roman" w:eastAsia="Times New Roman" w:hint="default"/>
        </w:rPr>
      </w:pPr>
      <w:r>
        <w:rPr/>
        <w:br w:type="column"/>
      </w:r>
      <w:r>
        <w:rPr>
          <w:rFonts w:ascii="Times New Roman"/>
        </w:rPr>
        <w:t>8,901,535.</w:t>
      </w:r>
    </w:p>
    <w:p>
      <w:pPr>
        <w:pStyle w:val="BodyText"/>
        <w:spacing w:line="240" w:lineRule="auto" w:before="105"/>
        <w:ind w:left="0" w:right="0"/>
        <w:jc w:val="right"/>
        <w:rPr>
          <w:rFonts w:ascii="Times New Roman" w:hAnsi="Times New Roman" w:cs="Times New Roman" w:eastAsia="Times New Roman" w:hint="default"/>
        </w:rPr>
      </w:pPr>
      <w:r>
        <w:rPr>
          <w:rFonts w:ascii="Times New Roman"/>
        </w:rPr>
        <w:t>05</w:t>
      </w:r>
    </w:p>
    <w:p>
      <w:pPr>
        <w:pStyle w:val="BodyText"/>
        <w:spacing w:line="240" w:lineRule="auto" w:before="76"/>
        <w:ind w:left="0" w:right="0"/>
        <w:jc w:val="right"/>
        <w:rPr>
          <w:rFonts w:ascii="Times New Roman" w:hAnsi="Times New Roman" w:cs="Times New Roman" w:eastAsia="Times New Roman" w:hint="default"/>
        </w:rPr>
      </w:pPr>
      <w:r>
        <w:rPr>
          <w:spacing w:val="-1"/>
        </w:rPr>
        <w:br w:type="column"/>
      </w:r>
      <w:r>
        <w:rPr>
          <w:rFonts w:ascii="Times New Roman"/>
          <w:spacing w:val="-1"/>
        </w:rPr>
        <w:t>-40,011,53</w:t>
      </w:r>
    </w:p>
    <w:p>
      <w:pPr>
        <w:pStyle w:val="BodyText"/>
        <w:spacing w:line="240" w:lineRule="auto" w:before="105"/>
        <w:ind w:left="0" w:right="1"/>
        <w:jc w:val="right"/>
        <w:rPr>
          <w:rFonts w:ascii="Times New Roman" w:hAnsi="Times New Roman" w:cs="Times New Roman" w:eastAsia="Times New Roman" w:hint="default"/>
        </w:rPr>
      </w:pPr>
      <w:r>
        <w:rPr>
          <w:rFonts w:ascii="Times New Roman"/>
          <w:spacing w:val="-1"/>
        </w:rPr>
        <w:t>5.05</w:t>
      </w:r>
      <w:r>
        <w:rPr>
          <w:rFonts w:ascii="Times New Roman"/>
        </w:rPr>
      </w:r>
    </w:p>
    <w:p>
      <w:pPr>
        <w:pStyle w:val="BodyText"/>
        <w:spacing w:line="240" w:lineRule="auto" w:before="76"/>
        <w:ind w:left="76" w:right="0"/>
        <w:jc w:val="left"/>
        <w:rPr>
          <w:rFonts w:ascii="Times New Roman" w:hAnsi="Times New Roman" w:cs="Times New Roman" w:eastAsia="Times New Roman" w:hint="default"/>
        </w:rPr>
      </w:pPr>
      <w:r>
        <w:rPr/>
        <w:br w:type="column"/>
      </w:r>
      <w:r>
        <w:rPr>
          <w:rFonts w:ascii="Times New Roman"/>
        </w:rPr>
        <w:t>-31,110,00</w:t>
      </w:r>
    </w:p>
    <w:p>
      <w:pPr>
        <w:pStyle w:val="BodyText"/>
        <w:spacing w:line="240" w:lineRule="auto" w:before="105"/>
        <w:ind w:left="534" w:right="0"/>
        <w:jc w:val="left"/>
        <w:rPr>
          <w:rFonts w:ascii="Times New Roman" w:hAnsi="Times New Roman" w:cs="Times New Roman" w:eastAsia="Times New Roman" w:hint="default"/>
        </w:rPr>
      </w:pPr>
      <w:r>
        <w:rPr>
          <w:rFonts w:ascii="Times New Roman"/>
        </w:rPr>
        <w:t>0.00</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4" w:equalWidth="0">
            <w:col w:w="1442" w:space="4639"/>
            <w:col w:w="951" w:space="816"/>
            <w:col w:w="956" w:space="40"/>
            <w:col w:w="1106"/>
          </w:cols>
        </w:sectPr>
      </w:pPr>
    </w:p>
    <w:p>
      <w:pPr>
        <w:spacing w:line="240" w:lineRule="auto" w:before="4"/>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type w:val="continuous"/>
          <w:pgSz w:w="11910" w:h="16840"/>
          <w:pgMar w:top="1060" w:bottom="1180" w:left="980" w:right="980"/>
        </w:sectPr>
      </w:pPr>
    </w:p>
    <w:p>
      <w:pPr>
        <w:spacing w:line="240" w:lineRule="auto" w:before="7"/>
        <w:rPr>
          <w:rFonts w:ascii="Times New Roman" w:hAnsi="Times New Roman" w:cs="Times New Roman" w:eastAsia="Times New Roman" w:hint="default"/>
          <w:sz w:val="16"/>
          <w:szCs w:val="16"/>
        </w:rPr>
      </w:pPr>
    </w:p>
    <w:p>
      <w:pPr>
        <w:pStyle w:val="BodyText"/>
        <w:spacing w:line="240" w:lineRule="auto"/>
        <w:ind w:left="181" w:right="-19"/>
        <w:jc w:val="left"/>
      </w:pPr>
      <w:r>
        <w:rPr>
          <w:rFonts w:ascii="Times New Roman" w:hAnsi="Times New Roman" w:cs="Times New Roman" w:eastAsia="Times New Roman" w:hint="default"/>
        </w:rPr>
        <w:t>1</w:t>
      </w:r>
      <w:r>
        <w:rPr/>
        <w:t>．提取盈余公积</w:t>
      </w:r>
    </w:p>
    <w:p>
      <w:pPr>
        <w:pStyle w:val="BodyText"/>
        <w:spacing w:line="240" w:lineRule="auto" w:before="76"/>
        <w:ind w:left="0" w:right="0"/>
        <w:jc w:val="right"/>
        <w:rPr>
          <w:rFonts w:ascii="Times New Roman" w:hAnsi="Times New Roman" w:cs="Times New Roman" w:eastAsia="Times New Roman" w:hint="default"/>
        </w:rPr>
      </w:pPr>
      <w:r>
        <w:rPr/>
        <w:br w:type="column"/>
      </w:r>
      <w:r>
        <w:rPr>
          <w:rFonts w:ascii="Times New Roman"/>
        </w:rPr>
        <w:t>8,901,535.</w:t>
      </w:r>
    </w:p>
    <w:p>
      <w:pPr>
        <w:pStyle w:val="BodyText"/>
        <w:spacing w:line="240" w:lineRule="auto" w:before="102"/>
        <w:ind w:left="0" w:right="0"/>
        <w:jc w:val="right"/>
        <w:rPr>
          <w:rFonts w:ascii="Times New Roman" w:hAnsi="Times New Roman" w:cs="Times New Roman" w:eastAsia="Times New Roman" w:hint="default"/>
        </w:rPr>
      </w:pPr>
      <w:r>
        <w:rPr>
          <w:rFonts w:ascii="Times New Roman"/>
        </w:rPr>
        <w:t>05</w:t>
      </w:r>
    </w:p>
    <w:p>
      <w:pPr>
        <w:pStyle w:val="BodyText"/>
        <w:spacing w:line="240" w:lineRule="auto" w:before="76"/>
        <w:ind w:left="181" w:right="0"/>
        <w:jc w:val="left"/>
        <w:rPr>
          <w:rFonts w:ascii="Times New Roman" w:hAnsi="Times New Roman" w:cs="Times New Roman" w:eastAsia="Times New Roman" w:hint="default"/>
        </w:rPr>
      </w:pPr>
      <w:r>
        <w:rPr/>
        <w:br w:type="column"/>
      </w:r>
      <w:r>
        <w:rPr>
          <w:rFonts w:ascii="Times New Roman"/>
        </w:rPr>
        <w:t>-8,901,535.</w:t>
      </w:r>
    </w:p>
    <w:p>
      <w:pPr>
        <w:pStyle w:val="BodyText"/>
        <w:spacing w:line="240" w:lineRule="auto" w:before="102"/>
        <w:ind w:left="809" w:right="1121"/>
        <w:jc w:val="center"/>
        <w:rPr>
          <w:rFonts w:ascii="Times New Roman" w:hAnsi="Times New Roman" w:cs="Times New Roman" w:eastAsia="Times New Roman" w:hint="default"/>
        </w:rPr>
      </w:pPr>
      <w:r>
        <w:rPr>
          <w:rFonts w:ascii="Times New Roman"/>
        </w:rPr>
        <w:t>05</w:t>
      </w:r>
    </w:p>
    <w:p>
      <w:pPr>
        <w:spacing w:after="0" w:line="240" w:lineRule="auto"/>
        <w:jc w:val="center"/>
        <w:rPr>
          <w:rFonts w:ascii="Times New Roman" w:hAnsi="Times New Roman" w:cs="Times New Roman" w:eastAsia="Times New Roman" w:hint="default"/>
        </w:rPr>
        <w:sectPr>
          <w:type w:val="continuous"/>
          <w:pgSz w:w="11910" w:h="16840"/>
          <w:pgMar w:top="1060" w:bottom="1180" w:left="980" w:right="980"/>
          <w:cols w:num="3" w:equalWidth="0">
            <w:col w:w="1533" w:space="4548"/>
            <w:col w:w="951" w:space="763"/>
            <w:col w:w="2155"/>
          </w:cols>
        </w:sectPr>
      </w:pPr>
    </w:p>
    <w:p>
      <w:pPr>
        <w:spacing w:line="240" w:lineRule="auto" w:before="6"/>
        <w:rPr>
          <w:rFonts w:ascii="Times New Roman" w:hAnsi="Times New Roman" w:cs="Times New Roman" w:eastAsia="Times New Roman" w:hint="default"/>
          <w:sz w:val="9"/>
          <w:szCs w:val="9"/>
        </w:rPr>
      </w:pPr>
    </w:p>
    <w:p>
      <w:pPr>
        <w:pStyle w:val="BodyText"/>
        <w:spacing w:line="240" w:lineRule="auto" w:before="44"/>
        <w:ind w:left="181" w:right="147"/>
        <w:jc w:val="left"/>
      </w:pPr>
      <w:r>
        <w:rPr>
          <w:rFonts w:ascii="Times New Roman" w:hAnsi="Times New Roman" w:cs="Times New Roman" w:eastAsia="Times New Roman" w:hint="default"/>
        </w:rPr>
        <w:t>2</w:t>
      </w:r>
      <w:r>
        <w:rPr/>
        <w:t>．提取一般风险准备</w:t>
      </w:r>
    </w:p>
    <w:p>
      <w:pPr>
        <w:spacing w:line="240" w:lineRule="auto" w:before="2"/>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7"/>
        <w:rPr>
          <w:rFonts w:ascii="宋体" w:hAnsi="宋体" w:cs="宋体" w:eastAsia="宋体" w:hint="default"/>
          <w:sz w:val="14"/>
          <w:szCs w:val="14"/>
        </w:rPr>
      </w:pPr>
    </w:p>
    <w:p>
      <w:pPr>
        <w:pStyle w:val="BodyText"/>
        <w:spacing w:line="240" w:lineRule="auto"/>
        <w:ind w:left="181" w:right="-14"/>
        <w:jc w:val="left"/>
      </w:pPr>
      <w:r>
        <w:rPr>
          <w:rFonts w:ascii="Times New Roman" w:hAnsi="Times New Roman" w:cs="Times New Roman" w:eastAsia="Times New Roman" w:hint="default"/>
          <w:spacing w:val="-1"/>
        </w:rPr>
        <w:t>3</w:t>
      </w:r>
      <w:r>
        <w:rPr>
          <w:spacing w:val="-1"/>
        </w:rPr>
        <w:t>．对所有者（或股东）的分配</w:t>
      </w:r>
    </w:p>
    <w:p>
      <w:pPr>
        <w:pStyle w:val="BodyText"/>
        <w:spacing w:line="240" w:lineRule="auto" w:before="76"/>
        <w:ind w:left="0" w:right="0"/>
        <w:jc w:val="right"/>
        <w:rPr>
          <w:rFonts w:ascii="Times New Roman" w:hAnsi="Times New Roman" w:cs="Times New Roman" w:eastAsia="Times New Roman" w:hint="default"/>
        </w:rPr>
      </w:pPr>
      <w:r>
        <w:rPr>
          <w:spacing w:val="-1"/>
        </w:rPr>
        <w:br w:type="column"/>
      </w:r>
      <w:r>
        <w:rPr>
          <w:rFonts w:ascii="Times New Roman"/>
          <w:spacing w:val="-1"/>
        </w:rPr>
        <w:t>-31,110,00</w:t>
      </w:r>
    </w:p>
    <w:p>
      <w:pPr>
        <w:pStyle w:val="BodyText"/>
        <w:spacing w:line="240" w:lineRule="auto" w:before="102"/>
        <w:ind w:left="0" w:right="1"/>
        <w:jc w:val="right"/>
        <w:rPr>
          <w:rFonts w:ascii="Times New Roman" w:hAnsi="Times New Roman" w:cs="Times New Roman" w:eastAsia="Times New Roman" w:hint="default"/>
        </w:rPr>
      </w:pPr>
      <w:r>
        <w:rPr>
          <w:rFonts w:ascii="Times New Roman"/>
          <w:spacing w:val="-1"/>
        </w:rPr>
        <w:t>0.00</w:t>
      </w:r>
      <w:r>
        <w:rPr>
          <w:rFonts w:ascii="Times New Roman"/>
        </w:rPr>
      </w:r>
    </w:p>
    <w:p>
      <w:pPr>
        <w:pStyle w:val="BodyText"/>
        <w:spacing w:line="240" w:lineRule="auto" w:before="76"/>
        <w:ind w:left="76" w:right="0"/>
        <w:jc w:val="left"/>
        <w:rPr>
          <w:rFonts w:ascii="Times New Roman" w:hAnsi="Times New Roman" w:cs="Times New Roman" w:eastAsia="Times New Roman" w:hint="default"/>
        </w:rPr>
      </w:pPr>
      <w:r>
        <w:rPr/>
        <w:br w:type="column"/>
      </w:r>
      <w:r>
        <w:rPr>
          <w:rFonts w:ascii="Times New Roman"/>
        </w:rPr>
        <w:t>-31,110,00</w:t>
      </w:r>
    </w:p>
    <w:p>
      <w:pPr>
        <w:pStyle w:val="BodyText"/>
        <w:spacing w:line="240" w:lineRule="auto" w:before="102"/>
        <w:ind w:left="534" w:right="0"/>
        <w:jc w:val="left"/>
        <w:rPr>
          <w:rFonts w:ascii="Times New Roman" w:hAnsi="Times New Roman" w:cs="Times New Roman" w:eastAsia="Times New Roman" w:hint="default"/>
        </w:rPr>
      </w:pPr>
      <w:r>
        <w:rPr>
          <w:rFonts w:ascii="Times New Roman"/>
        </w:rPr>
        <w:t>0.00</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3" w:equalWidth="0">
            <w:col w:w="2604" w:space="5244"/>
            <w:col w:w="956" w:space="40"/>
            <w:col w:w="1106"/>
          </w:cols>
        </w:sectPr>
      </w:pPr>
    </w:p>
    <w:p>
      <w:pPr>
        <w:spacing w:line="240" w:lineRule="auto" w:before="6"/>
        <w:rPr>
          <w:rFonts w:ascii="Times New Roman" w:hAnsi="Times New Roman" w:cs="Times New Roman" w:eastAsia="Times New Roman" w:hint="default"/>
          <w:sz w:val="9"/>
          <w:szCs w:val="9"/>
        </w:rPr>
      </w:pPr>
    </w:p>
    <w:p>
      <w:pPr>
        <w:pStyle w:val="BodyText"/>
        <w:spacing w:line="240" w:lineRule="auto" w:before="44"/>
        <w:ind w:left="181" w:right="147"/>
        <w:jc w:val="left"/>
      </w:pPr>
      <w:r>
        <w:rPr>
          <w:rFonts w:ascii="Times New Roman" w:hAnsi="Times New Roman" w:cs="Times New Roman" w:eastAsia="Times New Roman" w:hint="default"/>
        </w:rPr>
        <w:t>4</w:t>
      </w:r>
      <w:r>
        <w:rPr/>
        <w:t>．其他</w:t>
      </w:r>
    </w:p>
    <w:p>
      <w:pPr>
        <w:spacing w:line="240" w:lineRule="auto" w:before="2"/>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7"/>
        <w:rPr>
          <w:rFonts w:ascii="宋体" w:hAnsi="宋体" w:cs="宋体" w:eastAsia="宋体" w:hint="default"/>
          <w:sz w:val="14"/>
          <w:szCs w:val="14"/>
        </w:rPr>
      </w:pPr>
    </w:p>
    <w:p>
      <w:pPr>
        <w:pStyle w:val="BodyText"/>
        <w:spacing w:line="240" w:lineRule="auto"/>
        <w:ind w:left="181" w:right="-20"/>
        <w:jc w:val="left"/>
      </w:pPr>
      <w:r>
        <w:rPr/>
        <w:t>（五）所有者权益内部结转</w:t>
      </w:r>
    </w:p>
    <w:p>
      <w:pPr>
        <w:pStyle w:val="BodyText"/>
        <w:spacing w:line="240" w:lineRule="auto" w:before="76"/>
        <w:ind w:left="0" w:right="0"/>
        <w:jc w:val="right"/>
        <w:rPr>
          <w:rFonts w:ascii="Times New Roman" w:hAnsi="Times New Roman" w:cs="Times New Roman" w:eastAsia="Times New Roman" w:hint="default"/>
        </w:rPr>
      </w:pPr>
      <w:r>
        <w:rPr/>
        <w:br w:type="column"/>
      </w:r>
      <w:r>
        <w:rPr>
          <w:rFonts w:ascii="Times New Roman"/>
        </w:rPr>
        <w:t>103,700,00</w:t>
      </w:r>
    </w:p>
    <w:p>
      <w:pPr>
        <w:pStyle w:val="BodyText"/>
        <w:spacing w:line="240" w:lineRule="auto" w:before="102"/>
        <w:ind w:left="0" w:right="0"/>
        <w:jc w:val="right"/>
        <w:rPr>
          <w:rFonts w:ascii="Times New Roman" w:hAnsi="Times New Roman" w:cs="Times New Roman" w:eastAsia="Times New Roman" w:hint="default"/>
        </w:rPr>
      </w:pPr>
      <w:r>
        <w:rPr>
          <w:rFonts w:ascii="Times New Roman"/>
          <w:spacing w:val="-1"/>
        </w:rPr>
        <w:t>0.00</w:t>
      </w:r>
      <w:r>
        <w:rPr>
          <w:rFonts w:ascii="Times New Roman"/>
        </w:rPr>
      </w:r>
    </w:p>
    <w:p>
      <w:pPr>
        <w:pStyle w:val="BodyText"/>
        <w:spacing w:line="240" w:lineRule="auto" w:before="76"/>
        <w:ind w:left="63" w:right="0"/>
        <w:jc w:val="left"/>
        <w:rPr>
          <w:rFonts w:ascii="Times New Roman" w:hAnsi="Times New Roman" w:cs="Times New Roman" w:eastAsia="Times New Roman" w:hint="default"/>
        </w:rPr>
      </w:pPr>
      <w:r>
        <w:rPr/>
        <w:br w:type="column"/>
      </w:r>
      <w:r>
        <w:rPr>
          <w:rFonts w:ascii="Times New Roman"/>
        </w:rPr>
        <w:t>-103,700,0</w:t>
      </w:r>
    </w:p>
    <w:p>
      <w:pPr>
        <w:pStyle w:val="BodyText"/>
        <w:spacing w:line="240" w:lineRule="auto" w:before="102"/>
        <w:ind w:left="437" w:right="0"/>
        <w:jc w:val="left"/>
        <w:rPr>
          <w:rFonts w:ascii="Times New Roman" w:hAnsi="Times New Roman" w:cs="Times New Roman" w:eastAsia="Times New Roman" w:hint="default"/>
        </w:rPr>
      </w:pPr>
      <w:r>
        <w:rPr>
          <w:rFonts w:ascii="Times New Roman"/>
        </w:rPr>
        <w:t>00.00</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3" w:equalWidth="0">
            <w:col w:w="2342" w:space="151"/>
            <w:col w:w="996" w:space="40"/>
            <w:col w:w="6421"/>
          </w:cols>
        </w:sectPr>
      </w:pPr>
    </w:p>
    <w:p>
      <w:pPr>
        <w:spacing w:line="240" w:lineRule="auto" w:before="4"/>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type w:val="continuous"/>
          <w:pgSz w:w="11910" w:h="16840"/>
          <w:pgMar w:top="1060" w:bottom="1180" w:left="980" w:right="980"/>
        </w:sectPr>
      </w:pPr>
    </w:p>
    <w:p>
      <w:pPr>
        <w:pStyle w:val="BodyText"/>
        <w:spacing w:line="160" w:lineRule="exact" w:before="76"/>
        <w:ind w:left="0" w:right="0"/>
        <w:jc w:val="right"/>
        <w:rPr>
          <w:rFonts w:ascii="Times New Roman" w:hAnsi="Times New Roman" w:cs="Times New Roman" w:eastAsia="Times New Roman" w:hint="default"/>
        </w:rPr>
      </w:pPr>
      <w:r>
        <w:rPr>
          <w:rFonts w:ascii="Times New Roman"/>
        </w:rPr>
        <w:t>103,700,00</w:t>
      </w:r>
    </w:p>
    <w:p>
      <w:pPr>
        <w:pStyle w:val="BodyText"/>
        <w:spacing w:line="175" w:lineRule="exact"/>
        <w:ind w:left="181" w:right="0"/>
        <w:jc w:val="left"/>
      </w:pPr>
      <w:r>
        <w:rPr>
          <w:rFonts w:ascii="Times New Roman" w:hAnsi="Times New Roman" w:cs="Times New Roman" w:eastAsia="Times New Roman" w:hint="default"/>
          <w:spacing w:val="-7"/>
        </w:rPr>
        <w:t>1</w:t>
      </w:r>
      <w:r>
        <w:rPr>
          <w:spacing w:val="-7"/>
        </w:rPr>
        <w:t>．资本公积转增资本（或股本）</w:t>
      </w:r>
    </w:p>
    <w:p>
      <w:pPr>
        <w:pStyle w:val="BodyText"/>
        <w:spacing w:line="240" w:lineRule="auto" w:before="76"/>
        <w:ind w:left="63" w:right="0"/>
        <w:jc w:val="left"/>
        <w:rPr>
          <w:rFonts w:ascii="Times New Roman" w:hAnsi="Times New Roman" w:cs="Times New Roman" w:eastAsia="Times New Roman" w:hint="default"/>
        </w:rPr>
      </w:pPr>
      <w:r>
        <w:rPr/>
        <w:br w:type="column"/>
      </w:r>
      <w:r>
        <w:rPr>
          <w:rFonts w:ascii="Times New Roman"/>
        </w:rPr>
        <w:t>-103,700,0</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2" w:equalWidth="0">
            <w:col w:w="3489" w:space="40"/>
            <w:col w:w="6421"/>
          </w:cols>
        </w:sectPr>
      </w:pPr>
    </w:p>
    <w:p>
      <w:pPr>
        <w:pStyle w:val="BodyText"/>
        <w:tabs>
          <w:tab w:pos="3966" w:val="left" w:leader="none"/>
        </w:tabs>
        <w:spacing w:line="184" w:lineRule="exact"/>
        <w:ind w:left="3172" w:right="147"/>
        <w:jc w:val="left"/>
        <w:rPr>
          <w:rFonts w:ascii="Times New Roman" w:hAnsi="Times New Roman" w:cs="Times New Roman" w:eastAsia="Times New Roman" w:hint="default"/>
        </w:rPr>
      </w:pPr>
      <w:r>
        <w:rPr/>
        <w:pict>
          <v:group style="position:absolute;margin-left:56.400002pt;margin-top:71.759979pt;width:478.8pt;height:690.75pt;mso-position-horizontal-relative:page;mso-position-vertical-relative:page;z-index:-749272" coordorigin="1128,1435" coordsize="9576,13815">
            <v:group style="position:absolute;left:1140;top:1450;width:2465;height:704" coordorigin="1140,1450" coordsize="2465,704">
              <v:shape style="position:absolute;left:1140;top:1450;width:2465;height:704" coordorigin="1140,1450" coordsize="2465,704" path="m1140,2153l3605,2153,3605,1450,1140,1450,1140,2153xe" filled="true" fillcolor="#d4d4d4" stroked="false">
                <v:path arrowok="t"/>
                <v:fill type="solid"/>
              </v:shape>
            </v:group>
            <v:group style="position:absolute;left:3626;top:1450;width:2;height:704" coordorigin="3626,1450" coordsize="2,704">
              <v:shape style="position:absolute;left:3626;top:1450;width:2;height:704" coordorigin="3626,1450" coordsize="0,704" path="m3626,1450l3626,2153e" filled="false" stroked="true" strokeweight="1.2pt" strokecolor="#d4d4d4">
                <v:path arrowok="t"/>
              </v:shape>
            </v:group>
            <v:group style="position:absolute;left:4478;top:1450;width:2;height:704" coordorigin="4478,1450" coordsize="2,704">
              <v:shape style="position:absolute;left:4478;top:1450;width:2;height:704" coordorigin="4478,1450" coordsize="0,704" path="m4478,1450l4478,2153e" filled="false" stroked="true" strokeweight="1.2pt" strokecolor="#d4d4d4">
                <v:path arrowok="t"/>
              </v:shape>
            </v:group>
            <v:group style="position:absolute;left:3638;top:1450;width:828;height:353" coordorigin="3638,1450" coordsize="828,353">
              <v:shape style="position:absolute;left:3638;top:1450;width:828;height:353" coordorigin="3638,1450" coordsize="828,353" path="m3638,1802l4466,1802,4466,1450,3638,1450,3638,1802xe" filled="true" fillcolor="#d4d4d4" stroked="false">
                <v:path arrowok="t"/>
                <v:fill type="solid"/>
              </v:shape>
            </v:group>
            <v:group style="position:absolute;left:3638;top:1802;width:828;height:351" coordorigin="3638,1802" coordsize="828,351">
              <v:shape style="position:absolute;left:3638;top:1802;width:828;height:351" coordorigin="3638,1802" coordsize="828,351" path="m3638,2153l4466,2153,4466,1802,3638,1802,3638,2153xe" filled="true" fillcolor="#d4d4d4" stroked="false">
                <v:path arrowok="t"/>
                <v:fill type="solid"/>
              </v:shape>
            </v:group>
            <v:group style="position:absolute;left:4500;top:1450;width:876;height:156" coordorigin="4500,1450" coordsize="876,156">
              <v:shape style="position:absolute;left:4500;top:1450;width:876;height:156" coordorigin="4500,1450" coordsize="876,156" path="m4500,1606l5376,1606,5376,1450,4500,1450,4500,1606xe" filled="true" fillcolor="#d4d4d4" stroked="false">
                <v:path arrowok="t"/>
                <v:fill type="solid"/>
              </v:shape>
            </v:group>
            <v:group style="position:absolute;left:4512;top:1606;width:2;height:392" coordorigin="4512,1606" coordsize="2,392">
              <v:shape style="position:absolute;left:4512;top:1606;width:2;height:392" coordorigin="4512,1606" coordsize="0,392" path="m4512,1606l4512,1997e" filled="false" stroked="true" strokeweight="1.2pt" strokecolor="#d4d4d4">
                <v:path arrowok="t"/>
              </v:shape>
            </v:group>
            <v:group style="position:absolute;left:5364;top:1606;width:2;height:392" coordorigin="5364,1606" coordsize="2,392">
              <v:shape style="position:absolute;left:5364;top:1606;width:2;height:392" coordorigin="5364,1606" coordsize="0,392" path="m5364,1606l5364,1997e" filled="false" stroked="true" strokeweight="1.2pt" strokecolor="#d4d4d4">
                <v:path arrowok="t"/>
              </v:shape>
            </v:group>
            <v:group style="position:absolute;left:4500;top:1997;width:876;height:156" coordorigin="4500,1997" coordsize="876,156">
              <v:shape style="position:absolute;left:4500;top:1997;width:876;height:156" coordorigin="4500,1997" coordsize="876,156" path="m4500,2153l5376,2153,5376,1997,4500,1997,4500,2153xe" filled="true" fillcolor="#d4d4d4" stroked="false">
                <v:path arrowok="t"/>
                <v:fill type="solid"/>
              </v:shape>
            </v:group>
            <v:group style="position:absolute;left:4524;top:1606;width:828;height:392" coordorigin="4524,1606" coordsize="828,392">
              <v:shape style="position:absolute;left:4524;top:1606;width:828;height:392" coordorigin="4524,1606" coordsize="828,392" path="m4524,1997l5352,1997,5352,1606,4524,1606,4524,1997xe" filled="true" fillcolor="#d4d4d4" stroked="false">
                <v:path arrowok="t"/>
                <v:fill type="solid"/>
              </v:shape>
            </v:group>
            <v:group style="position:absolute;left:5386;top:1450;width:874;height:156" coordorigin="5386,1450" coordsize="874,156">
              <v:shape style="position:absolute;left:5386;top:1450;width:874;height:156" coordorigin="5386,1450" coordsize="874,156" path="m5386,1606l6259,1606,6259,1450,5386,1450,5386,1606xe" filled="true" fillcolor="#d4d4d4" stroked="false">
                <v:path arrowok="t"/>
                <v:fill type="solid"/>
              </v:shape>
            </v:group>
            <v:group style="position:absolute;left:5396;top:1606;width:2;height:392" coordorigin="5396,1606" coordsize="2,392">
              <v:shape style="position:absolute;left:5396;top:1606;width:2;height:392" coordorigin="5396,1606" coordsize="0,392" path="m5396,1606l5396,1997e" filled="false" stroked="true" strokeweight="1.08pt" strokecolor="#d4d4d4">
                <v:path arrowok="t"/>
              </v:shape>
            </v:group>
            <v:group style="position:absolute;left:6248;top:1606;width:2;height:392" coordorigin="6248,1606" coordsize="2,392">
              <v:shape style="position:absolute;left:6248;top:1606;width:2;height:392" coordorigin="6248,1606" coordsize="0,392" path="m6248,1606l6248,1997e" filled="false" stroked="true" strokeweight="1.08pt" strokecolor="#d4d4d4">
                <v:path arrowok="t"/>
              </v:shape>
            </v:group>
            <v:group style="position:absolute;left:5386;top:1997;width:874;height:156" coordorigin="5386,1997" coordsize="874,156">
              <v:shape style="position:absolute;left:5386;top:1997;width:874;height:156" coordorigin="5386,1997" coordsize="874,156" path="m5386,2153l6259,2153,6259,1997,5386,1997,5386,2153xe" filled="true" fillcolor="#d4d4d4" stroked="false">
                <v:path arrowok="t"/>
                <v:fill type="solid"/>
              </v:shape>
            </v:group>
            <v:group style="position:absolute;left:5407;top:1606;width:831;height:392" coordorigin="5407,1606" coordsize="831,392">
              <v:shape style="position:absolute;left:5407;top:1606;width:831;height:392" coordorigin="5407,1606" coordsize="831,392" path="m5407,1997l6238,1997,6238,1606,5407,1606,5407,1997xe" filled="true" fillcolor="#d4d4d4" stroked="false">
                <v:path arrowok="t"/>
                <v:fill type="solid"/>
              </v:shape>
            </v:group>
            <v:group style="position:absolute;left:6271;top:1450;width:876;height:156" coordorigin="6271,1450" coordsize="876,156">
              <v:shape style="position:absolute;left:6271;top:1450;width:876;height:156" coordorigin="6271,1450" coordsize="876,156" path="m6271,1606l7147,1606,7147,1450,6271,1450,6271,1606xe" filled="true" fillcolor="#d4d4d4" stroked="false">
                <v:path arrowok="t"/>
                <v:fill type="solid"/>
              </v:shape>
            </v:group>
            <v:group style="position:absolute;left:6282;top:1606;width:2;height:392" coordorigin="6282,1606" coordsize="2,392">
              <v:shape style="position:absolute;left:6282;top:1606;width:2;height:392" coordorigin="6282,1606" coordsize="0,392" path="m6282,1606l6282,1997e" filled="false" stroked="true" strokeweight="1.08pt" strokecolor="#d4d4d4">
                <v:path arrowok="t"/>
              </v:shape>
            </v:group>
            <v:group style="position:absolute;left:7135;top:1606;width:2;height:392" coordorigin="7135,1606" coordsize="2,392">
              <v:shape style="position:absolute;left:7135;top:1606;width:2;height:392" coordorigin="7135,1606" coordsize="0,392" path="m7135,1606l7135,1997e" filled="false" stroked="true" strokeweight="1.2pt" strokecolor="#d4d4d4">
                <v:path arrowok="t"/>
              </v:shape>
            </v:group>
            <v:group style="position:absolute;left:6271;top:1997;width:876;height:156" coordorigin="6271,1997" coordsize="876,156">
              <v:shape style="position:absolute;left:6271;top:1997;width:876;height:156" coordorigin="6271,1997" coordsize="876,156" path="m6271,2153l7147,2153,7147,1997,6271,1997,6271,2153xe" filled="true" fillcolor="#d4d4d4" stroked="false">
                <v:path arrowok="t"/>
                <v:fill type="solid"/>
              </v:shape>
            </v:group>
            <v:group style="position:absolute;left:6293;top:1606;width:831;height:392" coordorigin="6293,1606" coordsize="831,392">
              <v:shape style="position:absolute;left:6293;top:1606;width:831;height:392" coordorigin="6293,1606" coordsize="831,392" path="m6293,1997l7123,1997,7123,1606,6293,1606,6293,1997xe" filled="true" fillcolor="#d4d4d4" stroked="false">
                <v:path arrowok="t"/>
                <v:fill type="solid"/>
              </v:shape>
            </v:group>
            <v:group style="position:absolute;left:7157;top:1450;width:876;height:156" coordorigin="7157,1450" coordsize="876,156">
              <v:shape style="position:absolute;left:7157;top:1450;width:876;height:156" coordorigin="7157,1450" coordsize="876,156" path="m7157,1606l8033,1606,8033,1450,7157,1450,7157,1606xe" filled="true" fillcolor="#d4d4d4" stroked="false">
                <v:path arrowok="t"/>
                <v:fill type="solid"/>
              </v:shape>
            </v:group>
            <v:group style="position:absolute;left:7168;top:1606;width:2;height:392" coordorigin="7168,1606" coordsize="2,392">
              <v:shape style="position:absolute;left:7168;top:1606;width:2;height:392" coordorigin="7168,1606" coordsize="0,392" path="m7168,1606l7168,1997e" filled="false" stroked="true" strokeweight="1.08pt" strokecolor="#d4d4d4">
                <v:path arrowok="t"/>
              </v:shape>
            </v:group>
            <v:group style="position:absolute;left:8021;top:1606;width:2;height:392" coordorigin="8021,1606" coordsize="2,392">
              <v:shape style="position:absolute;left:8021;top:1606;width:2;height:392" coordorigin="8021,1606" coordsize="0,392" path="m8021,1606l8021,1997e" filled="false" stroked="true" strokeweight="1.2pt" strokecolor="#d4d4d4">
                <v:path arrowok="t"/>
              </v:shape>
            </v:group>
            <v:group style="position:absolute;left:7157;top:1997;width:876;height:156" coordorigin="7157,1997" coordsize="876,156">
              <v:shape style="position:absolute;left:7157;top:1997;width:876;height:156" coordorigin="7157,1997" coordsize="876,156" path="m7157,2153l8033,2153,8033,1997,7157,1997,7157,2153xe" filled="true" fillcolor="#d4d4d4" stroked="false">
                <v:path arrowok="t"/>
                <v:fill type="solid"/>
              </v:shape>
            </v:group>
            <v:group style="position:absolute;left:7178;top:1606;width:831;height:392" coordorigin="7178,1606" coordsize="831,392">
              <v:shape style="position:absolute;left:7178;top:1606;width:831;height:392" coordorigin="7178,1606" coordsize="831,392" path="m7178,1997l8009,1997,8009,1606,7178,1606,7178,1997xe" filled="true" fillcolor="#d4d4d4" stroked="false">
                <v:path arrowok="t"/>
                <v:fill type="solid"/>
              </v:shape>
            </v:group>
            <v:group style="position:absolute;left:8053;top:1450;width:2;height:704" coordorigin="8053,1450" coordsize="2,704">
              <v:shape style="position:absolute;left:8053;top:1450;width:2;height:704" coordorigin="8053,1450" coordsize="0,704" path="m8053,1450l8053,2153e" filled="false" stroked="true" strokeweight="1.08pt" strokecolor="#d4d4d4">
                <v:path arrowok="t"/>
              </v:shape>
            </v:group>
            <v:group style="position:absolute;left:8906;top:1450;width:2;height:704" coordorigin="8906,1450" coordsize="2,704">
              <v:shape style="position:absolute;left:8906;top:1450;width:2;height:704" coordorigin="8906,1450" coordsize="0,704" path="m8906,1450l8906,2153e" filled="false" stroked="true" strokeweight="1.2pt" strokecolor="#d4d4d4">
                <v:path arrowok="t"/>
              </v:shape>
            </v:group>
            <v:group style="position:absolute;left:8064;top:1450;width:831;height:353" coordorigin="8064,1450" coordsize="831,353">
              <v:shape style="position:absolute;left:8064;top:1450;width:831;height:353" coordorigin="8064,1450" coordsize="831,353" path="m8064,1802l8894,1802,8894,1450,8064,1450,8064,1802xe" filled="true" fillcolor="#d4d4d4" stroked="false">
                <v:path arrowok="t"/>
                <v:fill type="solid"/>
              </v:shape>
            </v:group>
            <v:group style="position:absolute;left:8064;top:1802;width:831;height:351" coordorigin="8064,1802" coordsize="831,351">
              <v:shape style="position:absolute;left:8064;top:1802;width:831;height:351" coordorigin="8064,1802" coordsize="831,351" path="m8064,2153l8894,2153,8894,1802,8064,1802,8064,2153xe" filled="true" fillcolor="#d4d4d4" stroked="false">
                <v:path arrowok="t"/>
                <v:fill type="solid"/>
              </v:shape>
            </v:group>
            <v:group style="position:absolute;left:8940;top:1450;width:2;height:704" coordorigin="8940,1450" coordsize="2,704">
              <v:shape style="position:absolute;left:8940;top:1450;width:2;height:704" coordorigin="8940,1450" coordsize="0,704" path="m8940,1450l8940,2153e" filled="false" stroked="true" strokeweight="1.2pt" strokecolor="#d4d4d4">
                <v:path arrowok="t"/>
              </v:shape>
            </v:group>
            <v:group style="position:absolute;left:9792;top:1450;width:2;height:704" coordorigin="9792,1450" coordsize="2,704">
              <v:shape style="position:absolute;left:9792;top:1450;width:2;height:704" coordorigin="9792,1450" coordsize="0,704" path="m9792,1450l9792,2153e" filled="false" stroked="true" strokeweight="1.2pt" strokecolor="#d4d4d4">
                <v:path arrowok="t"/>
              </v:shape>
            </v:group>
            <v:group style="position:absolute;left:8952;top:1450;width:828;height:353" coordorigin="8952,1450" coordsize="828,353">
              <v:shape style="position:absolute;left:8952;top:1450;width:828;height:353" coordorigin="8952,1450" coordsize="828,353" path="m8952,1802l9780,1802,9780,1450,8952,1450,8952,1802xe" filled="true" fillcolor="#d4d4d4" stroked="false">
                <v:path arrowok="t"/>
                <v:fill type="solid"/>
              </v:shape>
            </v:group>
            <v:group style="position:absolute;left:8952;top:1802;width:828;height:351" coordorigin="8952,1802" coordsize="828,351">
              <v:shape style="position:absolute;left:8952;top:1802;width:828;height:351" coordorigin="8952,1802" coordsize="828,351" path="m8952,2153l9780,2153,9780,1802,8952,1802,8952,2153xe" filled="true" fillcolor="#d4d4d4" stroked="false">
                <v:path arrowok="t"/>
                <v:fill type="solid"/>
              </v:shape>
            </v:group>
            <v:group style="position:absolute;left:9826;top:1450;width:2;height:704" coordorigin="9826,1450" coordsize="2,704">
              <v:shape style="position:absolute;left:9826;top:1450;width:2;height:704" coordorigin="9826,1450" coordsize="0,704" path="m9826,1450l9826,2153e" filled="false" stroked="true" strokeweight="1.2pt" strokecolor="#d4d4d4">
                <v:path arrowok="t"/>
              </v:shape>
            </v:group>
            <v:group style="position:absolute;left:10685;top:1450;width:2;height:704" coordorigin="10685,1450" coordsize="2,704">
              <v:shape style="position:absolute;left:10685;top:1450;width:2;height:704" coordorigin="10685,1450" coordsize="0,704" path="m10685,1450l10685,2153e" filled="false" stroked="true" strokeweight="1.2pt" strokecolor="#d4d4d4">
                <v:path arrowok="t"/>
              </v:shape>
            </v:group>
            <v:group style="position:absolute;left:9838;top:1450;width:836;height:353" coordorigin="9838,1450" coordsize="836,353">
              <v:shape style="position:absolute;left:9838;top:1450;width:836;height:353" coordorigin="9838,1450" coordsize="836,353" path="m9838,1802l10673,1802,10673,1450,9838,1450,9838,1802xe" filled="true" fillcolor="#d4d4d4" stroked="false">
                <v:path arrowok="t"/>
                <v:fill type="solid"/>
              </v:shape>
            </v:group>
            <v:group style="position:absolute;left:9838;top:1802;width:836;height:351" coordorigin="9838,1802" coordsize="836,351">
              <v:shape style="position:absolute;left:9838;top:1802;width:836;height:351" coordorigin="9838,1802" coordsize="836,351" path="m9838,2153l10673,2153,10673,1802,9838,1802,9838,2153xe" filled="true" fillcolor="#d4d4d4" stroked="false">
                <v:path arrowok="t"/>
                <v:fill type="solid"/>
              </v:shape>
            </v:group>
            <v:group style="position:absolute;left:1138;top:1445;width:2468;height:2" coordorigin="1138,1445" coordsize="2468,2">
              <v:shape style="position:absolute;left:1138;top:1445;width:2468;height:2" coordorigin="1138,1445" coordsize="2468,0" path="m1138,1445l3605,1445e" filled="false" stroked="true" strokeweight=".48pt" strokecolor="#000000">
                <v:path arrowok="t"/>
              </v:shape>
            </v:group>
            <v:group style="position:absolute;left:3614;top:1445;width:874;height:2" coordorigin="3614,1445" coordsize="874,2">
              <v:shape style="position:absolute;left:3614;top:1445;width:874;height:2" coordorigin="3614,1445" coordsize="874,0" path="m3614,1445l4488,1445e" filled="false" stroked="true" strokeweight=".48pt" strokecolor="#000000">
                <v:path arrowok="t"/>
              </v:shape>
            </v:group>
            <v:group style="position:absolute;left:4498;top:1445;width:876;height:2" coordorigin="4498,1445" coordsize="876,2">
              <v:shape style="position:absolute;left:4498;top:1445;width:876;height:2" coordorigin="4498,1445" coordsize="876,0" path="m4498,1445l5374,1445e" filled="false" stroked="true" strokeweight=".48pt" strokecolor="#000000">
                <v:path arrowok="t"/>
              </v:shape>
            </v:group>
            <v:group style="position:absolute;left:5383;top:1445;width:876;height:2" coordorigin="5383,1445" coordsize="876,2">
              <v:shape style="position:absolute;left:5383;top:1445;width:876;height:2" coordorigin="5383,1445" coordsize="876,0" path="m5383,1445l6259,1445e" filled="false" stroked="true" strokeweight=".48pt" strokecolor="#000000">
                <v:path arrowok="t"/>
              </v:shape>
            </v:group>
            <v:group style="position:absolute;left:6269;top:1445;width:876;height:2" coordorigin="6269,1445" coordsize="876,2">
              <v:shape style="position:absolute;left:6269;top:1445;width:876;height:2" coordorigin="6269,1445" coordsize="876,0" path="m6269,1445l7145,1445e" filled="false" stroked="true" strokeweight=".48pt" strokecolor="#000000">
                <v:path arrowok="t"/>
              </v:shape>
            </v:group>
            <v:group style="position:absolute;left:7154;top:1445;width:876;height:2" coordorigin="7154,1445" coordsize="876,2">
              <v:shape style="position:absolute;left:7154;top:1445;width:876;height:2" coordorigin="7154,1445" coordsize="876,0" path="m7154,1445l8030,1445e" filled="false" stroked="true" strokeweight=".48pt" strokecolor="#000000">
                <v:path arrowok="t"/>
              </v:shape>
            </v:group>
            <v:group style="position:absolute;left:8040;top:1445;width:876;height:2" coordorigin="8040,1445" coordsize="876,2">
              <v:shape style="position:absolute;left:8040;top:1445;width:876;height:2" coordorigin="8040,1445" coordsize="876,0" path="m8040,1445l8916,1445e" filled="false" stroked="true" strokeweight=".48pt" strokecolor="#000000">
                <v:path arrowok="t"/>
              </v:shape>
            </v:group>
            <v:group style="position:absolute;left:8926;top:1445;width:879;height:2" coordorigin="8926,1445" coordsize="879,2">
              <v:shape style="position:absolute;left:8926;top:1445;width:879;height:2" coordorigin="8926,1445" coordsize="879,0" path="m8926,1445l9804,1445e" filled="false" stroked="true" strokeweight=".48pt" strokecolor="#000000">
                <v:path arrowok="t"/>
              </v:shape>
            </v:group>
            <v:group style="position:absolute;left:9814;top:1445;width:881;height:2" coordorigin="9814,1445" coordsize="881,2">
              <v:shape style="position:absolute;left:9814;top:1445;width:881;height:2" coordorigin="9814,1445" coordsize="881,0" path="m9814,1445l10694,1445e" filled="false" stroked="true" strokeweight=".48pt" strokecolor="#000000">
                <v:path arrowok="t"/>
              </v:shape>
            </v:group>
            <v:group style="position:absolute;left:1140;top:2165;width:2465;height:156" coordorigin="1140,2165" coordsize="2465,156">
              <v:shape style="position:absolute;left:1140;top:2165;width:2465;height:156" coordorigin="1140,2165" coordsize="2465,156" path="m1140,2321l3605,2321,3605,2165,1140,2165,1140,2321xe" filled="true" fillcolor="#d4d4d4" stroked="false">
                <v:path arrowok="t"/>
                <v:fill type="solid"/>
              </v:shape>
            </v:group>
            <v:group style="position:absolute;left:1151;top:2321;width:2;height:392" coordorigin="1151,2321" coordsize="2,392">
              <v:shape style="position:absolute;left:1151;top:2321;width:2;height:392" coordorigin="1151,2321" coordsize="0,392" path="m1151,2321l1151,2712e" filled="false" stroked="true" strokeweight="1.08pt" strokecolor="#d4d4d4">
                <v:path arrowok="t"/>
              </v:shape>
            </v:group>
            <v:group style="position:absolute;left:3593;top:2321;width:2;height:392" coordorigin="3593,2321" coordsize="2,392">
              <v:shape style="position:absolute;left:3593;top:2321;width:2;height:392" coordorigin="3593,2321" coordsize="0,392" path="m3593,2321l3593,2712e" filled="false" stroked="true" strokeweight="1.2pt" strokecolor="#d4d4d4">
                <v:path arrowok="t"/>
              </v:shape>
            </v:group>
            <v:group style="position:absolute;left:1140;top:2712;width:2465;height:156" coordorigin="1140,2712" coordsize="2465,156">
              <v:shape style="position:absolute;left:1140;top:2712;width:2465;height:156" coordorigin="1140,2712" coordsize="2465,156" path="m1140,2868l3605,2868,3605,2712,1140,2712,1140,2868xe" filled="true" fillcolor="#d4d4d4" stroked="false">
                <v:path arrowok="t"/>
                <v:fill type="solid"/>
              </v:shape>
            </v:group>
            <v:group style="position:absolute;left:1162;top:2321;width:2420;height:392" coordorigin="1162,2321" coordsize="2420,392">
              <v:shape style="position:absolute;left:1162;top:2321;width:2420;height:392" coordorigin="1162,2321" coordsize="2420,392" path="m1162,2712l3581,2712,3581,2321,1162,2321,1162,2712xe" filled="true" fillcolor="#d4d4d4" stroked="false">
                <v:path arrowok="t"/>
                <v:fill type="solid"/>
              </v:shape>
            </v:group>
            <v:group style="position:absolute;left:1138;top:2158;width:2468;height:2" coordorigin="1138,2158" coordsize="2468,2">
              <v:shape style="position:absolute;left:1138;top:2158;width:2468;height:2" coordorigin="1138,2158" coordsize="2468,0" path="m1138,2158l3605,2158e" filled="false" stroked="true" strokeweight=".48pt" strokecolor="#000000">
                <v:path arrowok="t"/>
              </v:shape>
            </v:group>
            <v:group style="position:absolute;left:3614;top:2158;width:874;height:2" coordorigin="3614,2158" coordsize="874,2">
              <v:shape style="position:absolute;left:3614;top:2158;width:874;height:2" coordorigin="3614,2158" coordsize="874,0" path="m3614,2158l4488,2158e" filled="false" stroked="true" strokeweight=".48pt" strokecolor="#000000">
                <v:path arrowok="t"/>
              </v:shape>
            </v:group>
            <v:group style="position:absolute;left:4498;top:2158;width:876;height:2" coordorigin="4498,2158" coordsize="876,2">
              <v:shape style="position:absolute;left:4498;top:2158;width:876;height:2" coordorigin="4498,2158" coordsize="876,0" path="m4498,2158l5374,2158e" filled="false" stroked="true" strokeweight=".48pt" strokecolor="#000000">
                <v:path arrowok="t"/>
              </v:shape>
            </v:group>
            <v:group style="position:absolute;left:5383;top:2158;width:876;height:2" coordorigin="5383,2158" coordsize="876,2">
              <v:shape style="position:absolute;left:5383;top:2158;width:876;height:2" coordorigin="5383,2158" coordsize="876,0" path="m5383,2158l6259,2158e" filled="false" stroked="true" strokeweight=".48pt" strokecolor="#000000">
                <v:path arrowok="t"/>
              </v:shape>
            </v:group>
            <v:group style="position:absolute;left:6269;top:2158;width:876;height:2" coordorigin="6269,2158" coordsize="876,2">
              <v:shape style="position:absolute;left:6269;top:2158;width:876;height:2" coordorigin="6269,2158" coordsize="876,0" path="m6269,2158l7145,2158e" filled="false" stroked="true" strokeweight=".48pt" strokecolor="#000000">
                <v:path arrowok="t"/>
              </v:shape>
            </v:group>
            <v:group style="position:absolute;left:7154;top:2158;width:876;height:2" coordorigin="7154,2158" coordsize="876,2">
              <v:shape style="position:absolute;left:7154;top:2158;width:876;height:2" coordorigin="7154,2158" coordsize="876,0" path="m7154,2158l8030,2158e" filled="false" stroked="true" strokeweight=".48pt" strokecolor="#000000">
                <v:path arrowok="t"/>
              </v:shape>
            </v:group>
            <v:group style="position:absolute;left:8040;top:2158;width:876;height:2" coordorigin="8040,2158" coordsize="876,2">
              <v:shape style="position:absolute;left:8040;top:2158;width:876;height:2" coordorigin="8040,2158" coordsize="876,0" path="m8040,2158l8916,2158e" filled="false" stroked="true" strokeweight=".48pt" strokecolor="#000000">
                <v:path arrowok="t"/>
              </v:shape>
            </v:group>
            <v:group style="position:absolute;left:8926;top:2158;width:879;height:2" coordorigin="8926,2158" coordsize="879,2">
              <v:shape style="position:absolute;left:8926;top:2158;width:879;height:2" coordorigin="8926,2158" coordsize="879,0" path="m8926,2158l9804,2158e" filled="false" stroked="true" strokeweight=".48pt" strokecolor="#000000">
                <v:path arrowok="t"/>
              </v:shape>
            </v:group>
            <v:group style="position:absolute;left:9814;top:2158;width:881;height:2" coordorigin="9814,2158" coordsize="881,2">
              <v:shape style="position:absolute;left:9814;top:2158;width:881;height:2" coordorigin="9814,2158" coordsize="881,0" path="m9814,2158l10694,2158e" filled="false" stroked="true" strokeweight=".48pt" strokecolor="#000000">
                <v:path arrowok="t"/>
              </v:shape>
            </v:group>
            <v:group style="position:absolute;left:1151;top:2878;width:2;height:392" coordorigin="1151,2878" coordsize="2,392">
              <v:shape style="position:absolute;left:1151;top:2878;width:2;height:392" coordorigin="1151,2878" coordsize="0,392" path="m1151,2878l1151,3269e" filled="false" stroked="true" strokeweight="1.08pt" strokecolor="#d4d4d4">
                <v:path arrowok="t"/>
              </v:shape>
            </v:group>
            <v:group style="position:absolute;left:3593;top:2878;width:2;height:392" coordorigin="3593,2878" coordsize="2,392">
              <v:shape style="position:absolute;left:3593;top:2878;width:2;height:392" coordorigin="3593,2878" coordsize="0,392" path="m3593,2878l3593,3269e" filled="false" stroked="true" strokeweight="1.2pt" strokecolor="#d4d4d4">
                <v:path arrowok="t"/>
              </v:shape>
            </v:group>
            <v:group style="position:absolute;left:1162;top:2878;width:2420;height:392" coordorigin="1162,2878" coordsize="2420,392">
              <v:shape style="position:absolute;left:1162;top:2878;width:2420;height:392" coordorigin="1162,2878" coordsize="2420,392" path="m1162,3269l3581,3269,3581,2878,1162,2878,1162,3269xe" filled="true" fillcolor="#d4d4d4" stroked="false">
                <v:path arrowok="t"/>
                <v:fill type="solid"/>
              </v:shape>
            </v:group>
            <v:group style="position:absolute;left:1138;top:2873;width:2468;height:2" coordorigin="1138,2873" coordsize="2468,2">
              <v:shape style="position:absolute;left:1138;top:2873;width:2468;height:2" coordorigin="1138,2873" coordsize="2468,0" path="m1138,2873l3605,2873e" filled="false" stroked="true" strokeweight=".48pt" strokecolor="#000000">
                <v:path arrowok="t"/>
              </v:shape>
            </v:group>
            <v:group style="position:absolute;left:3614;top:2873;width:874;height:2" coordorigin="3614,2873" coordsize="874,2">
              <v:shape style="position:absolute;left:3614;top:2873;width:874;height:2" coordorigin="3614,2873" coordsize="874,0" path="m3614,2873l4488,2873e" filled="false" stroked="true" strokeweight=".48pt" strokecolor="#000000">
                <v:path arrowok="t"/>
              </v:shape>
            </v:group>
            <v:group style="position:absolute;left:4498;top:2873;width:876;height:2" coordorigin="4498,2873" coordsize="876,2">
              <v:shape style="position:absolute;left:4498;top:2873;width:876;height:2" coordorigin="4498,2873" coordsize="876,0" path="m4498,2873l5374,2873e" filled="false" stroked="true" strokeweight=".48pt" strokecolor="#000000">
                <v:path arrowok="t"/>
              </v:shape>
            </v:group>
            <v:group style="position:absolute;left:5383;top:2873;width:876;height:2" coordorigin="5383,2873" coordsize="876,2">
              <v:shape style="position:absolute;left:5383;top:2873;width:876;height:2" coordorigin="5383,2873" coordsize="876,0" path="m5383,2873l6259,2873e" filled="false" stroked="true" strokeweight=".48pt" strokecolor="#000000">
                <v:path arrowok="t"/>
              </v:shape>
            </v:group>
            <v:group style="position:absolute;left:6269;top:2873;width:876;height:2" coordorigin="6269,2873" coordsize="876,2">
              <v:shape style="position:absolute;left:6269;top:2873;width:876;height:2" coordorigin="6269,2873" coordsize="876,0" path="m6269,2873l7145,2873e" filled="false" stroked="true" strokeweight=".48pt" strokecolor="#000000">
                <v:path arrowok="t"/>
              </v:shape>
            </v:group>
            <v:group style="position:absolute;left:7154;top:2873;width:876;height:2" coordorigin="7154,2873" coordsize="876,2">
              <v:shape style="position:absolute;left:7154;top:2873;width:876;height:2" coordorigin="7154,2873" coordsize="876,0" path="m7154,2873l8030,2873e" filled="false" stroked="true" strokeweight=".48pt" strokecolor="#000000">
                <v:path arrowok="t"/>
              </v:shape>
            </v:group>
            <v:group style="position:absolute;left:8040;top:2873;width:876;height:2" coordorigin="8040,2873" coordsize="876,2">
              <v:shape style="position:absolute;left:8040;top:2873;width:876;height:2" coordorigin="8040,2873" coordsize="876,0" path="m8040,2873l8916,2873e" filled="false" stroked="true" strokeweight=".48pt" strokecolor="#000000">
                <v:path arrowok="t"/>
              </v:shape>
            </v:group>
            <v:group style="position:absolute;left:8926;top:2873;width:879;height:2" coordorigin="8926,2873" coordsize="879,2">
              <v:shape style="position:absolute;left:8926;top:2873;width:879;height:2" coordorigin="8926,2873" coordsize="879,0" path="m8926,2873l9804,2873e" filled="false" stroked="true" strokeweight=".48pt" strokecolor="#000000">
                <v:path arrowok="t"/>
              </v:shape>
            </v:group>
            <v:group style="position:absolute;left:9814;top:2873;width:881;height:2" coordorigin="9814,2873" coordsize="881,2">
              <v:shape style="position:absolute;left:9814;top:2873;width:881;height:2" coordorigin="9814,2873" coordsize="881,0" path="m9814,2873l10694,2873e" filled="false" stroked="true" strokeweight=".48pt" strokecolor="#000000">
                <v:path arrowok="t"/>
              </v:shape>
            </v:group>
            <v:group style="position:absolute;left:1151;top:3281;width:2;height:392" coordorigin="1151,3281" coordsize="2,392">
              <v:shape style="position:absolute;left:1151;top:3281;width:2;height:392" coordorigin="1151,3281" coordsize="0,392" path="m1151,3281l1151,3672e" filled="false" stroked="true" strokeweight="1.08pt" strokecolor="#d4d4d4">
                <v:path arrowok="t"/>
              </v:shape>
            </v:group>
            <v:group style="position:absolute;left:3593;top:3281;width:2;height:392" coordorigin="3593,3281" coordsize="2,392">
              <v:shape style="position:absolute;left:3593;top:3281;width:2;height:392" coordorigin="3593,3281" coordsize="0,392" path="m3593,3281l3593,3672e" filled="false" stroked="true" strokeweight="1.2pt" strokecolor="#d4d4d4">
                <v:path arrowok="t"/>
              </v:shape>
            </v:group>
            <v:group style="position:absolute;left:1162;top:3281;width:2420;height:392" coordorigin="1162,3281" coordsize="2420,392">
              <v:shape style="position:absolute;left:1162;top:3281;width:2420;height:392" coordorigin="1162,3281" coordsize="2420,392" path="m1162,3672l3581,3672,3581,3281,1162,3281,1162,3672xe" filled="true" fillcolor="#d4d4d4" stroked="false">
                <v:path arrowok="t"/>
                <v:fill type="solid"/>
              </v:shape>
            </v:group>
            <v:group style="position:absolute;left:1138;top:3274;width:2468;height:2" coordorigin="1138,3274" coordsize="2468,2">
              <v:shape style="position:absolute;left:1138;top:3274;width:2468;height:2" coordorigin="1138,3274" coordsize="2468,0" path="m1138,3274l3605,3274e" filled="false" stroked="true" strokeweight=".48pt" strokecolor="#000000">
                <v:path arrowok="t"/>
              </v:shape>
            </v:group>
            <v:group style="position:absolute;left:3614;top:3274;width:874;height:2" coordorigin="3614,3274" coordsize="874,2">
              <v:shape style="position:absolute;left:3614;top:3274;width:874;height:2" coordorigin="3614,3274" coordsize="874,0" path="m3614,3274l4488,3274e" filled="false" stroked="true" strokeweight=".48pt" strokecolor="#000000">
                <v:path arrowok="t"/>
              </v:shape>
            </v:group>
            <v:group style="position:absolute;left:4498;top:3274;width:876;height:2" coordorigin="4498,3274" coordsize="876,2">
              <v:shape style="position:absolute;left:4498;top:3274;width:876;height:2" coordorigin="4498,3274" coordsize="876,0" path="m4498,3274l5374,3274e" filled="false" stroked="true" strokeweight=".48pt" strokecolor="#000000">
                <v:path arrowok="t"/>
              </v:shape>
            </v:group>
            <v:group style="position:absolute;left:5383;top:3274;width:876;height:2" coordorigin="5383,3274" coordsize="876,2">
              <v:shape style="position:absolute;left:5383;top:3274;width:876;height:2" coordorigin="5383,3274" coordsize="876,0" path="m5383,3274l6259,3274e" filled="false" stroked="true" strokeweight=".48pt" strokecolor="#000000">
                <v:path arrowok="t"/>
              </v:shape>
            </v:group>
            <v:group style="position:absolute;left:6269;top:3274;width:876;height:2" coordorigin="6269,3274" coordsize="876,2">
              <v:shape style="position:absolute;left:6269;top:3274;width:876;height:2" coordorigin="6269,3274" coordsize="876,0" path="m6269,3274l7145,3274e" filled="false" stroked="true" strokeweight=".48pt" strokecolor="#000000">
                <v:path arrowok="t"/>
              </v:shape>
            </v:group>
            <v:group style="position:absolute;left:7154;top:3274;width:876;height:2" coordorigin="7154,3274" coordsize="876,2">
              <v:shape style="position:absolute;left:7154;top:3274;width:876;height:2" coordorigin="7154,3274" coordsize="876,0" path="m7154,3274l8030,3274e" filled="false" stroked="true" strokeweight=".48pt" strokecolor="#000000">
                <v:path arrowok="t"/>
              </v:shape>
            </v:group>
            <v:group style="position:absolute;left:8040;top:3274;width:876;height:2" coordorigin="8040,3274" coordsize="876,2">
              <v:shape style="position:absolute;left:8040;top:3274;width:876;height:2" coordorigin="8040,3274" coordsize="876,0" path="m8040,3274l8916,3274e" filled="false" stroked="true" strokeweight=".48pt" strokecolor="#000000">
                <v:path arrowok="t"/>
              </v:shape>
            </v:group>
            <v:group style="position:absolute;left:8926;top:3274;width:879;height:2" coordorigin="8926,3274" coordsize="879,2">
              <v:shape style="position:absolute;left:8926;top:3274;width:879;height:2" coordorigin="8926,3274" coordsize="879,0" path="m8926,3274l9804,3274e" filled="false" stroked="true" strokeweight=".48pt" strokecolor="#000000">
                <v:path arrowok="t"/>
              </v:shape>
            </v:group>
            <v:group style="position:absolute;left:9814;top:3274;width:881;height:2" coordorigin="9814,3274" coordsize="881,2">
              <v:shape style="position:absolute;left:9814;top:3274;width:881;height:2" coordorigin="9814,3274" coordsize="881,0" path="m9814,3274l10694,3274e" filled="false" stroked="true" strokeweight=".48pt" strokecolor="#000000">
                <v:path arrowok="t"/>
              </v:shape>
            </v:group>
            <v:group style="position:absolute;left:1151;top:3682;width:2;height:392" coordorigin="1151,3682" coordsize="2,392">
              <v:shape style="position:absolute;left:1151;top:3682;width:2;height:392" coordorigin="1151,3682" coordsize="0,392" path="m1151,3682l1151,4073e" filled="false" stroked="true" strokeweight="1.08pt" strokecolor="#d4d4d4">
                <v:path arrowok="t"/>
              </v:shape>
            </v:group>
            <v:group style="position:absolute;left:3593;top:3682;width:2;height:392" coordorigin="3593,3682" coordsize="2,392">
              <v:shape style="position:absolute;left:3593;top:3682;width:2;height:392" coordorigin="3593,3682" coordsize="0,392" path="m3593,3682l3593,4073e" filled="false" stroked="true" strokeweight="1.2pt" strokecolor="#d4d4d4">
                <v:path arrowok="t"/>
              </v:shape>
            </v:group>
            <v:group style="position:absolute;left:1162;top:3682;width:2420;height:392" coordorigin="1162,3682" coordsize="2420,392">
              <v:shape style="position:absolute;left:1162;top:3682;width:2420;height:392" coordorigin="1162,3682" coordsize="2420,392" path="m1162,4073l3581,4073,3581,3682,1162,3682,1162,4073xe" filled="true" fillcolor="#d4d4d4" stroked="false">
                <v:path arrowok="t"/>
                <v:fill type="solid"/>
              </v:shape>
            </v:group>
            <v:group style="position:absolute;left:1138;top:3677;width:2468;height:2" coordorigin="1138,3677" coordsize="2468,2">
              <v:shape style="position:absolute;left:1138;top:3677;width:2468;height:2" coordorigin="1138,3677" coordsize="2468,0" path="m1138,3677l3605,3677e" filled="false" stroked="true" strokeweight=".48pt" strokecolor="#000000">
                <v:path arrowok="t"/>
              </v:shape>
            </v:group>
            <v:group style="position:absolute;left:3614;top:3677;width:874;height:2" coordorigin="3614,3677" coordsize="874,2">
              <v:shape style="position:absolute;left:3614;top:3677;width:874;height:2" coordorigin="3614,3677" coordsize="874,0" path="m3614,3677l4488,3677e" filled="false" stroked="true" strokeweight=".48pt" strokecolor="#000000">
                <v:path arrowok="t"/>
              </v:shape>
            </v:group>
            <v:group style="position:absolute;left:4498;top:3677;width:876;height:2" coordorigin="4498,3677" coordsize="876,2">
              <v:shape style="position:absolute;left:4498;top:3677;width:876;height:2" coordorigin="4498,3677" coordsize="876,0" path="m4498,3677l5374,3677e" filled="false" stroked="true" strokeweight=".48pt" strokecolor="#000000">
                <v:path arrowok="t"/>
              </v:shape>
            </v:group>
            <v:group style="position:absolute;left:5383;top:3677;width:876;height:2" coordorigin="5383,3677" coordsize="876,2">
              <v:shape style="position:absolute;left:5383;top:3677;width:876;height:2" coordorigin="5383,3677" coordsize="876,0" path="m5383,3677l6259,3677e" filled="false" stroked="true" strokeweight=".48pt" strokecolor="#000000">
                <v:path arrowok="t"/>
              </v:shape>
            </v:group>
            <v:group style="position:absolute;left:6269;top:3677;width:876;height:2" coordorigin="6269,3677" coordsize="876,2">
              <v:shape style="position:absolute;left:6269;top:3677;width:876;height:2" coordorigin="6269,3677" coordsize="876,0" path="m6269,3677l7145,3677e" filled="false" stroked="true" strokeweight=".48pt" strokecolor="#000000">
                <v:path arrowok="t"/>
              </v:shape>
            </v:group>
            <v:group style="position:absolute;left:7154;top:3677;width:876;height:2" coordorigin="7154,3677" coordsize="876,2">
              <v:shape style="position:absolute;left:7154;top:3677;width:876;height:2" coordorigin="7154,3677" coordsize="876,0" path="m7154,3677l8030,3677e" filled="false" stroked="true" strokeweight=".48pt" strokecolor="#000000">
                <v:path arrowok="t"/>
              </v:shape>
            </v:group>
            <v:group style="position:absolute;left:8040;top:3677;width:876;height:2" coordorigin="8040,3677" coordsize="876,2">
              <v:shape style="position:absolute;left:8040;top:3677;width:876;height:2" coordorigin="8040,3677" coordsize="876,0" path="m8040,3677l8916,3677e" filled="false" stroked="true" strokeweight=".48pt" strokecolor="#000000">
                <v:path arrowok="t"/>
              </v:shape>
            </v:group>
            <v:group style="position:absolute;left:8926;top:3677;width:879;height:2" coordorigin="8926,3677" coordsize="879,2">
              <v:shape style="position:absolute;left:8926;top:3677;width:879;height:2" coordorigin="8926,3677" coordsize="879,0" path="m8926,3677l9804,3677e" filled="false" stroked="true" strokeweight=".48pt" strokecolor="#000000">
                <v:path arrowok="t"/>
              </v:shape>
            </v:group>
            <v:group style="position:absolute;left:9814;top:3677;width:881;height:2" coordorigin="9814,3677" coordsize="881,2">
              <v:shape style="position:absolute;left:9814;top:3677;width:881;height:2" coordorigin="9814,3677" coordsize="881,0" path="m9814,3677l10694,3677e" filled="false" stroked="true" strokeweight=".48pt" strokecolor="#000000">
                <v:path arrowok="t"/>
              </v:shape>
            </v:group>
            <v:group style="position:absolute;left:1140;top:4085;width:2465;height:156" coordorigin="1140,4085" coordsize="2465,156">
              <v:shape style="position:absolute;left:1140;top:4085;width:2465;height:156" coordorigin="1140,4085" coordsize="2465,156" path="m1140,4241l3605,4241,3605,4085,1140,4085,1140,4241xe" filled="true" fillcolor="#d4d4d4" stroked="false">
                <v:path arrowok="t"/>
                <v:fill type="solid"/>
              </v:shape>
            </v:group>
            <v:group style="position:absolute;left:1151;top:4241;width:2;height:392" coordorigin="1151,4241" coordsize="2,392">
              <v:shape style="position:absolute;left:1151;top:4241;width:2;height:392" coordorigin="1151,4241" coordsize="0,392" path="m1151,4241l1151,4632e" filled="false" stroked="true" strokeweight="1.08pt" strokecolor="#d4d4d4">
                <v:path arrowok="t"/>
              </v:shape>
            </v:group>
            <v:group style="position:absolute;left:3593;top:4241;width:2;height:392" coordorigin="3593,4241" coordsize="2,392">
              <v:shape style="position:absolute;left:3593;top:4241;width:2;height:392" coordorigin="3593,4241" coordsize="0,392" path="m3593,4241l3593,4632e" filled="false" stroked="true" strokeweight="1.2pt" strokecolor="#d4d4d4">
                <v:path arrowok="t"/>
              </v:shape>
            </v:group>
            <v:group style="position:absolute;left:1140;top:4632;width:2465;height:156" coordorigin="1140,4632" coordsize="2465,156">
              <v:shape style="position:absolute;left:1140;top:4632;width:2465;height:156" coordorigin="1140,4632" coordsize="2465,156" path="m1140,4788l3605,4788,3605,4632,1140,4632,1140,4788xe" filled="true" fillcolor="#d4d4d4" stroked="false">
                <v:path arrowok="t"/>
                <v:fill type="solid"/>
              </v:shape>
            </v:group>
            <v:group style="position:absolute;left:1162;top:4241;width:2420;height:392" coordorigin="1162,4241" coordsize="2420,392">
              <v:shape style="position:absolute;left:1162;top:4241;width:2420;height:392" coordorigin="1162,4241" coordsize="2420,392" path="m1162,4632l3581,4632,3581,4241,1162,4241,1162,4632xe" filled="true" fillcolor="#d4d4d4" stroked="false">
                <v:path arrowok="t"/>
                <v:fill type="solid"/>
              </v:shape>
            </v:group>
            <v:group style="position:absolute;left:1138;top:4078;width:2468;height:2" coordorigin="1138,4078" coordsize="2468,2">
              <v:shape style="position:absolute;left:1138;top:4078;width:2468;height:2" coordorigin="1138,4078" coordsize="2468,0" path="m1138,4078l3605,4078e" filled="false" stroked="true" strokeweight=".48pt" strokecolor="#000000">
                <v:path arrowok="t"/>
              </v:shape>
            </v:group>
            <v:group style="position:absolute;left:3614;top:4078;width:874;height:2" coordorigin="3614,4078" coordsize="874,2">
              <v:shape style="position:absolute;left:3614;top:4078;width:874;height:2" coordorigin="3614,4078" coordsize="874,0" path="m3614,4078l4488,4078e" filled="false" stroked="true" strokeweight=".48pt" strokecolor="#000000">
                <v:path arrowok="t"/>
              </v:shape>
            </v:group>
            <v:group style="position:absolute;left:4498;top:4078;width:876;height:2" coordorigin="4498,4078" coordsize="876,2">
              <v:shape style="position:absolute;left:4498;top:4078;width:876;height:2" coordorigin="4498,4078" coordsize="876,0" path="m4498,4078l5374,4078e" filled="false" stroked="true" strokeweight=".48pt" strokecolor="#000000">
                <v:path arrowok="t"/>
              </v:shape>
            </v:group>
            <v:group style="position:absolute;left:5383;top:4078;width:876;height:2" coordorigin="5383,4078" coordsize="876,2">
              <v:shape style="position:absolute;left:5383;top:4078;width:876;height:2" coordorigin="5383,4078" coordsize="876,0" path="m5383,4078l6259,4078e" filled="false" stroked="true" strokeweight=".48pt" strokecolor="#000000">
                <v:path arrowok="t"/>
              </v:shape>
            </v:group>
            <v:group style="position:absolute;left:6269;top:4078;width:876;height:2" coordorigin="6269,4078" coordsize="876,2">
              <v:shape style="position:absolute;left:6269;top:4078;width:876;height:2" coordorigin="6269,4078" coordsize="876,0" path="m6269,4078l7145,4078e" filled="false" stroked="true" strokeweight=".48pt" strokecolor="#000000">
                <v:path arrowok="t"/>
              </v:shape>
            </v:group>
            <v:group style="position:absolute;left:7154;top:4078;width:876;height:2" coordorigin="7154,4078" coordsize="876,2">
              <v:shape style="position:absolute;left:7154;top:4078;width:876;height:2" coordorigin="7154,4078" coordsize="876,0" path="m7154,4078l8030,4078e" filled="false" stroked="true" strokeweight=".48pt" strokecolor="#000000">
                <v:path arrowok="t"/>
              </v:shape>
            </v:group>
            <v:group style="position:absolute;left:8040;top:4078;width:876;height:2" coordorigin="8040,4078" coordsize="876,2">
              <v:shape style="position:absolute;left:8040;top:4078;width:876;height:2" coordorigin="8040,4078" coordsize="876,0" path="m8040,4078l8916,4078e" filled="false" stroked="true" strokeweight=".48pt" strokecolor="#000000">
                <v:path arrowok="t"/>
              </v:shape>
            </v:group>
            <v:group style="position:absolute;left:8926;top:4078;width:879;height:2" coordorigin="8926,4078" coordsize="879,2">
              <v:shape style="position:absolute;left:8926;top:4078;width:879;height:2" coordorigin="8926,4078" coordsize="879,0" path="m8926,4078l9804,4078e" filled="false" stroked="true" strokeweight=".48pt" strokecolor="#000000">
                <v:path arrowok="t"/>
              </v:shape>
            </v:group>
            <v:group style="position:absolute;left:9814;top:4078;width:881;height:2" coordorigin="9814,4078" coordsize="881,2">
              <v:shape style="position:absolute;left:9814;top:4078;width:881;height:2" coordorigin="9814,4078" coordsize="881,0" path="m9814,4078l10694,4078e" filled="false" stroked="true" strokeweight=".48pt" strokecolor="#000000">
                <v:path arrowok="t"/>
              </v:shape>
            </v:group>
            <v:group style="position:absolute;left:1151;top:4798;width:2;height:704" coordorigin="1151,4798" coordsize="2,704">
              <v:shape style="position:absolute;left:1151;top:4798;width:2;height:704" coordorigin="1151,4798" coordsize="0,704" path="m1151,4798l1151,5501e" filled="false" stroked="true" strokeweight="1.08pt" strokecolor="#d4d4d4">
                <v:path arrowok="t"/>
              </v:shape>
            </v:group>
            <v:group style="position:absolute;left:3593;top:4798;width:2;height:704" coordorigin="3593,4798" coordsize="2,704">
              <v:shape style="position:absolute;left:3593;top:4798;width:2;height:704" coordorigin="3593,4798" coordsize="0,704" path="m3593,4798l3593,5501e" filled="false" stroked="true" strokeweight="1.2pt" strokecolor="#d4d4d4">
                <v:path arrowok="t"/>
              </v:shape>
            </v:group>
            <v:group style="position:absolute;left:1162;top:4798;width:2420;height:353" coordorigin="1162,4798" coordsize="2420,353">
              <v:shape style="position:absolute;left:1162;top:4798;width:2420;height:353" coordorigin="1162,4798" coordsize="2420,353" path="m1162,5150l3581,5150,3581,4798,1162,4798,1162,5150xe" filled="true" fillcolor="#d4d4d4" stroked="false">
                <v:path arrowok="t"/>
                <v:fill type="solid"/>
              </v:shape>
            </v:group>
            <v:group style="position:absolute;left:1162;top:5150;width:2420;height:351" coordorigin="1162,5150" coordsize="2420,351">
              <v:shape style="position:absolute;left:1162;top:5150;width:2420;height:351" coordorigin="1162,5150" coordsize="2420,351" path="m1162,5501l3581,5501,3581,5150,1162,5150,1162,5501xe" filled="true" fillcolor="#d4d4d4" stroked="false">
                <v:path arrowok="t"/>
                <v:fill type="solid"/>
              </v:shape>
            </v:group>
            <v:group style="position:absolute;left:1138;top:4793;width:2468;height:2" coordorigin="1138,4793" coordsize="2468,2">
              <v:shape style="position:absolute;left:1138;top:4793;width:2468;height:2" coordorigin="1138,4793" coordsize="2468,0" path="m1138,4793l3605,4793e" filled="false" stroked="true" strokeweight=".48pt" strokecolor="#000000">
                <v:path arrowok="t"/>
              </v:shape>
            </v:group>
            <v:group style="position:absolute;left:3614;top:4793;width:874;height:2" coordorigin="3614,4793" coordsize="874,2">
              <v:shape style="position:absolute;left:3614;top:4793;width:874;height:2" coordorigin="3614,4793" coordsize="874,0" path="m3614,4793l4488,4793e" filled="false" stroked="true" strokeweight=".48pt" strokecolor="#000000">
                <v:path arrowok="t"/>
              </v:shape>
            </v:group>
            <v:group style="position:absolute;left:4498;top:4793;width:876;height:2" coordorigin="4498,4793" coordsize="876,2">
              <v:shape style="position:absolute;left:4498;top:4793;width:876;height:2" coordorigin="4498,4793" coordsize="876,0" path="m4498,4793l5374,4793e" filled="false" stroked="true" strokeweight=".48pt" strokecolor="#000000">
                <v:path arrowok="t"/>
              </v:shape>
            </v:group>
            <v:group style="position:absolute;left:5383;top:4793;width:876;height:2" coordorigin="5383,4793" coordsize="876,2">
              <v:shape style="position:absolute;left:5383;top:4793;width:876;height:2" coordorigin="5383,4793" coordsize="876,0" path="m5383,4793l6259,4793e" filled="false" stroked="true" strokeweight=".48pt" strokecolor="#000000">
                <v:path arrowok="t"/>
              </v:shape>
            </v:group>
            <v:group style="position:absolute;left:6269;top:4793;width:876;height:2" coordorigin="6269,4793" coordsize="876,2">
              <v:shape style="position:absolute;left:6269;top:4793;width:876;height:2" coordorigin="6269,4793" coordsize="876,0" path="m6269,4793l7145,4793e" filled="false" stroked="true" strokeweight=".48pt" strokecolor="#000000">
                <v:path arrowok="t"/>
              </v:shape>
            </v:group>
            <v:group style="position:absolute;left:7154;top:4793;width:876;height:2" coordorigin="7154,4793" coordsize="876,2">
              <v:shape style="position:absolute;left:7154;top:4793;width:876;height:2" coordorigin="7154,4793" coordsize="876,0" path="m7154,4793l8030,4793e" filled="false" stroked="true" strokeweight=".48pt" strokecolor="#000000">
                <v:path arrowok="t"/>
              </v:shape>
            </v:group>
            <v:group style="position:absolute;left:8040;top:4793;width:876;height:2" coordorigin="8040,4793" coordsize="876,2">
              <v:shape style="position:absolute;left:8040;top:4793;width:876;height:2" coordorigin="8040,4793" coordsize="876,0" path="m8040,4793l8916,4793e" filled="false" stroked="true" strokeweight=".48pt" strokecolor="#000000">
                <v:path arrowok="t"/>
              </v:shape>
            </v:group>
            <v:group style="position:absolute;left:8926;top:4793;width:879;height:2" coordorigin="8926,4793" coordsize="879,2">
              <v:shape style="position:absolute;left:8926;top:4793;width:879;height:2" coordorigin="8926,4793" coordsize="879,0" path="m8926,4793l9804,4793e" filled="false" stroked="true" strokeweight=".48pt" strokecolor="#000000">
                <v:path arrowok="t"/>
              </v:shape>
            </v:group>
            <v:group style="position:absolute;left:9814;top:4793;width:881;height:2" coordorigin="9814,4793" coordsize="881,2">
              <v:shape style="position:absolute;left:9814;top:4793;width:881;height:2" coordorigin="9814,4793" coordsize="881,0" path="m9814,4793l10694,4793e" filled="false" stroked="true" strokeweight=".48pt" strokecolor="#000000">
                <v:path arrowok="t"/>
              </v:shape>
            </v:group>
            <v:group style="position:absolute;left:1140;top:5513;width:2465;height:156" coordorigin="1140,5513" coordsize="2465,156">
              <v:shape style="position:absolute;left:1140;top:5513;width:2465;height:156" coordorigin="1140,5513" coordsize="2465,156" path="m1140,5669l3605,5669,3605,5513,1140,5513,1140,5669xe" filled="true" fillcolor="#d4d4d4" stroked="false">
                <v:path arrowok="t"/>
                <v:fill type="solid"/>
              </v:shape>
            </v:group>
            <v:group style="position:absolute;left:1151;top:5669;width:2;height:392" coordorigin="1151,5669" coordsize="2,392">
              <v:shape style="position:absolute;left:1151;top:5669;width:2;height:392" coordorigin="1151,5669" coordsize="0,392" path="m1151,5669l1151,6060e" filled="false" stroked="true" strokeweight="1.08pt" strokecolor="#d4d4d4">
                <v:path arrowok="t"/>
              </v:shape>
            </v:group>
            <v:group style="position:absolute;left:3593;top:5669;width:2;height:392" coordorigin="3593,5669" coordsize="2,392">
              <v:shape style="position:absolute;left:3593;top:5669;width:2;height:392" coordorigin="3593,5669" coordsize="0,392" path="m3593,5669l3593,6060e" filled="false" stroked="true" strokeweight="1.2pt" strokecolor="#d4d4d4">
                <v:path arrowok="t"/>
              </v:shape>
            </v:group>
            <v:group style="position:absolute;left:1140;top:6060;width:2465;height:156" coordorigin="1140,6060" coordsize="2465,156">
              <v:shape style="position:absolute;left:1140;top:6060;width:2465;height:156" coordorigin="1140,6060" coordsize="2465,156" path="m1140,6216l3605,6216,3605,6060,1140,6060,1140,6216xe" filled="true" fillcolor="#d4d4d4" stroked="false">
                <v:path arrowok="t"/>
                <v:fill type="solid"/>
              </v:shape>
            </v:group>
            <v:group style="position:absolute;left:1162;top:5669;width:2420;height:392" coordorigin="1162,5669" coordsize="2420,392">
              <v:shape style="position:absolute;left:1162;top:5669;width:2420;height:392" coordorigin="1162,5669" coordsize="2420,392" path="m1162,6060l3581,6060,3581,5669,1162,5669,1162,6060xe" filled="true" fillcolor="#d4d4d4" stroked="false">
                <v:path arrowok="t"/>
                <v:fill type="solid"/>
              </v:shape>
            </v:group>
            <v:group style="position:absolute;left:1138;top:5506;width:2468;height:2" coordorigin="1138,5506" coordsize="2468,2">
              <v:shape style="position:absolute;left:1138;top:5506;width:2468;height:2" coordorigin="1138,5506" coordsize="2468,0" path="m1138,5506l3605,5506e" filled="false" stroked="true" strokeweight=".48pt" strokecolor="#000000">
                <v:path arrowok="t"/>
              </v:shape>
            </v:group>
            <v:group style="position:absolute;left:3614;top:5506;width:874;height:2" coordorigin="3614,5506" coordsize="874,2">
              <v:shape style="position:absolute;left:3614;top:5506;width:874;height:2" coordorigin="3614,5506" coordsize="874,0" path="m3614,5506l4488,5506e" filled="false" stroked="true" strokeweight=".48pt" strokecolor="#000000">
                <v:path arrowok="t"/>
              </v:shape>
            </v:group>
            <v:group style="position:absolute;left:4498;top:5506;width:876;height:2" coordorigin="4498,5506" coordsize="876,2">
              <v:shape style="position:absolute;left:4498;top:5506;width:876;height:2" coordorigin="4498,5506" coordsize="876,0" path="m4498,5506l5374,5506e" filled="false" stroked="true" strokeweight=".48pt" strokecolor="#000000">
                <v:path arrowok="t"/>
              </v:shape>
            </v:group>
            <v:group style="position:absolute;left:5383;top:5506;width:876;height:2" coordorigin="5383,5506" coordsize="876,2">
              <v:shape style="position:absolute;left:5383;top:5506;width:876;height:2" coordorigin="5383,5506" coordsize="876,0" path="m5383,5506l6259,5506e" filled="false" stroked="true" strokeweight=".48pt" strokecolor="#000000">
                <v:path arrowok="t"/>
              </v:shape>
            </v:group>
            <v:group style="position:absolute;left:6269;top:5506;width:876;height:2" coordorigin="6269,5506" coordsize="876,2">
              <v:shape style="position:absolute;left:6269;top:5506;width:876;height:2" coordorigin="6269,5506" coordsize="876,0" path="m6269,5506l7145,5506e" filled="false" stroked="true" strokeweight=".48pt" strokecolor="#000000">
                <v:path arrowok="t"/>
              </v:shape>
            </v:group>
            <v:group style="position:absolute;left:7154;top:5506;width:876;height:2" coordorigin="7154,5506" coordsize="876,2">
              <v:shape style="position:absolute;left:7154;top:5506;width:876;height:2" coordorigin="7154,5506" coordsize="876,0" path="m7154,5506l8030,5506e" filled="false" stroked="true" strokeweight=".48pt" strokecolor="#000000">
                <v:path arrowok="t"/>
              </v:shape>
            </v:group>
            <v:group style="position:absolute;left:8040;top:5506;width:876;height:2" coordorigin="8040,5506" coordsize="876,2">
              <v:shape style="position:absolute;left:8040;top:5506;width:876;height:2" coordorigin="8040,5506" coordsize="876,0" path="m8040,5506l8916,5506e" filled="false" stroked="true" strokeweight=".48pt" strokecolor="#000000">
                <v:path arrowok="t"/>
              </v:shape>
            </v:group>
            <v:group style="position:absolute;left:8926;top:5506;width:879;height:2" coordorigin="8926,5506" coordsize="879,2">
              <v:shape style="position:absolute;left:8926;top:5506;width:879;height:2" coordorigin="8926,5506" coordsize="879,0" path="m8926,5506l9804,5506e" filled="false" stroked="true" strokeweight=".48pt" strokecolor="#000000">
                <v:path arrowok="t"/>
              </v:shape>
            </v:group>
            <v:group style="position:absolute;left:9814;top:5506;width:881;height:2" coordorigin="9814,5506" coordsize="881,2">
              <v:shape style="position:absolute;left:9814;top:5506;width:881;height:2" coordorigin="9814,5506" coordsize="881,0" path="m9814,5506l10694,5506e" filled="false" stroked="true" strokeweight=".48pt" strokecolor="#000000">
                <v:path arrowok="t"/>
              </v:shape>
            </v:group>
            <v:group style="position:absolute;left:1151;top:6226;width:2;height:392" coordorigin="1151,6226" coordsize="2,392">
              <v:shape style="position:absolute;left:1151;top:6226;width:2;height:392" coordorigin="1151,6226" coordsize="0,392" path="m1151,6226l1151,6617e" filled="false" stroked="true" strokeweight="1.08pt" strokecolor="#d4d4d4">
                <v:path arrowok="t"/>
              </v:shape>
            </v:group>
            <v:group style="position:absolute;left:3593;top:6226;width:2;height:392" coordorigin="3593,6226" coordsize="2,392">
              <v:shape style="position:absolute;left:3593;top:6226;width:2;height:392" coordorigin="3593,6226" coordsize="0,392" path="m3593,6226l3593,6617e" filled="false" stroked="true" strokeweight="1.2pt" strokecolor="#d4d4d4">
                <v:path arrowok="t"/>
              </v:shape>
            </v:group>
            <v:group style="position:absolute;left:1162;top:6226;width:2420;height:392" coordorigin="1162,6226" coordsize="2420,392">
              <v:shape style="position:absolute;left:1162;top:6226;width:2420;height:392" coordorigin="1162,6226" coordsize="2420,392" path="m1162,6617l3581,6617,3581,6226,1162,6226,1162,6617xe" filled="true" fillcolor="#d4d4d4" stroked="false">
                <v:path arrowok="t"/>
                <v:fill type="solid"/>
              </v:shape>
            </v:group>
            <v:group style="position:absolute;left:1138;top:6221;width:2468;height:2" coordorigin="1138,6221" coordsize="2468,2">
              <v:shape style="position:absolute;left:1138;top:6221;width:2468;height:2" coordorigin="1138,6221" coordsize="2468,0" path="m1138,6221l3605,6221e" filled="false" stroked="true" strokeweight=".48pt" strokecolor="#000000">
                <v:path arrowok="t"/>
              </v:shape>
            </v:group>
            <v:group style="position:absolute;left:3614;top:6221;width:874;height:2" coordorigin="3614,6221" coordsize="874,2">
              <v:shape style="position:absolute;left:3614;top:6221;width:874;height:2" coordorigin="3614,6221" coordsize="874,0" path="m3614,6221l4488,6221e" filled="false" stroked="true" strokeweight=".48pt" strokecolor="#000000">
                <v:path arrowok="t"/>
              </v:shape>
            </v:group>
            <v:group style="position:absolute;left:4498;top:6221;width:876;height:2" coordorigin="4498,6221" coordsize="876,2">
              <v:shape style="position:absolute;left:4498;top:6221;width:876;height:2" coordorigin="4498,6221" coordsize="876,0" path="m4498,6221l5374,6221e" filled="false" stroked="true" strokeweight=".48pt" strokecolor="#000000">
                <v:path arrowok="t"/>
              </v:shape>
            </v:group>
            <v:group style="position:absolute;left:5383;top:6221;width:876;height:2" coordorigin="5383,6221" coordsize="876,2">
              <v:shape style="position:absolute;left:5383;top:6221;width:876;height:2" coordorigin="5383,6221" coordsize="876,0" path="m5383,6221l6259,6221e" filled="false" stroked="true" strokeweight=".48pt" strokecolor="#000000">
                <v:path arrowok="t"/>
              </v:shape>
            </v:group>
            <v:group style="position:absolute;left:6269;top:6221;width:876;height:2" coordorigin="6269,6221" coordsize="876,2">
              <v:shape style="position:absolute;left:6269;top:6221;width:876;height:2" coordorigin="6269,6221" coordsize="876,0" path="m6269,6221l7145,6221e" filled="false" stroked="true" strokeweight=".48pt" strokecolor="#000000">
                <v:path arrowok="t"/>
              </v:shape>
            </v:group>
            <v:group style="position:absolute;left:7154;top:6221;width:876;height:2" coordorigin="7154,6221" coordsize="876,2">
              <v:shape style="position:absolute;left:7154;top:6221;width:876;height:2" coordorigin="7154,6221" coordsize="876,0" path="m7154,6221l8030,6221e" filled="false" stroked="true" strokeweight=".48pt" strokecolor="#000000">
                <v:path arrowok="t"/>
              </v:shape>
            </v:group>
            <v:group style="position:absolute;left:8040;top:6221;width:876;height:2" coordorigin="8040,6221" coordsize="876,2">
              <v:shape style="position:absolute;left:8040;top:6221;width:876;height:2" coordorigin="8040,6221" coordsize="876,0" path="m8040,6221l8916,6221e" filled="false" stroked="true" strokeweight=".48pt" strokecolor="#000000">
                <v:path arrowok="t"/>
              </v:shape>
            </v:group>
            <v:group style="position:absolute;left:8926;top:6221;width:879;height:2" coordorigin="8926,6221" coordsize="879,2">
              <v:shape style="position:absolute;left:8926;top:6221;width:879;height:2" coordorigin="8926,6221" coordsize="879,0" path="m8926,6221l9804,6221e" filled="false" stroked="true" strokeweight=".48pt" strokecolor="#000000">
                <v:path arrowok="t"/>
              </v:shape>
            </v:group>
            <v:group style="position:absolute;left:9814;top:6221;width:881;height:2" coordorigin="9814,6221" coordsize="881,2">
              <v:shape style="position:absolute;left:9814;top:6221;width:881;height:2" coordorigin="9814,6221" coordsize="881,0" path="m9814,6221l10694,6221e" filled="false" stroked="true" strokeweight=".48pt" strokecolor="#000000">
                <v:path arrowok="t"/>
              </v:shape>
            </v:group>
            <v:group style="position:absolute;left:1140;top:6629;width:2465;height:156" coordorigin="1140,6629" coordsize="2465,156">
              <v:shape style="position:absolute;left:1140;top:6629;width:2465;height:156" coordorigin="1140,6629" coordsize="2465,156" path="m1140,6785l3605,6785,3605,6629,1140,6629,1140,6785xe" filled="true" fillcolor="#d4d4d4" stroked="false">
                <v:path arrowok="t"/>
                <v:fill type="solid"/>
              </v:shape>
            </v:group>
            <v:group style="position:absolute;left:1151;top:6785;width:2;height:392" coordorigin="1151,6785" coordsize="2,392">
              <v:shape style="position:absolute;left:1151;top:6785;width:2;height:392" coordorigin="1151,6785" coordsize="0,392" path="m1151,6785l1151,7176e" filled="false" stroked="true" strokeweight="1.08pt" strokecolor="#d4d4d4">
                <v:path arrowok="t"/>
              </v:shape>
            </v:group>
            <v:group style="position:absolute;left:3593;top:6785;width:2;height:392" coordorigin="3593,6785" coordsize="2,392">
              <v:shape style="position:absolute;left:3593;top:6785;width:2;height:392" coordorigin="3593,6785" coordsize="0,392" path="m3593,6785l3593,7176e" filled="false" stroked="true" strokeweight="1.2pt" strokecolor="#d4d4d4">
                <v:path arrowok="t"/>
              </v:shape>
            </v:group>
            <v:group style="position:absolute;left:1140;top:7176;width:2465;height:156" coordorigin="1140,7176" coordsize="2465,156">
              <v:shape style="position:absolute;left:1140;top:7176;width:2465;height:156" coordorigin="1140,7176" coordsize="2465,156" path="m1140,7332l3605,7332,3605,7176,1140,7176,1140,7332xe" filled="true" fillcolor="#d4d4d4" stroked="false">
                <v:path arrowok="t"/>
                <v:fill type="solid"/>
              </v:shape>
            </v:group>
            <v:group style="position:absolute;left:1162;top:6785;width:2420;height:392" coordorigin="1162,6785" coordsize="2420,392">
              <v:shape style="position:absolute;left:1162;top:6785;width:2420;height:392" coordorigin="1162,6785" coordsize="2420,392" path="m1162,7176l3581,7176,3581,6785,1162,6785,1162,7176xe" filled="true" fillcolor="#d4d4d4" stroked="false">
                <v:path arrowok="t"/>
                <v:fill type="solid"/>
              </v:shape>
            </v:group>
            <v:group style="position:absolute;left:1138;top:6622;width:2468;height:2" coordorigin="1138,6622" coordsize="2468,2">
              <v:shape style="position:absolute;left:1138;top:6622;width:2468;height:2" coordorigin="1138,6622" coordsize="2468,0" path="m1138,6622l3605,6622e" filled="false" stroked="true" strokeweight=".48pt" strokecolor="#000000">
                <v:path arrowok="t"/>
              </v:shape>
            </v:group>
            <v:group style="position:absolute;left:3614;top:6622;width:874;height:2" coordorigin="3614,6622" coordsize="874,2">
              <v:shape style="position:absolute;left:3614;top:6622;width:874;height:2" coordorigin="3614,6622" coordsize="874,0" path="m3614,6622l4488,6622e" filled="false" stroked="true" strokeweight=".48pt" strokecolor="#000000">
                <v:path arrowok="t"/>
              </v:shape>
            </v:group>
            <v:group style="position:absolute;left:4498;top:6622;width:876;height:2" coordorigin="4498,6622" coordsize="876,2">
              <v:shape style="position:absolute;left:4498;top:6622;width:876;height:2" coordorigin="4498,6622" coordsize="876,0" path="m4498,6622l5374,6622e" filled="false" stroked="true" strokeweight=".48pt" strokecolor="#000000">
                <v:path arrowok="t"/>
              </v:shape>
            </v:group>
            <v:group style="position:absolute;left:5383;top:6622;width:876;height:2" coordorigin="5383,6622" coordsize="876,2">
              <v:shape style="position:absolute;left:5383;top:6622;width:876;height:2" coordorigin="5383,6622" coordsize="876,0" path="m5383,6622l6259,6622e" filled="false" stroked="true" strokeweight=".48pt" strokecolor="#000000">
                <v:path arrowok="t"/>
              </v:shape>
            </v:group>
            <v:group style="position:absolute;left:6269;top:6622;width:876;height:2" coordorigin="6269,6622" coordsize="876,2">
              <v:shape style="position:absolute;left:6269;top:6622;width:876;height:2" coordorigin="6269,6622" coordsize="876,0" path="m6269,6622l7145,6622e" filled="false" stroked="true" strokeweight=".48pt" strokecolor="#000000">
                <v:path arrowok="t"/>
              </v:shape>
            </v:group>
            <v:group style="position:absolute;left:7154;top:6622;width:876;height:2" coordorigin="7154,6622" coordsize="876,2">
              <v:shape style="position:absolute;left:7154;top:6622;width:876;height:2" coordorigin="7154,6622" coordsize="876,0" path="m7154,6622l8030,6622e" filled="false" stroked="true" strokeweight=".48pt" strokecolor="#000000">
                <v:path arrowok="t"/>
              </v:shape>
            </v:group>
            <v:group style="position:absolute;left:8040;top:6622;width:876;height:2" coordorigin="8040,6622" coordsize="876,2">
              <v:shape style="position:absolute;left:8040;top:6622;width:876;height:2" coordorigin="8040,6622" coordsize="876,0" path="m8040,6622l8916,6622e" filled="false" stroked="true" strokeweight=".48pt" strokecolor="#000000">
                <v:path arrowok="t"/>
              </v:shape>
            </v:group>
            <v:group style="position:absolute;left:8926;top:6622;width:879;height:2" coordorigin="8926,6622" coordsize="879,2">
              <v:shape style="position:absolute;left:8926;top:6622;width:879;height:2" coordorigin="8926,6622" coordsize="879,0" path="m8926,6622l9804,6622e" filled="false" stroked="true" strokeweight=".48pt" strokecolor="#000000">
                <v:path arrowok="t"/>
              </v:shape>
            </v:group>
            <v:group style="position:absolute;left:9814;top:6622;width:881;height:2" coordorigin="9814,6622" coordsize="881,2">
              <v:shape style="position:absolute;left:9814;top:6622;width:881;height:2" coordorigin="9814,6622" coordsize="881,0" path="m9814,6622l10694,6622e" filled="false" stroked="true" strokeweight=".48pt" strokecolor="#000000">
                <v:path arrowok="t"/>
              </v:shape>
            </v:group>
            <v:group style="position:absolute;left:1151;top:7342;width:2;height:392" coordorigin="1151,7342" coordsize="2,392">
              <v:shape style="position:absolute;left:1151;top:7342;width:2;height:392" coordorigin="1151,7342" coordsize="0,392" path="m1151,7342l1151,7733e" filled="false" stroked="true" strokeweight="1.08pt" strokecolor="#d4d4d4">
                <v:path arrowok="t"/>
              </v:shape>
            </v:group>
            <v:group style="position:absolute;left:3593;top:7342;width:2;height:392" coordorigin="3593,7342" coordsize="2,392">
              <v:shape style="position:absolute;left:3593;top:7342;width:2;height:392" coordorigin="3593,7342" coordsize="0,392" path="m3593,7342l3593,7733e" filled="false" stroked="true" strokeweight="1.2pt" strokecolor="#d4d4d4">
                <v:path arrowok="t"/>
              </v:shape>
            </v:group>
            <v:group style="position:absolute;left:1162;top:7342;width:2420;height:392" coordorigin="1162,7342" coordsize="2420,392">
              <v:shape style="position:absolute;left:1162;top:7342;width:2420;height:392" coordorigin="1162,7342" coordsize="2420,392" path="m1162,7733l3581,7733,3581,7342,1162,7342,1162,7733xe" filled="true" fillcolor="#d4d4d4" stroked="false">
                <v:path arrowok="t"/>
                <v:fill type="solid"/>
              </v:shape>
            </v:group>
            <v:group style="position:absolute;left:1138;top:7337;width:2468;height:2" coordorigin="1138,7337" coordsize="2468,2">
              <v:shape style="position:absolute;left:1138;top:7337;width:2468;height:2" coordorigin="1138,7337" coordsize="2468,0" path="m1138,7337l3605,7337e" filled="false" stroked="true" strokeweight=".48pt" strokecolor="#000000">
                <v:path arrowok="t"/>
              </v:shape>
            </v:group>
            <v:group style="position:absolute;left:3614;top:7337;width:874;height:2" coordorigin="3614,7337" coordsize="874,2">
              <v:shape style="position:absolute;left:3614;top:7337;width:874;height:2" coordorigin="3614,7337" coordsize="874,0" path="m3614,7337l4488,7337e" filled="false" stroked="true" strokeweight=".48pt" strokecolor="#000000">
                <v:path arrowok="t"/>
              </v:shape>
            </v:group>
            <v:group style="position:absolute;left:4498;top:7337;width:876;height:2" coordorigin="4498,7337" coordsize="876,2">
              <v:shape style="position:absolute;left:4498;top:7337;width:876;height:2" coordorigin="4498,7337" coordsize="876,0" path="m4498,7337l5374,7337e" filled="false" stroked="true" strokeweight=".48pt" strokecolor="#000000">
                <v:path arrowok="t"/>
              </v:shape>
            </v:group>
            <v:group style="position:absolute;left:5383;top:7337;width:876;height:2" coordorigin="5383,7337" coordsize="876,2">
              <v:shape style="position:absolute;left:5383;top:7337;width:876;height:2" coordorigin="5383,7337" coordsize="876,0" path="m5383,7337l6259,7337e" filled="false" stroked="true" strokeweight=".48pt" strokecolor="#000000">
                <v:path arrowok="t"/>
              </v:shape>
            </v:group>
            <v:group style="position:absolute;left:6269;top:7337;width:876;height:2" coordorigin="6269,7337" coordsize="876,2">
              <v:shape style="position:absolute;left:6269;top:7337;width:876;height:2" coordorigin="6269,7337" coordsize="876,0" path="m6269,7337l7145,7337e" filled="false" stroked="true" strokeweight=".48pt" strokecolor="#000000">
                <v:path arrowok="t"/>
              </v:shape>
            </v:group>
            <v:group style="position:absolute;left:7154;top:7337;width:876;height:2" coordorigin="7154,7337" coordsize="876,2">
              <v:shape style="position:absolute;left:7154;top:7337;width:876;height:2" coordorigin="7154,7337" coordsize="876,0" path="m7154,7337l8030,7337e" filled="false" stroked="true" strokeweight=".48pt" strokecolor="#000000">
                <v:path arrowok="t"/>
              </v:shape>
            </v:group>
            <v:group style="position:absolute;left:8040;top:7337;width:876;height:2" coordorigin="8040,7337" coordsize="876,2">
              <v:shape style="position:absolute;left:8040;top:7337;width:876;height:2" coordorigin="8040,7337" coordsize="876,0" path="m8040,7337l8916,7337e" filled="false" stroked="true" strokeweight=".48pt" strokecolor="#000000">
                <v:path arrowok="t"/>
              </v:shape>
            </v:group>
            <v:group style="position:absolute;left:8926;top:7337;width:879;height:2" coordorigin="8926,7337" coordsize="879,2">
              <v:shape style="position:absolute;left:8926;top:7337;width:879;height:2" coordorigin="8926,7337" coordsize="879,0" path="m8926,7337l9804,7337e" filled="false" stroked="true" strokeweight=".48pt" strokecolor="#000000">
                <v:path arrowok="t"/>
              </v:shape>
            </v:group>
            <v:group style="position:absolute;left:9814;top:7337;width:881;height:2" coordorigin="9814,7337" coordsize="881,2">
              <v:shape style="position:absolute;left:9814;top:7337;width:881;height:2" coordorigin="9814,7337" coordsize="881,0" path="m9814,7337l10694,7337e" filled="false" stroked="true" strokeweight=".48pt" strokecolor="#000000">
                <v:path arrowok="t"/>
              </v:shape>
            </v:group>
            <v:group style="position:absolute;left:1151;top:7745;width:2;height:392" coordorigin="1151,7745" coordsize="2,392">
              <v:shape style="position:absolute;left:1151;top:7745;width:2;height:392" coordorigin="1151,7745" coordsize="0,392" path="m1151,7745l1151,8136e" filled="false" stroked="true" strokeweight="1.08pt" strokecolor="#d4d4d4">
                <v:path arrowok="t"/>
              </v:shape>
            </v:group>
            <v:group style="position:absolute;left:3593;top:7745;width:2;height:392" coordorigin="3593,7745" coordsize="2,392">
              <v:shape style="position:absolute;left:3593;top:7745;width:2;height:392" coordorigin="3593,7745" coordsize="0,392" path="m3593,7745l3593,8136e" filled="false" stroked="true" strokeweight="1.2pt" strokecolor="#d4d4d4">
                <v:path arrowok="t"/>
              </v:shape>
            </v:group>
            <v:group style="position:absolute;left:1162;top:7745;width:2420;height:392" coordorigin="1162,7745" coordsize="2420,392">
              <v:shape style="position:absolute;left:1162;top:7745;width:2420;height:392" coordorigin="1162,7745" coordsize="2420,392" path="m1162,8136l3581,8136,3581,7745,1162,7745,1162,8136xe" filled="true" fillcolor="#d4d4d4" stroked="false">
                <v:path arrowok="t"/>
                <v:fill type="solid"/>
              </v:shape>
            </v:group>
            <v:group style="position:absolute;left:1138;top:7738;width:2468;height:2" coordorigin="1138,7738" coordsize="2468,2">
              <v:shape style="position:absolute;left:1138;top:7738;width:2468;height:2" coordorigin="1138,7738" coordsize="2468,0" path="m1138,7738l3605,7738e" filled="false" stroked="true" strokeweight=".48pt" strokecolor="#000000">
                <v:path arrowok="t"/>
              </v:shape>
            </v:group>
            <v:group style="position:absolute;left:3614;top:7738;width:874;height:2" coordorigin="3614,7738" coordsize="874,2">
              <v:shape style="position:absolute;left:3614;top:7738;width:874;height:2" coordorigin="3614,7738" coordsize="874,0" path="m3614,7738l4488,7738e" filled="false" stroked="true" strokeweight=".48pt" strokecolor="#000000">
                <v:path arrowok="t"/>
              </v:shape>
            </v:group>
            <v:group style="position:absolute;left:4498;top:7738;width:876;height:2" coordorigin="4498,7738" coordsize="876,2">
              <v:shape style="position:absolute;left:4498;top:7738;width:876;height:2" coordorigin="4498,7738" coordsize="876,0" path="m4498,7738l5374,7738e" filled="false" stroked="true" strokeweight=".48pt" strokecolor="#000000">
                <v:path arrowok="t"/>
              </v:shape>
            </v:group>
            <v:group style="position:absolute;left:5383;top:7738;width:876;height:2" coordorigin="5383,7738" coordsize="876,2">
              <v:shape style="position:absolute;left:5383;top:7738;width:876;height:2" coordorigin="5383,7738" coordsize="876,0" path="m5383,7738l6259,7738e" filled="false" stroked="true" strokeweight=".48pt" strokecolor="#000000">
                <v:path arrowok="t"/>
              </v:shape>
            </v:group>
            <v:group style="position:absolute;left:6269;top:7738;width:876;height:2" coordorigin="6269,7738" coordsize="876,2">
              <v:shape style="position:absolute;left:6269;top:7738;width:876;height:2" coordorigin="6269,7738" coordsize="876,0" path="m6269,7738l7145,7738e" filled="false" stroked="true" strokeweight=".48pt" strokecolor="#000000">
                <v:path arrowok="t"/>
              </v:shape>
            </v:group>
            <v:group style="position:absolute;left:7154;top:7738;width:876;height:2" coordorigin="7154,7738" coordsize="876,2">
              <v:shape style="position:absolute;left:7154;top:7738;width:876;height:2" coordorigin="7154,7738" coordsize="876,0" path="m7154,7738l8030,7738e" filled="false" stroked="true" strokeweight=".48pt" strokecolor="#000000">
                <v:path arrowok="t"/>
              </v:shape>
            </v:group>
            <v:group style="position:absolute;left:8040;top:7738;width:876;height:2" coordorigin="8040,7738" coordsize="876,2">
              <v:shape style="position:absolute;left:8040;top:7738;width:876;height:2" coordorigin="8040,7738" coordsize="876,0" path="m8040,7738l8916,7738e" filled="false" stroked="true" strokeweight=".48pt" strokecolor="#000000">
                <v:path arrowok="t"/>
              </v:shape>
            </v:group>
            <v:group style="position:absolute;left:8926;top:7738;width:879;height:2" coordorigin="8926,7738" coordsize="879,2">
              <v:shape style="position:absolute;left:8926;top:7738;width:879;height:2" coordorigin="8926,7738" coordsize="879,0" path="m8926,7738l9804,7738e" filled="false" stroked="true" strokeweight=".48pt" strokecolor="#000000">
                <v:path arrowok="t"/>
              </v:shape>
            </v:group>
            <v:group style="position:absolute;left:9814;top:7738;width:881;height:2" coordorigin="9814,7738" coordsize="881,2">
              <v:shape style="position:absolute;left:9814;top:7738;width:881;height:2" coordorigin="9814,7738" coordsize="881,0" path="m9814,7738l10694,7738e" filled="false" stroked="true" strokeweight=".48pt" strokecolor="#000000">
                <v:path arrowok="t"/>
              </v:shape>
            </v:group>
            <v:group style="position:absolute;left:1151;top:8146;width:2;height:704" coordorigin="1151,8146" coordsize="2,704">
              <v:shape style="position:absolute;left:1151;top:8146;width:2;height:704" coordorigin="1151,8146" coordsize="0,704" path="m1151,8146l1151,8849e" filled="false" stroked="true" strokeweight="1.08pt" strokecolor="#d4d4d4">
                <v:path arrowok="t"/>
              </v:shape>
            </v:group>
            <v:group style="position:absolute;left:3593;top:8146;width:2;height:704" coordorigin="3593,8146" coordsize="2,704">
              <v:shape style="position:absolute;left:3593;top:8146;width:2;height:704" coordorigin="3593,8146" coordsize="0,704" path="m3593,8146l3593,8849e" filled="false" stroked="true" strokeweight="1.2pt" strokecolor="#d4d4d4">
                <v:path arrowok="t"/>
              </v:shape>
            </v:group>
            <v:group style="position:absolute;left:1162;top:8146;width:2420;height:353" coordorigin="1162,8146" coordsize="2420,353">
              <v:shape style="position:absolute;left:1162;top:8146;width:2420;height:353" coordorigin="1162,8146" coordsize="2420,353" path="m1162,8498l3581,8498,3581,8146,1162,8146,1162,8498xe" filled="true" fillcolor="#d4d4d4" stroked="false">
                <v:path arrowok="t"/>
                <v:fill type="solid"/>
              </v:shape>
            </v:group>
            <v:group style="position:absolute;left:1162;top:8498;width:2420;height:351" coordorigin="1162,8498" coordsize="2420,351">
              <v:shape style="position:absolute;left:1162;top:8498;width:2420;height:351" coordorigin="1162,8498" coordsize="2420,351" path="m1162,8849l3581,8849,3581,8498,1162,8498,1162,8849xe" filled="true" fillcolor="#d4d4d4" stroked="false">
                <v:path arrowok="t"/>
                <v:fill type="solid"/>
              </v:shape>
            </v:group>
            <v:group style="position:absolute;left:1138;top:8141;width:2468;height:2" coordorigin="1138,8141" coordsize="2468,2">
              <v:shape style="position:absolute;left:1138;top:8141;width:2468;height:2" coordorigin="1138,8141" coordsize="2468,0" path="m1138,8141l3605,8141e" filled="false" stroked="true" strokeweight=".48pt" strokecolor="#000000">
                <v:path arrowok="t"/>
              </v:shape>
            </v:group>
            <v:group style="position:absolute;left:3614;top:8141;width:874;height:2" coordorigin="3614,8141" coordsize="874,2">
              <v:shape style="position:absolute;left:3614;top:8141;width:874;height:2" coordorigin="3614,8141" coordsize="874,0" path="m3614,8141l4488,8141e" filled="false" stroked="true" strokeweight=".48pt" strokecolor="#000000">
                <v:path arrowok="t"/>
              </v:shape>
            </v:group>
            <v:group style="position:absolute;left:4498;top:8141;width:876;height:2" coordorigin="4498,8141" coordsize="876,2">
              <v:shape style="position:absolute;left:4498;top:8141;width:876;height:2" coordorigin="4498,8141" coordsize="876,0" path="m4498,8141l5374,8141e" filled="false" stroked="true" strokeweight=".48pt" strokecolor="#000000">
                <v:path arrowok="t"/>
              </v:shape>
            </v:group>
            <v:group style="position:absolute;left:5383;top:8141;width:876;height:2" coordorigin="5383,8141" coordsize="876,2">
              <v:shape style="position:absolute;left:5383;top:8141;width:876;height:2" coordorigin="5383,8141" coordsize="876,0" path="m5383,8141l6259,8141e" filled="false" stroked="true" strokeweight=".48pt" strokecolor="#000000">
                <v:path arrowok="t"/>
              </v:shape>
            </v:group>
            <v:group style="position:absolute;left:6269;top:8141;width:876;height:2" coordorigin="6269,8141" coordsize="876,2">
              <v:shape style="position:absolute;left:6269;top:8141;width:876;height:2" coordorigin="6269,8141" coordsize="876,0" path="m6269,8141l7145,8141e" filled="false" stroked="true" strokeweight=".48pt" strokecolor="#000000">
                <v:path arrowok="t"/>
              </v:shape>
            </v:group>
            <v:group style="position:absolute;left:7154;top:8141;width:876;height:2" coordorigin="7154,8141" coordsize="876,2">
              <v:shape style="position:absolute;left:7154;top:8141;width:876;height:2" coordorigin="7154,8141" coordsize="876,0" path="m7154,8141l8030,8141e" filled="false" stroked="true" strokeweight=".48pt" strokecolor="#000000">
                <v:path arrowok="t"/>
              </v:shape>
            </v:group>
            <v:group style="position:absolute;left:8040;top:8141;width:876;height:2" coordorigin="8040,8141" coordsize="876,2">
              <v:shape style="position:absolute;left:8040;top:8141;width:876;height:2" coordorigin="8040,8141" coordsize="876,0" path="m8040,8141l8916,8141e" filled="false" stroked="true" strokeweight=".48pt" strokecolor="#000000">
                <v:path arrowok="t"/>
              </v:shape>
            </v:group>
            <v:group style="position:absolute;left:8926;top:8141;width:879;height:2" coordorigin="8926,8141" coordsize="879,2">
              <v:shape style="position:absolute;left:8926;top:8141;width:879;height:2" coordorigin="8926,8141" coordsize="879,0" path="m8926,8141l9804,8141e" filled="false" stroked="true" strokeweight=".48pt" strokecolor="#000000">
                <v:path arrowok="t"/>
              </v:shape>
            </v:group>
            <v:group style="position:absolute;left:9814;top:8141;width:881;height:2" coordorigin="9814,8141" coordsize="881,2">
              <v:shape style="position:absolute;left:9814;top:8141;width:881;height:2" coordorigin="9814,8141" coordsize="881,0" path="m9814,8141l10694,8141e" filled="false" stroked="true" strokeweight=".48pt" strokecolor="#000000">
                <v:path arrowok="t"/>
              </v:shape>
            </v:group>
            <v:group style="position:absolute;left:1151;top:8861;width:2;height:392" coordorigin="1151,8861" coordsize="2,392">
              <v:shape style="position:absolute;left:1151;top:8861;width:2;height:392" coordorigin="1151,8861" coordsize="0,392" path="m1151,8861l1151,9252e" filled="false" stroked="true" strokeweight="1.08pt" strokecolor="#d4d4d4">
                <v:path arrowok="t"/>
              </v:shape>
            </v:group>
            <v:group style="position:absolute;left:3593;top:8861;width:2;height:392" coordorigin="3593,8861" coordsize="2,392">
              <v:shape style="position:absolute;left:3593;top:8861;width:2;height:392" coordorigin="3593,8861" coordsize="0,392" path="m3593,8861l3593,9252e" filled="false" stroked="true" strokeweight="1.2pt" strokecolor="#d4d4d4">
                <v:path arrowok="t"/>
              </v:shape>
            </v:group>
            <v:group style="position:absolute;left:1162;top:8861;width:2420;height:392" coordorigin="1162,8861" coordsize="2420,392">
              <v:shape style="position:absolute;left:1162;top:8861;width:2420;height:392" coordorigin="1162,8861" coordsize="2420,392" path="m1162,9252l3581,9252,3581,8861,1162,8861,1162,9252xe" filled="true" fillcolor="#d4d4d4" stroked="false">
                <v:path arrowok="t"/>
                <v:fill type="solid"/>
              </v:shape>
            </v:group>
            <v:group style="position:absolute;left:1138;top:8854;width:2468;height:2" coordorigin="1138,8854" coordsize="2468,2">
              <v:shape style="position:absolute;left:1138;top:8854;width:2468;height:2" coordorigin="1138,8854" coordsize="2468,0" path="m1138,8854l3605,8854e" filled="false" stroked="true" strokeweight=".48pt" strokecolor="#000000">
                <v:path arrowok="t"/>
              </v:shape>
            </v:group>
            <v:group style="position:absolute;left:3614;top:8854;width:874;height:2" coordorigin="3614,8854" coordsize="874,2">
              <v:shape style="position:absolute;left:3614;top:8854;width:874;height:2" coordorigin="3614,8854" coordsize="874,0" path="m3614,8854l4488,8854e" filled="false" stroked="true" strokeweight=".48pt" strokecolor="#000000">
                <v:path arrowok="t"/>
              </v:shape>
            </v:group>
            <v:group style="position:absolute;left:4498;top:8854;width:876;height:2" coordorigin="4498,8854" coordsize="876,2">
              <v:shape style="position:absolute;left:4498;top:8854;width:876;height:2" coordorigin="4498,8854" coordsize="876,0" path="m4498,8854l5374,8854e" filled="false" stroked="true" strokeweight=".48pt" strokecolor="#000000">
                <v:path arrowok="t"/>
              </v:shape>
            </v:group>
            <v:group style="position:absolute;left:5383;top:8854;width:876;height:2" coordorigin="5383,8854" coordsize="876,2">
              <v:shape style="position:absolute;left:5383;top:8854;width:876;height:2" coordorigin="5383,8854" coordsize="876,0" path="m5383,8854l6259,8854e" filled="false" stroked="true" strokeweight=".48pt" strokecolor="#000000">
                <v:path arrowok="t"/>
              </v:shape>
            </v:group>
            <v:group style="position:absolute;left:6269;top:8854;width:876;height:2" coordorigin="6269,8854" coordsize="876,2">
              <v:shape style="position:absolute;left:6269;top:8854;width:876;height:2" coordorigin="6269,8854" coordsize="876,0" path="m6269,8854l7145,8854e" filled="false" stroked="true" strokeweight=".48pt" strokecolor="#000000">
                <v:path arrowok="t"/>
              </v:shape>
            </v:group>
            <v:group style="position:absolute;left:7154;top:8854;width:876;height:2" coordorigin="7154,8854" coordsize="876,2">
              <v:shape style="position:absolute;left:7154;top:8854;width:876;height:2" coordorigin="7154,8854" coordsize="876,0" path="m7154,8854l8030,8854e" filled="false" stroked="true" strokeweight=".48pt" strokecolor="#000000">
                <v:path arrowok="t"/>
              </v:shape>
            </v:group>
            <v:group style="position:absolute;left:8040;top:8854;width:876;height:2" coordorigin="8040,8854" coordsize="876,2">
              <v:shape style="position:absolute;left:8040;top:8854;width:876;height:2" coordorigin="8040,8854" coordsize="876,0" path="m8040,8854l8916,8854e" filled="false" stroked="true" strokeweight=".48pt" strokecolor="#000000">
                <v:path arrowok="t"/>
              </v:shape>
            </v:group>
            <v:group style="position:absolute;left:8926;top:8854;width:879;height:2" coordorigin="8926,8854" coordsize="879,2">
              <v:shape style="position:absolute;left:8926;top:8854;width:879;height:2" coordorigin="8926,8854" coordsize="879,0" path="m8926,8854l9804,8854e" filled="false" stroked="true" strokeweight=".48pt" strokecolor="#000000">
                <v:path arrowok="t"/>
              </v:shape>
            </v:group>
            <v:group style="position:absolute;left:9814;top:8854;width:881;height:2" coordorigin="9814,8854" coordsize="881,2">
              <v:shape style="position:absolute;left:9814;top:8854;width:881;height:2" coordorigin="9814,8854" coordsize="881,0" path="m9814,8854l10694,8854e" filled="false" stroked="true" strokeweight=".48pt" strokecolor="#000000">
                <v:path arrowok="t"/>
              </v:shape>
            </v:group>
            <v:group style="position:absolute;left:1140;top:9262;width:2465;height:156" coordorigin="1140,9262" coordsize="2465,156">
              <v:shape style="position:absolute;left:1140;top:9262;width:2465;height:156" coordorigin="1140,9262" coordsize="2465,156" path="m1140,9418l3605,9418,3605,9262,1140,9262,1140,9418xe" filled="true" fillcolor="#d4d4d4" stroked="false">
                <v:path arrowok="t"/>
                <v:fill type="solid"/>
              </v:shape>
            </v:group>
            <v:group style="position:absolute;left:1151;top:9418;width:2;height:392" coordorigin="1151,9418" coordsize="2,392">
              <v:shape style="position:absolute;left:1151;top:9418;width:2;height:392" coordorigin="1151,9418" coordsize="0,392" path="m1151,9418l1151,9809e" filled="false" stroked="true" strokeweight="1.08pt" strokecolor="#d4d4d4">
                <v:path arrowok="t"/>
              </v:shape>
            </v:group>
            <v:group style="position:absolute;left:3593;top:9418;width:2;height:392" coordorigin="3593,9418" coordsize="2,392">
              <v:shape style="position:absolute;left:3593;top:9418;width:2;height:392" coordorigin="3593,9418" coordsize="0,392" path="m3593,9418l3593,9809e" filled="false" stroked="true" strokeweight="1.2pt" strokecolor="#d4d4d4">
                <v:path arrowok="t"/>
              </v:shape>
            </v:group>
            <v:group style="position:absolute;left:1140;top:9809;width:2465;height:156" coordorigin="1140,9809" coordsize="2465,156">
              <v:shape style="position:absolute;left:1140;top:9809;width:2465;height:156" coordorigin="1140,9809" coordsize="2465,156" path="m1140,9965l3605,9965,3605,9809,1140,9809,1140,9965xe" filled="true" fillcolor="#d4d4d4" stroked="false">
                <v:path arrowok="t"/>
                <v:fill type="solid"/>
              </v:shape>
            </v:group>
            <v:group style="position:absolute;left:1162;top:9418;width:2420;height:392" coordorigin="1162,9418" coordsize="2420,392">
              <v:shape style="position:absolute;left:1162;top:9418;width:2420;height:392" coordorigin="1162,9418" coordsize="2420,392" path="m1162,9809l3581,9809,3581,9418,1162,9418,1162,9809xe" filled="true" fillcolor="#d4d4d4" stroked="false">
                <v:path arrowok="t"/>
                <v:fill type="solid"/>
              </v:shape>
            </v:group>
            <v:group style="position:absolute;left:1138;top:9257;width:2468;height:2" coordorigin="1138,9257" coordsize="2468,2">
              <v:shape style="position:absolute;left:1138;top:9257;width:2468;height:2" coordorigin="1138,9257" coordsize="2468,0" path="m1138,9257l3605,9257e" filled="false" stroked="true" strokeweight=".48pt" strokecolor="#000000">
                <v:path arrowok="t"/>
              </v:shape>
            </v:group>
            <v:group style="position:absolute;left:3614;top:9257;width:874;height:2" coordorigin="3614,9257" coordsize="874,2">
              <v:shape style="position:absolute;left:3614;top:9257;width:874;height:2" coordorigin="3614,9257" coordsize="874,0" path="m3614,9257l4488,9257e" filled="false" stroked="true" strokeweight=".48pt" strokecolor="#000000">
                <v:path arrowok="t"/>
              </v:shape>
            </v:group>
            <v:group style="position:absolute;left:4498;top:9257;width:876;height:2" coordorigin="4498,9257" coordsize="876,2">
              <v:shape style="position:absolute;left:4498;top:9257;width:876;height:2" coordorigin="4498,9257" coordsize="876,0" path="m4498,9257l5374,9257e" filled="false" stroked="true" strokeweight=".48pt" strokecolor="#000000">
                <v:path arrowok="t"/>
              </v:shape>
            </v:group>
            <v:group style="position:absolute;left:5383;top:9257;width:876;height:2" coordorigin="5383,9257" coordsize="876,2">
              <v:shape style="position:absolute;left:5383;top:9257;width:876;height:2" coordorigin="5383,9257" coordsize="876,0" path="m5383,9257l6259,9257e" filled="false" stroked="true" strokeweight=".48pt" strokecolor="#000000">
                <v:path arrowok="t"/>
              </v:shape>
            </v:group>
            <v:group style="position:absolute;left:6269;top:9257;width:876;height:2" coordorigin="6269,9257" coordsize="876,2">
              <v:shape style="position:absolute;left:6269;top:9257;width:876;height:2" coordorigin="6269,9257" coordsize="876,0" path="m6269,9257l7145,9257e" filled="false" stroked="true" strokeweight=".48pt" strokecolor="#000000">
                <v:path arrowok="t"/>
              </v:shape>
            </v:group>
            <v:group style="position:absolute;left:7154;top:9257;width:876;height:2" coordorigin="7154,9257" coordsize="876,2">
              <v:shape style="position:absolute;left:7154;top:9257;width:876;height:2" coordorigin="7154,9257" coordsize="876,0" path="m7154,9257l8030,9257e" filled="false" stroked="true" strokeweight=".48pt" strokecolor="#000000">
                <v:path arrowok="t"/>
              </v:shape>
            </v:group>
            <v:group style="position:absolute;left:8040;top:9257;width:876;height:2" coordorigin="8040,9257" coordsize="876,2">
              <v:shape style="position:absolute;left:8040;top:9257;width:876;height:2" coordorigin="8040,9257" coordsize="876,0" path="m8040,9257l8916,9257e" filled="false" stroked="true" strokeweight=".48pt" strokecolor="#000000">
                <v:path arrowok="t"/>
              </v:shape>
            </v:group>
            <v:group style="position:absolute;left:8926;top:9257;width:879;height:2" coordorigin="8926,9257" coordsize="879,2">
              <v:shape style="position:absolute;left:8926;top:9257;width:879;height:2" coordorigin="8926,9257" coordsize="879,0" path="m8926,9257l9804,9257e" filled="false" stroked="true" strokeweight=".48pt" strokecolor="#000000">
                <v:path arrowok="t"/>
              </v:shape>
            </v:group>
            <v:group style="position:absolute;left:9814;top:9257;width:881;height:2" coordorigin="9814,9257" coordsize="881,2">
              <v:shape style="position:absolute;left:9814;top:9257;width:881;height:2" coordorigin="9814,9257" coordsize="881,0" path="m9814,9257l10694,9257e" filled="false" stroked="true" strokeweight=".48pt" strokecolor="#000000">
                <v:path arrowok="t"/>
              </v:shape>
            </v:group>
            <v:group style="position:absolute;left:1140;top:9977;width:2465;height:156" coordorigin="1140,9977" coordsize="2465,156">
              <v:shape style="position:absolute;left:1140;top:9977;width:2465;height:156" coordorigin="1140,9977" coordsize="2465,156" path="m1140,10133l3605,10133,3605,9977,1140,9977,1140,10133xe" filled="true" fillcolor="#d4d4d4" stroked="false">
                <v:path arrowok="t"/>
                <v:fill type="solid"/>
              </v:shape>
            </v:group>
            <v:group style="position:absolute;left:1151;top:10133;width:2;height:392" coordorigin="1151,10133" coordsize="2,392">
              <v:shape style="position:absolute;left:1151;top:10133;width:2;height:392" coordorigin="1151,10133" coordsize="0,392" path="m1151,10133l1151,10524e" filled="false" stroked="true" strokeweight="1.08pt" strokecolor="#d4d4d4">
                <v:path arrowok="t"/>
              </v:shape>
            </v:group>
            <v:group style="position:absolute;left:3593;top:10133;width:2;height:392" coordorigin="3593,10133" coordsize="2,392">
              <v:shape style="position:absolute;left:3593;top:10133;width:2;height:392" coordorigin="3593,10133" coordsize="0,392" path="m3593,10133l3593,10524e" filled="false" stroked="true" strokeweight="1.2pt" strokecolor="#d4d4d4">
                <v:path arrowok="t"/>
              </v:shape>
            </v:group>
            <v:group style="position:absolute;left:1140;top:10524;width:2465;height:156" coordorigin="1140,10524" coordsize="2465,156">
              <v:shape style="position:absolute;left:1140;top:10524;width:2465;height:156" coordorigin="1140,10524" coordsize="2465,156" path="m1140,10680l3605,10680,3605,10524,1140,10524,1140,10680xe" filled="true" fillcolor="#d4d4d4" stroked="false">
                <v:path arrowok="t"/>
                <v:fill type="solid"/>
              </v:shape>
            </v:group>
            <v:group style="position:absolute;left:1162;top:10133;width:2420;height:392" coordorigin="1162,10133" coordsize="2420,392">
              <v:shape style="position:absolute;left:1162;top:10133;width:2420;height:392" coordorigin="1162,10133" coordsize="2420,392" path="m1162,10524l3581,10524,3581,10133,1162,10133,1162,10524xe" filled="true" fillcolor="#d4d4d4" stroked="false">
                <v:path arrowok="t"/>
                <v:fill type="solid"/>
              </v:shape>
            </v:group>
            <v:group style="position:absolute;left:1138;top:9970;width:2468;height:2" coordorigin="1138,9970" coordsize="2468,2">
              <v:shape style="position:absolute;left:1138;top:9970;width:2468;height:2" coordorigin="1138,9970" coordsize="2468,0" path="m1138,9970l3605,9970e" filled="false" stroked="true" strokeweight=".48pt" strokecolor="#000000">
                <v:path arrowok="t"/>
              </v:shape>
            </v:group>
            <v:group style="position:absolute;left:3614;top:9970;width:874;height:2" coordorigin="3614,9970" coordsize="874,2">
              <v:shape style="position:absolute;left:3614;top:9970;width:874;height:2" coordorigin="3614,9970" coordsize="874,0" path="m3614,9970l4488,9970e" filled="false" stroked="true" strokeweight=".48pt" strokecolor="#000000">
                <v:path arrowok="t"/>
              </v:shape>
            </v:group>
            <v:group style="position:absolute;left:4498;top:9970;width:876;height:2" coordorigin="4498,9970" coordsize="876,2">
              <v:shape style="position:absolute;left:4498;top:9970;width:876;height:2" coordorigin="4498,9970" coordsize="876,0" path="m4498,9970l5374,9970e" filled="false" stroked="true" strokeweight=".48pt" strokecolor="#000000">
                <v:path arrowok="t"/>
              </v:shape>
            </v:group>
            <v:group style="position:absolute;left:5383;top:9970;width:876;height:2" coordorigin="5383,9970" coordsize="876,2">
              <v:shape style="position:absolute;left:5383;top:9970;width:876;height:2" coordorigin="5383,9970" coordsize="876,0" path="m5383,9970l6259,9970e" filled="false" stroked="true" strokeweight=".48pt" strokecolor="#000000">
                <v:path arrowok="t"/>
              </v:shape>
            </v:group>
            <v:group style="position:absolute;left:6269;top:9970;width:876;height:2" coordorigin="6269,9970" coordsize="876,2">
              <v:shape style="position:absolute;left:6269;top:9970;width:876;height:2" coordorigin="6269,9970" coordsize="876,0" path="m6269,9970l7145,9970e" filled="false" stroked="true" strokeweight=".48pt" strokecolor="#000000">
                <v:path arrowok="t"/>
              </v:shape>
            </v:group>
            <v:group style="position:absolute;left:7154;top:9970;width:876;height:2" coordorigin="7154,9970" coordsize="876,2">
              <v:shape style="position:absolute;left:7154;top:9970;width:876;height:2" coordorigin="7154,9970" coordsize="876,0" path="m7154,9970l8030,9970e" filled="false" stroked="true" strokeweight=".48pt" strokecolor="#000000">
                <v:path arrowok="t"/>
              </v:shape>
            </v:group>
            <v:group style="position:absolute;left:8040;top:9970;width:876;height:2" coordorigin="8040,9970" coordsize="876,2">
              <v:shape style="position:absolute;left:8040;top:9970;width:876;height:2" coordorigin="8040,9970" coordsize="876,0" path="m8040,9970l8916,9970e" filled="false" stroked="true" strokeweight=".48pt" strokecolor="#000000">
                <v:path arrowok="t"/>
              </v:shape>
            </v:group>
            <v:group style="position:absolute;left:8926;top:9970;width:879;height:2" coordorigin="8926,9970" coordsize="879,2">
              <v:shape style="position:absolute;left:8926;top:9970;width:879;height:2" coordorigin="8926,9970" coordsize="879,0" path="m8926,9970l9804,9970e" filled="false" stroked="true" strokeweight=".48pt" strokecolor="#000000">
                <v:path arrowok="t"/>
              </v:shape>
            </v:group>
            <v:group style="position:absolute;left:9814;top:9970;width:881;height:2" coordorigin="9814,9970" coordsize="881,2">
              <v:shape style="position:absolute;left:9814;top:9970;width:881;height:2" coordorigin="9814,9970" coordsize="881,0" path="m9814,9970l10694,9970e" filled="false" stroked="true" strokeweight=".48pt" strokecolor="#000000">
                <v:path arrowok="t"/>
              </v:shape>
            </v:group>
            <v:group style="position:absolute;left:1151;top:10690;width:2;height:392" coordorigin="1151,10690" coordsize="2,392">
              <v:shape style="position:absolute;left:1151;top:10690;width:2;height:392" coordorigin="1151,10690" coordsize="0,392" path="m1151,10690l1151,11081e" filled="false" stroked="true" strokeweight="1.08pt" strokecolor="#d4d4d4">
                <v:path arrowok="t"/>
              </v:shape>
            </v:group>
            <v:group style="position:absolute;left:3593;top:10690;width:2;height:392" coordorigin="3593,10690" coordsize="2,392">
              <v:shape style="position:absolute;left:3593;top:10690;width:2;height:392" coordorigin="3593,10690" coordsize="0,392" path="m3593,10690l3593,11081e" filled="false" stroked="true" strokeweight="1.2pt" strokecolor="#d4d4d4">
                <v:path arrowok="t"/>
              </v:shape>
            </v:group>
            <v:group style="position:absolute;left:1162;top:10690;width:2420;height:392" coordorigin="1162,10690" coordsize="2420,392">
              <v:shape style="position:absolute;left:1162;top:10690;width:2420;height:392" coordorigin="1162,10690" coordsize="2420,392" path="m1162,11081l3581,11081,3581,10690,1162,10690,1162,11081xe" filled="true" fillcolor="#d4d4d4" stroked="false">
                <v:path arrowok="t"/>
                <v:fill type="solid"/>
              </v:shape>
            </v:group>
            <v:group style="position:absolute;left:1138;top:10685;width:2468;height:2" coordorigin="1138,10685" coordsize="2468,2">
              <v:shape style="position:absolute;left:1138;top:10685;width:2468;height:2" coordorigin="1138,10685" coordsize="2468,0" path="m1138,10685l3605,10685e" filled="false" stroked="true" strokeweight=".48pt" strokecolor="#000000">
                <v:path arrowok="t"/>
              </v:shape>
            </v:group>
            <v:group style="position:absolute;left:3614;top:10685;width:874;height:2" coordorigin="3614,10685" coordsize="874,2">
              <v:shape style="position:absolute;left:3614;top:10685;width:874;height:2" coordorigin="3614,10685" coordsize="874,0" path="m3614,10685l4488,10685e" filled="false" stroked="true" strokeweight=".48pt" strokecolor="#000000">
                <v:path arrowok="t"/>
              </v:shape>
            </v:group>
            <v:group style="position:absolute;left:4498;top:10685;width:876;height:2" coordorigin="4498,10685" coordsize="876,2">
              <v:shape style="position:absolute;left:4498;top:10685;width:876;height:2" coordorigin="4498,10685" coordsize="876,0" path="m4498,10685l5374,10685e" filled="false" stroked="true" strokeweight=".48pt" strokecolor="#000000">
                <v:path arrowok="t"/>
              </v:shape>
            </v:group>
            <v:group style="position:absolute;left:5383;top:10685;width:876;height:2" coordorigin="5383,10685" coordsize="876,2">
              <v:shape style="position:absolute;left:5383;top:10685;width:876;height:2" coordorigin="5383,10685" coordsize="876,0" path="m5383,10685l6259,10685e" filled="false" stroked="true" strokeweight=".48pt" strokecolor="#000000">
                <v:path arrowok="t"/>
              </v:shape>
            </v:group>
            <v:group style="position:absolute;left:6269;top:10685;width:876;height:2" coordorigin="6269,10685" coordsize="876,2">
              <v:shape style="position:absolute;left:6269;top:10685;width:876;height:2" coordorigin="6269,10685" coordsize="876,0" path="m6269,10685l7145,10685e" filled="false" stroked="true" strokeweight=".48pt" strokecolor="#000000">
                <v:path arrowok="t"/>
              </v:shape>
            </v:group>
            <v:group style="position:absolute;left:7154;top:10685;width:876;height:2" coordorigin="7154,10685" coordsize="876,2">
              <v:shape style="position:absolute;left:7154;top:10685;width:876;height:2" coordorigin="7154,10685" coordsize="876,0" path="m7154,10685l8030,10685e" filled="false" stroked="true" strokeweight=".48pt" strokecolor="#000000">
                <v:path arrowok="t"/>
              </v:shape>
            </v:group>
            <v:group style="position:absolute;left:8040;top:10685;width:876;height:2" coordorigin="8040,10685" coordsize="876,2">
              <v:shape style="position:absolute;left:8040;top:10685;width:876;height:2" coordorigin="8040,10685" coordsize="876,0" path="m8040,10685l8916,10685e" filled="false" stroked="true" strokeweight=".48pt" strokecolor="#000000">
                <v:path arrowok="t"/>
              </v:shape>
            </v:group>
            <v:group style="position:absolute;left:8926;top:10685;width:879;height:2" coordorigin="8926,10685" coordsize="879,2">
              <v:shape style="position:absolute;left:8926;top:10685;width:879;height:2" coordorigin="8926,10685" coordsize="879,0" path="m8926,10685l9804,10685e" filled="false" stroked="true" strokeweight=".48pt" strokecolor="#000000">
                <v:path arrowok="t"/>
              </v:shape>
            </v:group>
            <v:group style="position:absolute;left:9814;top:10685;width:881;height:2" coordorigin="9814,10685" coordsize="881,2">
              <v:shape style="position:absolute;left:9814;top:10685;width:881;height:2" coordorigin="9814,10685" coordsize="881,0" path="m9814,10685l10694,10685e" filled="false" stroked="true" strokeweight=".48pt" strokecolor="#000000">
                <v:path arrowok="t"/>
              </v:shape>
            </v:group>
            <v:group style="position:absolute;left:1140;top:11093;width:2465;height:156" coordorigin="1140,11093" coordsize="2465,156">
              <v:shape style="position:absolute;left:1140;top:11093;width:2465;height:156" coordorigin="1140,11093" coordsize="2465,156" path="m1140,11249l3605,11249,3605,11093,1140,11093,1140,11249xe" filled="true" fillcolor="#d4d4d4" stroked="false">
                <v:path arrowok="t"/>
                <v:fill type="solid"/>
              </v:shape>
            </v:group>
            <v:group style="position:absolute;left:1151;top:11249;width:2;height:392" coordorigin="1151,11249" coordsize="2,392">
              <v:shape style="position:absolute;left:1151;top:11249;width:2;height:392" coordorigin="1151,11249" coordsize="0,392" path="m1151,11249l1151,11640e" filled="false" stroked="true" strokeweight="1.08pt" strokecolor="#d4d4d4">
                <v:path arrowok="t"/>
              </v:shape>
            </v:group>
            <v:group style="position:absolute;left:3593;top:11249;width:2;height:392" coordorigin="3593,11249" coordsize="2,392">
              <v:shape style="position:absolute;left:3593;top:11249;width:2;height:392" coordorigin="3593,11249" coordsize="0,392" path="m3593,11249l3593,11640e" filled="false" stroked="true" strokeweight="1.2pt" strokecolor="#d4d4d4">
                <v:path arrowok="t"/>
              </v:shape>
            </v:group>
            <v:group style="position:absolute;left:1140;top:11640;width:2465;height:156" coordorigin="1140,11640" coordsize="2465,156">
              <v:shape style="position:absolute;left:1140;top:11640;width:2465;height:156" coordorigin="1140,11640" coordsize="2465,156" path="m1140,11796l3605,11796,3605,11640,1140,11640,1140,11796xe" filled="true" fillcolor="#d4d4d4" stroked="false">
                <v:path arrowok="t"/>
                <v:fill type="solid"/>
              </v:shape>
            </v:group>
            <v:group style="position:absolute;left:1162;top:11249;width:2420;height:392" coordorigin="1162,11249" coordsize="2420,392">
              <v:shape style="position:absolute;left:1162;top:11249;width:2420;height:392" coordorigin="1162,11249" coordsize="2420,392" path="m1162,11640l3581,11640,3581,11249,1162,11249,1162,11640xe" filled="true" fillcolor="#d4d4d4" stroked="false">
                <v:path arrowok="t"/>
                <v:fill type="solid"/>
              </v:shape>
            </v:group>
            <v:group style="position:absolute;left:1138;top:11086;width:2468;height:2" coordorigin="1138,11086" coordsize="2468,2">
              <v:shape style="position:absolute;left:1138;top:11086;width:2468;height:2" coordorigin="1138,11086" coordsize="2468,0" path="m1138,11086l3605,11086e" filled="false" stroked="true" strokeweight=".48pt" strokecolor="#000000">
                <v:path arrowok="t"/>
              </v:shape>
            </v:group>
            <v:group style="position:absolute;left:3614;top:11086;width:874;height:2" coordorigin="3614,11086" coordsize="874,2">
              <v:shape style="position:absolute;left:3614;top:11086;width:874;height:2" coordorigin="3614,11086" coordsize="874,0" path="m3614,11086l4488,11086e" filled="false" stroked="true" strokeweight=".48pt" strokecolor="#000000">
                <v:path arrowok="t"/>
              </v:shape>
            </v:group>
            <v:group style="position:absolute;left:4498;top:11086;width:876;height:2" coordorigin="4498,11086" coordsize="876,2">
              <v:shape style="position:absolute;left:4498;top:11086;width:876;height:2" coordorigin="4498,11086" coordsize="876,0" path="m4498,11086l5374,11086e" filled="false" stroked="true" strokeweight=".48pt" strokecolor="#000000">
                <v:path arrowok="t"/>
              </v:shape>
            </v:group>
            <v:group style="position:absolute;left:5383;top:11086;width:876;height:2" coordorigin="5383,11086" coordsize="876,2">
              <v:shape style="position:absolute;left:5383;top:11086;width:876;height:2" coordorigin="5383,11086" coordsize="876,0" path="m5383,11086l6259,11086e" filled="false" stroked="true" strokeweight=".48pt" strokecolor="#000000">
                <v:path arrowok="t"/>
              </v:shape>
            </v:group>
            <v:group style="position:absolute;left:6269;top:11086;width:876;height:2" coordorigin="6269,11086" coordsize="876,2">
              <v:shape style="position:absolute;left:6269;top:11086;width:876;height:2" coordorigin="6269,11086" coordsize="876,0" path="m6269,11086l7145,11086e" filled="false" stroked="true" strokeweight=".48pt" strokecolor="#000000">
                <v:path arrowok="t"/>
              </v:shape>
            </v:group>
            <v:group style="position:absolute;left:7154;top:11086;width:876;height:2" coordorigin="7154,11086" coordsize="876,2">
              <v:shape style="position:absolute;left:7154;top:11086;width:876;height:2" coordorigin="7154,11086" coordsize="876,0" path="m7154,11086l8030,11086e" filled="false" stroked="true" strokeweight=".48pt" strokecolor="#000000">
                <v:path arrowok="t"/>
              </v:shape>
            </v:group>
            <v:group style="position:absolute;left:8040;top:11086;width:876;height:2" coordorigin="8040,11086" coordsize="876,2">
              <v:shape style="position:absolute;left:8040;top:11086;width:876;height:2" coordorigin="8040,11086" coordsize="876,0" path="m8040,11086l8916,11086e" filled="false" stroked="true" strokeweight=".48pt" strokecolor="#000000">
                <v:path arrowok="t"/>
              </v:shape>
            </v:group>
            <v:group style="position:absolute;left:8926;top:11086;width:879;height:2" coordorigin="8926,11086" coordsize="879,2">
              <v:shape style="position:absolute;left:8926;top:11086;width:879;height:2" coordorigin="8926,11086" coordsize="879,0" path="m8926,11086l9804,11086e" filled="false" stroked="true" strokeweight=".48pt" strokecolor="#000000">
                <v:path arrowok="t"/>
              </v:shape>
            </v:group>
            <v:group style="position:absolute;left:9814;top:11086;width:881;height:2" coordorigin="9814,11086" coordsize="881,2">
              <v:shape style="position:absolute;left:9814;top:11086;width:881;height:2" coordorigin="9814,11086" coordsize="881,0" path="m9814,11086l10694,11086e" filled="false" stroked="true" strokeweight=".48pt" strokecolor="#000000">
                <v:path arrowok="t"/>
              </v:shape>
            </v:group>
            <v:group style="position:absolute;left:1151;top:11806;width:2;height:392" coordorigin="1151,11806" coordsize="2,392">
              <v:shape style="position:absolute;left:1151;top:11806;width:2;height:392" coordorigin="1151,11806" coordsize="0,392" path="m1151,11806l1151,12197e" filled="false" stroked="true" strokeweight="1.08pt" strokecolor="#d4d4d4">
                <v:path arrowok="t"/>
              </v:shape>
            </v:group>
            <v:group style="position:absolute;left:3593;top:11806;width:2;height:392" coordorigin="3593,11806" coordsize="2,392">
              <v:shape style="position:absolute;left:3593;top:11806;width:2;height:392" coordorigin="3593,11806" coordsize="0,392" path="m3593,11806l3593,12197e" filled="false" stroked="true" strokeweight="1.2pt" strokecolor="#d4d4d4">
                <v:path arrowok="t"/>
              </v:shape>
            </v:group>
            <v:group style="position:absolute;left:1162;top:11806;width:2420;height:392" coordorigin="1162,11806" coordsize="2420,392">
              <v:shape style="position:absolute;left:1162;top:11806;width:2420;height:392" coordorigin="1162,11806" coordsize="2420,392" path="m1162,12197l3581,12197,3581,11806,1162,11806,1162,12197xe" filled="true" fillcolor="#d4d4d4" stroked="false">
                <v:path arrowok="t"/>
                <v:fill type="solid"/>
              </v:shape>
            </v:group>
            <v:group style="position:absolute;left:1138;top:11801;width:2468;height:2" coordorigin="1138,11801" coordsize="2468,2">
              <v:shape style="position:absolute;left:1138;top:11801;width:2468;height:2" coordorigin="1138,11801" coordsize="2468,0" path="m1138,11801l3605,11801e" filled="false" stroked="true" strokeweight=".48pt" strokecolor="#000000">
                <v:path arrowok="t"/>
              </v:shape>
            </v:group>
            <v:group style="position:absolute;left:3614;top:11801;width:874;height:2" coordorigin="3614,11801" coordsize="874,2">
              <v:shape style="position:absolute;left:3614;top:11801;width:874;height:2" coordorigin="3614,11801" coordsize="874,0" path="m3614,11801l4488,11801e" filled="false" stroked="true" strokeweight=".48pt" strokecolor="#000000">
                <v:path arrowok="t"/>
              </v:shape>
            </v:group>
            <v:group style="position:absolute;left:4498;top:11801;width:876;height:2" coordorigin="4498,11801" coordsize="876,2">
              <v:shape style="position:absolute;left:4498;top:11801;width:876;height:2" coordorigin="4498,11801" coordsize="876,0" path="m4498,11801l5374,11801e" filled="false" stroked="true" strokeweight=".48pt" strokecolor="#000000">
                <v:path arrowok="t"/>
              </v:shape>
            </v:group>
            <v:group style="position:absolute;left:5383;top:11801;width:876;height:2" coordorigin="5383,11801" coordsize="876,2">
              <v:shape style="position:absolute;left:5383;top:11801;width:876;height:2" coordorigin="5383,11801" coordsize="876,0" path="m5383,11801l6259,11801e" filled="false" stroked="true" strokeweight=".48pt" strokecolor="#000000">
                <v:path arrowok="t"/>
              </v:shape>
            </v:group>
            <v:group style="position:absolute;left:6269;top:11801;width:876;height:2" coordorigin="6269,11801" coordsize="876,2">
              <v:shape style="position:absolute;left:6269;top:11801;width:876;height:2" coordorigin="6269,11801" coordsize="876,0" path="m6269,11801l7145,11801e" filled="false" stroked="true" strokeweight=".48pt" strokecolor="#000000">
                <v:path arrowok="t"/>
              </v:shape>
            </v:group>
            <v:group style="position:absolute;left:7154;top:11801;width:876;height:2" coordorigin="7154,11801" coordsize="876,2">
              <v:shape style="position:absolute;left:7154;top:11801;width:876;height:2" coordorigin="7154,11801" coordsize="876,0" path="m7154,11801l8030,11801e" filled="false" stroked="true" strokeweight=".48pt" strokecolor="#000000">
                <v:path arrowok="t"/>
              </v:shape>
            </v:group>
            <v:group style="position:absolute;left:8040;top:11801;width:876;height:2" coordorigin="8040,11801" coordsize="876,2">
              <v:shape style="position:absolute;left:8040;top:11801;width:876;height:2" coordorigin="8040,11801" coordsize="876,0" path="m8040,11801l8916,11801e" filled="false" stroked="true" strokeweight=".48pt" strokecolor="#000000">
                <v:path arrowok="t"/>
              </v:shape>
            </v:group>
            <v:group style="position:absolute;left:8926;top:11801;width:879;height:2" coordorigin="8926,11801" coordsize="879,2">
              <v:shape style="position:absolute;left:8926;top:11801;width:879;height:2" coordorigin="8926,11801" coordsize="879,0" path="m8926,11801l9804,11801e" filled="false" stroked="true" strokeweight=".48pt" strokecolor="#000000">
                <v:path arrowok="t"/>
              </v:shape>
            </v:group>
            <v:group style="position:absolute;left:9814;top:11801;width:881;height:2" coordorigin="9814,11801" coordsize="881,2">
              <v:shape style="position:absolute;left:9814;top:11801;width:881;height:2" coordorigin="9814,11801" coordsize="881,0" path="m9814,11801l10694,11801e" filled="false" stroked="true" strokeweight=".48pt" strokecolor="#000000">
                <v:path arrowok="t"/>
              </v:shape>
            </v:group>
            <v:group style="position:absolute;left:1140;top:12209;width:2465;height:156" coordorigin="1140,12209" coordsize="2465,156">
              <v:shape style="position:absolute;left:1140;top:12209;width:2465;height:156" coordorigin="1140,12209" coordsize="2465,156" path="m1140,12365l3605,12365,3605,12209,1140,12209,1140,12365xe" filled="true" fillcolor="#d4d4d4" stroked="false">
                <v:path arrowok="t"/>
                <v:fill type="solid"/>
              </v:shape>
            </v:group>
            <v:group style="position:absolute;left:1151;top:12365;width:2;height:392" coordorigin="1151,12365" coordsize="2,392">
              <v:shape style="position:absolute;left:1151;top:12365;width:2;height:392" coordorigin="1151,12365" coordsize="0,392" path="m1151,12365l1151,12756e" filled="false" stroked="true" strokeweight="1.08pt" strokecolor="#d4d4d4">
                <v:path arrowok="t"/>
              </v:shape>
            </v:group>
            <v:group style="position:absolute;left:3593;top:12365;width:2;height:392" coordorigin="3593,12365" coordsize="2,392">
              <v:shape style="position:absolute;left:3593;top:12365;width:2;height:392" coordorigin="3593,12365" coordsize="0,392" path="m3593,12365l3593,12756e" filled="false" stroked="true" strokeweight="1.2pt" strokecolor="#d4d4d4">
                <v:path arrowok="t"/>
              </v:shape>
            </v:group>
            <v:group style="position:absolute;left:1140;top:12756;width:2465;height:156" coordorigin="1140,12756" coordsize="2465,156">
              <v:shape style="position:absolute;left:1140;top:12756;width:2465;height:156" coordorigin="1140,12756" coordsize="2465,156" path="m1140,12912l3605,12912,3605,12756,1140,12756,1140,12912xe" filled="true" fillcolor="#d4d4d4" stroked="false">
                <v:path arrowok="t"/>
                <v:fill type="solid"/>
              </v:shape>
            </v:group>
            <v:group style="position:absolute;left:1162;top:12365;width:2420;height:392" coordorigin="1162,12365" coordsize="2420,392">
              <v:shape style="position:absolute;left:1162;top:12365;width:2420;height:392" coordorigin="1162,12365" coordsize="2420,392" path="m1162,12756l3581,12756,3581,12365,1162,12365,1162,12756xe" filled="true" fillcolor="#d4d4d4" stroked="false">
                <v:path arrowok="t"/>
                <v:fill type="solid"/>
              </v:shape>
            </v:group>
            <v:group style="position:absolute;left:1138;top:12202;width:2468;height:2" coordorigin="1138,12202" coordsize="2468,2">
              <v:shape style="position:absolute;left:1138;top:12202;width:2468;height:2" coordorigin="1138,12202" coordsize="2468,0" path="m1138,12202l3605,12202e" filled="false" stroked="true" strokeweight=".48pt" strokecolor="#000000">
                <v:path arrowok="t"/>
              </v:shape>
            </v:group>
            <v:group style="position:absolute;left:3614;top:12202;width:874;height:2" coordorigin="3614,12202" coordsize="874,2">
              <v:shape style="position:absolute;left:3614;top:12202;width:874;height:2" coordorigin="3614,12202" coordsize="874,0" path="m3614,12202l4488,12202e" filled="false" stroked="true" strokeweight=".48pt" strokecolor="#000000">
                <v:path arrowok="t"/>
              </v:shape>
            </v:group>
            <v:group style="position:absolute;left:4498;top:12202;width:876;height:2" coordorigin="4498,12202" coordsize="876,2">
              <v:shape style="position:absolute;left:4498;top:12202;width:876;height:2" coordorigin="4498,12202" coordsize="876,0" path="m4498,12202l5374,12202e" filled="false" stroked="true" strokeweight=".48pt" strokecolor="#000000">
                <v:path arrowok="t"/>
              </v:shape>
            </v:group>
            <v:group style="position:absolute;left:5383;top:12202;width:876;height:2" coordorigin="5383,12202" coordsize="876,2">
              <v:shape style="position:absolute;left:5383;top:12202;width:876;height:2" coordorigin="5383,12202" coordsize="876,0" path="m5383,12202l6259,12202e" filled="false" stroked="true" strokeweight=".48pt" strokecolor="#000000">
                <v:path arrowok="t"/>
              </v:shape>
            </v:group>
            <v:group style="position:absolute;left:6269;top:12202;width:876;height:2" coordorigin="6269,12202" coordsize="876,2">
              <v:shape style="position:absolute;left:6269;top:12202;width:876;height:2" coordorigin="6269,12202" coordsize="876,0" path="m6269,12202l7145,12202e" filled="false" stroked="true" strokeweight=".48pt" strokecolor="#000000">
                <v:path arrowok="t"/>
              </v:shape>
            </v:group>
            <v:group style="position:absolute;left:7154;top:12202;width:876;height:2" coordorigin="7154,12202" coordsize="876,2">
              <v:shape style="position:absolute;left:7154;top:12202;width:876;height:2" coordorigin="7154,12202" coordsize="876,0" path="m7154,12202l8030,12202e" filled="false" stroked="true" strokeweight=".48pt" strokecolor="#000000">
                <v:path arrowok="t"/>
              </v:shape>
            </v:group>
            <v:group style="position:absolute;left:8040;top:12202;width:876;height:2" coordorigin="8040,12202" coordsize="876,2">
              <v:shape style="position:absolute;left:8040;top:12202;width:876;height:2" coordorigin="8040,12202" coordsize="876,0" path="m8040,12202l8916,12202e" filled="false" stroked="true" strokeweight=".48pt" strokecolor="#000000">
                <v:path arrowok="t"/>
              </v:shape>
            </v:group>
            <v:group style="position:absolute;left:8926;top:12202;width:879;height:2" coordorigin="8926,12202" coordsize="879,2">
              <v:shape style="position:absolute;left:8926;top:12202;width:879;height:2" coordorigin="8926,12202" coordsize="879,0" path="m8926,12202l9804,12202e" filled="false" stroked="true" strokeweight=".48pt" strokecolor="#000000">
                <v:path arrowok="t"/>
              </v:shape>
            </v:group>
            <v:group style="position:absolute;left:9814;top:12202;width:881;height:2" coordorigin="9814,12202" coordsize="881,2">
              <v:shape style="position:absolute;left:9814;top:12202;width:881;height:2" coordorigin="9814,12202" coordsize="881,0" path="m9814,12202l10694,12202e" filled="false" stroked="true" strokeweight=".48pt" strokecolor="#000000">
                <v:path arrowok="t"/>
              </v:shape>
            </v:group>
            <v:group style="position:absolute;left:1140;top:12922;width:2465;height:156" coordorigin="1140,12922" coordsize="2465,156">
              <v:shape style="position:absolute;left:1140;top:12922;width:2465;height:156" coordorigin="1140,12922" coordsize="2465,156" path="m1140,13078l3605,13078,3605,12922,1140,12922,1140,13078xe" filled="true" fillcolor="#d4d4d4" stroked="false">
                <v:path arrowok="t"/>
                <v:fill type="solid"/>
              </v:shape>
            </v:group>
            <v:group style="position:absolute;left:1151;top:13078;width:2;height:392" coordorigin="1151,13078" coordsize="2,392">
              <v:shape style="position:absolute;left:1151;top:13078;width:2;height:392" coordorigin="1151,13078" coordsize="0,392" path="m1151,13078l1151,13469e" filled="false" stroked="true" strokeweight="1.08pt" strokecolor="#d4d4d4">
                <v:path arrowok="t"/>
              </v:shape>
            </v:group>
            <v:group style="position:absolute;left:3593;top:13078;width:2;height:392" coordorigin="3593,13078" coordsize="2,392">
              <v:shape style="position:absolute;left:3593;top:13078;width:2;height:392" coordorigin="3593,13078" coordsize="0,392" path="m3593,13078l3593,13469e" filled="false" stroked="true" strokeweight="1.2pt" strokecolor="#d4d4d4">
                <v:path arrowok="t"/>
              </v:shape>
            </v:group>
            <v:group style="position:absolute;left:1140;top:13469;width:2465;height:156" coordorigin="1140,13469" coordsize="2465,156">
              <v:shape style="position:absolute;left:1140;top:13469;width:2465;height:156" coordorigin="1140,13469" coordsize="2465,156" path="m1140,13625l3605,13625,3605,13469,1140,13469,1140,13625xe" filled="true" fillcolor="#d4d4d4" stroked="false">
                <v:path arrowok="t"/>
                <v:fill type="solid"/>
              </v:shape>
            </v:group>
            <v:group style="position:absolute;left:1162;top:13078;width:2420;height:392" coordorigin="1162,13078" coordsize="2420,392">
              <v:shape style="position:absolute;left:1162;top:13078;width:2420;height:392" coordorigin="1162,13078" coordsize="2420,392" path="m1162,13469l3581,13469,3581,13078,1162,13078,1162,13469xe" filled="true" fillcolor="#d4d4d4" stroked="false">
                <v:path arrowok="t"/>
                <v:fill type="solid"/>
              </v:shape>
            </v:group>
            <v:group style="position:absolute;left:3626;top:12922;width:2;height:704" coordorigin="3626,12922" coordsize="2,704">
              <v:shape style="position:absolute;left:3626;top:12922;width:2;height:704" coordorigin="3626,12922" coordsize="0,704" path="m3626,12922l3626,13625e" filled="false" stroked="true" strokeweight="1.2pt" strokecolor="#ffffff">
                <v:path arrowok="t"/>
              </v:shape>
            </v:group>
            <v:group style="position:absolute;left:3638;top:12922;width:828;height:353" coordorigin="3638,12922" coordsize="828,353">
              <v:shape style="position:absolute;left:3638;top:12922;width:828;height:353" coordorigin="3638,12922" coordsize="828,353" path="m3638,13274l4466,13274,4466,12922,3638,12922,3638,13274xe" filled="true" fillcolor="#ffffff" stroked="false">
                <v:path arrowok="t"/>
                <v:fill type="solid"/>
              </v:shape>
            </v:group>
            <v:group style="position:absolute;left:3638;top:13274;width:828;height:351" coordorigin="3638,13274" coordsize="828,351">
              <v:shape style="position:absolute;left:3638;top:13274;width:828;height:351" coordorigin="3638,13274" coordsize="828,351" path="m3638,13625l4466,13625,4466,13274,3638,13274,3638,13625xe" filled="true" fillcolor="#ffffff" stroked="false">
                <v:path arrowok="t"/>
                <v:fill type="solid"/>
              </v:shape>
            </v:group>
            <v:group style="position:absolute;left:1138;top:12917;width:2468;height:2" coordorigin="1138,12917" coordsize="2468,2">
              <v:shape style="position:absolute;left:1138;top:12917;width:2468;height:2" coordorigin="1138,12917" coordsize="2468,0" path="m1138,12917l3605,12917e" filled="false" stroked="true" strokeweight=".48pt" strokecolor="#000000">
                <v:path arrowok="t"/>
              </v:shape>
            </v:group>
            <v:group style="position:absolute;left:3614;top:12917;width:874;height:2" coordorigin="3614,12917" coordsize="874,2">
              <v:shape style="position:absolute;left:3614;top:12917;width:874;height:2" coordorigin="3614,12917" coordsize="874,0" path="m3614,12917l4488,12917e" filled="false" stroked="true" strokeweight=".48pt" strokecolor="#000000">
                <v:path arrowok="t"/>
              </v:shape>
            </v:group>
            <v:group style="position:absolute;left:4498;top:12917;width:876;height:2" coordorigin="4498,12917" coordsize="876,2">
              <v:shape style="position:absolute;left:4498;top:12917;width:876;height:2" coordorigin="4498,12917" coordsize="876,0" path="m4498,12917l5374,12917e" filled="false" stroked="true" strokeweight=".48pt" strokecolor="#000000">
                <v:path arrowok="t"/>
              </v:shape>
            </v:group>
            <v:group style="position:absolute;left:5383;top:12917;width:876;height:2" coordorigin="5383,12917" coordsize="876,2">
              <v:shape style="position:absolute;left:5383;top:12917;width:876;height:2" coordorigin="5383,12917" coordsize="876,0" path="m5383,12917l6259,12917e" filled="false" stroked="true" strokeweight=".48pt" strokecolor="#000000">
                <v:path arrowok="t"/>
              </v:shape>
            </v:group>
            <v:group style="position:absolute;left:6269;top:12917;width:876;height:2" coordorigin="6269,12917" coordsize="876,2">
              <v:shape style="position:absolute;left:6269;top:12917;width:876;height:2" coordorigin="6269,12917" coordsize="876,0" path="m6269,12917l7145,12917e" filled="false" stroked="true" strokeweight=".48pt" strokecolor="#000000">
                <v:path arrowok="t"/>
              </v:shape>
            </v:group>
            <v:group style="position:absolute;left:7154;top:12917;width:876;height:2" coordorigin="7154,12917" coordsize="876,2">
              <v:shape style="position:absolute;left:7154;top:12917;width:876;height:2" coordorigin="7154,12917" coordsize="876,0" path="m7154,12917l8030,12917e" filled="false" stroked="true" strokeweight=".48pt" strokecolor="#000000">
                <v:path arrowok="t"/>
              </v:shape>
            </v:group>
            <v:group style="position:absolute;left:8040;top:12917;width:876;height:2" coordorigin="8040,12917" coordsize="876,2">
              <v:shape style="position:absolute;left:8040;top:12917;width:876;height:2" coordorigin="8040,12917" coordsize="876,0" path="m8040,12917l8916,12917e" filled="false" stroked="true" strokeweight=".48pt" strokecolor="#000000">
                <v:path arrowok="t"/>
              </v:shape>
            </v:group>
            <v:group style="position:absolute;left:8926;top:12917;width:879;height:2" coordorigin="8926,12917" coordsize="879,2">
              <v:shape style="position:absolute;left:8926;top:12917;width:879;height:2" coordorigin="8926,12917" coordsize="879,0" path="m8926,12917l9804,12917e" filled="false" stroked="true" strokeweight=".48pt" strokecolor="#000000">
                <v:path arrowok="t"/>
              </v:shape>
            </v:group>
            <v:group style="position:absolute;left:9814;top:12917;width:881;height:2" coordorigin="9814,12917" coordsize="881,2">
              <v:shape style="position:absolute;left:9814;top:12917;width:881;height:2" coordorigin="9814,12917" coordsize="881,0" path="m9814,12917l10694,12917e" filled="false" stroked="true" strokeweight=".48pt" strokecolor="#000000">
                <v:path arrowok="t"/>
              </v:shape>
            </v:group>
            <v:group style="position:absolute;left:1151;top:13637;width:2;height:392" coordorigin="1151,13637" coordsize="2,392">
              <v:shape style="position:absolute;left:1151;top:13637;width:2;height:392" coordorigin="1151,13637" coordsize="0,392" path="m1151,13637l1151,14028e" filled="false" stroked="true" strokeweight="1.08pt" strokecolor="#d4d4d4">
                <v:path arrowok="t"/>
              </v:shape>
            </v:group>
            <v:group style="position:absolute;left:3593;top:13637;width:2;height:392" coordorigin="3593,13637" coordsize="2,392">
              <v:shape style="position:absolute;left:3593;top:13637;width:2;height:392" coordorigin="3593,13637" coordsize="0,392" path="m3593,13637l3593,14028e" filled="false" stroked="true" strokeweight="1.2pt" strokecolor="#d4d4d4">
                <v:path arrowok="t"/>
              </v:shape>
            </v:group>
            <v:group style="position:absolute;left:1162;top:13637;width:2420;height:392" coordorigin="1162,13637" coordsize="2420,392">
              <v:shape style="position:absolute;left:1162;top:13637;width:2420;height:392" coordorigin="1162,13637" coordsize="2420,392" path="m1162,14028l3581,14028,3581,13637,1162,13637,1162,14028xe" filled="true" fillcolor="#d4d4d4" stroked="false">
                <v:path arrowok="t"/>
                <v:fill type="solid"/>
              </v:shape>
            </v:group>
            <v:group style="position:absolute;left:3626;top:13637;width:2;height:392" coordorigin="3626,13637" coordsize="2,392">
              <v:shape style="position:absolute;left:3626;top:13637;width:2;height:392" coordorigin="3626,13637" coordsize="0,392" path="m3626,13637l3626,14028e" filled="false" stroked="true" strokeweight="1.2pt" strokecolor="#ffffff">
                <v:path arrowok="t"/>
              </v:shape>
            </v:group>
            <v:group style="position:absolute;left:3638;top:13637;width:828;height:392" coordorigin="3638,13637" coordsize="828,392">
              <v:shape style="position:absolute;left:3638;top:13637;width:828;height:392" coordorigin="3638,13637" coordsize="828,392" path="m3638,14028l4466,14028,4466,13637,3638,13637,3638,14028xe" filled="true" fillcolor="#ffffff" stroked="false">
                <v:path arrowok="t"/>
                <v:fill type="solid"/>
              </v:shape>
            </v:group>
            <v:group style="position:absolute;left:1138;top:13630;width:2468;height:2" coordorigin="1138,13630" coordsize="2468,2">
              <v:shape style="position:absolute;left:1138;top:13630;width:2468;height:2" coordorigin="1138,13630" coordsize="2468,0" path="m1138,13630l3605,13630e" filled="false" stroked="true" strokeweight=".48pt" strokecolor="#000000">
                <v:path arrowok="t"/>
              </v:shape>
            </v:group>
            <v:group style="position:absolute;left:3614;top:13630;width:874;height:2" coordorigin="3614,13630" coordsize="874,2">
              <v:shape style="position:absolute;left:3614;top:13630;width:874;height:2" coordorigin="3614,13630" coordsize="874,0" path="m3614,13630l4488,13630e" filled="false" stroked="true" strokeweight=".48pt" strokecolor="#000000">
                <v:path arrowok="t"/>
              </v:shape>
            </v:group>
            <v:group style="position:absolute;left:4498;top:13630;width:876;height:2" coordorigin="4498,13630" coordsize="876,2">
              <v:shape style="position:absolute;left:4498;top:13630;width:876;height:2" coordorigin="4498,13630" coordsize="876,0" path="m4498,13630l5374,13630e" filled="false" stroked="true" strokeweight=".48pt" strokecolor="#000000">
                <v:path arrowok="t"/>
              </v:shape>
            </v:group>
            <v:group style="position:absolute;left:5383;top:13630;width:876;height:2" coordorigin="5383,13630" coordsize="876,2">
              <v:shape style="position:absolute;left:5383;top:13630;width:876;height:2" coordorigin="5383,13630" coordsize="876,0" path="m5383,13630l6259,13630e" filled="false" stroked="true" strokeweight=".48pt" strokecolor="#000000">
                <v:path arrowok="t"/>
              </v:shape>
            </v:group>
            <v:group style="position:absolute;left:6269;top:13630;width:876;height:2" coordorigin="6269,13630" coordsize="876,2">
              <v:shape style="position:absolute;left:6269;top:13630;width:876;height:2" coordorigin="6269,13630" coordsize="876,0" path="m6269,13630l7145,13630e" filled="false" stroked="true" strokeweight=".48pt" strokecolor="#000000">
                <v:path arrowok="t"/>
              </v:shape>
            </v:group>
            <v:group style="position:absolute;left:7154;top:13630;width:876;height:2" coordorigin="7154,13630" coordsize="876,2">
              <v:shape style="position:absolute;left:7154;top:13630;width:876;height:2" coordorigin="7154,13630" coordsize="876,0" path="m7154,13630l8030,13630e" filled="false" stroked="true" strokeweight=".48pt" strokecolor="#000000">
                <v:path arrowok="t"/>
              </v:shape>
            </v:group>
            <v:group style="position:absolute;left:8040;top:13630;width:876;height:2" coordorigin="8040,13630" coordsize="876,2">
              <v:shape style="position:absolute;left:8040;top:13630;width:876;height:2" coordorigin="8040,13630" coordsize="876,0" path="m8040,13630l8916,13630e" filled="false" stroked="true" strokeweight=".48pt" strokecolor="#000000">
                <v:path arrowok="t"/>
              </v:shape>
            </v:group>
            <v:group style="position:absolute;left:8926;top:13630;width:879;height:2" coordorigin="8926,13630" coordsize="879,2">
              <v:shape style="position:absolute;left:8926;top:13630;width:879;height:2" coordorigin="8926,13630" coordsize="879,0" path="m8926,13630l9804,13630e" filled="false" stroked="true" strokeweight=".48pt" strokecolor="#000000">
                <v:path arrowok="t"/>
              </v:shape>
            </v:group>
            <v:group style="position:absolute;left:9814;top:13630;width:881;height:2" coordorigin="9814,13630" coordsize="881,2">
              <v:shape style="position:absolute;left:9814;top:13630;width:881;height:2" coordorigin="9814,13630" coordsize="881,0" path="m9814,13630l10694,13630e" filled="false" stroked="true" strokeweight=".48pt" strokecolor="#000000">
                <v:path arrowok="t"/>
              </v:shape>
            </v:group>
            <v:group style="position:absolute;left:1151;top:14038;width:2;height:392" coordorigin="1151,14038" coordsize="2,392">
              <v:shape style="position:absolute;left:1151;top:14038;width:2;height:392" coordorigin="1151,14038" coordsize="0,392" path="m1151,14038l1151,14429e" filled="false" stroked="true" strokeweight="1.08pt" strokecolor="#d4d4d4">
                <v:path arrowok="t"/>
              </v:shape>
            </v:group>
            <v:group style="position:absolute;left:3593;top:14038;width:2;height:392" coordorigin="3593,14038" coordsize="2,392">
              <v:shape style="position:absolute;left:3593;top:14038;width:2;height:392" coordorigin="3593,14038" coordsize="0,392" path="m3593,14038l3593,14429e" filled="false" stroked="true" strokeweight="1.2pt" strokecolor="#d4d4d4">
                <v:path arrowok="t"/>
              </v:shape>
            </v:group>
            <v:group style="position:absolute;left:1162;top:14038;width:2420;height:392" coordorigin="1162,14038" coordsize="2420,392">
              <v:shape style="position:absolute;left:1162;top:14038;width:2420;height:392" coordorigin="1162,14038" coordsize="2420,392" path="m1162,14429l3581,14429,3581,14038,1162,14038,1162,14429xe" filled="true" fillcolor="#d4d4d4" stroked="false">
                <v:path arrowok="t"/>
                <v:fill type="solid"/>
              </v:shape>
            </v:group>
            <v:group style="position:absolute;left:1138;top:14033;width:2468;height:2" coordorigin="1138,14033" coordsize="2468,2">
              <v:shape style="position:absolute;left:1138;top:14033;width:2468;height:2" coordorigin="1138,14033" coordsize="2468,0" path="m1138,14033l3605,14033e" filled="false" stroked="true" strokeweight=".48pt" strokecolor="#000000">
                <v:path arrowok="t"/>
              </v:shape>
            </v:group>
            <v:group style="position:absolute;left:3614;top:14033;width:874;height:2" coordorigin="3614,14033" coordsize="874,2">
              <v:shape style="position:absolute;left:3614;top:14033;width:874;height:2" coordorigin="3614,14033" coordsize="874,0" path="m3614,14033l4488,14033e" filled="false" stroked="true" strokeweight=".48pt" strokecolor="#000000">
                <v:path arrowok="t"/>
              </v:shape>
            </v:group>
            <v:group style="position:absolute;left:4498;top:14033;width:876;height:2" coordorigin="4498,14033" coordsize="876,2">
              <v:shape style="position:absolute;left:4498;top:14033;width:876;height:2" coordorigin="4498,14033" coordsize="876,0" path="m4498,14033l5374,14033e" filled="false" stroked="true" strokeweight=".48pt" strokecolor="#000000">
                <v:path arrowok="t"/>
              </v:shape>
            </v:group>
            <v:group style="position:absolute;left:5383;top:14033;width:876;height:2" coordorigin="5383,14033" coordsize="876,2">
              <v:shape style="position:absolute;left:5383;top:14033;width:876;height:2" coordorigin="5383,14033" coordsize="876,0" path="m5383,14033l6259,14033e" filled="false" stroked="true" strokeweight=".48pt" strokecolor="#000000">
                <v:path arrowok="t"/>
              </v:shape>
            </v:group>
            <v:group style="position:absolute;left:6269;top:14033;width:876;height:2" coordorigin="6269,14033" coordsize="876,2">
              <v:shape style="position:absolute;left:6269;top:14033;width:876;height:2" coordorigin="6269,14033" coordsize="876,0" path="m6269,14033l7145,14033e" filled="false" stroked="true" strokeweight=".48pt" strokecolor="#000000">
                <v:path arrowok="t"/>
              </v:shape>
            </v:group>
            <v:group style="position:absolute;left:7154;top:14033;width:876;height:2" coordorigin="7154,14033" coordsize="876,2">
              <v:shape style="position:absolute;left:7154;top:14033;width:876;height:2" coordorigin="7154,14033" coordsize="876,0" path="m7154,14033l8030,14033e" filled="false" stroked="true" strokeweight=".48pt" strokecolor="#000000">
                <v:path arrowok="t"/>
              </v:shape>
            </v:group>
            <v:group style="position:absolute;left:8040;top:14033;width:876;height:2" coordorigin="8040,14033" coordsize="876,2">
              <v:shape style="position:absolute;left:8040;top:14033;width:876;height:2" coordorigin="8040,14033" coordsize="876,0" path="m8040,14033l8916,14033e" filled="false" stroked="true" strokeweight=".48pt" strokecolor="#000000">
                <v:path arrowok="t"/>
              </v:shape>
            </v:group>
            <v:group style="position:absolute;left:8926;top:14033;width:879;height:2" coordorigin="8926,14033" coordsize="879,2">
              <v:shape style="position:absolute;left:8926;top:14033;width:879;height:2" coordorigin="8926,14033" coordsize="879,0" path="m8926,14033l9804,14033e" filled="false" stroked="true" strokeweight=".48pt" strokecolor="#000000">
                <v:path arrowok="t"/>
              </v:shape>
            </v:group>
            <v:group style="position:absolute;left:9814;top:14033;width:881;height:2" coordorigin="9814,14033" coordsize="881,2">
              <v:shape style="position:absolute;left:9814;top:14033;width:881;height:2" coordorigin="9814,14033" coordsize="881,0" path="m9814,14033l10694,14033e" filled="false" stroked="true" strokeweight=".48pt" strokecolor="#000000">
                <v:path arrowok="t"/>
              </v:shape>
            </v:group>
            <v:group style="position:absolute;left:1151;top:14441;width:2;height:392" coordorigin="1151,14441" coordsize="2,392">
              <v:shape style="position:absolute;left:1151;top:14441;width:2;height:392" coordorigin="1151,14441" coordsize="0,392" path="m1151,14441l1151,14832e" filled="false" stroked="true" strokeweight="1.08pt" strokecolor="#d4d4d4">
                <v:path arrowok="t"/>
              </v:shape>
            </v:group>
            <v:group style="position:absolute;left:3593;top:14441;width:2;height:392" coordorigin="3593,14441" coordsize="2,392">
              <v:shape style="position:absolute;left:3593;top:14441;width:2;height:392" coordorigin="3593,14441" coordsize="0,392" path="m3593,14441l3593,14832e" filled="false" stroked="true" strokeweight="1.2pt" strokecolor="#d4d4d4">
                <v:path arrowok="t"/>
              </v:shape>
            </v:group>
            <v:group style="position:absolute;left:1162;top:14441;width:2420;height:392" coordorigin="1162,14441" coordsize="2420,392">
              <v:shape style="position:absolute;left:1162;top:14441;width:2420;height:392" coordorigin="1162,14441" coordsize="2420,392" path="m1162,14832l3581,14832,3581,14441,1162,14441,1162,14832xe" filled="true" fillcolor="#d4d4d4" stroked="false">
                <v:path arrowok="t"/>
                <v:fill type="solid"/>
              </v:shape>
            </v:group>
            <v:group style="position:absolute;left:1138;top:14434;width:2468;height:2" coordorigin="1138,14434" coordsize="2468,2">
              <v:shape style="position:absolute;left:1138;top:14434;width:2468;height:2" coordorigin="1138,14434" coordsize="2468,0" path="m1138,14434l3605,14434e" filled="false" stroked="true" strokeweight=".48pt" strokecolor="#000000">
                <v:path arrowok="t"/>
              </v:shape>
            </v:group>
            <v:group style="position:absolute;left:3614;top:14434;width:874;height:2" coordorigin="3614,14434" coordsize="874,2">
              <v:shape style="position:absolute;left:3614;top:14434;width:874;height:2" coordorigin="3614,14434" coordsize="874,0" path="m3614,14434l4488,14434e" filled="false" stroked="true" strokeweight=".48pt" strokecolor="#000000">
                <v:path arrowok="t"/>
              </v:shape>
            </v:group>
            <v:group style="position:absolute;left:4498;top:14434;width:876;height:2" coordorigin="4498,14434" coordsize="876,2">
              <v:shape style="position:absolute;left:4498;top:14434;width:876;height:2" coordorigin="4498,14434" coordsize="876,0" path="m4498,14434l5374,14434e" filled="false" stroked="true" strokeweight=".48pt" strokecolor="#000000">
                <v:path arrowok="t"/>
              </v:shape>
            </v:group>
            <v:group style="position:absolute;left:5383;top:14434;width:876;height:2" coordorigin="5383,14434" coordsize="876,2">
              <v:shape style="position:absolute;left:5383;top:14434;width:876;height:2" coordorigin="5383,14434" coordsize="876,0" path="m5383,14434l6259,14434e" filled="false" stroked="true" strokeweight=".48pt" strokecolor="#000000">
                <v:path arrowok="t"/>
              </v:shape>
            </v:group>
            <v:group style="position:absolute;left:6269;top:14434;width:876;height:2" coordorigin="6269,14434" coordsize="876,2">
              <v:shape style="position:absolute;left:6269;top:14434;width:876;height:2" coordorigin="6269,14434" coordsize="876,0" path="m6269,14434l7145,14434e" filled="false" stroked="true" strokeweight=".48pt" strokecolor="#000000">
                <v:path arrowok="t"/>
              </v:shape>
            </v:group>
            <v:group style="position:absolute;left:7154;top:14434;width:876;height:2" coordorigin="7154,14434" coordsize="876,2">
              <v:shape style="position:absolute;left:7154;top:14434;width:876;height:2" coordorigin="7154,14434" coordsize="876,0" path="m7154,14434l8030,14434e" filled="false" stroked="true" strokeweight=".48pt" strokecolor="#000000">
                <v:path arrowok="t"/>
              </v:shape>
            </v:group>
            <v:group style="position:absolute;left:8040;top:14434;width:876;height:2" coordorigin="8040,14434" coordsize="876,2">
              <v:shape style="position:absolute;left:8040;top:14434;width:876;height:2" coordorigin="8040,14434" coordsize="876,0" path="m8040,14434l8916,14434e" filled="false" stroked="true" strokeweight=".48pt" strokecolor="#000000">
                <v:path arrowok="t"/>
              </v:shape>
            </v:group>
            <v:group style="position:absolute;left:8926;top:14434;width:879;height:2" coordorigin="8926,14434" coordsize="879,2">
              <v:shape style="position:absolute;left:8926;top:14434;width:879;height:2" coordorigin="8926,14434" coordsize="879,0" path="m8926,14434l9804,14434e" filled="false" stroked="true" strokeweight=".48pt" strokecolor="#000000">
                <v:path arrowok="t"/>
              </v:shape>
            </v:group>
            <v:group style="position:absolute;left:9814;top:14434;width:881;height:2" coordorigin="9814,14434" coordsize="881,2">
              <v:shape style="position:absolute;left:9814;top:14434;width:881;height:2" coordorigin="9814,14434" coordsize="881,0" path="m9814,14434l10694,14434e" filled="false" stroked="true" strokeweight=".48pt" strokecolor="#000000">
                <v:path arrowok="t"/>
              </v:shape>
            </v:group>
            <v:group style="position:absolute;left:1151;top:14842;width:2;height:392" coordorigin="1151,14842" coordsize="2,392">
              <v:shape style="position:absolute;left:1151;top:14842;width:2;height:392" coordorigin="1151,14842" coordsize="0,392" path="m1151,14842l1151,15233e" filled="false" stroked="true" strokeweight="1.08pt" strokecolor="#d4d4d4">
                <v:path arrowok="t"/>
              </v:shape>
            </v:group>
            <v:group style="position:absolute;left:3593;top:14842;width:2;height:392" coordorigin="3593,14842" coordsize="2,392">
              <v:shape style="position:absolute;left:3593;top:14842;width:2;height:392" coordorigin="3593,14842" coordsize="0,392" path="m3593,14842l3593,15233e" filled="false" stroked="true" strokeweight="1.2pt" strokecolor="#d4d4d4">
                <v:path arrowok="t"/>
              </v:shape>
            </v:group>
            <v:group style="position:absolute;left:1162;top:14842;width:2420;height:392" coordorigin="1162,14842" coordsize="2420,392">
              <v:shape style="position:absolute;left:1162;top:14842;width:2420;height:392" coordorigin="1162,14842" coordsize="2420,392" path="m1162,15233l3581,15233,3581,14842,1162,14842,1162,15233xe" filled="true" fillcolor="#d4d4d4" stroked="false">
                <v:path arrowok="t"/>
                <v:fill type="solid"/>
              </v:shape>
            </v:group>
            <v:group style="position:absolute;left:1138;top:14837;width:2468;height:2" coordorigin="1138,14837" coordsize="2468,2">
              <v:shape style="position:absolute;left:1138;top:14837;width:2468;height:2" coordorigin="1138,14837" coordsize="2468,0" path="m1138,14837l3605,14837e" filled="false" stroked="true" strokeweight=".48pt" strokecolor="#000000">
                <v:path arrowok="t"/>
              </v:shape>
            </v:group>
            <v:group style="position:absolute;left:3614;top:14837;width:874;height:2" coordorigin="3614,14837" coordsize="874,2">
              <v:shape style="position:absolute;left:3614;top:14837;width:874;height:2" coordorigin="3614,14837" coordsize="874,0" path="m3614,14837l4488,14837e" filled="false" stroked="true" strokeweight=".48pt" strokecolor="#000000">
                <v:path arrowok="t"/>
              </v:shape>
            </v:group>
            <v:group style="position:absolute;left:4498;top:14837;width:876;height:2" coordorigin="4498,14837" coordsize="876,2">
              <v:shape style="position:absolute;left:4498;top:14837;width:876;height:2" coordorigin="4498,14837" coordsize="876,0" path="m4498,14837l5374,14837e" filled="false" stroked="true" strokeweight=".48pt" strokecolor="#000000">
                <v:path arrowok="t"/>
              </v:shape>
            </v:group>
            <v:group style="position:absolute;left:5383;top:14837;width:876;height:2" coordorigin="5383,14837" coordsize="876,2">
              <v:shape style="position:absolute;left:5383;top:14837;width:876;height:2" coordorigin="5383,14837" coordsize="876,0" path="m5383,14837l6259,14837e" filled="false" stroked="true" strokeweight=".48pt" strokecolor="#000000">
                <v:path arrowok="t"/>
              </v:shape>
            </v:group>
            <v:group style="position:absolute;left:6269;top:14837;width:876;height:2" coordorigin="6269,14837" coordsize="876,2">
              <v:shape style="position:absolute;left:6269;top:14837;width:876;height:2" coordorigin="6269,14837" coordsize="876,0" path="m6269,14837l7145,14837e" filled="false" stroked="true" strokeweight=".48pt" strokecolor="#000000">
                <v:path arrowok="t"/>
              </v:shape>
            </v:group>
            <v:group style="position:absolute;left:7154;top:14837;width:876;height:2" coordorigin="7154,14837" coordsize="876,2">
              <v:shape style="position:absolute;left:7154;top:14837;width:876;height:2" coordorigin="7154,14837" coordsize="876,0" path="m7154,14837l8030,14837e" filled="false" stroked="true" strokeweight=".48pt" strokecolor="#000000">
                <v:path arrowok="t"/>
              </v:shape>
            </v:group>
            <v:group style="position:absolute;left:8040;top:14837;width:876;height:2" coordorigin="8040,14837" coordsize="876,2">
              <v:shape style="position:absolute;left:8040;top:14837;width:876;height:2" coordorigin="8040,14837" coordsize="876,0" path="m8040,14837l8916,14837e" filled="false" stroked="true" strokeweight=".48pt" strokecolor="#000000">
                <v:path arrowok="t"/>
              </v:shape>
            </v:group>
            <v:group style="position:absolute;left:8926;top:14837;width:879;height:2" coordorigin="8926,14837" coordsize="879,2">
              <v:shape style="position:absolute;left:8926;top:14837;width:879;height:2" coordorigin="8926,14837" coordsize="879,0" path="m8926,14837l9804,14837e" filled="false" stroked="true" strokeweight=".48pt" strokecolor="#000000">
                <v:path arrowok="t"/>
              </v:shape>
            </v:group>
            <v:group style="position:absolute;left:9814;top:14837;width:881;height:2" coordorigin="9814,14837" coordsize="881,2">
              <v:shape style="position:absolute;left:9814;top:14837;width:881;height:2" coordorigin="9814,14837" coordsize="881,0" path="m9814,14837l10694,14837e" filled="false" stroked="true" strokeweight=".48pt" strokecolor="#000000">
                <v:path arrowok="t"/>
              </v:shape>
            </v:group>
            <v:group style="position:absolute;left:1133;top:1440;width:2;height:13805" coordorigin="1133,1440" coordsize="2,13805">
              <v:shape style="position:absolute;left:1133;top:1440;width:2;height:13805" coordorigin="1133,1440" coordsize="0,13805" path="m1133,1440l1133,15245e" filled="false" stroked="true" strokeweight=".48pt" strokecolor="#000000">
                <v:path arrowok="t"/>
              </v:shape>
            </v:group>
            <v:group style="position:absolute;left:1138;top:15240;width:2468;height:2" coordorigin="1138,15240" coordsize="2468,2">
              <v:shape style="position:absolute;left:1138;top:15240;width:2468;height:2" coordorigin="1138,15240" coordsize="2468,0" path="m1138,15240l3605,15240e" filled="false" stroked="true" strokeweight=".48pt" strokecolor="#000000">
                <v:path arrowok="t"/>
              </v:shape>
            </v:group>
            <v:group style="position:absolute;left:3610;top:1440;width:2;height:13805" coordorigin="3610,1440" coordsize="2,13805">
              <v:shape style="position:absolute;left:3610;top:1440;width:2;height:13805" coordorigin="3610,1440" coordsize="0,13805" path="m3610,1440l3610,15245e" filled="false" stroked="true" strokeweight=".48pt" strokecolor="#000000">
                <v:path arrowok="t"/>
              </v:shape>
            </v:group>
            <v:group style="position:absolute;left:3614;top:15240;width:874;height:2" coordorigin="3614,15240" coordsize="874,2">
              <v:shape style="position:absolute;left:3614;top:15240;width:874;height:2" coordorigin="3614,15240" coordsize="874,0" path="m3614,15240l4488,15240e" filled="false" stroked="true" strokeweight=".48pt" strokecolor="#000000">
                <v:path arrowok="t"/>
              </v:shape>
            </v:group>
            <v:group style="position:absolute;left:4493;top:1440;width:2;height:13805" coordorigin="4493,1440" coordsize="2,13805">
              <v:shape style="position:absolute;left:4493;top:1440;width:2;height:13805" coordorigin="4493,1440" coordsize="0,13805" path="m4493,1440l4493,15245e" filled="false" stroked="true" strokeweight=".48pt" strokecolor="#000000">
                <v:path arrowok="t"/>
              </v:shape>
            </v:group>
            <v:group style="position:absolute;left:4498;top:15240;width:876;height:2" coordorigin="4498,15240" coordsize="876,2">
              <v:shape style="position:absolute;left:4498;top:15240;width:876;height:2" coordorigin="4498,15240" coordsize="876,0" path="m4498,15240l5374,15240e" filled="false" stroked="true" strokeweight=".48pt" strokecolor="#000000">
                <v:path arrowok="t"/>
              </v:shape>
            </v:group>
            <v:group style="position:absolute;left:5378;top:1440;width:2;height:13805" coordorigin="5378,1440" coordsize="2,13805">
              <v:shape style="position:absolute;left:5378;top:1440;width:2;height:13805" coordorigin="5378,1440" coordsize="0,13805" path="m5378,1440l5378,15245e" filled="false" stroked="true" strokeweight=".48pt" strokecolor="#000000">
                <v:path arrowok="t"/>
              </v:shape>
            </v:group>
            <v:group style="position:absolute;left:5383;top:15240;width:876;height:2" coordorigin="5383,15240" coordsize="876,2">
              <v:shape style="position:absolute;left:5383;top:15240;width:876;height:2" coordorigin="5383,15240" coordsize="876,0" path="m5383,15240l6259,15240e" filled="false" stroked="true" strokeweight=".48pt" strokecolor="#000000">
                <v:path arrowok="t"/>
              </v:shape>
            </v:group>
            <v:group style="position:absolute;left:6264;top:1440;width:2;height:13805" coordorigin="6264,1440" coordsize="2,13805">
              <v:shape style="position:absolute;left:6264;top:1440;width:2;height:13805" coordorigin="6264,1440" coordsize="0,13805" path="m6264,1440l6264,15245e" filled="false" stroked="true" strokeweight=".48pt" strokecolor="#000000">
                <v:path arrowok="t"/>
              </v:shape>
            </v:group>
            <v:group style="position:absolute;left:6269;top:15240;width:876;height:2" coordorigin="6269,15240" coordsize="876,2">
              <v:shape style="position:absolute;left:6269;top:15240;width:876;height:2" coordorigin="6269,15240" coordsize="876,0" path="m6269,15240l7145,15240e" filled="false" stroked="true" strokeweight=".48pt" strokecolor="#000000">
                <v:path arrowok="t"/>
              </v:shape>
            </v:group>
            <v:group style="position:absolute;left:7150;top:1440;width:2;height:13805" coordorigin="7150,1440" coordsize="2,13805">
              <v:shape style="position:absolute;left:7150;top:1440;width:2;height:13805" coordorigin="7150,1440" coordsize="0,13805" path="m7150,1440l7150,15245e" filled="false" stroked="true" strokeweight=".48pt" strokecolor="#000000">
                <v:path arrowok="t"/>
              </v:shape>
            </v:group>
            <v:group style="position:absolute;left:7154;top:15240;width:876;height:2" coordorigin="7154,15240" coordsize="876,2">
              <v:shape style="position:absolute;left:7154;top:15240;width:876;height:2" coordorigin="7154,15240" coordsize="876,0" path="m7154,15240l8030,15240e" filled="false" stroked="true" strokeweight=".48pt" strokecolor="#000000">
                <v:path arrowok="t"/>
              </v:shape>
            </v:group>
            <v:group style="position:absolute;left:8035;top:1440;width:2;height:13805" coordorigin="8035,1440" coordsize="2,13805">
              <v:shape style="position:absolute;left:8035;top:1440;width:2;height:13805" coordorigin="8035,1440" coordsize="0,13805" path="m8035,1440l8035,15245e" filled="false" stroked="true" strokeweight=".48pt" strokecolor="#000000">
                <v:path arrowok="t"/>
              </v:shape>
            </v:group>
            <v:group style="position:absolute;left:8040;top:15240;width:876;height:2" coordorigin="8040,15240" coordsize="876,2">
              <v:shape style="position:absolute;left:8040;top:15240;width:876;height:2" coordorigin="8040,15240" coordsize="876,0" path="m8040,15240l8916,15240e" filled="false" stroked="true" strokeweight=".48pt" strokecolor="#000000">
                <v:path arrowok="t"/>
              </v:shape>
            </v:group>
            <v:group style="position:absolute;left:8921;top:1440;width:2;height:13805" coordorigin="8921,1440" coordsize="2,13805">
              <v:shape style="position:absolute;left:8921;top:1440;width:2;height:13805" coordorigin="8921,1440" coordsize="0,13805" path="m8921,1440l8921,15245e" filled="false" stroked="true" strokeweight=".48pt" strokecolor="#000000">
                <v:path arrowok="t"/>
              </v:shape>
            </v:group>
            <v:group style="position:absolute;left:8926;top:15240;width:879;height:2" coordorigin="8926,15240" coordsize="879,2">
              <v:shape style="position:absolute;left:8926;top:15240;width:879;height:2" coordorigin="8926,15240" coordsize="879,0" path="m8926,15240l9804,15240e" filled="false" stroked="true" strokeweight=".48pt" strokecolor="#000000">
                <v:path arrowok="t"/>
              </v:shape>
            </v:group>
            <v:group style="position:absolute;left:9809;top:1440;width:2;height:13805" coordorigin="9809,1440" coordsize="2,13805">
              <v:shape style="position:absolute;left:9809;top:1440;width:2;height:13805" coordorigin="9809,1440" coordsize="0,13805" path="m9809,1440l9809,15245e" filled="false" stroked="true" strokeweight=".48pt" strokecolor="#000000">
                <v:path arrowok="t"/>
              </v:shape>
            </v:group>
            <v:group style="position:absolute;left:9814;top:15240;width:881;height:2" coordorigin="9814,15240" coordsize="881,2">
              <v:shape style="position:absolute;left:9814;top:15240;width:881;height:2" coordorigin="9814,15240" coordsize="881,0" path="m9814,15240l10694,15240e" filled="false" stroked="true" strokeweight=".48pt" strokecolor="#000000">
                <v:path arrowok="t"/>
              </v:shape>
            </v:group>
            <v:group style="position:absolute;left:10699;top:1440;width:2;height:13805" coordorigin="10699,1440" coordsize="2,13805">
              <v:shape style="position:absolute;left:10699;top:1440;width:2;height:13805" coordorigin="10699,1440" coordsize="0,13805" path="m10699,1440l10699,15245e" filled="false" stroked="true" strokeweight=".48pt" strokecolor="#000000">
                <v:path arrowok="t"/>
              </v:shape>
            </v:group>
            <w10:wrap type="none"/>
          </v:group>
        </w:pict>
      </w:r>
      <w:r>
        <w:rPr>
          <w:rFonts w:ascii="Times New Roman"/>
          <w:spacing w:val="-1"/>
        </w:rPr>
        <w:t>0.00</w:t>
        <w:tab/>
      </w:r>
      <w:r>
        <w:rPr>
          <w:rFonts w:ascii="Times New Roman"/>
        </w:rPr>
        <w:t>00.00</w:t>
      </w:r>
    </w:p>
    <w:p>
      <w:pPr>
        <w:spacing w:line="240" w:lineRule="auto" w:before="6"/>
        <w:rPr>
          <w:rFonts w:ascii="Times New Roman" w:hAnsi="Times New Roman" w:cs="Times New Roman" w:eastAsia="Times New Roman" w:hint="default"/>
          <w:sz w:val="9"/>
          <w:szCs w:val="9"/>
        </w:rPr>
      </w:pPr>
    </w:p>
    <w:p>
      <w:pPr>
        <w:pStyle w:val="BodyText"/>
        <w:spacing w:line="240" w:lineRule="auto" w:before="44"/>
        <w:ind w:left="181" w:right="147"/>
        <w:jc w:val="left"/>
      </w:pPr>
      <w:r>
        <w:rPr>
          <w:rFonts w:ascii="Times New Roman" w:hAnsi="Times New Roman" w:cs="Times New Roman" w:eastAsia="Times New Roman" w:hint="default"/>
          <w:spacing w:val="-7"/>
        </w:rPr>
        <w:t>2</w:t>
      </w:r>
      <w:r>
        <w:rPr>
          <w:spacing w:val="-7"/>
        </w:rPr>
        <w:t>．盈余公积转增资本（或股本）</w:t>
      </w:r>
    </w:p>
    <w:p>
      <w:pPr>
        <w:spacing w:line="240" w:lineRule="auto" w:before="2"/>
        <w:rPr>
          <w:rFonts w:ascii="宋体" w:hAnsi="宋体" w:cs="宋体" w:eastAsia="宋体" w:hint="default"/>
          <w:sz w:val="8"/>
          <w:szCs w:val="8"/>
        </w:rPr>
      </w:pPr>
    </w:p>
    <w:p>
      <w:pPr>
        <w:pStyle w:val="BodyText"/>
        <w:spacing w:line="240" w:lineRule="auto" w:before="44"/>
        <w:ind w:left="181" w:right="147"/>
        <w:jc w:val="left"/>
      </w:pPr>
      <w:r>
        <w:rPr>
          <w:rFonts w:ascii="Times New Roman" w:hAnsi="Times New Roman" w:cs="Times New Roman" w:eastAsia="Times New Roman" w:hint="default"/>
        </w:rPr>
        <w:t>3</w:t>
      </w:r>
      <w:r>
        <w:rPr/>
        <w:t>．盈余公积弥补亏损</w:t>
      </w:r>
    </w:p>
    <w:p>
      <w:pPr>
        <w:spacing w:line="240" w:lineRule="auto" w:before="5"/>
        <w:rPr>
          <w:rFonts w:ascii="宋体" w:hAnsi="宋体" w:cs="宋体" w:eastAsia="宋体" w:hint="default"/>
          <w:sz w:val="8"/>
          <w:szCs w:val="8"/>
        </w:rPr>
      </w:pPr>
    </w:p>
    <w:p>
      <w:pPr>
        <w:pStyle w:val="BodyText"/>
        <w:spacing w:line="240" w:lineRule="auto" w:before="44"/>
        <w:ind w:left="181" w:right="147"/>
        <w:jc w:val="left"/>
      </w:pPr>
      <w:r>
        <w:rPr>
          <w:rFonts w:ascii="Times New Roman" w:hAnsi="Times New Roman" w:cs="Times New Roman" w:eastAsia="Times New Roman" w:hint="default"/>
        </w:rPr>
        <w:t>4</w:t>
      </w:r>
      <w:r>
        <w:rPr/>
        <w:t>．其他</w:t>
      </w:r>
    </w:p>
    <w:p>
      <w:pPr>
        <w:spacing w:line="240" w:lineRule="auto" w:before="2"/>
        <w:rPr>
          <w:rFonts w:ascii="宋体" w:hAnsi="宋体" w:cs="宋体" w:eastAsia="宋体" w:hint="default"/>
          <w:sz w:val="8"/>
          <w:szCs w:val="8"/>
        </w:rPr>
      </w:pPr>
    </w:p>
    <w:p>
      <w:pPr>
        <w:pStyle w:val="BodyText"/>
        <w:spacing w:line="240" w:lineRule="auto" w:before="44"/>
        <w:ind w:left="181" w:right="147"/>
        <w:jc w:val="left"/>
      </w:pPr>
      <w:r>
        <w:rPr/>
        <w:t>（六）专项储备</w:t>
      </w:r>
    </w:p>
    <w:p>
      <w:pPr>
        <w:spacing w:after="0" w:line="240" w:lineRule="auto"/>
        <w:jc w:val="left"/>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76"/>
        <w:gridCol w:w="883"/>
        <w:gridCol w:w="886"/>
        <w:gridCol w:w="886"/>
        <w:gridCol w:w="886"/>
        <w:gridCol w:w="886"/>
        <w:gridCol w:w="886"/>
        <w:gridCol w:w="888"/>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207,400,00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778,993,23</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7.65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38,118,578</w:t>
            </w:r>
            <w:r>
              <w:rPr>
                <w:rFonts w:ascii="Times New Roman"/>
                <w:sz w:val="18"/>
              </w:rPr>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251,201,79</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8.55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1,275,713,</w:t>
            </w:r>
          </w:p>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614.78</w:t>
            </w:r>
          </w:p>
        </w:tc>
      </w:tr>
    </w:tbl>
    <w:p>
      <w:pPr>
        <w:pStyle w:val="BodyText"/>
        <w:spacing w:line="240" w:lineRule="auto" w:before="49"/>
        <w:ind w:right="147"/>
        <w:jc w:val="left"/>
      </w:pPr>
      <w:r>
        <w:rPr/>
        <w:t>上年金额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5"/>
        <w:gridCol w:w="886"/>
        <w:gridCol w:w="886"/>
        <w:gridCol w:w="883"/>
        <w:gridCol w:w="886"/>
        <w:gridCol w:w="883"/>
        <w:gridCol w:w="883"/>
        <w:gridCol w:w="883"/>
      </w:tblGrid>
      <w:tr>
        <w:trPr>
          <w:trHeight w:val="398" w:hRule="exact"/>
        </w:trPr>
        <w:tc>
          <w:tcPr>
            <w:tcW w:w="2472" w:type="dxa"/>
            <w:tcBorders>
              <w:top w:val="single" w:sz="4" w:space="0" w:color="000000"/>
              <w:left w:val="single" w:sz="4" w:space="0" w:color="000000"/>
              <w:bottom w:val="nil" w:sz="6" w:space="0" w:color="auto"/>
              <w:right w:val="single" w:sz="4" w:space="0" w:color="000000"/>
            </w:tcBorders>
            <w:shd w:val="clear" w:color="auto" w:fill="D4D4D4"/>
          </w:tcPr>
          <w:p>
            <w:pPr/>
          </w:p>
        </w:tc>
        <w:tc>
          <w:tcPr>
            <w:tcW w:w="7085"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tcBorders>
              <w:top w:val="single" w:sz="4" w:space="0" w:color="000000"/>
              <w:left w:val="single" w:sz="4" w:space="0" w:color="000000"/>
              <w:bottom w:val="nil" w:sz="6" w:space="0" w:color="auto"/>
              <w:right w:val="single" w:sz="4" w:space="0" w:color="000000"/>
            </w:tcBorders>
            <w:shd w:val="clear" w:color="auto" w:fill="D4D4D4"/>
          </w:tcPr>
          <w:p>
            <w:pPr/>
          </w:p>
        </w:tc>
        <w:tc>
          <w:tcPr>
            <w:tcW w:w="883"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tcBorders>
              <w:top w:val="single" w:sz="4" w:space="0" w:color="000000"/>
              <w:left w:val="single" w:sz="4" w:space="0" w:color="000000"/>
              <w:bottom w:val="nil" w:sz="6" w:space="0" w:color="auto"/>
              <w:right w:val="single" w:sz="4" w:space="0" w:color="000000"/>
            </w:tcBorders>
            <w:shd w:val="clear" w:color="auto" w:fill="D4D4D4"/>
          </w:tcPr>
          <w:p>
            <w:pPr/>
          </w:p>
        </w:tc>
        <w:tc>
          <w:tcPr>
            <w:tcW w:w="88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3"/>
              <w:ind w:left="256" w:right="7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72" w:type="dxa"/>
            <w:vMerge/>
            <w:tcBorders>
              <w:left w:val="single" w:sz="4" w:space="0" w:color="000000"/>
              <w:bottom w:val="nil" w:sz="6" w:space="0" w:color="auto"/>
              <w:right w:val="single" w:sz="4" w:space="0" w:color="000000"/>
            </w:tcBorders>
            <w:shd w:val="clear" w:color="auto" w:fill="D4D4D4"/>
          </w:tcPr>
          <w:p>
            <w:pPr/>
          </w:p>
        </w:tc>
        <w:tc>
          <w:tcPr>
            <w:tcW w:w="895" w:type="dxa"/>
            <w:vMerge/>
            <w:tcBorders>
              <w:left w:val="single" w:sz="4" w:space="0" w:color="000000"/>
              <w:right w:val="single" w:sz="4" w:space="0" w:color="000000"/>
            </w:tcBorders>
            <w:shd w:val="clear" w:color="auto" w:fill="D4D4D4"/>
          </w:tcPr>
          <w:p>
            <w:pPr/>
          </w:p>
        </w:tc>
        <w:tc>
          <w:tcPr>
            <w:tcW w:w="886" w:type="dxa"/>
            <w:vMerge w:val="restart"/>
            <w:tcBorders>
              <w:top w:val="nil" w:sz="6" w:space="0" w:color="auto"/>
              <w:left w:val="single" w:sz="4" w:space="0" w:color="000000"/>
              <w:right w:val="single" w:sz="4" w:space="0" w:color="000000"/>
            </w:tcBorders>
            <w:shd w:val="clear" w:color="auto" w:fill="D4D4D4"/>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3" w:type="dxa"/>
            <w:vMerge/>
            <w:tcBorders>
              <w:left w:val="single" w:sz="4" w:space="0" w:color="000000"/>
              <w:right w:val="single" w:sz="4" w:space="0" w:color="000000"/>
            </w:tcBorders>
            <w:shd w:val="clear" w:color="auto" w:fill="D4D4D4"/>
          </w:tcPr>
          <w:p>
            <w:pPr/>
          </w:p>
        </w:tc>
        <w:tc>
          <w:tcPr>
            <w:tcW w:w="883" w:type="dxa"/>
            <w:vMerge/>
            <w:tcBorders>
              <w:left w:val="single" w:sz="4" w:space="0" w:color="000000"/>
              <w:right w:val="single" w:sz="4" w:space="0" w:color="000000"/>
            </w:tcBorders>
            <w:shd w:val="clear" w:color="auto" w:fill="D4D4D4"/>
          </w:tcPr>
          <w:p>
            <w:pPr/>
          </w:p>
        </w:tc>
        <w:tc>
          <w:tcPr>
            <w:tcW w:w="883" w:type="dxa"/>
            <w:vMerge/>
            <w:tcBorders>
              <w:left w:val="single" w:sz="4" w:space="0" w:color="000000"/>
              <w:right w:val="single" w:sz="4" w:space="0" w:color="000000"/>
            </w:tcBorders>
            <w:shd w:val="clear" w:color="auto" w:fill="D4D4D4"/>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4D4D4"/>
          </w:tcPr>
          <w:p>
            <w:pPr/>
          </w:p>
        </w:tc>
        <w:tc>
          <w:tcPr>
            <w:tcW w:w="895" w:type="dxa"/>
            <w:vMerge/>
            <w:tcBorders>
              <w:left w:val="single" w:sz="4" w:space="0" w:color="000000"/>
              <w:right w:val="single" w:sz="4" w:space="0" w:color="000000"/>
            </w:tcBorders>
            <w:shd w:val="clear" w:color="auto" w:fill="D4D4D4"/>
          </w:tcPr>
          <w:p>
            <w:pPr/>
          </w:p>
        </w:tc>
        <w:tc>
          <w:tcPr>
            <w:tcW w:w="886" w:type="dxa"/>
            <w:vMerge/>
            <w:tcBorders>
              <w:left w:val="single" w:sz="4" w:space="0" w:color="000000"/>
              <w:bottom w:val="nil" w:sz="6" w:space="0" w:color="auto"/>
              <w:right w:val="single" w:sz="4" w:space="0" w:color="000000"/>
            </w:tcBorders>
            <w:shd w:val="clear" w:color="auto" w:fill="D4D4D4"/>
          </w:tcPr>
          <w:p>
            <w:pPr/>
          </w:p>
        </w:tc>
        <w:tc>
          <w:tcPr>
            <w:tcW w:w="886" w:type="dxa"/>
            <w:vMerge/>
            <w:tcBorders>
              <w:left w:val="single" w:sz="4" w:space="0" w:color="000000"/>
              <w:bottom w:val="nil" w:sz="6" w:space="0" w:color="auto"/>
              <w:right w:val="single" w:sz="4" w:space="0" w:color="000000"/>
            </w:tcBorders>
            <w:shd w:val="clear" w:color="auto" w:fill="D4D4D4"/>
          </w:tcPr>
          <w:p>
            <w:pPr/>
          </w:p>
        </w:tc>
        <w:tc>
          <w:tcPr>
            <w:tcW w:w="883" w:type="dxa"/>
            <w:vMerge/>
            <w:tcBorders>
              <w:left w:val="single" w:sz="4" w:space="0" w:color="000000"/>
              <w:bottom w:val="nil" w:sz="6" w:space="0" w:color="auto"/>
              <w:right w:val="single" w:sz="4" w:space="0" w:color="000000"/>
            </w:tcBorders>
            <w:shd w:val="clear" w:color="auto" w:fill="D4D4D4"/>
          </w:tcPr>
          <w:p>
            <w:pPr/>
          </w:p>
        </w:tc>
        <w:tc>
          <w:tcPr>
            <w:tcW w:w="886" w:type="dxa"/>
            <w:vMerge/>
            <w:tcBorders>
              <w:left w:val="single" w:sz="4" w:space="0" w:color="000000"/>
              <w:bottom w:val="nil" w:sz="6" w:space="0" w:color="auto"/>
              <w:right w:val="single" w:sz="4" w:space="0" w:color="000000"/>
            </w:tcBorders>
            <w:shd w:val="clear" w:color="auto" w:fill="D4D4D4"/>
          </w:tcPr>
          <w:p>
            <w:pPr/>
          </w:p>
        </w:tc>
        <w:tc>
          <w:tcPr>
            <w:tcW w:w="883" w:type="dxa"/>
            <w:vMerge/>
            <w:tcBorders>
              <w:left w:val="single" w:sz="4" w:space="0" w:color="000000"/>
              <w:right w:val="single" w:sz="4" w:space="0" w:color="000000"/>
            </w:tcBorders>
            <w:shd w:val="clear" w:color="auto" w:fill="D4D4D4"/>
          </w:tcPr>
          <w:p>
            <w:pPr/>
          </w:p>
        </w:tc>
        <w:tc>
          <w:tcPr>
            <w:tcW w:w="883" w:type="dxa"/>
            <w:vMerge/>
            <w:tcBorders>
              <w:left w:val="single" w:sz="4" w:space="0" w:color="000000"/>
              <w:right w:val="single" w:sz="4" w:space="0" w:color="000000"/>
            </w:tcBorders>
            <w:shd w:val="clear" w:color="auto" w:fill="D4D4D4"/>
          </w:tcPr>
          <w:p>
            <w:pPr/>
          </w:p>
        </w:tc>
        <w:tc>
          <w:tcPr>
            <w:tcW w:w="883" w:type="dxa"/>
            <w:vMerge/>
            <w:tcBorders>
              <w:left w:val="single" w:sz="4" w:space="0" w:color="000000"/>
              <w:right w:val="single" w:sz="4" w:space="0" w:color="000000"/>
            </w:tcBorders>
            <w:shd w:val="clear" w:color="auto" w:fill="D4D4D4"/>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4D4D4"/>
          </w:tcPr>
          <w:p>
            <w:pPr/>
          </w:p>
        </w:tc>
        <w:tc>
          <w:tcPr>
            <w:tcW w:w="895" w:type="dxa"/>
            <w:vMerge/>
            <w:tcBorders>
              <w:left w:val="single" w:sz="4" w:space="0" w:color="000000"/>
              <w:bottom w:val="single" w:sz="4" w:space="0" w:color="000000"/>
              <w:right w:val="single" w:sz="4" w:space="0" w:color="000000"/>
            </w:tcBorders>
            <w:shd w:val="clear" w:color="auto" w:fill="D4D4D4"/>
          </w:tcPr>
          <w:p>
            <w:pPr/>
          </w:p>
        </w:tc>
        <w:tc>
          <w:tcPr>
            <w:tcW w:w="886"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tcBorders>
              <w:top w:val="nil" w:sz="6" w:space="0" w:color="auto"/>
              <w:left w:val="single" w:sz="4" w:space="0" w:color="000000"/>
              <w:bottom w:val="single" w:sz="4" w:space="0" w:color="000000"/>
              <w:right w:val="single" w:sz="4" w:space="0" w:color="000000"/>
            </w:tcBorders>
            <w:shd w:val="clear" w:color="auto" w:fill="D4D4D4"/>
          </w:tcPr>
          <w:p>
            <w:pPr/>
          </w:p>
        </w:tc>
        <w:tc>
          <w:tcPr>
            <w:tcW w:w="883"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tcBorders>
              <w:top w:val="nil" w:sz="6" w:space="0" w:color="auto"/>
              <w:left w:val="single" w:sz="4" w:space="0" w:color="000000"/>
              <w:bottom w:val="single" w:sz="4" w:space="0" w:color="000000"/>
              <w:right w:val="single" w:sz="4" w:space="0" w:color="000000"/>
            </w:tcBorders>
            <w:shd w:val="clear" w:color="auto" w:fill="D4D4D4"/>
          </w:tcPr>
          <w:p>
            <w:pPr/>
          </w:p>
        </w:tc>
        <w:tc>
          <w:tcPr>
            <w:tcW w:w="883" w:type="dxa"/>
            <w:vMerge/>
            <w:tcBorders>
              <w:left w:val="single" w:sz="4" w:space="0" w:color="000000"/>
              <w:bottom w:val="single" w:sz="4" w:space="0" w:color="000000"/>
              <w:right w:val="single" w:sz="4" w:space="0" w:color="000000"/>
            </w:tcBorders>
            <w:shd w:val="clear" w:color="auto" w:fill="D4D4D4"/>
          </w:tcPr>
          <w:p>
            <w:pPr/>
          </w:p>
        </w:tc>
        <w:tc>
          <w:tcPr>
            <w:tcW w:w="883" w:type="dxa"/>
            <w:vMerge/>
            <w:tcBorders>
              <w:left w:val="single" w:sz="4" w:space="0" w:color="000000"/>
              <w:bottom w:val="single" w:sz="4" w:space="0" w:color="000000"/>
              <w:right w:val="single" w:sz="4" w:space="0" w:color="000000"/>
            </w:tcBorders>
            <w:shd w:val="clear" w:color="auto" w:fill="D4D4D4"/>
          </w:tcPr>
          <w:p>
            <w:pPr/>
          </w:p>
        </w:tc>
        <w:tc>
          <w:tcPr>
            <w:tcW w:w="883"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4D4D4"/>
          </w:tcPr>
          <w:p>
            <w:pPr/>
          </w:p>
        </w:tc>
        <w:tc>
          <w:tcPr>
            <w:tcW w:w="895" w:type="dxa"/>
            <w:vMerge w:val="restart"/>
            <w:tcBorders>
              <w:top w:val="single" w:sz="4" w:space="0" w:color="000000"/>
              <w:left w:val="single" w:sz="10" w:space="0" w:color="D4D4D4"/>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103,700,00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882,693,23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7.65</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17,238,263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156,608,96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6.26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1,160,240,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467.79</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5" w:type="dxa"/>
            <w:vMerge/>
            <w:tcBorders>
              <w:left w:val="single" w:sz="10" w:space="0" w:color="D4D4D4"/>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4D4D4"/>
          </w:tcPr>
          <w:p>
            <w:pPr/>
          </w:p>
        </w:tc>
        <w:tc>
          <w:tcPr>
            <w:tcW w:w="895" w:type="dxa"/>
            <w:vMerge/>
            <w:tcBorders>
              <w:left w:val="single" w:sz="10" w:space="0" w:color="D4D4D4"/>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5" w:type="dxa"/>
            <w:tcBorders>
              <w:top w:val="single" w:sz="4" w:space="0" w:color="000000"/>
              <w:left w:val="single" w:sz="13" w:space="0" w:color="D4D4D4"/>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5" w:type="dxa"/>
            <w:tcBorders>
              <w:top w:val="single" w:sz="4" w:space="0" w:color="000000"/>
              <w:left w:val="single" w:sz="13" w:space="0" w:color="D4D4D4"/>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13" w:space="0" w:color="D4D4D4"/>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4D4D4"/>
          </w:tcPr>
          <w:p>
            <w:pPr/>
          </w:p>
        </w:tc>
        <w:tc>
          <w:tcPr>
            <w:tcW w:w="895" w:type="dxa"/>
            <w:vMerge w:val="restart"/>
            <w:tcBorders>
              <w:top w:val="single" w:sz="4" w:space="0" w:color="000000"/>
              <w:left w:val="single" w:sz="10" w:space="0" w:color="D4D4D4"/>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103,700,00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882,693,23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7.65</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17,238,263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156,608,96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6.26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1,160,240,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467.79</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5" w:type="dxa"/>
            <w:vMerge/>
            <w:tcBorders>
              <w:left w:val="single" w:sz="10" w:space="0" w:color="D4D4D4"/>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4D4D4"/>
          </w:tcPr>
          <w:p>
            <w:pPr/>
          </w:p>
        </w:tc>
        <w:tc>
          <w:tcPr>
            <w:tcW w:w="895" w:type="dxa"/>
            <w:vMerge/>
            <w:tcBorders>
              <w:left w:val="single" w:sz="10" w:space="0" w:color="D4D4D4"/>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5" w:type="dxa"/>
            <w:tcBorders>
              <w:top w:val="single" w:sz="4" w:space="0" w:color="000000"/>
              <w:left w:val="single" w:sz="13" w:space="0" w:color="D4D4D4"/>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11,978,779</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.65</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45,589,016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57,567,796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.51</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4D4D4"/>
          </w:tcPr>
          <w:p>
            <w:pPr/>
          </w:p>
        </w:tc>
        <w:tc>
          <w:tcPr>
            <w:tcW w:w="895" w:type="dxa"/>
            <w:vMerge w:val="restart"/>
            <w:tcBorders>
              <w:top w:val="single" w:sz="4" w:space="0" w:color="000000"/>
              <w:left w:val="single" w:sz="10" w:space="0" w:color="D4D4D4"/>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119,787,79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6.51</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119,787,79</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6.51</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5" w:type="dxa"/>
            <w:vMerge/>
            <w:tcBorders>
              <w:left w:val="single" w:sz="10" w:space="0" w:color="D4D4D4"/>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4D4D4"/>
          </w:tcPr>
          <w:p>
            <w:pPr/>
          </w:p>
        </w:tc>
        <w:tc>
          <w:tcPr>
            <w:tcW w:w="895" w:type="dxa"/>
            <w:vMerge/>
            <w:tcBorders>
              <w:left w:val="single" w:sz="10" w:space="0" w:color="D4D4D4"/>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5" w:type="dxa"/>
            <w:tcBorders>
              <w:top w:val="single" w:sz="4" w:space="0" w:color="000000"/>
              <w:left w:val="single" w:sz="13" w:space="0" w:color="D4D4D4"/>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4D4D4"/>
          </w:tcPr>
          <w:p>
            <w:pPr/>
          </w:p>
        </w:tc>
        <w:tc>
          <w:tcPr>
            <w:tcW w:w="895" w:type="dxa"/>
            <w:vMerge w:val="restart"/>
            <w:tcBorders>
              <w:top w:val="single" w:sz="4" w:space="0" w:color="000000"/>
              <w:left w:val="single" w:sz="10" w:space="0" w:color="D4D4D4"/>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119,787,79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6.51</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119,787,79</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6.51</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5" w:type="dxa"/>
            <w:vMerge/>
            <w:tcBorders>
              <w:left w:val="single" w:sz="10" w:space="0" w:color="D4D4D4"/>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4D4D4"/>
          </w:tcPr>
          <w:p>
            <w:pPr/>
          </w:p>
        </w:tc>
        <w:tc>
          <w:tcPr>
            <w:tcW w:w="895" w:type="dxa"/>
            <w:vMerge/>
            <w:tcBorders>
              <w:left w:val="single" w:sz="10" w:space="0" w:color="D4D4D4"/>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5" w:type="dxa"/>
            <w:tcBorders>
              <w:top w:val="single" w:sz="4" w:space="0" w:color="000000"/>
              <w:left w:val="single" w:sz="13" w:space="0" w:color="D4D4D4"/>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5" w:type="dxa"/>
            <w:tcBorders>
              <w:top w:val="single" w:sz="4" w:space="0" w:color="000000"/>
              <w:left w:val="single" w:sz="13" w:space="0" w:color="D4D4D4"/>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1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5" w:type="dxa"/>
            <w:tcBorders>
              <w:top w:val="single" w:sz="4" w:space="0" w:color="000000"/>
              <w:left w:val="single" w:sz="13" w:space="0" w:color="D4D4D4"/>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5" w:type="dxa"/>
            <w:tcBorders>
              <w:top w:val="single" w:sz="4" w:space="0" w:color="000000"/>
              <w:left w:val="single" w:sz="13" w:space="0" w:color="D4D4D4"/>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4D4D4"/>
          </w:tcPr>
          <w:p>
            <w:pPr/>
          </w:p>
        </w:tc>
        <w:tc>
          <w:tcPr>
            <w:tcW w:w="895" w:type="dxa"/>
            <w:vMerge w:val="restart"/>
            <w:tcBorders>
              <w:top w:val="single" w:sz="4" w:space="0" w:color="000000"/>
              <w:left w:val="single" w:sz="10" w:space="0" w:color="D4D4D4"/>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11,978,779</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.65</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-74,198,77</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9.65</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-62,220,00</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5" w:type="dxa"/>
            <w:vMerge/>
            <w:tcBorders>
              <w:left w:val="single" w:sz="10" w:space="0" w:color="D4D4D4"/>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4D4D4"/>
          </w:tcPr>
          <w:p>
            <w:pPr/>
          </w:p>
        </w:tc>
        <w:tc>
          <w:tcPr>
            <w:tcW w:w="895" w:type="dxa"/>
            <w:vMerge/>
            <w:tcBorders>
              <w:left w:val="single" w:sz="10" w:space="0" w:color="D4D4D4"/>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4D4D4"/>
          </w:tcPr>
          <w:p>
            <w:pPr/>
          </w:p>
        </w:tc>
        <w:tc>
          <w:tcPr>
            <w:tcW w:w="895" w:type="dxa"/>
            <w:vMerge w:val="restart"/>
            <w:tcBorders>
              <w:top w:val="single" w:sz="4" w:space="0" w:color="000000"/>
              <w:left w:val="single" w:sz="10" w:space="0" w:color="D4D4D4"/>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11,978,779</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-11,978,77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9.65</w:t>
            </w:r>
          </w:p>
        </w:tc>
        <w:tc>
          <w:tcPr>
            <w:tcW w:w="883" w:type="dxa"/>
            <w:vMerge w:val="restart"/>
            <w:tcBorders>
              <w:top w:val="single" w:sz="4" w:space="0" w:color="000000"/>
              <w:left w:val="single" w:sz="4" w:space="0" w:color="000000"/>
              <w:right w:val="single" w:sz="4" w:space="0" w:color="000000"/>
            </w:tcBorders>
          </w:tcPr>
          <w:p>
            <w:pP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5" w:type="dxa"/>
            <w:vMerge/>
            <w:tcBorders>
              <w:left w:val="single" w:sz="10" w:space="0" w:color="D4D4D4"/>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4D4D4"/>
          </w:tcPr>
          <w:p>
            <w:pPr/>
          </w:p>
        </w:tc>
        <w:tc>
          <w:tcPr>
            <w:tcW w:w="895" w:type="dxa"/>
            <w:vMerge/>
            <w:tcBorders>
              <w:left w:val="single" w:sz="10" w:space="0" w:color="D4D4D4"/>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5" w:type="dxa"/>
            <w:tcBorders>
              <w:top w:val="single" w:sz="4" w:space="0" w:color="000000"/>
              <w:left w:val="single" w:sz="13" w:space="0" w:color="D4D4D4"/>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4D4D4"/>
          </w:tcPr>
          <w:p>
            <w:pPr/>
          </w:p>
        </w:tc>
        <w:tc>
          <w:tcPr>
            <w:tcW w:w="895" w:type="dxa"/>
            <w:vMerge w:val="restart"/>
            <w:tcBorders>
              <w:top w:val="single" w:sz="4" w:space="0" w:color="000000"/>
              <w:left w:val="single" w:sz="10" w:space="0" w:color="D4D4D4"/>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-62,220,00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-62,220,00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5" w:type="dxa"/>
            <w:vMerge/>
            <w:tcBorders>
              <w:left w:val="single" w:sz="10" w:space="0" w:color="D4D4D4"/>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4D4D4"/>
          </w:tcPr>
          <w:p>
            <w:pPr/>
          </w:p>
        </w:tc>
        <w:tc>
          <w:tcPr>
            <w:tcW w:w="895" w:type="dxa"/>
            <w:vMerge/>
            <w:tcBorders>
              <w:left w:val="single" w:sz="10" w:space="0" w:color="D4D4D4"/>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5" w:type="dxa"/>
            <w:tcBorders>
              <w:top w:val="single" w:sz="4" w:space="0" w:color="000000"/>
              <w:left w:val="single" w:sz="13" w:space="0" w:color="D4D4D4"/>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181.679993pt;margin-top:92.039986pt;width:42.6pt;height:40.8pt;mso-position-horizontal-relative:page;mso-position-vertical-relative:page;z-index:-749248" coordorigin="3634,1841" coordsize="852,816">
            <v:group style="position:absolute;left:3646;top:1853;width:2;height:392" coordorigin="3646,1853" coordsize="2,392">
              <v:shape style="position:absolute;left:3646;top:1853;width:2;height:392" coordorigin="3646,1853" coordsize="0,392" path="m3646,1853l3646,2244e" filled="false" stroked="true" strokeweight="1.2pt" strokecolor="#ffffff">
                <v:path arrowok="t"/>
              </v:shape>
            </v:group>
            <v:group style="position:absolute;left:3658;top:1853;width:828;height:392" coordorigin="3658,1853" coordsize="828,392">
              <v:shape style="position:absolute;left:3658;top:1853;width:828;height:392" coordorigin="3658,1853" coordsize="828,392" path="m3658,2244l4486,2244,4486,1853,3658,1853,3658,2244xe" filled="true" fillcolor="#ffffff" stroked="false">
                <v:path arrowok="t"/>
                <v:fill type="solid"/>
              </v:shape>
            </v:group>
            <v:group style="position:absolute;left:3646;top:2254;width:2;height:392" coordorigin="3646,2254" coordsize="2,392">
              <v:shape style="position:absolute;left:3646;top:2254;width:2;height:392" coordorigin="3646,2254" coordsize="0,392" path="m3646,2254l3646,2645e" filled="false" stroked="true" strokeweight="1.2pt" strokecolor="#ffffff">
                <v:path arrowok="t"/>
              </v:shape>
            </v:group>
            <v:group style="position:absolute;left:3658;top:2254;width:828;height:392" coordorigin="3658,2254" coordsize="828,392">
              <v:shape style="position:absolute;left:3658;top:2254;width:828;height:392" coordorigin="3658,2254" coordsize="828,392" path="m3658,2645l4486,2645,4486,2254,3658,2254,3658,264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3"/>
        <w:gridCol w:w="886"/>
        <w:gridCol w:w="886"/>
        <w:gridCol w:w="883"/>
        <w:gridCol w:w="886"/>
        <w:gridCol w:w="883"/>
        <w:gridCol w:w="883"/>
        <w:gridCol w:w="883"/>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103,700,00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882,693,23</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7.65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29,217,043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.53</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202,197,98</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3.12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1,217,808,</w:t>
            </w:r>
          </w:p>
          <w:p>
            <w:pPr>
              <w:pStyle w:val="TableParagraph"/>
              <w:spacing w:line="240" w:lineRule="auto" w:before="102"/>
              <w:ind w:left="355" w:right="0"/>
              <w:jc w:val="left"/>
              <w:rPr>
                <w:rFonts w:ascii="Times New Roman" w:hAnsi="Times New Roman" w:cs="Times New Roman" w:eastAsia="Times New Roman" w:hint="default"/>
                <w:sz w:val="18"/>
                <w:szCs w:val="18"/>
              </w:rPr>
            </w:pPr>
            <w:r>
              <w:rPr>
                <w:rFonts w:ascii="Times New Roman"/>
                <w:sz w:val="18"/>
              </w:rPr>
              <w:t>264.30</w:t>
            </w:r>
          </w:p>
        </w:tc>
      </w:tr>
    </w:tbl>
    <w:p>
      <w:pPr>
        <w:spacing w:line="240" w:lineRule="auto" w:before="2"/>
        <w:rPr>
          <w:rFonts w:ascii="宋体" w:hAnsi="宋体" w:cs="宋体" w:eastAsia="宋体" w:hint="default"/>
          <w:sz w:val="20"/>
          <w:szCs w:val="20"/>
        </w:rPr>
      </w:pPr>
    </w:p>
    <w:p>
      <w:pPr>
        <w:pStyle w:val="BodyText"/>
        <w:tabs>
          <w:tab w:pos="3577" w:val="left" w:leader="none"/>
          <w:tab w:pos="7720" w:val="left" w:leader="none"/>
        </w:tabs>
        <w:spacing w:line="240" w:lineRule="auto" w:before="44"/>
        <w:ind w:right="0"/>
        <w:jc w:val="both"/>
      </w:pPr>
      <w:r>
        <w:rPr/>
        <w:t>法定代表人：鲁峰</w:t>
        <w:tab/>
      </w:r>
      <w:r>
        <w:rPr>
          <w:spacing w:val="-1"/>
        </w:rPr>
        <w:t>主管会计工作负责人：侯伟</w:t>
        <w:tab/>
      </w:r>
      <w:r>
        <w:rPr/>
        <w:t>会计机构负责人：镇千金</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1</w:t>
      </w:r>
      <w:r>
        <w:rPr/>
        <w:t>、历史沿革</w:t>
      </w:r>
    </w:p>
    <w:p>
      <w:pPr>
        <w:pStyle w:val="BodyText"/>
        <w:spacing w:line="300" w:lineRule="auto" w:before="101"/>
        <w:ind w:right="150" w:firstLine="359"/>
        <w:jc w:val="both"/>
      </w:pPr>
      <w:r>
        <w:rPr>
          <w:spacing w:val="-1"/>
        </w:rPr>
        <w:t>福建榕基软件股份有限公司（原名</w:t>
      </w:r>
      <w:r>
        <w:rPr>
          <w:rFonts w:ascii="Times New Roman" w:hAnsi="Times New Roman" w:cs="Times New Roman" w:eastAsia="Times New Roman" w:hint="default"/>
          <w:spacing w:val="-1"/>
        </w:rPr>
        <w:t>“</w:t>
      </w:r>
      <w:r>
        <w:rPr>
          <w:spacing w:val="-1"/>
        </w:rPr>
        <w:t>福建榕基软件开发有限公司</w:t>
      </w:r>
      <w:bookmarkStart w:name="三、公司基本情况" w:id="147"/>
      <w:bookmarkEnd w:id="147"/>
      <w:r>
        <w:rPr>
          <w:spacing w:val="-1"/>
        </w:rPr>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）原由刘启鄂、侯伟及宁金成等三</w:t>
      </w:r>
      <w:r>
        <w:rPr/>
        <w:t> </w:t>
      </w:r>
      <w:r>
        <w:rPr>
          <w:spacing w:val="-2"/>
        </w:rPr>
        <w:t>个自然人股东共同投资设立，于</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日取得《企业法人营业执照》，</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日采取发起方式整体变更为福建</w:t>
      </w:r>
      <w:r>
        <w:rPr>
          <w:spacing w:val="-54"/>
        </w:rPr>
        <w:t> </w:t>
      </w:r>
      <w:r>
        <w:rPr/>
        <w:t>榕基软件股份有限公司，取得福建省工商行政管理局核发的</w:t>
      </w:r>
      <w:r>
        <w:rPr>
          <w:rFonts w:ascii="Times New Roman" w:hAnsi="Times New Roman" w:cs="Times New Roman" w:eastAsia="Times New Roman" w:hint="default"/>
        </w:rPr>
        <w:t>350000100001214</w:t>
      </w:r>
      <w:r>
        <w:rPr/>
        <w:t>号《企业法人营业执照》，注册资本变更为人</w:t>
      </w:r>
      <w:r>
        <w:rPr>
          <w:spacing w:val="-87"/>
        </w:rPr>
        <w:t> </w:t>
      </w:r>
      <w:r>
        <w:rPr>
          <w:spacing w:val="-87"/>
        </w:rPr>
      </w:r>
      <w:r>
        <w:rPr/>
        <w:t>民币</w:t>
      </w:r>
      <w:r>
        <w:rPr>
          <w:rFonts w:ascii="Times New Roman" w:hAnsi="Times New Roman" w:cs="Times New Roman" w:eastAsia="Times New Roman" w:hint="default"/>
        </w:rPr>
        <w:t>7,770</w:t>
      </w:r>
      <w:r>
        <w:rPr/>
        <w:t>万元，股本总额为</w:t>
      </w:r>
      <w:r>
        <w:rPr>
          <w:rFonts w:ascii="Times New Roman" w:hAnsi="Times New Roman" w:cs="Times New Roman" w:eastAsia="Times New Roman" w:hint="default"/>
        </w:rPr>
        <w:t>77,700,000</w:t>
      </w:r>
      <w:r>
        <w:rPr/>
        <w:t>股，每股面值</w:t>
      </w:r>
      <w:r>
        <w:rPr>
          <w:rFonts w:ascii="Times New Roman" w:hAnsi="Times New Roman" w:cs="Times New Roman" w:eastAsia="Times New Roman" w:hint="default"/>
        </w:rPr>
        <w:t>1</w:t>
      </w:r>
      <w:r>
        <w:rPr/>
        <w:t>元。</w:t>
      </w:r>
    </w:p>
    <w:p>
      <w:pPr>
        <w:pStyle w:val="BodyText"/>
        <w:spacing w:line="300" w:lineRule="auto" w:before="53"/>
        <w:ind w:right="146" w:firstLine="36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[2010]1099</w:t>
      </w:r>
      <w:r>
        <w:rPr/>
        <w:t>号</w:t>
      </w:r>
      <w:r>
        <w:rPr>
          <w:rFonts w:ascii="Times New Roman" w:hAnsi="Times New Roman" w:cs="Times New Roman" w:eastAsia="Times New Roman" w:hint="default"/>
        </w:rPr>
        <w:t>”</w:t>
      </w:r>
      <w:r>
        <w:rPr/>
        <w:t>文《关于核准福建榕基软件股份有限公司首次公</w:t>
      </w:r>
      <w:r>
        <w:rPr>
          <w:spacing w:val="2"/>
        </w:rPr>
        <w:t> </w:t>
      </w:r>
      <w:r>
        <w:rPr/>
        <w:t>开发行股票的批复》核准，本公司于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日首次向社会公开发行人民币普通股（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2,600</w:t>
      </w:r>
      <w:r>
        <w:rPr/>
        <w:t>万股，每股面值</w:t>
      </w:r>
      <w:r>
        <w:rPr>
          <w:rFonts w:ascii="Times New Roman" w:hAnsi="Times New Roman" w:cs="Times New Roman" w:eastAsia="Times New Roman" w:hint="default"/>
        </w:rPr>
        <w:t>1</w:t>
      </w:r>
      <w:r>
        <w:rPr/>
        <w:t>元，每</w:t>
      </w:r>
      <w:r>
        <w:rPr>
          <w:spacing w:val="-84"/>
        </w:rPr>
        <w:t> </w:t>
      </w:r>
      <w:r>
        <w:rPr>
          <w:spacing w:val="-1"/>
        </w:rPr>
        <w:t>股发行价格</w:t>
      </w:r>
      <w:r>
        <w:rPr>
          <w:rFonts w:ascii="Times New Roman" w:hAnsi="Times New Roman" w:cs="Times New Roman" w:eastAsia="Times New Roman" w:hint="default"/>
          <w:spacing w:val="-1"/>
        </w:rPr>
        <w:t>37.00</w:t>
      </w:r>
      <w:r>
        <w:rPr>
          <w:spacing w:val="-1"/>
        </w:rPr>
        <w:t>元。</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15</w:t>
      </w:r>
      <w:r>
        <w:rPr>
          <w:spacing w:val="-1"/>
        </w:rPr>
        <w:t>日，本公司向社会公开发行的</w:t>
      </w:r>
      <w:r>
        <w:rPr>
          <w:rFonts w:ascii="Times New Roman" w:hAnsi="Times New Roman" w:cs="Times New Roman" w:eastAsia="Times New Roman" w:hint="default"/>
          <w:spacing w:val="-1"/>
        </w:rPr>
        <w:t>2,600</w:t>
      </w:r>
      <w:r>
        <w:rPr>
          <w:spacing w:val="-1"/>
        </w:rPr>
        <w:t>万股人民币普通股（</w:t>
      </w:r>
      <w:r>
        <w:rPr>
          <w:rFonts w:ascii="Times New Roman" w:hAnsi="Times New Roman" w:cs="Times New Roman" w:eastAsia="Times New Roman" w:hint="default"/>
          <w:spacing w:val="-1"/>
        </w:rPr>
        <w:t>A</w:t>
      </w:r>
      <w:r>
        <w:rPr>
          <w:spacing w:val="-1"/>
        </w:rPr>
        <w:t>股）在深圳证券交易所挂牌上市</w:t>
      </w:r>
    </w:p>
    <w:p>
      <w:pPr>
        <w:pStyle w:val="BodyText"/>
        <w:spacing w:line="300" w:lineRule="auto" w:before="13"/>
        <w:ind w:right="151"/>
        <w:jc w:val="both"/>
      </w:pPr>
      <w:r>
        <w:rPr>
          <w:spacing w:val="-1"/>
        </w:rPr>
        <w:t>（股票简称：榕基软件，股票代码</w:t>
      </w:r>
      <w:r>
        <w:rPr>
          <w:rFonts w:ascii="Times New Roman" w:hAnsi="Times New Roman" w:cs="Times New Roman" w:eastAsia="Times New Roman" w:hint="default"/>
          <w:spacing w:val="-1"/>
        </w:rPr>
        <w:t>002474</w:t>
      </w:r>
      <w:r>
        <w:rPr>
          <w:spacing w:val="-1"/>
        </w:rPr>
        <w:t>），发行后注册资本变更为人民币</w:t>
      </w:r>
      <w:r>
        <w:rPr>
          <w:rFonts w:ascii="Times New Roman" w:hAnsi="Times New Roman" w:cs="Times New Roman" w:eastAsia="Times New Roman" w:hint="default"/>
          <w:spacing w:val="-1"/>
        </w:rPr>
        <w:t>10,370</w:t>
      </w:r>
      <w:r>
        <w:rPr>
          <w:spacing w:val="-1"/>
        </w:rPr>
        <w:t>万元。</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29</w:t>
      </w:r>
      <w:r>
        <w:rPr>
          <w:spacing w:val="-1"/>
        </w:rPr>
        <w:t>日，本公司办理完成</w:t>
      </w:r>
      <w:r>
        <w:rPr>
          <w:spacing w:val="-76"/>
        </w:rPr>
        <w:t> </w:t>
      </w:r>
      <w:r>
        <w:rPr>
          <w:spacing w:val="-76"/>
        </w:rPr>
      </w:r>
      <w:r>
        <w:rPr/>
        <w:t>相关工商登记变更手续，注册资本和实收资本均由</w:t>
      </w:r>
      <w:r>
        <w:rPr>
          <w:rFonts w:ascii="Times New Roman" w:hAnsi="Times New Roman" w:cs="Times New Roman" w:eastAsia="Times New Roman" w:hint="default"/>
        </w:rPr>
        <w:t>7,770</w:t>
      </w:r>
      <w:r>
        <w:rPr/>
        <w:t>万元变更为</w:t>
      </w:r>
      <w:r>
        <w:rPr>
          <w:rFonts w:ascii="Times New Roman" w:hAnsi="Times New Roman" w:cs="Times New Roman" w:eastAsia="Times New Roman" w:hint="default"/>
        </w:rPr>
        <w:t>10,370</w:t>
      </w:r>
      <w:r>
        <w:rPr/>
        <w:t>万元。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日，本公司将资本公积</w:t>
      </w:r>
      <w:r>
        <w:rPr>
          <w:rFonts w:ascii="Times New Roman" w:hAnsi="Times New Roman" w:cs="Times New Roman" w:eastAsia="Times New Roman" w:hint="default"/>
        </w:rPr>
        <w:t>10,370</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万元转增资本，转增后注册资本变更为人民币</w:t>
      </w:r>
      <w:r>
        <w:rPr>
          <w:rFonts w:ascii="Times New Roman" w:hAnsi="Times New Roman" w:cs="Times New Roman" w:eastAsia="Times New Roman" w:hint="default"/>
        </w:rPr>
        <w:t>20,740</w:t>
      </w:r>
      <w:r>
        <w:rPr/>
        <w:t>万元。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日，本公司办理完成相关工商登记变更手续，注册</w:t>
      </w:r>
      <w:r>
        <w:rPr>
          <w:spacing w:val="-45"/>
        </w:rPr>
        <w:t> </w:t>
      </w:r>
      <w:r>
        <w:rPr>
          <w:spacing w:val="-45"/>
        </w:rPr>
      </w:r>
      <w:r>
        <w:rPr/>
        <w:t>资本和实收资本均由</w:t>
      </w:r>
      <w:r>
        <w:rPr>
          <w:rFonts w:ascii="Times New Roman" w:hAnsi="Times New Roman" w:cs="Times New Roman" w:eastAsia="Times New Roman" w:hint="default"/>
        </w:rPr>
        <w:t>10,370</w:t>
      </w:r>
      <w:r>
        <w:rPr/>
        <w:t>万元变更为</w:t>
      </w:r>
      <w:r>
        <w:rPr>
          <w:rFonts w:ascii="Times New Roman" w:hAnsi="Times New Roman" w:cs="Times New Roman" w:eastAsia="Times New Roman" w:hint="default"/>
        </w:rPr>
        <w:t>20,740</w:t>
      </w:r>
      <w:r>
        <w:rPr/>
        <w:t>万元。</w:t>
      </w:r>
    </w:p>
    <w:p>
      <w:pPr>
        <w:pStyle w:val="BodyText"/>
        <w:spacing w:line="240" w:lineRule="auto" w:before="53"/>
        <w:ind w:left="512" w:right="147"/>
        <w:jc w:val="left"/>
      </w:pPr>
      <w:r>
        <w:rPr/>
        <w:t>本公司法定代表人为鲁峰，本公司住址为福州市鼓楼区铜盘路福州软件园产业基地。</w:t>
      </w:r>
    </w:p>
    <w:p>
      <w:pPr>
        <w:pStyle w:val="BodyText"/>
        <w:spacing w:line="340" w:lineRule="auto" w:before="115"/>
        <w:ind w:left="512" w:right="147" w:hanging="360"/>
        <w:jc w:val="left"/>
      </w:pPr>
      <w:r>
        <w:rPr>
          <w:rFonts w:ascii="Times New Roman" w:hAnsi="Times New Roman" w:cs="Times New Roman" w:eastAsia="Times New Roman" w:hint="default"/>
        </w:rPr>
        <w:t>2</w:t>
      </w:r>
      <w:r>
        <w:rPr/>
        <w:t>、行业性质、经营范围和主要产品 </w:t>
      </w:r>
      <w:r>
        <w:rPr>
          <w:spacing w:val="-2"/>
        </w:rPr>
        <w:t>本公司属信息技术行业，经营范围主要包括：计算机及网络软件开发服务、计算机硬件技术服务、电子计算机及配件的</w:t>
      </w:r>
    </w:p>
    <w:p>
      <w:pPr>
        <w:pStyle w:val="BodyText"/>
        <w:spacing w:line="240" w:lineRule="auto"/>
        <w:ind w:right="0"/>
        <w:jc w:val="both"/>
      </w:pPr>
      <w:r>
        <w:rPr/>
        <w:t>批发零售等。</w:t>
      </w:r>
    </w:p>
    <w:p>
      <w:pPr>
        <w:pStyle w:val="BodyText"/>
        <w:spacing w:line="300" w:lineRule="auto" w:before="117"/>
        <w:ind w:right="150" w:firstLine="360"/>
        <w:jc w:val="both"/>
      </w:pPr>
      <w:r>
        <w:rPr>
          <w:spacing w:val="-2"/>
        </w:rPr>
        <w:t>本公司专注于电子政务、质检行业</w:t>
      </w:r>
      <w:r>
        <w:rPr>
          <w:rFonts w:ascii="Times New Roman" w:hAnsi="Times New Roman" w:cs="Times New Roman" w:eastAsia="Times New Roman" w:hint="default"/>
          <w:spacing w:val="-2"/>
        </w:rPr>
        <w:t>“</w:t>
      </w:r>
      <w:r>
        <w:rPr>
          <w:spacing w:val="-2"/>
        </w:rPr>
        <w:t>三电工程</w:t>
      </w:r>
      <w:r>
        <w:rPr>
          <w:rFonts w:ascii="Times New Roman" w:hAnsi="Times New Roman" w:cs="Times New Roman" w:eastAsia="Times New Roman" w:hint="default"/>
          <w:spacing w:val="-2"/>
        </w:rPr>
        <w:t>”</w:t>
      </w:r>
      <w:r>
        <w:rPr>
          <w:spacing w:val="-2"/>
        </w:rPr>
        <w:t>、信息安全、协同管理等软件产品的开发与销售、计算机系统集成及技术</w:t>
      </w:r>
      <w:r>
        <w:rPr/>
        <w:t> 支持与服务。本公司主要产品有</w:t>
      </w:r>
      <w:r>
        <w:rPr>
          <w:rFonts w:ascii="Times New Roman" w:hAnsi="Times New Roman" w:cs="Times New Roman" w:eastAsia="Times New Roman" w:hint="default"/>
        </w:rPr>
        <w:t>RJ-eGov</w:t>
      </w:r>
      <w:r>
        <w:rPr/>
        <w:t>政务信息化解决方案、</w:t>
      </w:r>
      <w:r>
        <w:rPr>
          <w:rFonts w:ascii="Times New Roman" w:hAnsi="Times New Roman" w:cs="Times New Roman" w:eastAsia="Times New Roman" w:hint="default"/>
        </w:rPr>
        <w:t>RJ-eFlow</w:t>
      </w:r>
      <w:r>
        <w:rPr/>
        <w:t>办公自动化系统、</w:t>
      </w:r>
      <w:r>
        <w:rPr>
          <w:rFonts w:ascii="Times New Roman" w:hAnsi="Times New Roman" w:cs="Times New Roman" w:eastAsia="Times New Roman" w:hint="default"/>
        </w:rPr>
        <w:t>RJ-easy</w:t>
      </w:r>
      <w:r>
        <w:rPr/>
        <w:t>电子单证系统、</w:t>
      </w:r>
      <w:r>
        <w:rPr>
          <w:rFonts w:ascii="Times New Roman" w:hAnsi="Times New Roman" w:cs="Times New Roman" w:eastAsia="Times New Roman" w:hint="default"/>
        </w:rPr>
        <w:t>RJ-CMS</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1"/>
        </w:rPr>
        <w:t>内容管理系统、</w:t>
      </w:r>
      <w:r>
        <w:rPr>
          <w:rFonts w:ascii="Times New Roman" w:hAnsi="Times New Roman" w:cs="Times New Roman" w:eastAsia="Times New Roman" w:hint="default"/>
          <w:spacing w:val="-1"/>
        </w:rPr>
        <w:t>RJ-iTop</w:t>
      </w:r>
      <w:r>
        <w:rPr>
          <w:spacing w:val="-1"/>
        </w:rPr>
        <w:t>网络隐患扫描系统、</w:t>
      </w:r>
      <w:r>
        <w:rPr>
          <w:rFonts w:ascii="Times New Roman" w:hAnsi="Times New Roman" w:cs="Times New Roman" w:eastAsia="Times New Roman" w:hint="default"/>
          <w:spacing w:val="-1"/>
        </w:rPr>
        <w:t>RJ-ITASK</w:t>
      </w:r>
      <w:r>
        <w:rPr>
          <w:spacing w:val="-1"/>
        </w:rPr>
        <w:t>任务管理平台等一批优秀软件和经典解决方案。本公司主要客户群包</w:t>
      </w:r>
      <w:r>
        <w:rPr>
          <w:spacing w:val="-49"/>
        </w:rPr>
        <w:t> </w:t>
      </w:r>
      <w:r>
        <w:rPr>
          <w:spacing w:val="-49"/>
        </w:rPr>
      </w:r>
      <w:r>
        <w:rPr/>
        <w:t>括政府、质检、军队、能源、电信等行业用户。</w:t>
      </w:r>
    </w:p>
    <w:p>
      <w:pPr>
        <w:spacing w:after="0" w:line="300" w:lineRule="auto"/>
        <w:jc w:val="both"/>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47"/>
        <w:jc w:val="left"/>
        <w:rPr>
          <w:b w:val="0"/>
          <w:bCs w:val="0"/>
        </w:rPr>
      </w:pPr>
      <w:bookmarkStart w:name="（2）非同一控制下的企业合并" w:id="148"/>
      <w:bookmarkEnd w:id="148"/>
      <w:r>
        <w:rPr>
          <w:b w:val="0"/>
          <w:bCs w:val="0"/>
        </w:rPr>
      </w:r>
      <w:r>
        <w:rPr/>
        <w:t>四</w:t>
      </w:r>
      <w:bookmarkStart w:name="四、公司主要会计政策、会计估计和前期差错" w:id="149"/>
      <w:bookmarkEnd w:id="149"/>
      <w:r>
        <w:rPr/>
        <w:t>、</w:t>
      </w:r>
      <w:r>
        <w:rPr/>
        <w:t>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7"/>
        <w:jc w:val="left"/>
        <w:rPr>
          <w:b w:val="0"/>
          <w:bCs w:val="0"/>
        </w:rPr>
      </w:pPr>
      <w:r>
        <w:rPr>
          <w:rFonts w:ascii="Times New Roman" w:hAnsi="Times New Roman" w:cs="Times New Roman" w:eastAsia="Times New Roman" w:hint="default"/>
        </w:rPr>
        <w:t>1</w:t>
      </w:r>
      <w:bookmarkStart w:name="1、财务报表的编制基础" w:id="150"/>
      <w:bookmarkEnd w:id="150"/>
      <w:r>
        <w:rPr>
          <w:rFonts w:ascii="Times New Roman" w:hAnsi="Times New Roman" w:cs="Times New Roman" w:eastAsia="Times New Roman" w:hint="default"/>
        </w:rPr>
      </w:r>
      <w:r>
        <w:rPr/>
        <w:t>、财务报表的编制基础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53" w:firstLine="360"/>
        <w:jc w:val="both"/>
      </w:pPr>
      <w:r>
        <w:rPr/>
        <w:t>本财务报表按照财政部</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月颁布的《企业会计准则</w:t>
      </w:r>
      <w:r>
        <w:rPr>
          <w:rFonts w:ascii="Times New Roman" w:hAnsi="Times New Roman" w:cs="Times New Roman" w:eastAsia="Times New Roman" w:hint="default"/>
        </w:rPr>
        <w:t>—</w:t>
      </w:r>
      <w:r>
        <w:rPr/>
        <w:t>基本准则》和</w:t>
      </w:r>
      <w:r>
        <w:rPr>
          <w:rFonts w:ascii="Times New Roman" w:hAnsi="Times New Roman" w:cs="Times New Roman" w:eastAsia="Times New Roman" w:hint="default"/>
        </w:rPr>
        <w:t>38</w:t>
      </w:r>
      <w:r>
        <w:rPr/>
        <w:t>项具体会计准则及其应用指南、解释及其他 </w:t>
      </w:r>
      <w:r>
        <w:rPr>
          <w:spacing w:val="-2"/>
        </w:rPr>
        <w:t>有关规定（统称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）编制。此外，本公司还按照中国证监会《公开发行证券的公司信息披露编报规则第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 </w:t>
      </w:r>
      <w:r>
        <w:rPr/>
        <w:t>财务报告的一般规定》（</w:t>
      </w:r>
      <w:r>
        <w:rPr>
          <w:rFonts w:ascii="Times New Roman" w:hAnsi="Times New Roman" w:cs="Times New Roman" w:eastAsia="Times New Roman" w:hint="default"/>
        </w:rPr>
        <w:t>2010</w:t>
      </w:r>
      <w:r>
        <w:rPr/>
        <w:t>年修订）披露有关财务信息。</w:t>
      </w:r>
    </w:p>
    <w:p>
      <w:pPr>
        <w:pStyle w:val="BodyText"/>
        <w:spacing w:line="357" w:lineRule="auto" w:before="53"/>
        <w:ind w:left="512" w:right="147"/>
        <w:jc w:val="left"/>
      </w:pPr>
      <w:r>
        <w:rPr/>
        <w:t>本财务报表以持续经营为基础列报。 </w:t>
      </w:r>
      <w:r>
        <w:rPr>
          <w:spacing w:val="-2"/>
        </w:rPr>
        <w:t>本公司会计核算以权责发生制为基础。本财务报表均以历史成本为计量基础。资产如果发生减值，则按照相关规定计提</w:t>
      </w:r>
    </w:p>
    <w:p>
      <w:pPr>
        <w:pStyle w:val="BodyText"/>
        <w:spacing w:line="224" w:lineRule="exact"/>
        <w:ind w:right="147"/>
        <w:jc w:val="left"/>
      </w:pPr>
      <w:r>
        <w:rPr/>
        <w:t>相应的减值准备。</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360"/>
        <w:jc w:val="both"/>
      </w:pPr>
      <w:r>
        <w:rPr>
          <w:spacing w:val="-2"/>
        </w:rPr>
        <w:t>本财务报表符合企业会计准则的要求，</w:t>
      </w:r>
      <w:bookmarkStart w:name="2、遵循企业会计准则的声明" w:id="151"/>
      <w:bookmarkEnd w:id="151"/>
      <w:r>
        <w:rPr>
          <w:spacing w:val="-2"/>
        </w:rPr>
        <w:t>真实</w:t>
      </w:r>
      <w:r>
        <w:rPr>
          <w:spacing w:val="-2"/>
        </w:rPr>
        <w:t>、完整地反映了本公司</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日的合并及公司财务状况以及</w:t>
      </w:r>
      <w:r>
        <w:rPr>
          <w:rFonts w:ascii="宋体" w:hAnsi="宋体" w:cs="宋体" w:eastAsia="宋体" w:hint="default"/>
          <w:spacing w:val="-2"/>
        </w:rPr>
        <w:t>2012</w:t>
      </w:r>
      <w:r>
        <w:rPr>
          <w:spacing w:val="-2"/>
        </w:rPr>
        <w:t>年度</w:t>
      </w:r>
      <w:r>
        <w:rPr/>
        <w:t> 的合并及公司经营成果和合并及公司现金流量等有关信息。</w:t>
      </w:r>
    </w:p>
    <w:p>
      <w:pPr>
        <w:spacing w:line="240" w:lineRule="auto" w:before="10"/>
        <w:rPr>
          <w:rFonts w:ascii="宋体" w:hAnsi="宋体" w:cs="宋体" w:eastAsia="宋体" w:hint="default"/>
          <w:sz w:val="22"/>
          <w:szCs w:val="22"/>
        </w:rPr>
      </w:pPr>
    </w:p>
    <w:p>
      <w:pPr>
        <w:pStyle w:val="Heading3"/>
        <w:spacing w:line="240" w:lineRule="auto"/>
        <w:ind w:right="147"/>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147"/>
        <w:jc w:val="left"/>
      </w:pPr>
      <w:r>
        <w:rPr/>
        <w:t>本公司会计期间采用公历年度，即每年自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bookmarkStart w:name="3、会计期间" w:id="152"/>
      <w:bookmarkEnd w:id="152"/>
      <w:r>
        <w:rPr>
          <w:rFonts w:ascii="宋体" w:hAnsi="宋体" w:cs="宋体" w:eastAsia="宋体" w:hint="default"/>
        </w:rPr>
      </w:r>
      <w:r>
        <w:rPr/>
        <w:t>日止。</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147"/>
        <w:jc w:val="left"/>
      </w:pPr>
      <w:r>
        <w:rPr/>
        <w:t>本公司以人民币为记账本位币。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3" w:firstLine="360"/>
        <w:jc w:val="both"/>
      </w:pPr>
      <w:r>
        <w:rPr>
          <w:spacing w:val="-2"/>
        </w:rPr>
        <w:t>对于同一控制下的企业合并，合并方在合并中取得的被合并方的资产、负债，</w:t>
      </w:r>
      <w:bookmarkStart w:name="4、记账本位币" w:id="153"/>
      <w:bookmarkEnd w:id="153"/>
      <w:r>
        <w:rPr>
          <w:spacing w:val="-2"/>
        </w:rPr>
        <w:t>除因会计</w:t>
      </w:r>
      <w:r>
        <w:rPr>
          <w:spacing w:val="-2"/>
        </w:rPr>
        <w:t>政</w:t>
      </w:r>
      <w:bookmarkStart w:name="5、同一控制下和非同一控制下企业合并的会计处理方法" w:id="154"/>
      <w:bookmarkEnd w:id="154"/>
      <w:r>
        <w:rPr>
          <w:spacing w:val="-2"/>
        </w:rPr>
      </w:r>
      <w:bookmarkStart w:name="（1）同一控制下企业合并" w:id="155"/>
      <w:bookmarkEnd w:id="155"/>
      <w:r>
        <w:rPr>
          <w:spacing w:val="-2"/>
        </w:rPr>
        <w:t>策不同而进行的调整以外</w:t>
      </w:r>
      <w:r>
        <w:rPr>
          <w:spacing w:val="-2"/>
        </w:rPr>
        <w:t>，按</w:t>
      </w:r>
      <w:r>
        <w:rPr/>
        <w:t> </w:t>
      </w:r>
      <w:r>
        <w:rPr>
          <w:spacing w:val="-2"/>
        </w:rPr>
        <w:t>合并日被合并方的原账面价值计量。合并对价的账面价值与合并中取得的净资产账面价值的差额调整资本公积，资本公积不</w:t>
      </w:r>
      <w:r>
        <w:rPr>
          <w:spacing w:val="-64"/>
        </w:rPr>
        <w:t> </w:t>
      </w:r>
      <w:r>
        <w:rPr>
          <w:spacing w:val="-64"/>
        </w:rPr>
      </w:r>
      <w:r>
        <w:rPr/>
        <w:t>足冲减的，调整留存收益。</w:t>
      </w:r>
    </w:p>
    <w:p>
      <w:pPr>
        <w:pStyle w:val="BodyText"/>
        <w:spacing w:line="240" w:lineRule="auto" w:before="59"/>
        <w:ind w:left="512" w:right="147"/>
        <w:jc w:val="left"/>
      </w:pPr>
      <w:r>
        <w:rPr/>
        <w:t>为进行企业合并发生的直接相关费用于发生时计入当期损益。</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3" w:firstLine="360"/>
        <w:jc w:val="both"/>
      </w:pPr>
      <w:r>
        <w:rPr>
          <w:spacing w:val="-2"/>
        </w:rPr>
        <w:t>对于非同一控制下的企业合并，合并成本为本公司在购买日为取得对被购买方的控制权而付出的资产、发生或承担的负</w:t>
      </w:r>
      <w:r>
        <w:rPr/>
        <w:t> 债以及发行的权益性证券的公允价值。在购买日，本公司取得的被购买方的资产、负债及或有负债按公允价值确认。</w:t>
      </w:r>
    </w:p>
    <w:p>
      <w:pPr>
        <w:pStyle w:val="BodyText"/>
        <w:spacing w:line="316" w:lineRule="auto" w:before="59"/>
        <w:ind w:right="153" w:firstLine="360"/>
        <w:jc w:val="both"/>
      </w:pPr>
      <w:r>
        <w:rPr>
          <w:spacing w:val="-2"/>
        </w:rPr>
        <w:t>为进行企业合并发生的审计、法律服务、评估咨询等中介费用以及其他相关管理费用，于发生时计入当期损益。作为合</w:t>
      </w:r>
      <w:r>
        <w:rPr/>
        <w:t> 并对价发行的权益性证券或债务性证券的交易费用，计入权益性证券或债务性证券的初始确认金额。</w:t>
      </w:r>
    </w:p>
    <w:p>
      <w:pPr>
        <w:pStyle w:val="BodyText"/>
        <w:spacing w:line="316" w:lineRule="auto" w:before="59"/>
        <w:ind w:right="153" w:firstLine="360"/>
        <w:jc w:val="both"/>
      </w:pPr>
      <w:r>
        <w:rPr>
          <w:spacing w:val="-2"/>
        </w:rPr>
        <w:t>本公司对合并成本大于合并中取得的被购买方可辨认净资产公允价值份额的差额，确认为商誉，按成本扣除累计减值准</w:t>
      </w:r>
      <w:r>
        <w:rPr/>
        <w:t> 备进行后续计量；对合并成本小于合并中取得的被购买方可辨认净资产公允价值份额的差额，经复核后计入当期损益。</w:t>
      </w:r>
    </w:p>
    <w:p>
      <w:pPr>
        <w:pStyle w:val="BodyText"/>
        <w:spacing w:line="316" w:lineRule="auto" w:before="57"/>
        <w:ind w:right="153" w:firstLine="360"/>
        <w:jc w:val="both"/>
      </w:pPr>
      <w:r>
        <w:rPr>
          <w:spacing w:val="-2"/>
        </w:rPr>
        <w:t>通过多次交易分步实现非同一控制下的企业合并的，在合并财务报表中，合并成本为购买日支付的对价与购买日之前已</w:t>
      </w:r>
      <w:r>
        <w:rPr/>
        <w:t> </w:t>
      </w:r>
      <w:r>
        <w:rPr>
          <w:spacing w:val="-2"/>
        </w:rPr>
        <w:t>经持有的被购买方的股权在购买日的公允价值之和。对于购买日之前已经持有的被购买方的股权，按照购买日的公允价值进</w:t>
      </w:r>
      <w:r>
        <w:rPr>
          <w:spacing w:val="-64"/>
        </w:rPr>
        <w:t> </w:t>
      </w:r>
      <w:r>
        <w:rPr>
          <w:spacing w:val="-64"/>
        </w:rPr>
      </w:r>
      <w:r>
        <w:rPr>
          <w:spacing w:val="-2"/>
        </w:rPr>
        <w:t>行重新计量，公允价值与其账面价值之间的差额计入当期投资收益；购买日之前已经持有的被购买方的股权涉及其他综合收</w:t>
      </w:r>
    </w:p>
    <w:p>
      <w:pPr>
        <w:spacing w:after="0" w:line="316"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47"/>
        <w:jc w:val="left"/>
      </w:pPr>
      <w:r>
        <w:rPr/>
        <w:t>益的，与其相关的其他综合收益转为购买日当期投资收益。</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6</w:t>
      </w:r>
      <w:bookmarkStart w:name="6、合并财务报表的编制方法" w:id="156"/>
      <w:bookmarkEnd w:id="156"/>
      <w:r>
        <w:rPr>
          <w:rFonts w:ascii="Times New Roman" w:hAnsi="Times New Roman" w:cs="Times New Roman" w:eastAsia="Times New Roman" w:hint="default"/>
        </w:rPr>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bookmarkStart w:name="（1）合并财务报表的编制方法" w:id="157"/>
      <w:bookmarkEnd w:id="157"/>
      <w:r>
        <w:rPr>
          <w:rFonts w:ascii="Times New Roman" w:hAnsi="Times New Roman" w:cs="Times New Roman" w:eastAsia="Times New Roman" w:hint="default"/>
        </w:rPr>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512" w:right="147"/>
        <w:jc w:val="left"/>
      </w:pPr>
      <w:r>
        <w:rPr/>
        <w:t>合并财务报表的合并范围包括本公司及全部子公司。 </w:t>
      </w:r>
      <w:r>
        <w:rPr>
          <w:spacing w:val="-2"/>
        </w:rPr>
        <w:t>本公司合并财务报表以本公司和子公司的财务报表为基础，根据其他有关资料，按照权益法调整对子公司的长期股权投</w:t>
      </w:r>
    </w:p>
    <w:p>
      <w:pPr>
        <w:pStyle w:val="BodyText"/>
        <w:spacing w:line="222" w:lineRule="exact"/>
        <w:ind w:right="0"/>
        <w:jc w:val="left"/>
      </w:pPr>
      <w:r>
        <w:rPr/>
        <w:t>资后，由本公司编制。在编制合并财务报表时，本公司和子公司的会计政策和会计期间要求保持一致，公司间的重大交易和</w:t>
      </w:r>
    </w:p>
    <w:p>
      <w:pPr>
        <w:pStyle w:val="BodyText"/>
        <w:spacing w:line="357" w:lineRule="auto" w:before="76"/>
        <w:ind w:left="512" w:right="147" w:hanging="360"/>
        <w:jc w:val="left"/>
      </w:pPr>
      <w:r>
        <w:rPr/>
        <w:t>往来余额予以抵销。 </w:t>
      </w:r>
      <w:r>
        <w:rPr>
          <w:spacing w:val="-2"/>
        </w:rPr>
        <w:t>在报告期内因同一控制下企业合并增加的子公司，本公司将该子公司合并当期期初至报告期末的收入、费用、利润纳入</w:t>
      </w:r>
    </w:p>
    <w:p>
      <w:pPr>
        <w:pStyle w:val="BodyText"/>
        <w:spacing w:line="224" w:lineRule="exact"/>
        <w:ind w:right="0"/>
        <w:jc w:val="left"/>
      </w:pPr>
      <w:r>
        <w:rPr/>
        <w:t>合并利润表，将其现金流量纳入合并现金流量表；因非同一控制下企业合并增加的子公司，本公司将该子公司购买日至报告</w:t>
      </w:r>
    </w:p>
    <w:p>
      <w:pPr>
        <w:pStyle w:val="BodyText"/>
        <w:spacing w:line="360" w:lineRule="auto" w:before="76"/>
        <w:ind w:left="512" w:right="147" w:hanging="360"/>
        <w:jc w:val="left"/>
      </w:pPr>
      <w:r>
        <w:rPr/>
        <w:t>期末的收入、费用、利润纳入合并利润表，将其现金流量纳入合并现金流量表。 </w:t>
      </w:r>
      <w:r>
        <w:rPr>
          <w:spacing w:val="-2"/>
        </w:rPr>
        <w:t>子公司的股东权益中不属于本公司所拥有的部分作为少数股东权益在合并资产负债表中股东权益项下单独列示。子公司</w:t>
      </w:r>
    </w:p>
    <w:p>
      <w:pPr>
        <w:pStyle w:val="BodyText"/>
        <w:spacing w:line="222" w:lineRule="exact"/>
        <w:ind w:right="0"/>
        <w:jc w:val="left"/>
      </w:pPr>
      <w:r>
        <w:rPr/>
        <w:t>当期净损益中属于少数股东权益的份额，在合并利润表中净利润项目下以</w:t>
      </w:r>
      <w:r>
        <w:rPr>
          <w:rFonts w:ascii="宋体" w:hAnsi="宋体" w:cs="宋体" w:eastAsia="宋体" w:hint="default"/>
        </w:rPr>
        <w:t>“</w:t>
      </w:r>
      <w:r>
        <w:rPr/>
        <w:t>少数股东损益</w:t>
      </w:r>
      <w:r>
        <w:rPr>
          <w:rFonts w:ascii="宋体" w:hAnsi="宋体" w:cs="宋体" w:eastAsia="宋体" w:hint="default"/>
        </w:rPr>
        <w:t>”</w:t>
      </w:r>
      <w:r>
        <w:rPr/>
        <w:t>项目列示。少数股东分担的子公</w:t>
      </w:r>
    </w:p>
    <w:p>
      <w:pPr>
        <w:pStyle w:val="BodyText"/>
        <w:spacing w:line="360" w:lineRule="auto" w:before="76"/>
        <w:ind w:left="512" w:right="147" w:hanging="360"/>
        <w:jc w:val="left"/>
      </w:pPr>
      <w:r>
        <w:rPr/>
        <w:t>司的亏损超过了少数股东在该子公司期初所有者权益中所享有的份额，其余额仍冲减少数股东权益。 </w:t>
      </w:r>
      <w:r>
        <w:rPr>
          <w:spacing w:val="-2"/>
        </w:rPr>
        <w:t>对于购买子公司少数股权或因处置部分股权投资但没有丧失对该子公司控制权的交易，作为权益性交易核算，调整归属</w:t>
      </w:r>
    </w:p>
    <w:p>
      <w:pPr>
        <w:pStyle w:val="BodyText"/>
        <w:spacing w:line="222" w:lineRule="exact"/>
        <w:ind w:right="0"/>
        <w:jc w:val="left"/>
      </w:pPr>
      <w:r>
        <w:rPr/>
        <w:t>于母公司所有者权益和少数股东权益的账面价值以反映其在子公司中相关权益的变化。少数股东权益的调整额与支付</w:t>
      </w:r>
      <w:r>
        <w:rPr>
          <w:rFonts w:ascii="宋体" w:hAnsi="宋体" w:cs="宋体" w:eastAsia="宋体" w:hint="default"/>
        </w:rPr>
        <w:t>/</w:t>
      </w:r>
      <w:r>
        <w:rPr/>
        <w:t>收到</w:t>
      </w:r>
    </w:p>
    <w:p>
      <w:pPr>
        <w:pStyle w:val="BodyText"/>
        <w:spacing w:line="357" w:lineRule="auto" w:before="76"/>
        <w:ind w:left="512" w:right="147" w:hanging="360"/>
        <w:jc w:val="left"/>
      </w:pPr>
      <w:r>
        <w:rPr/>
        <w:t>对价的公允价值之间的差额调整资本公积，资本公积不足冲减的，调整留存收益。 </w:t>
      </w:r>
      <w:r>
        <w:rPr>
          <w:spacing w:val="-2"/>
        </w:rPr>
        <w:t>因处置部分股权投资或其他原因丧失了对原有子公司控制权的，剩余股权按照其在丧失控制权日的公允价值进行重新计</w:t>
      </w:r>
    </w:p>
    <w:p>
      <w:pPr>
        <w:pStyle w:val="BodyText"/>
        <w:spacing w:line="224" w:lineRule="exact"/>
        <w:ind w:right="0"/>
        <w:jc w:val="left"/>
      </w:pPr>
      <w:r>
        <w:rPr/>
        <w:t>量；处置股权取得的对价与剩余股权公允价值之和，减去按原持股比例计算应享有原子公司自购买日开始持续计算的净资产</w:t>
      </w:r>
    </w:p>
    <w:p>
      <w:pPr>
        <w:pStyle w:val="BodyText"/>
        <w:spacing w:line="316" w:lineRule="auto" w:before="76"/>
        <w:ind w:right="147"/>
        <w:jc w:val="left"/>
      </w:pPr>
      <w:r>
        <w:rPr>
          <w:spacing w:val="-2"/>
        </w:rPr>
        <w:t>的份额之间的差额，计入丧失控制权当期的投资收益；与原有子公司股权投资相关的其他综合收益，在丧失控制权时转为当</w:t>
      </w:r>
      <w:r>
        <w:rPr>
          <w:spacing w:val="-63"/>
        </w:rPr>
        <w:t> </w:t>
      </w:r>
      <w:r>
        <w:rPr>
          <w:spacing w:val="-63"/>
        </w:rPr>
      </w:r>
      <w:r>
        <w:rPr/>
        <w:t>期投资收益。</w:t>
      </w:r>
    </w:p>
    <w:p>
      <w:pPr>
        <w:spacing w:line="240" w:lineRule="auto" w:before="11"/>
        <w:rPr>
          <w:rFonts w:ascii="宋体" w:hAnsi="宋体" w:cs="宋体" w:eastAsia="宋体" w:hint="default"/>
          <w:sz w:val="22"/>
          <w:szCs w:val="22"/>
        </w:rPr>
      </w:pPr>
    </w:p>
    <w:p>
      <w:pPr>
        <w:pStyle w:val="Heading3"/>
        <w:spacing w:line="240" w:lineRule="auto"/>
        <w:ind w:right="147"/>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w:t>
      </w:r>
      <w:bookmarkStart w:name="（2）对同一子公司的股权在连续两个会计年度买入再卖出，或卖出再买入的应披露相关的" w:id="158"/>
      <w:bookmarkEnd w:id="158"/>
      <w:r>
        <w:rPr/>
        <w:t>应披露相关的会计</w:t>
      </w:r>
      <w:r>
        <w:rPr/>
        <w:t>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47" w:firstLine="360"/>
        <w:jc w:val="left"/>
      </w:pPr>
      <w:r>
        <w:rPr>
          <w:spacing w:val="-2"/>
        </w:rPr>
        <w:t>现金是指库存现金以及可以随时用于支付的存款。现金等价物，是指本公司持有的期限短、流动性强、</w:t>
      </w:r>
      <w:bookmarkStart w:name="7、现金及现金等价物的确定标准" w:id="159"/>
      <w:bookmarkEnd w:id="159"/>
      <w:r>
        <w:rPr>
          <w:spacing w:val="-2"/>
        </w:rPr>
        <w:t>易于转换为已知</w:t>
      </w:r>
      <w:r>
        <w:rPr/>
        <w:t> 金额现金、价值变动风险很小的投资。</w:t>
      </w:r>
    </w:p>
    <w:p>
      <w:pPr>
        <w:spacing w:after="0" w:line="316"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7"/>
        <w:jc w:val="left"/>
        <w:rPr>
          <w:b w:val="0"/>
          <w:bCs w:val="0"/>
        </w:rPr>
      </w:pPr>
      <w:bookmarkStart w:name="（1）单项金额重大的应收款项坏账准备" w:id="160"/>
      <w:bookmarkEnd w:id="160"/>
      <w:r>
        <w:rPr>
          <w:b w:val="0"/>
          <w:bCs w:val="0"/>
        </w:rPr>
      </w:r>
      <w:r>
        <w:rPr>
          <w:rFonts w:ascii="Times New Roman" w:hAnsi="Times New Roman" w:cs="Times New Roman" w:eastAsia="Times New Roman" w:hint="default"/>
        </w:rPr>
        <w:t>8</w:t>
      </w:r>
      <w:bookmarkStart w:name="8、外币业务和外币报表折算" w:id="161"/>
      <w:bookmarkEnd w:id="161"/>
      <w:r>
        <w:rPr>
          <w:rFonts w:ascii="Times New Roman" w:hAnsi="Times New Roman" w:cs="Times New Roman" w:eastAsia="Times New Roman" w:hint="default"/>
        </w:rPr>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bookmarkStart w:name="（1）外币业务" w:id="162"/>
      <w:bookmarkEnd w:id="162"/>
      <w:r>
        <w:rPr>
          <w:rFonts w:ascii="Times New Roman" w:hAnsi="Times New Roman" w:cs="Times New Roman" w:eastAsia="Times New Roman" w:hint="default"/>
        </w:rPr>
      </w:r>
      <w:r>
        <w:rPr/>
        <w:t>）外币业务</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2</w:t>
      </w:r>
      <w:bookmarkStart w:name="（2）外币财务报表的折算" w:id="163"/>
      <w:bookmarkEnd w:id="163"/>
      <w:r>
        <w:rPr>
          <w:rFonts w:ascii="Times New Roman" w:hAnsi="Times New Roman" w:cs="Times New Roman" w:eastAsia="Times New Roman" w:hint="default"/>
        </w:rPr>
      </w:r>
      <w:r>
        <w:rPr/>
        <w:t>）外币财务报表的折算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2</w:t>
      </w:r>
      <w:r>
        <w:rPr/>
        <w:t>）金融工具的确</w:t>
      </w:r>
      <w:bookmarkStart w:name="9、金融工具" w:id="164"/>
      <w:bookmarkEnd w:id="164"/>
      <w:r>
        <w:rPr/>
        <w:t>认依</w:t>
      </w:r>
      <w:r>
        <w:rPr/>
        <w:t>据</w:t>
      </w:r>
      <w:bookmarkStart w:name="（1）金融工具的分类" w:id="165"/>
      <w:bookmarkEnd w:id="165"/>
      <w:r>
        <w:rPr/>
      </w:r>
      <w:bookmarkStart w:name="（2）金融工具的确认依据和计量方法" w:id="166"/>
      <w:bookmarkEnd w:id="166"/>
      <w:r>
        <w:rPr/>
        <w:t>和计量方法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5</w:t>
      </w:r>
      <w:r>
        <w:rPr/>
        <w:t>）金融资产和金融负债</w:t>
      </w:r>
      <w:bookmarkStart w:name="（3）金融资产转移的确认依据和计量方法" w:id="167"/>
      <w:bookmarkEnd w:id="167"/>
      <w:r>
        <w:rPr/>
        <w:t>公允价值的确定方法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6</w:t>
      </w:r>
      <w:r>
        <w:rPr/>
        <w:t>）金融资产（不含应收款项）减值测试方法</w:t>
      </w:r>
      <w:bookmarkStart w:name="（4）金融负债终止确认条件" w:id="168"/>
      <w:bookmarkEnd w:id="168"/>
      <w:r>
        <w:rPr/>
        <w:t>、</w:t>
      </w:r>
      <w:r>
        <w:rPr/>
        <w:t>减</w:t>
      </w:r>
      <w:bookmarkStart w:name="（5）金融资产和金融负债公允价值的确定方法" w:id="169"/>
      <w:bookmarkEnd w:id="169"/>
      <w:r>
        <w:rPr/>
      </w:r>
      <w:bookmarkStart w:name="（6）金融资产（不含应收款项）减值测试方法、减值准备计提方法" w:id="170"/>
      <w:bookmarkEnd w:id="170"/>
      <w:r>
        <w:rPr/>
        <w:t>值准备计提方法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7</w:t>
      </w:r>
      <w:r>
        <w:rPr/>
        <w:t>）将尚未到期的持有至到期投资重分类为可供出</w:t>
      </w:r>
      <w:bookmarkStart w:name="（7）将尚未到期的持有至到期投资重分类为可供出售金融资产的，说明持有意图或能力发" w:id="171"/>
      <w:bookmarkEnd w:id="171"/>
      <w:r>
        <w:rPr/>
        <w:t>售金融资产的，说</w:t>
      </w:r>
      <w:r>
        <w:rPr/>
        <w:t>明持有意图或能力发生改变的依据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3" w:firstLine="360"/>
        <w:jc w:val="both"/>
      </w:pPr>
      <w:r>
        <w:rPr>
          <w:spacing w:val="-2"/>
        </w:rPr>
        <w:t>本公司应收款项（包括应收账款和其他应收款等）按合同或</w:t>
      </w:r>
      <w:bookmarkStart w:name="10、应收款项坏账准备的确认标准和计提方法" w:id="172"/>
      <w:bookmarkEnd w:id="172"/>
      <w:r>
        <w:rPr>
          <w:spacing w:val="-2"/>
        </w:rPr>
        <w:t>协议价款作为初始入账金额</w:t>
      </w:r>
      <w:r>
        <w:rPr>
          <w:spacing w:val="-2"/>
        </w:rPr>
        <w:t>。凡因债务人破产，依照法律清</w:t>
      </w:r>
      <w:r>
        <w:rPr/>
        <w:t> </w:t>
      </w:r>
      <w:r>
        <w:rPr>
          <w:spacing w:val="-2"/>
        </w:rPr>
        <w:t>偿程序清偿后仍无法收回；或因债务人死亡，既无遗产可供清偿，又无义务承担人，确实无法收回；或因债务人逾期未能履</w:t>
      </w:r>
      <w:r>
        <w:rPr>
          <w:spacing w:val="-67"/>
        </w:rPr>
        <w:t> </w:t>
      </w:r>
      <w:r>
        <w:rPr>
          <w:spacing w:val="-67"/>
        </w:rPr>
      </w:r>
      <w:r>
        <w:rPr/>
        <w:t>行偿债义务，经法定程序审核批准，该等应收账款列为坏账损失。</w:t>
      </w:r>
    </w:p>
    <w:p>
      <w:pPr>
        <w:pStyle w:val="BodyText"/>
        <w:spacing w:line="316" w:lineRule="auto" w:before="59"/>
        <w:ind w:right="150" w:firstLine="360"/>
        <w:jc w:val="both"/>
      </w:pPr>
      <w:r>
        <w:rPr>
          <w:spacing w:val="-2"/>
        </w:rPr>
        <w:t>本公司以应收债权向银行等金融机构转让、质押或贴现等方式融资时，根据相关合同的约定，当债务人到期未偿还该项</w:t>
      </w:r>
      <w:r>
        <w:rPr/>
        <w:t> </w:t>
      </w:r>
      <w:r>
        <w:rPr>
          <w:spacing w:val="-2"/>
        </w:rPr>
        <w:t>债务时，若本公司负有向金融机构还款的责任，则该应收债权作为质押贷款处理；若本公司没有向金融机构还款的责任，则</w:t>
      </w:r>
      <w:r>
        <w:rPr>
          <w:spacing w:val="-64"/>
        </w:rPr>
        <w:t> </w:t>
      </w:r>
      <w:r>
        <w:rPr>
          <w:spacing w:val="-64"/>
        </w:rPr>
      </w:r>
      <w:r>
        <w:rPr/>
        <w:t>该应收债权作为转让处理，并确认债权的转让损益。</w:t>
      </w:r>
    </w:p>
    <w:p>
      <w:pPr>
        <w:pStyle w:val="BodyText"/>
        <w:spacing w:line="240" w:lineRule="auto" w:before="59"/>
        <w:ind w:left="512" w:right="147"/>
        <w:jc w:val="left"/>
      </w:pPr>
      <w:r>
        <w:rPr/>
        <w:t>本公司收回应收款项时，将取得的价款和应收款项账面价值之间的差额计入当期损益。</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3"/>
        <w:gridCol w:w="4514"/>
      </w:tblGrid>
      <w:tr>
        <w:trPr>
          <w:trHeight w:val="715" w:hRule="exact"/>
        </w:trPr>
        <w:tc>
          <w:tcPr>
            <w:tcW w:w="5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本公司将账面余额大于等于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4"/>
                <w:sz w:val="18"/>
                <w:szCs w:val="18"/>
              </w:rPr>
              <w:t>万元的应收款项，确定为</w:t>
            </w:r>
            <w:r>
              <w:rPr>
                <w:rFonts w:ascii="宋体" w:hAnsi="宋体" w:cs="宋体" w:eastAsia="宋体" w:hint="default"/>
                <w:sz w:val="18"/>
                <w:szCs w:val="18"/>
              </w:rPr>
              <w:t> 单项金额重大的应收款项。</w:t>
            </w:r>
          </w:p>
        </w:tc>
      </w:tr>
      <w:tr>
        <w:trPr>
          <w:trHeight w:val="2273" w:hRule="exact"/>
        </w:trPr>
        <w:tc>
          <w:tcPr>
            <w:tcW w:w="5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在资产负债表日，本公司对单项金额重大的应收款项单独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进行减值测试，经测试发生了减值的，按其未来现金流量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现值低于其账面价值的差额，确定减值损失，计提坏账准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备；对单项测试未减值的应收款项，汇同对单项金额非重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大的应收款项，按类似的信用风险特征划分为若干组合， 再按这些应收款项组合在资产负债表日余额的一定比例 计算确定减值损失，计提坏账准备。</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147"/>
        <w:jc w:val="left"/>
        <w:rPr>
          <w:b w:val="0"/>
          <w:bCs w:val="0"/>
        </w:rPr>
      </w:pPr>
      <w:bookmarkStart w:name="11、存货" w:id="173"/>
      <w:bookmarkEnd w:id="173"/>
      <w:r>
        <w:rPr>
          <w:b w:val="0"/>
          <w:bCs w:val="0"/>
        </w:rPr>
      </w:r>
      <w:bookmarkStart w:name="（1）存货的分类" w:id="174"/>
      <w:bookmarkEnd w:id="174"/>
      <w:r>
        <w:rPr>
          <w:b w:val="0"/>
          <w:bCs w:val="0"/>
        </w:rPr>
      </w:r>
      <w:bookmarkStart w:name="（2）发出存货的计价方法" w:id="175"/>
      <w:bookmarkEnd w:id="175"/>
      <w:r>
        <w:rPr>
          <w:b w:val="0"/>
          <w:bCs w:val="0"/>
        </w:rPr>
      </w: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599"/>
        <w:gridCol w:w="2186"/>
        <w:gridCol w:w="4783"/>
      </w:tblGrid>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bookmarkStart w:name="（2）按组合计提坏账准备的应收款项" w:id="176"/>
            <w:bookmarkEnd w:id="176"/>
            <w:r>
              <w:rPr/>
            </w: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相同账龄的应收款项具有类似信用风险特征</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购买理财产品产生的应收款项</w:t>
            </w:r>
          </w:p>
        </w:tc>
      </w:tr>
    </w:tbl>
    <w:p>
      <w:pPr>
        <w:pStyle w:val="BodyText"/>
        <w:spacing w:line="240" w:lineRule="auto" w:before="49"/>
        <w:ind w:right="147"/>
        <w:jc w:val="left"/>
      </w:pPr>
      <w:r>
        <w:rPr/>
        <w:t>组合中，采用账龄分析法计提坏账准备的</w:t>
      </w:r>
    </w:p>
    <w:p>
      <w:pPr>
        <w:pStyle w:val="BodyText"/>
        <w:spacing w:line="240" w:lineRule="auto" w:before="117"/>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6"/>
        <w:gridCol w:w="2987"/>
        <w:gridCol w:w="3994"/>
      </w:tblGrid>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147"/>
        <w:jc w:val="left"/>
      </w:pPr>
      <w:r>
        <w:rPr/>
        <w:t>组合中，采用余额百分比法计提坏账准备的</w:t>
      </w:r>
    </w:p>
    <w:p>
      <w:pPr>
        <w:pStyle w:val="BodyText"/>
        <w:spacing w:line="340" w:lineRule="auto" w:before="115"/>
        <w:ind w:right="67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931"/>
        <w:gridCol w:w="5638"/>
      </w:tblGrid>
      <w:tr>
        <w:trPr>
          <w:trHeight w:val="403" w:hRule="exact"/>
        </w:trPr>
        <w:tc>
          <w:tcPr>
            <w:tcW w:w="3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401" w:hRule="exact"/>
        </w:trPr>
        <w:tc>
          <w:tcPr>
            <w:tcW w:w="3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其他组合</w:t>
            </w:r>
          </w:p>
        </w:tc>
        <w:tc>
          <w:tcPr>
            <w:tcW w:w="5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单项计提方法，即根据其他应收款的预计未来现金流量</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4"/>
        <w:gridCol w:w="6214"/>
      </w:tblGrid>
      <w:tr>
        <w:trPr>
          <w:trHeight w:val="713" w:hRule="exact"/>
        </w:trPr>
        <w:tc>
          <w:tcPr>
            <w:tcW w:w="3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bookmarkStart w:name="（3）单项金额虽不重大但单项计提坏账准备的应收账款" w:id="177"/>
            <w:bookmarkEnd w:id="177"/>
            <w:r>
              <w:rPr/>
            </w:r>
            <w:r>
              <w:rPr>
                <w:rFonts w:ascii="宋体" w:hAnsi="宋体" w:cs="宋体" w:eastAsia="宋体" w:hint="default"/>
                <w:sz w:val="18"/>
                <w:szCs w:val="18"/>
              </w:rPr>
              <w:t>应收款项的未来现金流量现值与以账龄为信用风险特征的应收款项组合的未来 现金流量现值存在显著差异。</w:t>
            </w:r>
          </w:p>
        </w:tc>
      </w:tr>
      <w:tr>
        <w:trPr>
          <w:trHeight w:val="715" w:hRule="exact"/>
        </w:trPr>
        <w:tc>
          <w:tcPr>
            <w:tcW w:w="3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单独进行减值测试，根据其未来现金流量现值低于其账面价值的差额计提坏账 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47"/>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147"/>
        <w:jc w:val="left"/>
      </w:pPr>
      <w:r>
        <w:rPr/>
        <w:t>存货是指本公司在日常活动中持有以备出售的库存商品等，主要包括库存商品和发出商品、开发成本等。</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2" w:right="147"/>
        <w:jc w:val="left"/>
      </w:pPr>
      <w:r>
        <w:rPr/>
        <w:t>计价方法：加权平均法 </w:t>
      </w:r>
      <w:r>
        <w:rPr>
          <w:spacing w:val="-2"/>
        </w:rPr>
        <w:t>本公司存货在取得时，按实际成本进行初始计量。存货发出时，采用加权平均法确定发出存货的实际成本。开发产品的</w:t>
      </w:r>
    </w:p>
    <w:p>
      <w:pPr>
        <w:pStyle w:val="BodyText"/>
        <w:spacing w:line="224" w:lineRule="exact"/>
        <w:ind w:right="0"/>
        <w:jc w:val="left"/>
      </w:pPr>
      <w:r>
        <w:rPr/>
        <w:t>实际成本包括土地出让金、基础配套设施支出、建筑安装工程支出、开发项目完工之前所发生的借款费用及开发过程中的其</w:t>
      </w:r>
    </w:p>
    <w:p>
      <w:pPr>
        <w:pStyle w:val="BodyText"/>
        <w:spacing w:line="240" w:lineRule="auto" w:before="76"/>
        <w:ind w:right="147"/>
        <w:jc w:val="left"/>
      </w:pPr>
      <w:r>
        <w:rPr/>
        <w:t>他相关费用。开发产品发出时，采用个别计价法确定其实际成本。</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确定对被投资单位具有共同控制、重大影响的依据" w:id="178"/>
      <w:bookmarkEnd w:id="178"/>
      <w:r>
        <w:rPr>
          <w:b w:val="0"/>
          <w:bCs w:val="0"/>
        </w:rPr>
      </w: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3" w:firstLine="360"/>
        <w:jc w:val="both"/>
      </w:pPr>
      <w:bookmarkStart w:name="（3）存货可变现净值的确定依据及存货跌价准备的计提方法" w:id="179"/>
      <w:bookmarkEnd w:id="179"/>
      <w:r>
        <w:rPr/>
      </w:r>
      <w:r>
        <w:rPr>
          <w:spacing w:val="-2"/>
        </w:rPr>
        <w:t>存货可变现净值是按存货的估计售价减去至完工时估计将要发生的成本、估计的销售费用以及相关税费后的金额。在确</w:t>
      </w:r>
      <w:r>
        <w:rPr/>
        <w:t> 定存货的可变现净值时，以取得的确凿证据为基础，同时考虑持有存货的目的以及资产负债表日后事项的影响。</w:t>
      </w:r>
    </w:p>
    <w:p>
      <w:pPr>
        <w:pStyle w:val="BodyText"/>
        <w:spacing w:line="316" w:lineRule="auto" w:before="57"/>
        <w:ind w:right="111" w:firstLine="360"/>
        <w:jc w:val="both"/>
      </w:pPr>
      <w:r>
        <w:rPr/>
        <w:t>资产负债表日，存货成本高于其可变现净值的，计提存货跌价准备。本公司通常按照单个存货项目计提存货跌价准备， 资产负债表日，以前减记存货价值的影响因素已经消失的，存货跌价准备在原已计提的金额内转回。</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盘存制度：永续盘存制</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）低值易耗品和</w:t>
      </w:r>
      <w:bookmarkStart w:name="（4）存货的盘存制度" w:id="180"/>
      <w:bookmarkEnd w:id="180"/>
      <w:r>
        <w:rPr/>
        <w:t>包装</w:t>
      </w:r>
      <w:r>
        <w:rPr/>
        <w:t>物</w:t>
      </w:r>
      <w:bookmarkStart w:name="（5）低值易耗品和包装物的摊销方法" w:id="181"/>
      <w:bookmarkEnd w:id="181"/>
      <w:r>
        <w:rPr/>
        <w:t>的摊销方法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014"/>
        <w:jc w:val="left"/>
      </w:pPr>
      <w:r>
        <w:rPr/>
        <w:t>低值易耗品 摊销方法：一次摊销法 包装物 摊销方法：一次摊销法</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firstLine="360"/>
        <w:jc w:val="both"/>
      </w:pPr>
      <w:r>
        <w:rPr>
          <w:spacing w:val="-2"/>
        </w:rPr>
        <w:t>本公司长期股权投资在取得时按投资成本计量。</w:t>
      </w:r>
      <w:bookmarkStart w:name="12、长期股权投资" w:id="182"/>
      <w:bookmarkEnd w:id="182"/>
      <w:r>
        <w:rPr>
          <w:spacing w:val="-2"/>
        </w:rPr>
      </w:r>
      <w:bookmarkStart w:name="（1）投资成本的确定" w:id="183"/>
      <w:bookmarkEnd w:id="183"/>
      <w:r>
        <w:rPr>
          <w:spacing w:val="-2"/>
        </w:rPr>
        <w:t>投资成本一般为取得该项投资而付出的资产</w:t>
      </w:r>
      <w:r>
        <w:rPr>
          <w:spacing w:val="-2"/>
        </w:rPr>
        <w:t>、发生或承担的负债以及发</w:t>
      </w:r>
      <w:r>
        <w:rPr/>
        <w:t> </w:t>
      </w:r>
      <w:r>
        <w:rPr>
          <w:spacing w:val="-2"/>
        </w:rPr>
        <w:t>行的权益性证券的公允价值，并包括直接相关费用。但同一控制下的企业合并形成的长期股权投资，其投资成本为合并日取</w:t>
      </w:r>
      <w:r>
        <w:rPr>
          <w:spacing w:val="-63"/>
        </w:rPr>
        <w:t> </w:t>
      </w:r>
      <w:r>
        <w:rPr>
          <w:spacing w:val="-63"/>
        </w:rPr>
      </w:r>
      <w:r>
        <w:rPr/>
        <w:t>得的被合并方所有者权益的账面价值份额。</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本公司能够对被投资单位实施控制的长期股权投资，以及对被投资单位不具有共同控制或重大影响，</w:t>
      </w:r>
      <w:bookmarkStart w:name="（2）后续计量及损益确认" w:id="184"/>
      <w:bookmarkEnd w:id="184"/>
      <w:r>
        <w:rPr>
          <w:spacing w:val="-2"/>
        </w:rPr>
        <w:t>且在活跃市场中没</w:t>
      </w:r>
      <w:r>
        <w:rPr/>
        <w:t> 有报价、公允价值不能可靠计量的长期股权投资采用成本法核算；对被投资单位具有共同控制或重大影响的长期股权投资， </w:t>
      </w:r>
      <w:r>
        <w:rPr>
          <w:spacing w:val="-2"/>
        </w:rPr>
        <w:t>采用权益法核算。采用成本法核算的长期股权投资，除取得投资时实际支付的价款或对价中包含的已宣告但尚未发放的现金</w:t>
      </w:r>
      <w:r>
        <w:rPr>
          <w:spacing w:val="-64"/>
        </w:rPr>
        <w:t> </w:t>
      </w:r>
      <w:r>
        <w:rPr>
          <w:spacing w:val="-64"/>
        </w:rPr>
      </w:r>
      <w:r>
        <w:rPr>
          <w:spacing w:val="-2"/>
        </w:rPr>
        <w:t>股利或利润外，被投资单位宣告分派的现金股利或利润，确认为投资收益计入当期损益。本公司长期股权投资采用权益法核</w:t>
      </w:r>
      <w:r>
        <w:rPr>
          <w:spacing w:val="-63"/>
        </w:rPr>
        <w:t> </w:t>
      </w:r>
      <w:r>
        <w:rPr>
          <w:spacing w:val="-63"/>
        </w:rPr>
      </w:r>
      <w:r>
        <w:rPr>
          <w:spacing w:val="-2"/>
        </w:rPr>
        <w:t>算时，对长期股权投资的投资成本大于投资时应享有被投资单位可辨认净资产公允价值份额的，不调整长期股权投资的投资</w:t>
      </w:r>
      <w:r>
        <w:rPr>
          <w:spacing w:val="-64"/>
        </w:rPr>
        <w:t> </w:t>
      </w:r>
      <w:r>
        <w:rPr>
          <w:spacing w:val="-64"/>
        </w:rPr>
      </w:r>
      <w:r>
        <w:rPr>
          <w:spacing w:val="-2"/>
        </w:rPr>
        <w:t>成本；对长期股权投资的投资成本小于投资时应享有被投资单位可辨认净资产公允价值份额的，对长期股权投资的账面价值</w:t>
      </w:r>
      <w:r>
        <w:rPr>
          <w:spacing w:val="-64"/>
        </w:rPr>
        <w:t> </w:t>
      </w:r>
      <w:r>
        <w:rPr>
          <w:spacing w:val="-64"/>
        </w:rPr>
      </w:r>
      <w:r>
        <w:rPr>
          <w:spacing w:val="-2"/>
        </w:rPr>
        <w:t>进行调整，差额计入投资当期的损益。本公司在按权益法对长期股权投资进行核算时，先对被投资单位的净利润进行取得投</w:t>
      </w:r>
      <w:r>
        <w:rPr>
          <w:spacing w:val="-63"/>
        </w:rPr>
        <w:t> </w:t>
      </w:r>
      <w:r>
        <w:rPr>
          <w:spacing w:val="-63"/>
        </w:rPr>
      </w:r>
      <w:r>
        <w:rPr>
          <w:spacing w:val="-2"/>
        </w:rPr>
        <w:t>资时被投资单位各项可辨认资产等的公允价值、会计政策和会计期间方面的调整，再按应享有或应分担的被投资单位的净损</w:t>
      </w:r>
      <w:r>
        <w:rPr>
          <w:spacing w:val="-64"/>
        </w:rPr>
        <w:t> </w:t>
      </w:r>
      <w:r>
        <w:rPr>
          <w:spacing w:val="-64"/>
        </w:rPr>
      </w:r>
      <w:r>
        <w:rPr>
          <w:spacing w:val="-2"/>
        </w:rPr>
        <w:t>益份额确认当期投资损益。本公司与联营企业及合营企业之间发生的未实现内部交易损益按照持股比例计算归属于本公司的</w:t>
      </w:r>
      <w:r>
        <w:rPr>
          <w:spacing w:val="-64"/>
        </w:rPr>
        <w:t> </w:t>
      </w:r>
      <w:r>
        <w:rPr>
          <w:spacing w:val="-64"/>
        </w:rPr>
      </w:r>
      <w:r>
        <w:rPr/>
        <w:t>部分，在抵销基础上确认投资损益。</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1" w:firstLine="360"/>
        <w:jc w:val="both"/>
        <w:rPr>
          <w:rFonts w:ascii="宋体" w:hAnsi="宋体" w:cs="宋体" w:eastAsia="宋体" w:hint="default"/>
        </w:rPr>
      </w:pPr>
      <w:r>
        <w:rPr>
          <w:spacing w:val="-2"/>
        </w:rPr>
        <w:t>重大影响是指对一个企业的财务和经营政策有参与决策的权力，但并不能够控制或者与其他方一起共同控制这些政策的</w:t>
      </w:r>
      <w:r>
        <w:rPr/>
        <w:t> </w:t>
      </w:r>
      <w:r>
        <w:rPr>
          <w:spacing w:val="-2"/>
        </w:rPr>
        <w:t>制定。在确定能否对被投资单位实施控制或施加重大影响时，已考虑投资企业和其他方持有的被投资单位当期可转换公司债</w:t>
      </w:r>
      <w:r>
        <w:rPr>
          <w:spacing w:val="-64"/>
        </w:rPr>
        <w:t> </w:t>
      </w:r>
      <w:r>
        <w:rPr>
          <w:spacing w:val="-64"/>
        </w:rPr>
      </w:r>
      <w:r>
        <w:rPr/>
        <w:t>券、当期可执行认股权证等潜在表决权因素。当本公司直接或通过子公司间接拥有被投资单位</w:t>
      </w:r>
      <w:r>
        <w:rPr>
          <w:rFonts w:ascii="宋体" w:hAnsi="宋体" w:cs="宋体" w:eastAsia="宋体" w:hint="default"/>
        </w:rPr>
        <w:t>20%</w:t>
      </w:r>
      <w:r>
        <w:rPr/>
        <w:t>（含</w:t>
      </w:r>
      <w:r>
        <w:rPr>
          <w:rFonts w:ascii="宋体" w:hAnsi="宋体" w:cs="宋体" w:eastAsia="宋体" w:hint="default"/>
        </w:rPr>
        <w:t>20%</w:t>
      </w:r>
      <w:r>
        <w:rPr/>
        <w:t>）以上但低于</w:t>
      </w:r>
      <w:r>
        <w:rPr>
          <w:rFonts w:ascii="宋体" w:hAnsi="宋体" w:cs="宋体" w:eastAsia="宋体" w:hint="default"/>
        </w:rPr>
        <w:t>50%</w:t>
      </w:r>
    </w:p>
    <w:p>
      <w:pPr>
        <w:spacing w:after="0" w:line="316" w:lineRule="auto"/>
        <w:jc w:val="both"/>
        <w:rPr>
          <w:rFonts w:ascii="宋体" w:hAnsi="宋体" w:cs="宋体" w:eastAsia="宋体" w:hint="default"/>
        </w:rPr>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51"/>
        <w:jc w:val="both"/>
      </w:pPr>
      <w:bookmarkStart w:name="（4）固定资产的减值测试方法、减值准备计提方法" w:id="185"/>
      <w:bookmarkEnd w:id="185"/>
      <w:r>
        <w:rPr/>
      </w:r>
      <w:bookmarkStart w:name="（5）其他说明" w:id="186"/>
      <w:bookmarkEnd w:id="186"/>
      <w:r>
        <w:rPr/>
      </w:r>
      <w:r>
        <w:rPr>
          <w:spacing w:val="-2"/>
        </w:rPr>
        <w:t>的表决权股份时，除非有明确证据表明该种情况下不能参与被投资单位的生产经营决策，不形成重大影响外，均确定对被投</w:t>
      </w:r>
      <w:r>
        <w:rPr>
          <w:spacing w:val="-63"/>
        </w:rPr>
        <w:t> </w:t>
      </w:r>
      <w:r>
        <w:rPr>
          <w:spacing w:val="-63"/>
        </w:rPr>
      </w:r>
      <w:r>
        <w:rPr/>
        <w:t>资单位具有重大影响；本公司拥有被投资单位</w:t>
      </w:r>
      <w:r>
        <w:rPr>
          <w:rFonts w:ascii="宋体" w:hAnsi="宋体" w:cs="宋体" w:eastAsia="宋体" w:hint="default"/>
        </w:rPr>
        <w:t>20%</w:t>
      </w:r>
      <w:r>
        <w:rPr/>
        <w:t>（不含）以下的表决权股份，一般不认为对被投资单位具有重大影响，除</w:t>
      </w:r>
      <w:r>
        <w:rPr>
          <w:spacing w:val="-85"/>
        </w:rPr>
        <w:t> </w:t>
      </w:r>
      <w:r>
        <w:rPr>
          <w:spacing w:val="-85"/>
        </w:rPr>
      </w:r>
      <w:r>
        <w:rPr/>
        <w:t>非有明确证据表明该种情况下能够参与被投资单位的生产经营决策，形成重大影响。</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）减值测</w:t>
      </w:r>
      <w:bookmarkStart w:name="（4）减值测试方法及减值准备计提方法" w:id="187"/>
      <w:bookmarkEnd w:id="187"/>
      <w:r>
        <w:rPr/>
        <w:t>试方</w:t>
      </w:r>
      <w:r>
        <w:rPr/>
        <w:t>法及减值准备计提方法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360"/>
        <w:jc w:val="both"/>
      </w:pPr>
      <w:r>
        <w:rPr>
          <w:spacing w:val="-2"/>
        </w:rPr>
        <w:t>资产负债表日，若因市价持续下跌或被投资单位经营状况恶化等原因使长期股权投资存在减值迹象时，根据单项长期股</w:t>
      </w:r>
      <w:r>
        <w:rPr/>
        <w:t> 权投资的公允价值减去处置费用后的净额与长期股权投资预计未来现金流量的现值两者之间较高者确定长期股权投资的可</w:t>
      </w:r>
      <w:r>
        <w:rPr>
          <w:spacing w:val="-7"/>
        </w:rPr>
        <w:t> </w:t>
      </w:r>
      <w:r>
        <w:rPr>
          <w:spacing w:val="-7"/>
        </w:rPr>
      </w:r>
      <w:r>
        <w:rPr>
          <w:spacing w:val="-2"/>
        </w:rPr>
        <w:t>收回金额。长期股权投资的可收回金额低于账面价值时，将资产的账面价值减记至可收回金额，减记的金额确认为资产减值</w:t>
      </w:r>
      <w:r>
        <w:rPr>
          <w:spacing w:val="-63"/>
        </w:rPr>
        <w:t> </w:t>
      </w:r>
      <w:r>
        <w:rPr>
          <w:spacing w:val="-63"/>
        </w:rPr>
      </w:r>
      <w:r>
        <w:rPr/>
        <w:t>损失，计入当期损益，同时计提相应的资产减值准备。长期股权投资减值损失一经确认，在以后会计期间不再转回。</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firstLine="360"/>
        <w:jc w:val="both"/>
      </w:pPr>
      <w:r>
        <w:rPr>
          <w:spacing w:val="-2"/>
        </w:rPr>
        <w:t>本公司固定资产是指为生产商品、</w:t>
      </w:r>
      <w:bookmarkStart w:name="13、投资性房地产" w:id="188"/>
      <w:bookmarkEnd w:id="188"/>
      <w:r>
        <w:rPr>
          <w:spacing w:val="-2"/>
        </w:rPr>
        <w:t>提供劳务</w:t>
      </w:r>
      <w:r>
        <w:rPr>
          <w:spacing w:val="-2"/>
        </w:rPr>
        <w:t>、</w:t>
      </w:r>
      <w:bookmarkStart w:name="14、固定资产" w:id="189"/>
      <w:bookmarkEnd w:id="189"/>
      <w:r>
        <w:rPr>
          <w:spacing w:val="-2"/>
        </w:rPr>
      </w:r>
      <w:bookmarkStart w:name="（1）固定资产确认条件" w:id="190"/>
      <w:bookmarkEnd w:id="190"/>
      <w:r>
        <w:rPr>
          <w:spacing w:val="-2"/>
        </w:rPr>
        <w:t>出租或经营</w:t>
      </w:r>
      <w:r>
        <w:rPr>
          <w:spacing w:val="-2"/>
        </w:rPr>
        <w:t>管理而持有的，使用寿命超过一个会计年度的有形资产。与该</w:t>
      </w:r>
      <w:r>
        <w:rPr/>
        <w:t> </w:t>
      </w:r>
      <w:r>
        <w:rPr>
          <w:spacing w:val="-2"/>
        </w:rPr>
        <w:t>固定资产有关的经济利益很可能流入企业，并且该固定资产的成本能够可靠地计量时，固定资产才能予以确认。本公司固定</w:t>
      </w:r>
      <w:r>
        <w:rPr>
          <w:spacing w:val="-63"/>
        </w:rPr>
        <w:t> </w:t>
      </w:r>
      <w:r>
        <w:rPr>
          <w:spacing w:val="-63"/>
        </w:rPr>
      </w:r>
      <w:r>
        <w:rPr/>
        <w:t>资产按照取得时的实际成本进行初始计量。</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firstLine="360"/>
        <w:jc w:val="both"/>
      </w:pPr>
      <w:r>
        <w:rPr>
          <w:spacing w:val="-2"/>
        </w:rPr>
        <w:t>本公司采用年限平均法计提折旧。</w:t>
      </w:r>
      <w:bookmarkStart w:name="（2）融资租入固定资产的认定依据、计价方法" w:id="191"/>
      <w:bookmarkEnd w:id="191"/>
      <w:r>
        <w:rPr>
          <w:spacing w:val="-2"/>
        </w:rPr>
        <w:t>固定资产自达到预定可使用状态时开始计提折旧</w:t>
      </w:r>
      <w:r>
        <w:rPr>
          <w:spacing w:val="-2"/>
        </w:rPr>
        <w:t>，</w:t>
      </w:r>
      <w:bookmarkStart w:name="（3）各类固定资产的折旧方法" w:id="192"/>
      <w:bookmarkEnd w:id="192"/>
      <w:r>
        <w:rPr>
          <w:spacing w:val="-2"/>
        </w:rPr>
        <w:t>终止确认时或划分为持有待售非流</w:t>
      </w:r>
      <w:r>
        <w:rPr/>
        <w:t> </w:t>
      </w:r>
      <w:r>
        <w:rPr>
          <w:spacing w:val="-2"/>
        </w:rPr>
        <w:t>动资产时停止计提折旧。在不考虑减值准备的情况下，按固定资产类别、预计使用寿命和预计残值，本公司确定各类固定资</w:t>
      </w:r>
      <w:r>
        <w:rPr>
          <w:spacing w:val="-65"/>
        </w:rPr>
        <w:t> </w:t>
      </w:r>
      <w:r>
        <w:rPr>
          <w:spacing w:val="-65"/>
        </w:rPr>
      </w:r>
      <w:r>
        <w:rPr/>
        <w:t>产的年折旧率如下：</w:t>
      </w:r>
    </w:p>
    <w:p>
      <w:pPr>
        <w:spacing w:line="240" w:lineRule="auto" w:before="12"/>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6"/>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firstLine="360"/>
        <w:jc w:val="both"/>
      </w:pPr>
      <w:r>
        <w:rPr>
          <w:spacing w:val="-2"/>
        </w:rPr>
        <w:t>资产负债表日，固定资产按照账面价值与可收回金额孰低计价。若单项固定资产的可收回金额低于账面价值，将资产的</w:t>
      </w:r>
      <w:r>
        <w:rPr/>
        <w:t> </w:t>
      </w:r>
      <w:r>
        <w:rPr>
          <w:spacing w:val="-2"/>
        </w:rPr>
        <w:t>账面价值减记至可收回金额，减记的金额确认为资产减值损失，计入当期损益，同时计提相应的资产减值准备。固定资产减</w:t>
      </w:r>
      <w:r>
        <w:rPr>
          <w:spacing w:val="-64"/>
        </w:rPr>
        <w:t> </w:t>
      </w:r>
      <w:r>
        <w:rPr>
          <w:spacing w:val="-64"/>
        </w:rPr>
      </w:r>
      <w:r>
        <w:rPr/>
        <w:t>值损失一经确认，在以后会计期间不再转回。</w:t>
      </w:r>
    </w:p>
    <w:p>
      <w:pPr>
        <w:spacing w:line="240" w:lineRule="auto" w:before="10"/>
        <w:rPr>
          <w:rFonts w:ascii="宋体" w:hAnsi="宋体" w:cs="宋体" w:eastAsia="宋体" w:hint="default"/>
          <w:sz w:val="22"/>
          <w:szCs w:val="22"/>
        </w:rPr>
      </w:pPr>
    </w:p>
    <w:p>
      <w:pPr>
        <w:pStyle w:val="Heading3"/>
        <w:spacing w:line="240" w:lineRule="auto"/>
        <w:ind w:right="147"/>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147"/>
        <w:jc w:val="left"/>
      </w:pPr>
      <w:r>
        <w:rPr/>
        <w:t>每年年度终了，本公司对固定资产的使用寿命、预计净残值和折旧方法进行复核。</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0" w:firstLine="360"/>
        <w:jc w:val="left"/>
      </w:pPr>
      <w:bookmarkStart w:name="（2）借款费用资本化期间" w:id="193"/>
      <w:bookmarkEnd w:id="193"/>
      <w:r>
        <w:rPr/>
      </w:r>
      <w:bookmarkStart w:name="（3）暂停资本化期间" w:id="194"/>
      <w:bookmarkEnd w:id="194"/>
      <w:r>
        <w:rPr/>
      </w:r>
      <w:r>
        <w:rPr>
          <w:spacing w:val="-2"/>
        </w:rPr>
        <w:t>使用寿命预计数与原先估计数有差异的，调整固定资产使用寿命；预计净残值预计数与原先估计数有差异的，调整预计</w:t>
      </w:r>
      <w:r>
        <w:rPr/>
        <w:t> 净残值。</w:t>
      </w:r>
    </w:p>
    <w:p>
      <w:pPr>
        <w:pStyle w:val="BodyText"/>
        <w:spacing w:line="357" w:lineRule="auto" w:before="59"/>
        <w:ind w:left="512" w:right="0"/>
        <w:jc w:val="left"/>
      </w:pPr>
      <w:r>
        <w:rPr/>
        <w:t>大修理费用： </w:t>
      </w:r>
      <w:r>
        <w:rPr>
          <w:spacing w:val="-4"/>
        </w:rPr>
        <w:t>本公司对固定资产进行定期检查发生的大修理费用，有确凿证据表明符合固定资产确认条件的部分，计入固定资产成本，</w:t>
      </w:r>
    </w:p>
    <w:p>
      <w:pPr>
        <w:pStyle w:val="BodyText"/>
        <w:spacing w:line="224" w:lineRule="exact"/>
        <w:ind w:right="0"/>
        <w:jc w:val="left"/>
      </w:pPr>
      <w:r>
        <w:rPr/>
        <w:t>不符合固定资产确认条件的计入当期损益。固定资产在定期大修理间隔期间，照提折旧。</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）在建工程的类</w:t>
      </w:r>
      <w:bookmarkStart w:name="15、在建工程" w:id="195"/>
      <w:bookmarkEnd w:id="195"/>
      <w:r>
        <w:rPr/>
        <w:t>别</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）在建工程结转为固定</w:t>
      </w:r>
      <w:bookmarkStart w:name="（1）在建工程的类别" w:id="196"/>
      <w:bookmarkEnd w:id="196"/>
      <w:r>
        <w:rPr/>
      </w:r>
      <w:bookmarkStart w:name="（2）在建工程结转为固定资产的标准和时点" w:id="197"/>
      <w:bookmarkEnd w:id="197"/>
      <w:r>
        <w:rPr/>
        <w:t>资产的标准和时点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0"/>
        <w:jc w:val="left"/>
      </w:pPr>
      <w:r>
        <w:rPr/>
        <w:t>在建工程在达到预定可使用状态时转入固定资产。</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）在建工程的减值测试方法、减值准备计提</w:t>
      </w:r>
      <w:bookmarkStart w:name="（3）在建工程的减值测试方法、减值准备计提方法" w:id="198"/>
      <w:bookmarkEnd w:id="198"/>
      <w:r>
        <w:rPr/>
        <w:t>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t>资产负债表日，本公司对在建工程按照账面价值与可收回金额孰低计量，按单项工程可收回金额低于账面价值的差额， </w:t>
      </w:r>
      <w:r>
        <w:rPr>
          <w:spacing w:val="-2"/>
        </w:rPr>
        <w:t>计提在建工程减值准备，计入当期损益，同时计提相应的资产减值准备。在建工程减值损失一经确认，在以后会计期间不再</w:t>
      </w:r>
      <w:r>
        <w:rPr>
          <w:spacing w:val="-65"/>
        </w:rPr>
        <w:t> </w:t>
      </w:r>
      <w:r>
        <w:rPr>
          <w:spacing w:val="-65"/>
        </w:rPr>
      </w:r>
      <w:r>
        <w:rPr/>
        <w:t>转回。</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本公司发生的借款费用，可直</w:t>
      </w:r>
      <w:bookmarkStart w:name="16、借款费用" w:id="199"/>
      <w:bookmarkEnd w:id="199"/>
      <w:r>
        <w:rPr>
          <w:spacing w:val="-2"/>
        </w:rPr>
        <w:t>接归属于符合资本化条件的资产的购建或者生产的</w:t>
      </w:r>
      <w:r>
        <w:rPr>
          <w:spacing w:val="-2"/>
        </w:rPr>
        <w:t>，</w:t>
      </w:r>
      <w:bookmarkStart w:name="（1）借款费用资本化的确认原则" w:id="200"/>
      <w:bookmarkEnd w:id="200"/>
      <w:r>
        <w:rPr>
          <w:spacing w:val="-2"/>
        </w:rPr>
        <w:t>予以</w:t>
      </w:r>
      <w:r>
        <w:rPr>
          <w:spacing w:val="-2"/>
        </w:rPr>
        <w:t>资本化，计入相关资产成本；其</w:t>
      </w:r>
      <w:r>
        <w:rPr/>
        <w:t> 他借款费用，在发生时根据其发生额确认为费用，计入当期损益。借款费用同时满足下列条件的，开始资本化：</w:t>
      </w:r>
    </w:p>
    <w:p>
      <w:pPr>
        <w:pStyle w:val="BodyText"/>
        <w:spacing w:line="316" w:lineRule="auto" w:before="57"/>
        <w:ind w:right="0" w:firstLine="360"/>
        <w:jc w:val="left"/>
      </w:pPr>
      <w:r>
        <w:rPr>
          <w:spacing w:val="-2"/>
        </w:rPr>
        <w:t>①资产支出已经发生，资产支出包括为购建或者生产符合资本化条件的资产而以支付现金、转移非现金资产或者承担带</w:t>
      </w:r>
      <w:r>
        <w:rPr/>
        <w:t> 息债务形式发生的支出；</w:t>
      </w:r>
    </w:p>
    <w:p>
      <w:pPr>
        <w:pStyle w:val="BodyText"/>
        <w:spacing w:line="240" w:lineRule="auto" w:before="59"/>
        <w:ind w:left="512" w:right="0"/>
        <w:jc w:val="left"/>
      </w:pPr>
      <w:r>
        <w:rPr/>
        <w:t>②</w:t>
      </w:r>
      <w:r>
        <w:rPr>
          <w:spacing w:val="-18"/>
        </w:rPr>
        <w:t> </w:t>
      </w:r>
      <w:r>
        <w:rPr/>
        <w:t>借款费用已经发生；</w:t>
      </w:r>
    </w:p>
    <w:p>
      <w:pPr>
        <w:pStyle w:val="BodyText"/>
        <w:spacing w:line="240" w:lineRule="auto" w:before="117"/>
        <w:ind w:left="512" w:right="0"/>
        <w:jc w:val="left"/>
      </w:pPr>
      <w:r>
        <w:rPr/>
        <w:t>③</w:t>
      </w:r>
      <w:r>
        <w:rPr>
          <w:spacing w:val="-18"/>
        </w:rPr>
        <w:t> </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本公司购建或者生产符合资本化条件的资产达到预定可使用或者可销售状态时，借款费用停止资本化。在符合资本化条</w:t>
      </w:r>
      <w:r>
        <w:rPr/>
        <w:t> 件的资产达到预定可使用或者可销售状态之后所发生的借款费用，在发生时根据其发生额确认为费用，计入当期损益。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360"/>
        <w:jc w:val="left"/>
      </w:pPr>
      <w:r>
        <w:rPr>
          <w:spacing w:val="-2"/>
        </w:rPr>
        <w:t>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个月的，暂停借款费用的资本化；</w:t>
      </w:r>
      <w:r>
        <w:rPr/>
        <w:t> 正常中断期间的借款费用继续资本化。</w:t>
      </w:r>
    </w:p>
    <w:p>
      <w:pPr>
        <w:spacing w:after="0" w:line="30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4）无形资产减值准备的计提" w:id="201"/>
      <w:bookmarkEnd w:id="201"/>
      <w:r>
        <w:rPr>
          <w:b w:val="0"/>
          <w:bCs w:val="0"/>
        </w:rPr>
      </w:r>
      <w:bookmarkStart w:name="（5）划分公司内部研究开发项目的研究阶段和开发阶段具体标准" w:id="202"/>
      <w:bookmarkEnd w:id="202"/>
      <w:r>
        <w:rPr>
          <w:b w:val="0"/>
          <w:bCs w:val="0"/>
        </w:rPr>
      </w:r>
      <w:r>
        <w:rPr/>
        <w:t>（</w:t>
      </w:r>
      <w:r>
        <w:rPr>
          <w:rFonts w:ascii="Times New Roman" w:hAnsi="Times New Roman" w:cs="Times New Roman" w:eastAsia="Times New Roman" w:hint="default"/>
        </w:rPr>
        <w:t>4</w:t>
      </w:r>
      <w:bookmarkStart w:name="（4）借款费用资本化金额的计算方法" w:id="203"/>
      <w:bookmarkEnd w:id="203"/>
      <w:r>
        <w:rPr>
          <w:rFonts w:ascii="Times New Roman" w:hAnsi="Times New Roman" w:cs="Times New Roman" w:eastAsia="Times New Roman" w:hint="default"/>
        </w:rPr>
      </w:r>
      <w:r>
        <w:rPr/>
        <w:t>）借款费用资本化金额的计算方法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17</w:t>
      </w:r>
      <w:bookmarkStart w:name="17、生物资产" w:id="204"/>
      <w:bookmarkEnd w:id="204"/>
      <w:r>
        <w:rPr>
          <w:rFonts w:ascii="Times New Roman" w:hAnsi="Times New Roman" w:cs="Times New Roman" w:eastAsia="Times New Roman" w:hint="default"/>
        </w:rPr>
      </w:r>
      <w:r>
        <w:rPr/>
        <w:t>、生物资产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）无形资产的计</w:t>
      </w:r>
      <w:bookmarkStart w:name="18、油气资产" w:id="205"/>
      <w:bookmarkEnd w:id="205"/>
      <w:r>
        <w:rPr/>
        <w:t>价方法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2" w:right="0"/>
        <w:jc w:val="left"/>
      </w:pPr>
      <w:bookmarkStart w:name="19、无形资产" w:id="206"/>
      <w:bookmarkEnd w:id="206"/>
      <w:r>
        <w:rPr/>
      </w:r>
      <w:bookmarkStart w:name="（1）无形资产的计价方法" w:id="207"/>
      <w:bookmarkEnd w:id="207"/>
      <w:r>
        <w:rPr/>
      </w:r>
      <w:r>
        <w:rPr/>
        <w:t>本公司无形资产包括计算机软件、自行开发的非专利技术等。 </w:t>
      </w:r>
      <w:r>
        <w:rPr>
          <w:spacing w:val="-2"/>
        </w:rPr>
        <w:t>无形资产按照成本进行初始计量，并于取得无形资产时分析判断其使用寿命。使用寿命为有限的，自无形资产可供使用</w:t>
      </w:r>
    </w:p>
    <w:p>
      <w:pPr>
        <w:pStyle w:val="BodyText"/>
        <w:spacing w:line="224" w:lineRule="exact"/>
        <w:ind w:right="0"/>
        <w:jc w:val="left"/>
      </w:pPr>
      <w:r>
        <w:rPr/>
        <w:t>时起，采用能反映与该资产有关的经济利益的预期实现方式的摊销方法，在预计使用年限内摊销；无法可靠确定预期实现方</w:t>
      </w:r>
    </w:p>
    <w:p>
      <w:pPr>
        <w:pStyle w:val="BodyText"/>
        <w:spacing w:line="240" w:lineRule="auto" w:before="76"/>
        <w:ind w:right="0"/>
        <w:jc w:val="left"/>
      </w:pPr>
      <w:r>
        <w:rPr/>
        <w:t>式的，采用直线法摊销；使用寿命不确定的无形资产，不作摊销。</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本公司于每年年度终了，</w:t>
      </w:r>
      <w:bookmarkStart w:name="（2）使用寿命有限的无形资产的使用寿命估计情况" w:id="208"/>
      <w:bookmarkEnd w:id="208"/>
      <w:r>
        <w:rPr>
          <w:spacing w:val="-2"/>
        </w:rPr>
        <w:t>对使用寿命有限的无形资产的使用寿命及摊销方法进行复核</w:t>
      </w:r>
      <w:r>
        <w:rPr>
          <w:spacing w:val="-2"/>
        </w:rPr>
        <w:t>，与以前估计不同的，调整原先估</w:t>
      </w:r>
      <w:r>
        <w:rPr/>
        <w:t> 计数，并按会计估计变更处理。</w:t>
      </w:r>
    </w:p>
    <w:p>
      <w:pPr>
        <w:pStyle w:val="BodyText"/>
        <w:spacing w:line="240" w:lineRule="auto" w:before="59"/>
        <w:ind w:left="512" w:right="0"/>
        <w:jc w:val="left"/>
      </w:pPr>
      <w:r>
        <w:rPr/>
        <w:t>资产负债表日预计某项无形资产已经不能给企业带来未来经济利益的，将该项无形资产的账面价值全部转入当期损益。</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80"/>
        <w:gridCol w:w="2215"/>
        <w:gridCol w:w="5074"/>
      </w:tblGrid>
      <w:tr>
        <w:trPr>
          <w:trHeight w:val="403" w:hRule="exact"/>
        </w:trPr>
        <w:tc>
          <w:tcPr>
            <w:tcW w:w="22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71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
                <w:sz w:val="18"/>
                <w:szCs w:val="18"/>
              </w:rPr>
              <w:t>自无形资产可供使用时起，采用能反映与该资产有关的经济利益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的预期实现方式的摊销方法，在预计使用年限内摊。</w:t>
            </w:r>
          </w:p>
        </w:tc>
      </w:tr>
      <w:tr>
        <w:trPr>
          <w:trHeight w:val="715"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自行开发的非专利技术</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
                <w:sz w:val="18"/>
                <w:szCs w:val="18"/>
              </w:rPr>
              <w:t>自无形资产可供使用时起，采用能反映与该资产有关的经济利益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的预期实现方式的摊销方法，在预计使用年限内摊销。</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0"/>
        <w:jc w:val="left"/>
      </w:pPr>
      <w:r>
        <w:rPr/>
        <w:t>无法可靠确定预期实现方式的，采用直线法摊销；使用寿命不确定的无形资产，不作摊销。</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资产负债表日，本公司对无形资产按照其账面价值与可收回金额孰低计量，按单项资产可收回金额低于账面价值的差额</w:t>
      </w:r>
      <w:r>
        <w:rPr/>
        <w:t> 计提无形资产减值准备，相应的资产减值损失计入当期损益。无形资产减值损失一经确认，在以后会计期间不再转回。</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研究是指为获取并理解新的科学或技术知识而进行的独创性的有计划调查。开发是指在进行商业性生产或使用前，将研</w:t>
      </w:r>
      <w:r>
        <w:rPr/>
        <w:t> </w:t>
      </w:r>
      <w:bookmarkStart w:name="（3）使用寿命不确定的无形资产的判断依据" w:id="209"/>
      <w:bookmarkEnd w:id="209"/>
      <w:r>
        <w:rPr/>
        <w:t>究成果或其他知识应用于一项或若干项计划或设计，以生产出新的或具有实质性改进的材料、装置、产品或获得新工序等。</w:t>
      </w:r>
    </w:p>
    <w:p>
      <w:pPr>
        <w:spacing w:after="0" w:line="316"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47"/>
        <w:jc w:val="left"/>
        <w:rPr>
          <w:b w:val="0"/>
          <w:bCs w:val="0"/>
        </w:rPr>
      </w:pPr>
      <w:bookmarkStart w:name="23、股份支付及权益工具" w:id="210"/>
      <w:bookmarkEnd w:id="210"/>
      <w:r>
        <w:rPr>
          <w:b w:val="0"/>
          <w:bCs w:val="0"/>
        </w:rPr>
      </w:r>
      <w:bookmarkStart w:name="（1）股份支付的种类" w:id="211"/>
      <w:bookmarkEnd w:id="211"/>
      <w:r>
        <w:rPr>
          <w:b w:val="0"/>
          <w:bCs w:val="0"/>
        </w:rPr>
      </w:r>
      <w:bookmarkStart w:name="（2）权益工具公允价值的确定方法" w:id="212"/>
      <w:bookmarkEnd w:id="212"/>
      <w:r>
        <w:rPr>
          <w:b w:val="0"/>
          <w:bCs w:val="0"/>
        </w:rPr>
      </w:r>
      <w:bookmarkStart w:name="（3）确认可行权权益工具最佳估计的依据" w:id="213"/>
      <w:bookmarkEnd w:id="213"/>
      <w:r>
        <w:rPr>
          <w:b w:val="0"/>
          <w:bCs w:val="0"/>
        </w:rPr>
      </w:r>
      <w:bookmarkStart w:name="（4）实施、修改、终止股份支付计划的相关会计处理" w:id="214"/>
      <w:bookmarkEnd w:id="214"/>
      <w:r>
        <w:rPr>
          <w:b w:val="0"/>
          <w:bCs w:val="0"/>
        </w:rPr>
      </w:r>
      <w:bookmarkStart w:name="24、回购本公司股份" w:id="215"/>
      <w:bookmarkEnd w:id="215"/>
      <w:r>
        <w:rPr>
          <w:b w:val="0"/>
          <w:bCs w:val="0"/>
        </w:rPr>
      </w:r>
      <w:r>
        <w:rPr/>
        <w:t>（</w:t>
      </w:r>
      <w:r>
        <w:rPr>
          <w:rFonts w:ascii="Times New Roman" w:hAnsi="Times New Roman" w:cs="Times New Roman" w:eastAsia="Times New Roman" w:hint="default"/>
        </w:rPr>
        <w:t>6</w:t>
      </w:r>
      <w:bookmarkStart w:name="（6）内部研究开发项目支出的核算" w:id="216"/>
      <w:bookmarkEnd w:id="216"/>
      <w:r>
        <w:rPr>
          <w:rFonts w:ascii="Times New Roman" w:hAnsi="Times New Roman" w:cs="Times New Roman" w:eastAsia="Times New Roman" w:hint="default"/>
        </w:rPr>
      </w:r>
      <w:r>
        <w:rPr/>
        <w:t>）内部研究开发项目支出的核算</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2" w:right="147"/>
        <w:jc w:val="left"/>
      </w:pPr>
      <w:r>
        <w:rPr/>
        <w:t>研究阶段的支出，于发生时计入当期损益。 </w:t>
      </w:r>
      <w:r>
        <w:rPr>
          <w:spacing w:val="-2"/>
        </w:rPr>
        <w:t>开发阶段的支出，同时满足下列条件的，才能予以资本化，即：完成该无形资产以使其能够使用或出售在技术上具有可</w:t>
      </w:r>
    </w:p>
    <w:p>
      <w:pPr>
        <w:pStyle w:val="BodyText"/>
        <w:spacing w:line="224" w:lineRule="exact"/>
        <w:ind w:right="0"/>
        <w:jc w:val="left"/>
      </w:pPr>
      <w:r>
        <w:rPr/>
        <w:t>行性；具有完成该无形资产并使用或出售的意图；无形资产产生经济利益的方式，包括能够证明运用该无形资产生产的产品</w:t>
      </w:r>
    </w:p>
    <w:p>
      <w:pPr>
        <w:pStyle w:val="BodyText"/>
        <w:spacing w:line="316" w:lineRule="auto" w:before="76"/>
        <w:ind w:right="147"/>
        <w:jc w:val="left"/>
      </w:pPr>
      <w:r>
        <w:rPr>
          <w:spacing w:val="-2"/>
        </w:rPr>
        <w:t>存在市场或无形资产自身存在市场，无形资产将在内部使用的，能够证明其有用性；有足够的技术、财务资源和其他资源支</w:t>
      </w:r>
      <w:r>
        <w:rPr>
          <w:spacing w:val="-64"/>
        </w:rPr>
        <w:t> </w:t>
      </w:r>
      <w:r>
        <w:rPr>
          <w:spacing w:val="-64"/>
        </w:rPr>
      </w:r>
      <w:r>
        <w:rPr/>
        <w:t>持，以完成该无形资产的开发，并有能力使用或出售该无形资产；归属于该无形资产开发阶段的支出能够可靠地计量。</w:t>
      </w:r>
    </w:p>
    <w:p>
      <w:pPr>
        <w:spacing w:line="240" w:lineRule="auto" w:before="10"/>
        <w:rPr>
          <w:rFonts w:ascii="宋体" w:hAnsi="宋体" w:cs="宋体" w:eastAsia="宋体" w:hint="default"/>
          <w:sz w:val="22"/>
          <w:szCs w:val="22"/>
        </w:rPr>
      </w:pPr>
    </w:p>
    <w:p>
      <w:pPr>
        <w:pStyle w:val="Heading3"/>
        <w:spacing w:line="240" w:lineRule="auto"/>
        <w:ind w:right="147"/>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47" w:firstLine="360"/>
        <w:jc w:val="left"/>
      </w:pPr>
      <w:bookmarkStart w:name="20、长期待摊费用" w:id="217"/>
      <w:bookmarkEnd w:id="217"/>
      <w:r>
        <w:rPr/>
      </w:r>
      <w:r>
        <w:rPr>
          <w:spacing w:val="-2"/>
        </w:rPr>
        <w:t>本公司发生的长期待摊费用按实际成本计价，并按预计受益期限平均摊销。对不能使以后会计期间受益的长期待摊费用</w:t>
      </w:r>
      <w:r>
        <w:rPr/>
        <w:t> 项目，其摊余价值全部计入当期损益。</w:t>
      </w:r>
    </w:p>
    <w:p>
      <w:pPr>
        <w:spacing w:line="240" w:lineRule="auto" w:before="8"/>
        <w:rPr>
          <w:rFonts w:ascii="宋体" w:hAnsi="宋体" w:cs="宋体" w:eastAsia="宋体" w:hint="default"/>
          <w:sz w:val="22"/>
          <w:szCs w:val="22"/>
        </w:rPr>
      </w:pPr>
    </w:p>
    <w:p>
      <w:pPr>
        <w:pStyle w:val="Heading3"/>
        <w:spacing w:line="240" w:lineRule="auto"/>
        <w:ind w:right="147"/>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147"/>
        <w:jc w:val="left"/>
      </w:pPr>
      <w:bookmarkStart w:name="21、附回购条件的资产转让" w:id="218"/>
      <w:bookmarkEnd w:id="218"/>
      <w:r>
        <w:rPr/>
      </w:r>
      <w:bookmarkStart w:name="22、预计负债" w:id="219"/>
      <w:bookmarkEnd w:id="219"/>
      <w:r>
        <w:rPr/>
      </w:r>
      <w:bookmarkStart w:name="（1）预计负债的确认标准" w:id="220"/>
      <w:bookmarkEnd w:id="220"/>
      <w:r>
        <w:rPr/>
      </w:r>
      <w:r>
        <w:rPr/>
        <w:t>如果与或有事项相关的义务同时符合以下条件，本公司将其确认为预计负债：</w:t>
      </w:r>
    </w:p>
    <w:p>
      <w:pPr>
        <w:pStyle w:val="BodyText"/>
        <w:spacing w:line="240" w:lineRule="auto" w:before="117"/>
        <w:ind w:left="512" w:right="147"/>
        <w:jc w:val="left"/>
      </w:pPr>
      <w:r>
        <w:rPr/>
        <w:t>①该义务是本公司承担的现时义务；</w:t>
      </w:r>
    </w:p>
    <w:p>
      <w:pPr>
        <w:pStyle w:val="BodyText"/>
        <w:spacing w:line="240" w:lineRule="auto" w:before="117"/>
        <w:ind w:left="512" w:right="147"/>
        <w:jc w:val="left"/>
      </w:pPr>
      <w:r>
        <w:rPr/>
        <w:t>②该义务的履行很可能导致经济利益流出本公司；</w:t>
      </w:r>
    </w:p>
    <w:p>
      <w:pPr>
        <w:pStyle w:val="BodyText"/>
        <w:spacing w:line="240" w:lineRule="auto" w:before="115"/>
        <w:ind w:left="512" w:right="147"/>
        <w:jc w:val="left"/>
      </w:pPr>
      <w:r>
        <w:rPr/>
        <w:t>③该义务的金额能够可靠地计量。</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360"/>
        <w:jc w:val="both"/>
      </w:pPr>
      <w:r>
        <w:rPr>
          <w:spacing w:val="-2"/>
        </w:rPr>
        <w:t>预计负债按照履行相关现时义务所需支出的最佳估计数进行初始计量，</w:t>
      </w:r>
      <w:bookmarkStart w:name="（2）预计负债的计量方法" w:id="221"/>
      <w:bookmarkEnd w:id="221"/>
      <w:r>
        <w:rPr>
          <w:spacing w:val="-2"/>
        </w:rPr>
        <w:t>并综合考虑与或有事项有关的风险</w:t>
      </w:r>
      <w:r>
        <w:rPr>
          <w:spacing w:val="-2"/>
        </w:rPr>
        <w:t>、不确定性和</w:t>
      </w:r>
      <w:r>
        <w:rPr/>
        <w:t> </w:t>
      </w:r>
      <w:r>
        <w:rPr>
          <w:spacing w:val="-2"/>
        </w:rPr>
        <w:t>货币时间价值等因素。货币时间价值影响重大的，通过对相关未来现金流出进行折现后确定最佳估计数。本公司于资产负债</w:t>
      </w:r>
      <w:r>
        <w:rPr>
          <w:spacing w:val="-63"/>
        </w:rPr>
        <w:t> </w:t>
      </w:r>
      <w:r>
        <w:rPr>
          <w:spacing w:val="-63"/>
        </w:rPr>
      </w:r>
      <w:r>
        <w:rPr/>
        <w:t>表日对预计负债的账面价值进行复核，并对账面价值进行调整以反映当前最佳估计数。</w:t>
      </w:r>
    </w:p>
    <w:p>
      <w:pPr>
        <w:spacing w:line="240" w:lineRule="auto" w:before="10"/>
        <w:rPr>
          <w:rFonts w:ascii="宋体" w:hAnsi="宋体" w:cs="宋体" w:eastAsia="宋体" w:hint="default"/>
          <w:sz w:val="22"/>
          <w:szCs w:val="22"/>
        </w:rPr>
      </w:pPr>
    </w:p>
    <w:p>
      <w:pPr>
        <w:pStyle w:val="Heading3"/>
        <w:spacing w:line="240" w:lineRule="auto"/>
        <w:ind w:right="147"/>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25</w:t>
      </w:r>
      <w:bookmarkStart w:name="25、收入" w:id="222"/>
      <w:bookmarkEnd w:id="222"/>
      <w:r>
        <w:rPr>
          <w:rFonts w:ascii="Times New Roman" w:hAnsi="Times New Roman" w:cs="Times New Roman" w:eastAsia="Times New Roman" w:hint="default"/>
        </w:rPr>
      </w:r>
      <w:r>
        <w:rPr/>
        <w:t>、收入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bookmarkStart w:name="（1）销售商品收入确认时间的具体判断标准" w:id="223"/>
      <w:bookmarkEnd w:id="223"/>
      <w:r>
        <w:rPr>
          <w:rFonts w:ascii="Times New Roman" w:hAnsi="Times New Roman" w:cs="Times New Roman" w:eastAsia="Times New Roman" w:hint="default"/>
        </w:rPr>
      </w:r>
      <w:r>
        <w:rPr/>
        <w:t>）销售商品收入确认时间的具体判断标准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firstLine="360"/>
        <w:jc w:val="both"/>
      </w:pPr>
      <w:r>
        <w:rPr>
          <w:spacing w:val="-2"/>
        </w:rPr>
        <w:t>在已将商品所有权上的主要风险和报酬转移给购货方，既没有保留通常与所有权相联系的继续管理权，也没有对已售商</w:t>
      </w:r>
      <w:r>
        <w:rPr/>
        <w:t> </w:t>
      </w:r>
      <w:r>
        <w:rPr>
          <w:spacing w:val="-2"/>
        </w:rPr>
        <w:t>品实施有效控制，收入的金额能够可靠地计量，相关的经济利益很可能流入企业，相关的已发生或将发生的成本能够可靠地</w:t>
      </w:r>
      <w:r>
        <w:rPr>
          <w:spacing w:val="-63"/>
        </w:rPr>
        <w:t> </w:t>
      </w:r>
      <w:r>
        <w:rPr>
          <w:spacing w:val="-63"/>
        </w:rPr>
      </w:r>
      <w:r>
        <w:rPr/>
        <w:t>计量时，确认商品销售收入的实现。</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）确认让渡资产使用权</w:t>
      </w:r>
      <w:bookmarkStart w:name="（2）确认让渡资产使用权收入的依据" w:id="224"/>
      <w:bookmarkEnd w:id="224"/>
      <w:r>
        <w:rPr/>
        <w:t>收入的依据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0"/>
        <w:jc w:val="left"/>
      </w:pPr>
      <w:r>
        <w:rPr/>
        <w:t>与资产使用权让渡相关的经济利益能够流入及收入的金额能够可靠地计量时，本公司确认收入。</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2" w:right="0"/>
        <w:jc w:val="left"/>
      </w:pPr>
      <w:bookmarkStart w:name="（3）确认提供劳务收入的依据" w:id="225"/>
      <w:bookmarkEnd w:id="225"/>
      <w:r>
        <w:rPr/>
      </w:r>
      <w:r>
        <w:rPr/>
        <w:t>对在提供劳务交易的结果能够可靠估计的情况下，本公司于资产负债表日按完工百分比法确认收入。 劳务交易的完工进度按已经发生的劳务成本占估计总成本的比例确定。 提供劳务交易的结果能够可靠估计是指同时满足：</w:t>
      </w:r>
      <w:r>
        <w:rPr>
          <w:rFonts w:ascii="Times New Roman" w:hAnsi="Times New Roman" w:cs="Times New Roman" w:eastAsia="Times New Roman" w:hint="default"/>
        </w:rPr>
        <w:t>A</w:t>
      </w:r>
      <w:r>
        <w:rPr/>
        <w:t>、收入的金额能够可靠地计量；</w:t>
      </w:r>
      <w:r>
        <w:rPr>
          <w:rFonts w:ascii="Times New Roman" w:hAnsi="Times New Roman" w:cs="Times New Roman" w:eastAsia="Times New Roman" w:hint="default"/>
        </w:rPr>
        <w:t>B</w:t>
      </w:r>
      <w:r>
        <w:rPr/>
        <w:t>、相关的经济利益很可能流入企</w:t>
      </w:r>
    </w:p>
    <w:p>
      <w:pPr>
        <w:pStyle w:val="BodyText"/>
        <w:spacing w:line="214" w:lineRule="exact"/>
        <w:ind w:right="0"/>
        <w:jc w:val="left"/>
      </w:pPr>
      <w:r>
        <w:rPr/>
        <w:t>业；</w:t>
      </w:r>
      <w:r>
        <w:rPr>
          <w:rFonts w:ascii="Times New Roman" w:hAnsi="Times New Roman" w:cs="Times New Roman" w:eastAsia="Times New Roman" w:hint="default"/>
        </w:rPr>
        <w:t>C</w:t>
      </w:r>
      <w:r>
        <w:rPr/>
        <w:t>、交易的完工程度能够可靠地确定；</w:t>
      </w:r>
      <w:r>
        <w:rPr>
          <w:rFonts w:ascii="Times New Roman" w:hAnsi="Times New Roman" w:cs="Times New Roman" w:eastAsia="Times New Roman" w:hint="default"/>
        </w:rPr>
        <w:t>D</w:t>
      </w:r>
      <w:r>
        <w:rPr/>
        <w:t>、交易中已发生和将发生的成本能够可靠地计量。</w:t>
      </w:r>
    </w:p>
    <w:p>
      <w:pPr>
        <w:pStyle w:val="BodyText"/>
        <w:spacing w:line="316" w:lineRule="auto" w:before="103"/>
        <w:ind w:right="193" w:firstLine="360"/>
        <w:jc w:val="both"/>
      </w:pPr>
      <w:r>
        <w:rPr>
          <w:spacing w:val="-2"/>
        </w:rPr>
        <w:t>如果提供劳务交易的结果不能够可靠估计，则按已经发生并预计能够得到补偿的劳务成本金额确认提供的劳务收入，并</w:t>
      </w:r>
      <w:r>
        <w:rPr/>
        <w:t> 将已发生的劳务成本作为当期费用。已经发生的劳务成本如预计不能得到补偿的，则不确认收入。</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w:t>
      </w:r>
      <w:bookmarkStart w:name="（4）按完工百分比法确认提供劳务的收入和建造合同收入时，确定合同完工进度的依据和" w:id="226"/>
      <w:bookmarkEnd w:id="226"/>
      <w:r>
        <w:rPr/>
        <w:t>完</w:t>
      </w:r>
      <w:r>
        <w:rPr/>
        <w:t>工进度的依据和方法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0"/>
        <w:jc w:val="left"/>
      </w:pPr>
      <w:r>
        <w:rPr/>
        <w:t>①与收益相关的政府补助；②与资产相关的政府补助。</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2" w:right="0"/>
        <w:jc w:val="left"/>
      </w:pPr>
      <w:r>
        <w:rPr/>
        <w:t>政府补助在满足政府补助所附条件并能够收到时确认。 </w:t>
      </w:r>
      <w:r>
        <w:rPr>
          <w:spacing w:val="-2"/>
        </w:rPr>
        <w:t>对于货币性资产的政府补助，按照收到或应收的金额计量。其中，存在确凿</w:t>
      </w:r>
      <w:bookmarkStart w:name="26、政府补助" w:id="227"/>
      <w:bookmarkEnd w:id="227"/>
      <w:r>
        <w:rPr>
          <w:spacing w:val="-2"/>
        </w:rPr>
      </w:r>
      <w:bookmarkStart w:name="（1）类型" w:id="228"/>
      <w:bookmarkEnd w:id="228"/>
      <w:r>
        <w:rPr>
          <w:spacing w:val="-2"/>
        </w:rPr>
      </w:r>
      <w:bookmarkStart w:name="（2）会计处理方法" w:id="229"/>
      <w:bookmarkEnd w:id="229"/>
      <w:r>
        <w:rPr>
          <w:spacing w:val="-2"/>
        </w:rPr>
        <w:t>证据表明该项补助是按照固定的定额标准拨</w:t>
      </w:r>
    </w:p>
    <w:p>
      <w:pPr>
        <w:pStyle w:val="BodyText"/>
        <w:spacing w:line="222" w:lineRule="exact"/>
        <w:ind w:right="0"/>
        <w:jc w:val="left"/>
      </w:pPr>
      <w:r>
        <w:rPr/>
        <w:t>付的，可以按照应收的金额计量，否则应当按照实际收到的金额计量。对于非货币性资产的政府补助，按照公允价值计量；</w:t>
      </w:r>
    </w:p>
    <w:p>
      <w:pPr>
        <w:pStyle w:val="BodyText"/>
        <w:spacing w:line="360" w:lineRule="auto" w:before="76"/>
        <w:ind w:left="512" w:right="0" w:hanging="360"/>
        <w:jc w:val="left"/>
      </w:pPr>
      <w:r>
        <w:rPr/>
        <w:t>公允价值不能够可靠取得的，按照名义金额</w:t>
      </w:r>
      <w:r>
        <w:rPr>
          <w:rFonts w:ascii="宋体" w:hAnsi="宋体" w:cs="宋体" w:eastAsia="宋体" w:hint="default"/>
        </w:rPr>
        <w:t>1</w:t>
      </w:r>
      <w:r>
        <w:rPr/>
        <w:t>元计量。 </w:t>
      </w:r>
      <w:r>
        <w:rPr>
          <w:spacing w:val="-4"/>
        </w:rPr>
        <w:t>与资产相关的政府补助，确认为递延收益，并在相关资产使用期限内平均分配，计入当期损益。与收益相关的政府补助，</w:t>
      </w:r>
    </w:p>
    <w:p>
      <w:pPr>
        <w:pStyle w:val="BodyText"/>
        <w:spacing w:line="222" w:lineRule="exact"/>
        <w:ind w:right="0"/>
        <w:jc w:val="left"/>
      </w:pPr>
      <w:r>
        <w:rPr/>
        <w:t>如果用于补偿已发生的相关费用或损失，则计入当期损益；如果用于补偿以后期间的相关费用或损失，则计入递延收益，于</w:t>
      </w:r>
    </w:p>
    <w:p>
      <w:pPr>
        <w:pStyle w:val="BodyText"/>
        <w:spacing w:line="357" w:lineRule="auto" w:before="76"/>
        <w:ind w:left="512" w:right="0" w:hanging="360"/>
        <w:jc w:val="left"/>
      </w:pPr>
      <w:r>
        <w:rPr/>
        <w:t>费用确认期间计入当期损益。按照名义金额计量的政府补助，直接计入当期损益。 </w:t>
      </w:r>
      <w:r>
        <w:rPr>
          <w:spacing w:val="-2"/>
        </w:rPr>
        <w:t>已确认的政府补助需要返还时，存在相关递延收益余额的，冲减相关递延收益账面余额，超出部分计入当期损益；不存</w:t>
      </w:r>
    </w:p>
    <w:p>
      <w:pPr>
        <w:pStyle w:val="BodyText"/>
        <w:spacing w:line="224" w:lineRule="exact"/>
        <w:ind w:right="0"/>
        <w:jc w:val="left"/>
      </w:pPr>
      <w:r>
        <w:rPr/>
        <w:t>在相关递延收益的，直接计入当期损益。</w:t>
      </w:r>
    </w:p>
    <w:p>
      <w:pPr>
        <w:spacing w:after="0" w:line="224" w:lineRule="exact"/>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8、经营租赁、融资租赁" w:id="230"/>
      <w:bookmarkEnd w:id="230"/>
      <w:r>
        <w:rPr>
          <w:b w:val="0"/>
          <w:bCs w:val="0"/>
        </w:rPr>
      </w:r>
      <w:bookmarkStart w:name="（1）经营租赁会计处理" w:id="231"/>
      <w:bookmarkEnd w:id="231"/>
      <w:r>
        <w:rPr>
          <w:b w:val="0"/>
          <w:bCs w:val="0"/>
        </w:rPr>
      </w:r>
      <w:bookmarkStart w:name="（2）融资租赁会计处理" w:id="232"/>
      <w:bookmarkEnd w:id="232"/>
      <w:r>
        <w:rPr>
          <w:b w:val="0"/>
          <w:bCs w:val="0"/>
        </w:rPr>
      </w:r>
      <w:bookmarkStart w:name="（3）售后租回的会计处理" w:id="233"/>
      <w:bookmarkEnd w:id="233"/>
      <w:r>
        <w:rPr>
          <w:b w:val="0"/>
          <w:bCs w:val="0"/>
        </w:rPr>
      </w:r>
      <w:bookmarkStart w:name="29、持有待售资产" w:id="234"/>
      <w:bookmarkEnd w:id="234"/>
      <w:r>
        <w:rPr>
          <w:b w:val="0"/>
          <w:bCs w:val="0"/>
        </w:rPr>
      </w:r>
      <w:bookmarkStart w:name="（1）持有待售资产确认标准" w:id="235"/>
      <w:bookmarkEnd w:id="235"/>
      <w:r>
        <w:rPr>
          <w:b w:val="0"/>
          <w:bCs w:val="0"/>
        </w:rPr>
      </w:r>
      <w:bookmarkStart w:name="（2）持有待售资产的会计处理方法" w:id="236"/>
      <w:bookmarkEnd w:id="236"/>
      <w:r>
        <w:rPr>
          <w:b w:val="0"/>
          <w:bCs w:val="0"/>
        </w:rPr>
      </w:r>
      <w:bookmarkStart w:name="30、资产证券化业务" w:id="237"/>
      <w:bookmarkEnd w:id="237"/>
      <w:r>
        <w:rPr>
          <w:b w:val="0"/>
          <w:bCs w:val="0"/>
        </w:rPr>
      </w:r>
      <w:bookmarkStart w:name="31、套期会计" w:id="238"/>
      <w:bookmarkEnd w:id="238"/>
      <w:r>
        <w:rPr>
          <w:b w:val="0"/>
          <w:bCs w:val="0"/>
        </w:rPr>
      </w:r>
      <w:bookmarkStart w:name="32、主要会计政策、会计估计的变更" w:id="239"/>
      <w:bookmarkEnd w:id="239"/>
      <w:r>
        <w:rPr>
          <w:b w:val="0"/>
          <w:bCs w:val="0"/>
        </w:rPr>
      </w:r>
      <w:r>
        <w:rPr>
          <w:rFonts w:ascii="Times New Roman" w:hAnsi="Times New Roman" w:cs="Times New Roman" w:eastAsia="Times New Roman" w:hint="default"/>
        </w:rPr>
        <w:t>27</w:t>
      </w:r>
      <w:bookmarkStart w:name="27、递延所得税资产和递延所得税负债" w:id="240"/>
      <w:bookmarkEnd w:id="240"/>
      <w:r>
        <w:rPr>
          <w:rFonts w:ascii="Times New Roman" w:hAnsi="Times New Roman" w:cs="Times New Roman" w:eastAsia="Times New Roman" w:hint="default"/>
        </w:rPr>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bookmarkStart w:name="（1）确认递延所得税资产的依据" w:id="241"/>
      <w:bookmarkEnd w:id="241"/>
      <w:r>
        <w:rPr>
          <w:rFonts w:ascii="Times New Roman" w:hAnsi="Times New Roman" w:cs="Times New Roman" w:eastAsia="Times New Roman" w:hint="default"/>
        </w:rPr>
      </w:r>
      <w:r>
        <w:rPr/>
        <w:t>）确认递延所得税资产的依据</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4"/>
        </w:rPr>
        <w:t>对于可抵扣暂时性差异、能够结转以后年度的可抵扣亏损和税款抵减，本公司以很可能取得用来抵扣可抵扣暂时性差异、</w:t>
      </w:r>
      <w:r>
        <w:rPr/>
        <w:t> </w:t>
      </w:r>
      <w:r>
        <w:rPr>
          <w:spacing w:val="-2"/>
        </w:rPr>
        <w:t>可抵扣亏损和税款抵减的未来应纳税所得额为限，确认由此产生的递延所得税资产，除非该可抵扣暂时性差异是在以下交易</w:t>
      </w:r>
      <w:r>
        <w:rPr>
          <w:spacing w:val="-64"/>
        </w:rPr>
        <w:t> </w:t>
      </w:r>
      <w:r>
        <w:rPr>
          <w:spacing w:val="-64"/>
        </w:rPr>
      </w:r>
      <w:r>
        <w:rPr/>
        <w:t>中产生的：</w:t>
      </w:r>
    </w:p>
    <w:p>
      <w:pPr>
        <w:pStyle w:val="BodyText"/>
        <w:spacing w:line="240" w:lineRule="auto" w:before="59"/>
        <w:ind w:left="515" w:right="0"/>
        <w:jc w:val="left"/>
      </w:pPr>
      <w:r>
        <w:rPr/>
        <w:t>①该交易不是企业合并，并且交易发生时既不影响会计利润也不影响应纳税所得额；</w:t>
      </w:r>
    </w:p>
    <w:p>
      <w:pPr>
        <w:pStyle w:val="BodyText"/>
        <w:spacing w:line="316" w:lineRule="auto" w:before="115"/>
        <w:ind w:right="0" w:firstLine="360"/>
        <w:jc w:val="left"/>
      </w:pPr>
      <w:r>
        <w:rPr>
          <w:spacing w:val="-2"/>
        </w:rPr>
        <w:t>②对于与子公司、合营企业及联营企业投资相关的可抵扣暂时性差异，同时满足下列条件的，确认相应的递延所得税资</w:t>
      </w:r>
      <w:r>
        <w:rPr/>
        <w:t> 产：暂时性差异在可预见的未来很可能转回，且未来很可能获得用来抵扣可抵扣暂时性差异的应纳税所得额。</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0"/>
        <w:jc w:val="left"/>
      </w:pPr>
      <w:bookmarkStart w:name="（2）确认递延所得税负债的依据" w:id="242"/>
      <w:bookmarkEnd w:id="242"/>
      <w:r>
        <w:rPr/>
      </w:r>
      <w:r>
        <w:rPr/>
        <w:t>各项应纳税暂时性差异均确认相关的递延所得税负债，除非该应纳税暂时性差异是在以下交易中产生的：</w:t>
      </w:r>
    </w:p>
    <w:p>
      <w:pPr>
        <w:pStyle w:val="BodyText"/>
        <w:spacing w:line="316" w:lineRule="auto" w:before="117"/>
        <w:ind w:right="181" w:firstLine="273"/>
        <w:jc w:val="left"/>
      </w:pPr>
      <w:r>
        <w:rPr/>
        <w:t>①商誉的初始确认，或者具有以下特征的交易中产生的资产或负债的初始确认：该交易不是企业合并，并且交易发生时 既不影响会计利润也不影响应纳税所得额；</w:t>
      </w:r>
    </w:p>
    <w:p>
      <w:pPr>
        <w:pStyle w:val="BodyText"/>
        <w:spacing w:line="316" w:lineRule="auto" w:before="57"/>
        <w:ind w:right="183" w:firstLine="271"/>
        <w:jc w:val="left"/>
      </w:pPr>
      <w:r>
        <w:rPr/>
        <w:t>②对于与子公司、合营企业及联营企业投资相关的应纳税暂时性差异，该暂时性差异转回的时间能够控制并且该暂时性 差异在可预见的未来很可能不会转回。</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本报告期主要会计政策、会计估计是否变更</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47"/>
        <w:jc w:val="left"/>
      </w:pPr>
      <w:bookmarkStart w:name="34、其他主要会计政策、会计估计和财务报表编制方法" w:id="243"/>
      <w:bookmarkEnd w:id="243"/>
      <w:r>
        <w:rPr/>
      </w:r>
      <w:bookmarkStart w:name="五、税项" w:id="244"/>
      <w:bookmarkEnd w:id="244"/>
      <w:r>
        <w:rPr/>
      </w:r>
      <w:bookmarkStart w:name="1、公司主要税种和税率" w:id="245"/>
      <w:bookmarkEnd w:id="245"/>
      <w:r>
        <w:rPr/>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bookmarkStart w:name="（1）会计政策变更" w:id="246"/>
      <w:bookmarkEnd w:id="246"/>
      <w:r>
        <w:rPr>
          <w:rFonts w:ascii="Times New Roman" w:hAnsi="Times New Roman" w:cs="Times New Roman" w:eastAsia="Times New Roman" w:hint="default"/>
        </w:rPr>
      </w:r>
      <w:r>
        <w:rPr/>
        <w:t>）会计政策变更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本报告期主要会计政策是否变更</w:t>
      </w:r>
    </w:p>
    <w:p>
      <w:pPr>
        <w:pStyle w:val="BodyText"/>
        <w:spacing w:line="240" w:lineRule="auto" w:before="115"/>
        <w:ind w:right="14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47"/>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本报告期主</w:t>
      </w:r>
      <w:bookmarkStart w:name="（2）会计估计变更" w:id="247"/>
      <w:bookmarkEnd w:id="247"/>
      <w:r>
        <w:rPr/>
        <w:t>要会计估计是否变更</w:t>
      </w:r>
    </w:p>
    <w:p>
      <w:pPr>
        <w:pStyle w:val="BodyText"/>
        <w:spacing w:line="240" w:lineRule="auto" w:before="115"/>
        <w:ind w:right="14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47"/>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本报告期是否发现前期会计差错</w:t>
      </w:r>
    </w:p>
    <w:p>
      <w:pPr>
        <w:pStyle w:val="BodyText"/>
        <w:spacing w:line="338" w:lineRule="auto" w:before="117"/>
        <w:ind w:right="8886"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无</w:t>
      </w:r>
    </w:p>
    <w:p>
      <w:pPr>
        <w:spacing w:line="240" w:lineRule="auto" w:before="7"/>
        <w:rPr>
          <w:rFonts w:ascii="宋体" w:hAnsi="宋体" w:cs="宋体" w:eastAsia="宋体" w:hint="default"/>
          <w:sz w:val="21"/>
          <w:szCs w:val="21"/>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bookmarkStart w:name="33、前期会计差错更正" w:id="248"/>
      <w:bookmarkEnd w:id="248"/>
      <w:r>
        <w:rPr/>
      </w:r>
      <w:r>
        <w:rPr/>
        <w:t>本报告期是否发现采用追溯重述法的前期会计差错</w:t>
      </w:r>
    </w:p>
    <w:p>
      <w:pPr>
        <w:pStyle w:val="BodyText"/>
        <w:spacing w:line="240" w:lineRule="auto" w:before="115"/>
        <w:ind w:right="14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47"/>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本报告期是否发现采用未来适用法的前期会计差错</w:t>
      </w:r>
    </w:p>
    <w:p>
      <w:pPr>
        <w:pStyle w:val="BodyText"/>
        <w:spacing w:line="240" w:lineRule="auto" w:before="117"/>
        <w:ind w:right="14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47"/>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47"/>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7"/>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492"/>
        <w:gridCol w:w="3036"/>
        <w:gridCol w:w="3026"/>
      </w:tblGrid>
      <w:tr>
        <w:trPr>
          <w:trHeight w:val="403" w:hRule="exact"/>
        </w:trPr>
        <w:tc>
          <w:tcPr>
            <w:tcW w:w="3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 w:right="0"/>
              <w:jc w:val="center"/>
              <w:rPr>
                <w:rFonts w:ascii="宋体" w:hAnsi="宋体" w:cs="宋体" w:eastAsia="宋体" w:hint="default"/>
                <w:sz w:val="18"/>
                <w:szCs w:val="18"/>
              </w:rPr>
            </w:pPr>
            <w:bookmarkStart w:name="（1）追溯重述法" w:id="249"/>
            <w:bookmarkEnd w:id="249"/>
            <w:r>
              <w:rPr/>
            </w:r>
            <w:bookmarkStart w:name="（2）未来适用法" w:id="250"/>
            <w:bookmarkEnd w:id="250"/>
            <w:r>
              <w:rPr/>
            </w:r>
            <w:r>
              <w:rPr>
                <w:rFonts w:ascii="宋体" w:hAnsi="宋体" w:cs="宋体" w:eastAsia="宋体" w:hint="default"/>
                <w:sz w:val="18"/>
                <w:szCs w:val="18"/>
              </w:rPr>
              <w:t>税率</w:t>
            </w:r>
          </w:p>
        </w:tc>
      </w:tr>
      <w:tr>
        <w:trPr>
          <w:trHeight w:val="401" w:hRule="exact"/>
        </w:trPr>
        <w:tc>
          <w:tcPr>
            <w:tcW w:w="3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销售货物</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3" w:hRule="exact"/>
        </w:trPr>
        <w:tc>
          <w:tcPr>
            <w:tcW w:w="3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应交增值税额＋应交营业税额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49"/>
        <w:ind w:right="147"/>
        <w:jc w:val="left"/>
      </w:pPr>
      <w:r>
        <w:rPr/>
        <w:t>各分公司、分厂执行的所得税税率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541" w:type="dxa"/>
        <w:tblLayout w:type="fixed"/>
        <w:tblCellMar>
          <w:top w:w="0" w:type="dxa"/>
          <w:left w:w="0" w:type="dxa"/>
          <w:bottom w:w="0" w:type="dxa"/>
          <w:right w:w="0" w:type="dxa"/>
        </w:tblCellMar>
        <w:tblLook w:val="01E0"/>
      </w:tblPr>
      <w:tblGrid>
        <w:gridCol w:w="3576"/>
        <w:gridCol w:w="2484"/>
        <w:gridCol w:w="2784"/>
      </w:tblGrid>
      <w:tr>
        <w:trPr>
          <w:trHeight w:val="341" w:hRule="exact"/>
        </w:trPr>
        <w:tc>
          <w:tcPr>
            <w:tcW w:w="357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484"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3"/>
              <w:ind w:left="784" w:right="0"/>
              <w:jc w:val="left"/>
              <w:rPr>
                <w:rFonts w:ascii="宋体" w:hAnsi="宋体" w:cs="宋体" w:eastAsia="宋体" w:hint="default"/>
                <w:sz w:val="18"/>
                <w:szCs w:val="18"/>
              </w:rPr>
            </w:pPr>
            <w:r>
              <w:rPr>
                <w:rFonts w:ascii="宋体" w:hAnsi="宋体" w:cs="宋体" w:eastAsia="宋体" w:hint="default"/>
                <w:sz w:val="18"/>
                <w:szCs w:val="18"/>
              </w:rPr>
              <w:t>本年度税率</w:t>
            </w:r>
          </w:p>
        </w:tc>
        <w:tc>
          <w:tcPr>
            <w:tcW w:w="2784"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上年度税率</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541" w:type="dxa"/>
        <w:tblLayout w:type="fixed"/>
        <w:tblCellMar>
          <w:top w:w="0" w:type="dxa"/>
          <w:left w:w="0" w:type="dxa"/>
          <w:bottom w:w="0" w:type="dxa"/>
          <w:right w:w="0" w:type="dxa"/>
        </w:tblCellMar>
        <w:tblLook w:val="01E0"/>
      </w:tblPr>
      <w:tblGrid>
        <w:gridCol w:w="3576"/>
        <w:gridCol w:w="2484"/>
        <w:gridCol w:w="2784"/>
      </w:tblGrid>
      <w:tr>
        <w:trPr>
          <w:trHeight w:val="348" w:hRule="exact"/>
        </w:trPr>
        <w:tc>
          <w:tcPr>
            <w:tcW w:w="3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70" w:right="0"/>
              <w:jc w:val="left"/>
              <w:rPr>
                <w:rFonts w:ascii="Times New Roman" w:hAnsi="Times New Roman" w:cs="Times New Roman" w:eastAsia="Times New Roman" w:hint="default"/>
                <w:sz w:val="18"/>
                <w:szCs w:val="18"/>
              </w:rPr>
            </w:pPr>
            <w:r>
              <w:rPr>
                <w:rFonts w:ascii="Times New Roman"/>
                <w:sz w:val="18"/>
              </w:rPr>
              <w:t>10%</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21" w:right="0"/>
              <w:jc w:val="left"/>
              <w:rPr>
                <w:rFonts w:ascii="Times New Roman" w:hAnsi="Times New Roman" w:cs="Times New Roman" w:eastAsia="Times New Roman" w:hint="default"/>
                <w:sz w:val="18"/>
                <w:szCs w:val="18"/>
              </w:rPr>
            </w:pPr>
            <w:r>
              <w:rPr>
                <w:rFonts w:ascii="Times New Roman"/>
                <w:sz w:val="18"/>
              </w:rPr>
              <w:t>10%</w:t>
            </w:r>
          </w:p>
        </w:tc>
      </w:tr>
      <w:tr>
        <w:trPr>
          <w:trHeight w:val="346" w:hRule="exact"/>
        </w:trPr>
        <w:tc>
          <w:tcPr>
            <w:tcW w:w="3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70" w:right="0"/>
              <w:jc w:val="left"/>
              <w:rPr>
                <w:rFonts w:ascii="Times New Roman" w:hAnsi="Times New Roman" w:cs="Times New Roman" w:eastAsia="Times New Roman" w:hint="default"/>
                <w:sz w:val="18"/>
                <w:szCs w:val="18"/>
              </w:rPr>
            </w:pPr>
            <w:r>
              <w:rPr>
                <w:rFonts w:ascii="Times New Roman"/>
                <w:sz w:val="18"/>
              </w:rPr>
              <w:t>25%</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21" w:right="0"/>
              <w:jc w:val="left"/>
              <w:rPr>
                <w:rFonts w:ascii="Times New Roman" w:hAnsi="Times New Roman" w:cs="Times New Roman" w:eastAsia="Times New Roman" w:hint="default"/>
                <w:sz w:val="18"/>
                <w:szCs w:val="18"/>
              </w:rPr>
            </w:pPr>
            <w:r>
              <w:rPr>
                <w:rFonts w:ascii="Times New Roman"/>
                <w:sz w:val="18"/>
              </w:rPr>
              <w:t>25%</w:t>
            </w:r>
          </w:p>
        </w:tc>
      </w:tr>
      <w:tr>
        <w:trPr>
          <w:trHeight w:val="348" w:hRule="exact"/>
        </w:trPr>
        <w:tc>
          <w:tcPr>
            <w:tcW w:w="3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福州创华电气自动化有限公司</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70" w:right="0"/>
              <w:jc w:val="left"/>
              <w:rPr>
                <w:rFonts w:ascii="Times New Roman" w:hAnsi="Times New Roman" w:cs="Times New Roman" w:eastAsia="Times New Roman" w:hint="default"/>
                <w:sz w:val="18"/>
                <w:szCs w:val="18"/>
              </w:rPr>
            </w:pPr>
            <w:r>
              <w:rPr>
                <w:rFonts w:ascii="Times New Roman"/>
                <w:sz w:val="18"/>
              </w:rPr>
              <w:t>25%</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21" w:right="0"/>
              <w:jc w:val="left"/>
              <w:rPr>
                <w:rFonts w:ascii="Times New Roman" w:hAnsi="Times New Roman" w:cs="Times New Roman" w:eastAsia="Times New Roman" w:hint="default"/>
                <w:sz w:val="18"/>
                <w:szCs w:val="18"/>
              </w:rPr>
            </w:pPr>
            <w:r>
              <w:rPr>
                <w:rFonts w:ascii="Times New Roman"/>
                <w:sz w:val="18"/>
              </w:rPr>
              <w:t>25%</w:t>
            </w:r>
          </w:p>
        </w:tc>
      </w:tr>
      <w:tr>
        <w:trPr>
          <w:trHeight w:val="346" w:hRule="exact"/>
        </w:trPr>
        <w:tc>
          <w:tcPr>
            <w:tcW w:w="3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70" w:right="0"/>
              <w:jc w:val="left"/>
              <w:rPr>
                <w:rFonts w:ascii="Times New Roman" w:hAnsi="Times New Roman" w:cs="Times New Roman" w:eastAsia="Times New Roman" w:hint="default"/>
                <w:sz w:val="18"/>
                <w:szCs w:val="18"/>
              </w:rPr>
            </w:pPr>
            <w:r>
              <w:rPr>
                <w:rFonts w:ascii="Times New Roman"/>
                <w:sz w:val="18"/>
              </w:rPr>
              <w:t>15%</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21" w:right="0"/>
              <w:jc w:val="left"/>
              <w:rPr>
                <w:rFonts w:ascii="Times New Roman" w:hAnsi="Times New Roman" w:cs="Times New Roman" w:eastAsia="Times New Roman" w:hint="default"/>
                <w:sz w:val="18"/>
                <w:szCs w:val="18"/>
              </w:rPr>
            </w:pPr>
            <w:r>
              <w:rPr>
                <w:rFonts w:ascii="Times New Roman"/>
                <w:sz w:val="18"/>
              </w:rPr>
              <w:t>15%</w:t>
            </w:r>
          </w:p>
        </w:tc>
      </w:tr>
      <w:tr>
        <w:trPr>
          <w:trHeight w:val="348" w:hRule="exact"/>
        </w:trPr>
        <w:tc>
          <w:tcPr>
            <w:tcW w:w="3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榕基五一（北京）信息技术有限公司</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70" w:right="0"/>
              <w:jc w:val="left"/>
              <w:rPr>
                <w:rFonts w:ascii="Times New Roman" w:hAnsi="Times New Roman" w:cs="Times New Roman" w:eastAsia="Times New Roman" w:hint="default"/>
                <w:sz w:val="18"/>
                <w:szCs w:val="18"/>
              </w:rPr>
            </w:pPr>
            <w:r>
              <w:rPr>
                <w:rFonts w:ascii="Times New Roman"/>
                <w:sz w:val="18"/>
              </w:rPr>
              <w:t>25%</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21" w:right="0"/>
              <w:jc w:val="left"/>
              <w:rPr>
                <w:rFonts w:ascii="Times New Roman" w:hAnsi="Times New Roman" w:cs="Times New Roman" w:eastAsia="Times New Roman" w:hint="default"/>
                <w:sz w:val="18"/>
                <w:szCs w:val="18"/>
              </w:rPr>
            </w:pPr>
            <w:r>
              <w:rPr>
                <w:rFonts w:ascii="Times New Roman"/>
                <w:sz w:val="18"/>
              </w:rPr>
              <w:t>25%</w:t>
            </w:r>
          </w:p>
        </w:tc>
      </w:tr>
      <w:tr>
        <w:trPr>
          <w:trHeight w:val="346" w:hRule="exact"/>
        </w:trPr>
        <w:tc>
          <w:tcPr>
            <w:tcW w:w="3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70" w:right="0"/>
              <w:jc w:val="left"/>
              <w:rPr>
                <w:rFonts w:ascii="Times New Roman" w:hAnsi="Times New Roman" w:cs="Times New Roman" w:eastAsia="Times New Roman" w:hint="default"/>
                <w:sz w:val="18"/>
                <w:szCs w:val="18"/>
              </w:rPr>
            </w:pPr>
            <w:r>
              <w:rPr>
                <w:rFonts w:ascii="Times New Roman"/>
                <w:sz w:val="18"/>
              </w:rPr>
              <w:t>25%</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21" w:right="0"/>
              <w:jc w:val="left"/>
              <w:rPr>
                <w:rFonts w:ascii="Times New Roman" w:hAnsi="Times New Roman" w:cs="Times New Roman" w:eastAsia="Times New Roman" w:hint="default"/>
                <w:sz w:val="18"/>
                <w:szCs w:val="18"/>
              </w:rPr>
            </w:pPr>
            <w:r>
              <w:rPr>
                <w:rFonts w:ascii="Times New Roman"/>
                <w:sz w:val="18"/>
              </w:rPr>
              <w:t>25%</w:t>
            </w:r>
          </w:p>
        </w:tc>
      </w:tr>
      <w:tr>
        <w:trPr>
          <w:trHeight w:val="348" w:hRule="exact"/>
        </w:trPr>
        <w:tc>
          <w:tcPr>
            <w:tcW w:w="3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河南榕基信息技术有限公司</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70" w:right="0"/>
              <w:jc w:val="left"/>
              <w:rPr>
                <w:rFonts w:ascii="Times New Roman" w:hAnsi="Times New Roman" w:cs="Times New Roman" w:eastAsia="Times New Roman" w:hint="default"/>
                <w:sz w:val="18"/>
                <w:szCs w:val="18"/>
              </w:rPr>
            </w:pPr>
            <w:r>
              <w:rPr>
                <w:rFonts w:ascii="Times New Roman"/>
                <w:sz w:val="18"/>
              </w:rPr>
              <w:t>25%</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21" w:right="0"/>
              <w:jc w:val="left"/>
              <w:rPr>
                <w:rFonts w:ascii="Times New Roman" w:hAnsi="Times New Roman" w:cs="Times New Roman" w:eastAsia="Times New Roman" w:hint="default"/>
                <w:sz w:val="18"/>
                <w:szCs w:val="18"/>
              </w:rPr>
            </w:pPr>
            <w:r>
              <w:rPr>
                <w:rFonts w:ascii="Times New Roman"/>
                <w:sz w:val="18"/>
              </w:rPr>
              <w:t>25%</w:t>
            </w:r>
          </w:p>
        </w:tc>
      </w:tr>
      <w:tr>
        <w:trPr>
          <w:trHeight w:val="348" w:hRule="exact"/>
        </w:trPr>
        <w:tc>
          <w:tcPr>
            <w:tcW w:w="3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北京中榕基信息技术有限公司</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70" w:right="0"/>
              <w:jc w:val="left"/>
              <w:rPr>
                <w:rFonts w:ascii="Times New Roman" w:hAnsi="Times New Roman" w:cs="Times New Roman" w:eastAsia="Times New Roman" w:hint="default"/>
                <w:sz w:val="18"/>
                <w:szCs w:val="18"/>
              </w:rPr>
            </w:pPr>
            <w:r>
              <w:rPr>
                <w:rFonts w:ascii="Times New Roman"/>
                <w:sz w:val="18"/>
              </w:rPr>
              <w:t>25%</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21" w:right="0"/>
              <w:jc w:val="left"/>
              <w:rPr>
                <w:rFonts w:ascii="Times New Roman" w:hAnsi="Times New Roman" w:cs="Times New Roman" w:eastAsia="Times New Roman" w:hint="default"/>
                <w:sz w:val="18"/>
                <w:szCs w:val="18"/>
              </w:rPr>
            </w:pPr>
            <w:r>
              <w:rPr>
                <w:rFonts w:ascii="Times New Roman"/>
                <w:sz w:val="18"/>
              </w:rPr>
              <w:t>25%</w:t>
            </w:r>
          </w:p>
        </w:tc>
      </w:tr>
      <w:tr>
        <w:trPr>
          <w:trHeight w:val="346" w:hRule="exact"/>
        </w:trPr>
        <w:tc>
          <w:tcPr>
            <w:tcW w:w="3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马鞍山榕基软件信息科技有限公司</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70" w:right="0"/>
              <w:jc w:val="left"/>
              <w:rPr>
                <w:rFonts w:ascii="Times New Roman" w:hAnsi="Times New Roman" w:cs="Times New Roman" w:eastAsia="Times New Roman" w:hint="default"/>
                <w:sz w:val="18"/>
                <w:szCs w:val="18"/>
              </w:rPr>
            </w:pPr>
            <w:r>
              <w:rPr>
                <w:rFonts w:ascii="Times New Roman"/>
                <w:sz w:val="18"/>
              </w:rPr>
              <w:t>25%</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21" w:right="0"/>
              <w:jc w:val="left"/>
              <w:rPr>
                <w:rFonts w:ascii="Times New Roman" w:hAnsi="Times New Roman" w:cs="Times New Roman" w:eastAsia="Times New Roman" w:hint="default"/>
                <w:sz w:val="18"/>
                <w:szCs w:val="18"/>
              </w:rPr>
            </w:pPr>
            <w:r>
              <w:rPr>
                <w:rFonts w:ascii="Times New Roman"/>
                <w:sz w:val="18"/>
              </w:rPr>
              <w:t>25%</w:t>
            </w:r>
          </w:p>
        </w:tc>
      </w:tr>
      <w:tr>
        <w:trPr>
          <w:trHeight w:val="348" w:hRule="exact"/>
        </w:trPr>
        <w:tc>
          <w:tcPr>
            <w:tcW w:w="3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福建榕基投资有限公司</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70" w:right="0"/>
              <w:jc w:val="left"/>
              <w:rPr>
                <w:rFonts w:ascii="Times New Roman" w:hAnsi="Times New Roman" w:cs="Times New Roman" w:eastAsia="Times New Roman" w:hint="default"/>
                <w:sz w:val="18"/>
                <w:szCs w:val="18"/>
              </w:rPr>
            </w:pPr>
            <w:r>
              <w:rPr>
                <w:rFonts w:ascii="Times New Roman"/>
                <w:sz w:val="18"/>
              </w:rPr>
              <w:t>25%</w:t>
            </w:r>
          </w:p>
        </w:tc>
        <w:tc>
          <w:tcPr>
            <w:tcW w:w="278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马鞍山榕基置业投资有限公司</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70" w:right="0"/>
              <w:jc w:val="left"/>
              <w:rPr>
                <w:rFonts w:ascii="Times New Roman" w:hAnsi="Times New Roman" w:cs="Times New Roman" w:eastAsia="Times New Roman" w:hint="default"/>
                <w:sz w:val="18"/>
                <w:szCs w:val="18"/>
              </w:rPr>
            </w:pPr>
            <w:r>
              <w:rPr>
                <w:rFonts w:ascii="Times New Roman"/>
                <w:sz w:val="18"/>
              </w:rPr>
              <w:t>25%</w:t>
            </w:r>
          </w:p>
        </w:tc>
        <w:tc>
          <w:tcPr>
            <w:tcW w:w="27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2" w:right="198"/>
        <w:jc w:val="left"/>
      </w:pPr>
      <w:r>
        <w:rPr/>
        <w:t>（</w:t>
      </w:r>
      <w:r>
        <w:rPr>
          <w:rFonts w:ascii="Times New Roman" w:hAnsi="Times New Roman" w:cs="Times New Roman" w:eastAsia="Times New Roman" w:hint="default"/>
        </w:rPr>
        <w:t>1</w:t>
      </w:r>
      <w:r>
        <w:rPr/>
        <w:t>）增值税 </w:t>
      </w:r>
      <w:bookmarkStart w:name="2、税收优惠及批文" w:id="251"/>
      <w:bookmarkEnd w:id="251"/>
      <w:r>
        <w:rPr>
          <w:spacing w:val="-2"/>
        </w:rPr>
        <w:t>公司本部、上海榕基软件开发有限公司（以下简称上海榕基公司</w:t>
      </w:r>
      <w:r>
        <w:rPr>
          <w:spacing w:val="-2"/>
        </w:rPr>
        <w:t>）、浙江榕基信息技术有限公司（以下简称浙江榕基公</w:t>
      </w:r>
    </w:p>
    <w:p>
      <w:pPr>
        <w:pStyle w:val="BodyText"/>
        <w:spacing w:line="312" w:lineRule="auto"/>
        <w:ind w:right="94"/>
        <w:jc w:val="left"/>
      </w:pPr>
      <w:r>
        <w:rPr>
          <w:spacing w:val="-7"/>
        </w:rPr>
        <w:t>司）、福州创华电气自动化有限公司（以下简称福州创华公司）、福建榕基软件工程有限公司（以下简称榕基软件工程公司）、</w:t>
      </w:r>
      <w:r>
        <w:rPr>
          <w:spacing w:val="-52"/>
        </w:rPr>
        <w:t> </w:t>
      </w:r>
      <w:r>
        <w:rPr>
          <w:spacing w:val="-52"/>
        </w:rPr>
      </w:r>
      <w:r>
        <w:rPr>
          <w:spacing w:val="-5"/>
        </w:rPr>
        <w:t>榕基五一（北京）信息技术有限公司（以下简称北京五一公司）、河南榕基信息技术有限公司（以下简称河南榕基公司）、北</w:t>
      </w:r>
      <w:r>
        <w:rPr>
          <w:spacing w:val="-83"/>
        </w:rPr>
        <w:t> </w:t>
      </w:r>
      <w:r>
        <w:rPr>
          <w:spacing w:val="-83"/>
        </w:rPr>
      </w:r>
      <w:r>
        <w:rPr>
          <w:spacing w:val="-2"/>
        </w:rPr>
        <w:t>京中榕基信息技术有限公司（以下简称北京中榕基公司）、马鞍山榕基软件信息科技有限公司（以下简称马鞍山榕基公司）</w:t>
      </w:r>
      <w:r>
        <w:rPr>
          <w:spacing w:val="-72"/>
        </w:rPr>
        <w:t> </w:t>
      </w:r>
      <w:r>
        <w:rPr>
          <w:spacing w:val="-72"/>
        </w:rPr>
      </w:r>
      <w:r>
        <w:rPr/>
        <w:t>均为增值税一般纳税人，其中公司本部、上海榕基公司、浙江榕基公司、河南榕基公司、北京五一公司、马鞍山榕基公司、 </w:t>
      </w:r>
      <w:r>
        <w:rPr>
          <w:spacing w:val="-2"/>
        </w:rPr>
        <w:t>福州创华公司及榕基软件工程公司均被认定为软件企业，根据《国务院关于印发进一步鼓励软件产业和集成电路产业发展若</w:t>
      </w:r>
      <w:r>
        <w:rPr>
          <w:spacing w:val="-64"/>
        </w:rPr>
        <w:t> </w:t>
      </w:r>
      <w:r>
        <w:rPr>
          <w:spacing w:val="-64"/>
        </w:rPr>
      </w:r>
      <w:r>
        <w:rPr>
          <w:spacing w:val="-6"/>
        </w:rPr>
        <w:t>干政策的通知》（国发〔</w:t>
      </w:r>
      <w:r>
        <w:rPr>
          <w:rFonts w:ascii="Times New Roman" w:hAnsi="Times New Roman" w:cs="Times New Roman" w:eastAsia="Times New Roman" w:hint="default"/>
          <w:spacing w:val="-6"/>
        </w:rPr>
        <w:t>2011</w:t>
      </w:r>
      <w:r>
        <w:rPr>
          <w:spacing w:val="-6"/>
        </w:rPr>
        <w:t>〕</w:t>
      </w:r>
      <w:r>
        <w:rPr>
          <w:rFonts w:ascii="Times New Roman" w:hAnsi="Times New Roman" w:cs="Times New Roman" w:eastAsia="Times New Roman" w:hint="default"/>
          <w:spacing w:val="-6"/>
        </w:rPr>
        <w:t>4</w:t>
      </w:r>
      <w:r>
        <w:rPr>
          <w:rFonts w:ascii="Times New Roman" w:hAnsi="Times New Roman" w:cs="Times New Roman" w:eastAsia="Times New Roman" w:hint="default"/>
        </w:rPr>
        <w:t> </w:t>
      </w:r>
      <w:r>
        <w:rPr>
          <w:spacing w:val="-5"/>
        </w:rPr>
        <w:t>号），财政部、国家税务总局《关于软件产品增值税政策的通知》（财税〔</w:t>
      </w:r>
      <w:r>
        <w:rPr>
          <w:rFonts w:ascii="Times New Roman" w:hAnsi="Times New Roman" w:cs="Times New Roman" w:eastAsia="Times New Roman" w:hint="default"/>
          <w:spacing w:val="-5"/>
        </w:rPr>
        <w:t>2011</w:t>
      </w:r>
      <w:r>
        <w:rPr>
          <w:spacing w:val="-5"/>
        </w:rPr>
        <w:t>〕</w:t>
      </w:r>
      <w:r>
        <w:rPr>
          <w:rFonts w:ascii="Times New Roman" w:hAnsi="Times New Roman" w:cs="Times New Roman" w:eastAsia="Times New Roman" w:hint="default"/>
          <w:spacing w:val="-5"/>
        </w:rPr>
        <w:t>100</w:t>
      </w:r>
      <w:r>
        <w:rPr>
          <w:rFonts w:ascii="Times New Roman" w:hAnsi="Times New Roman" w:cs="Times New Roman" w:eastAsia="Times New Roman" w:hint="default"/>
        </w:rPr>
        <w:t> </w:t>
      </w:r>
      <w:r>
        <w:rPr>
          <w:spacing w:val="-31"/>
        </w:rPr>
        <w:t>号），</w:t>
      </w:r>
      <w:r>
        <w:rPr>
          <w:spacing w:val="-69"/>
        </w:rPr>
        <w:t> </w:t>
      </w:r>
      <w:r>
        <w:rPr>
          <w:spacing w:val="-69"/>
        </w:rPr>
      </w:r>
      <w:r>
        <w:rPr/>
        <w:t>自</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日起，本公司销售自行开发生产的软件产品，经主管税务部门审核后，实际税负超过</w:t>
      </w:r>
      <w:r>
        <w:rPr>
          <w:spacing w:val="-46"/>
        </w:rPr>
        <w:t> </w:t>
      </w:r>
      <w:r>
        <w:rPr>
          <w:rFonts w:ascii="Times New Roman" w:hAnsi="Times New Roman" w:cs="Times New Roman" w:eastAsia="Times New Roman" w:hint="default"/>
        </w:rPr>
        <w:t>3%</w:t>
      </w:r>
      <w:r>
        <w:rPr/>
        <w:t>的部分实行即征 即退。</w:t>
      </w:r>
    </w:p>
    <w:p>
      <w:pPr>
        <w:pStyle w:val="BodyText"/>
        <w:spacing w:line="338" w:lineRule="auto" w:before="63"/>
        <w:ind w:left="512" w:right="0"/>
        <w:jc w:val="left"/>
      </w:pPr>
      <w:r>
        <w:rPr/>
        <w:t>（</w:t>
      </w:r>
      <w:r>
        <w:rPr>
          <w:rFonts w:ascii="Times New Roman" w:hAnsi="Times New Roman" w:cs="Times New Roman" w:eastAsia="Times New Roman" w:hint="default"/>
        </w:rPr>
        <w:t>2</w:t>
      </w:r>
      <w:r>
        <w:rPr/>
        <w:t>）营业税 </w:t>
      </w:r>
      <w:r>
        <w:rPr>
          <w:spacing w:val="-2"/>
        </w:rPr>
        <w:t>根据财政部和国家税务总局关于贯彻落实《中共中央、国务院关于加强技术创新，发展高科技，实现产业化的决定》有</w:t>
      </w:r>
    </w:p>
    <w:p>
      <w:pPr>
        <w:pStyle w:val="BodyText"/>
        <w:spacing w:line="309" w:lineRule="auto" w:before="2"/>
        <w:ind w:right="195"/>
        <w:jc w:val="both"/>
      </w:pPr>
      <w:r>
        <w:rPr/>
        <w:t>关税收问题的通知（财税字〔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273 </w:t>
      </w:r>
      <w:r>
        <w:rPr>
          <w:spacing w:val="-3"/>
        </w:rPr>
        <w:t>号文），对单位和个人（包括外商投资企业、外商投资设立的研究开发中心、外国</w:t>
      </w:r>
      <w:r>
        <w:rPr>
          <w:spacing w:val="-76"/>
        </w:rPr>
        <w:t> </w:t>
      </w:r>
      <w:r>
        <w:rPr>
          <w:spacing w:val="-76"/>
        </w:rPr>
      </w:r>
      <w:r>
        <w:rPr>
          <w:spacing w:val="-2"/>
        </w:rPr>
        <w:t>企业和外籍个人）从事技术转让、技术开发业务和与之相关的技术咨询、技术服务业务取得的收入，免征营业税，公司技术</w:t>
      </w:r>
      <w:r>
        <w:rPr>
          <w:spacing w:val="-67"/>
        </w:rPr>
        <w:t> </w:t>
      </w:r>
      <w:r>
        <w:rPr>
          <w:spacing w:val="-67"/>
        </w:rPr>
      </w:r>
      <w:r>
        <w:rPr/>
        <w:t>开发、技术转让收入免征营业税。</w:t>
      </w:r>
    </w:p>
    <w:p>
      <w:pPr>
        <w:pStyle w:val="BodyText"/>
        <w:spacing w:line="240" w:lineRule="auto" w:before="65"/>
        <w:ind w:left="512" w:right="0"/>
        <w:jc w:val="left"/>
      </w:pPr>
      <w:r>
        <w:rPr/>
        <w:t>（</w:t>
      </w:r>
      <w:r>
        <w:rPr>
          <w:rFonts w:ascii="Times New Roman" w:hAnsi="Times New Roman" w:cs="Times New Roman" w:eastAsia="Times New Roman" w:hint="default"/>
        </w:rPr>
        <w:t>3</w:t>
      </w:r>
      <w:r>
        <w:rPr/>
        <w:t>）企业所得税</w:t>
      </w:r>
    </w:p>
    <w:p>
      <w:pPr>
        <w:pStyle w:val="BodyText"/>
        <w:spacing w:line="300" w:lineRule="auto" w:before="103"/>
        <w:ind w:right="200" w:firstLine="359"/>
        <w:jc w:val="both"/>
      </w:pPr>
      <w:r>
        <w:rPr/>
        <w:t>①根据《中华人民共和国企业所得税法</w:t>
      </w:r>
      <w:r>
        <w:rPr>
          <w:spacing w:val="-92"/>
        </w:rPr>
        <w:t>》</w:t>
      </w:r>
      <w:r>
        <w:rPr/>
        <w:t>（主席令第</w:t>
      </w:r>
      <w:r>
        <w:rPr>
          <w:spacing w:val="-45"/>
        </w:rPr>
        <w:t> </w:t>
      </w:r>
      <w:r>
        <w:rPr>
          <w:rFonts w:ascii="Times New Roman" w:hAnsi="Times New Roman" w:cs="Times New Roman" w:eastAsia="Times New Roman" w:hint="default"/>
          <w:spacing w:val="1"/>
        </w:rPr>
        <w:t>6</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spacing w:val="-92"/>
        </w:rPr>
        <w:t>）</w:t>
      </w:r>
      <w:r>
        <w:rPr/>
        <w:t>，科技部、财政部、国家税务总局下发的《关于印发〈高新</w:t>
      </w:r>
      <w:r>
        <w:rPr/>
        <w:t> 技术企业认定管理办法〉的通知</w:t>
      </w:r>
      <w:r>
        <w:rPr>
          <w:spacing w:val="-92"/>
        </w:rPr>
        <w:t>》</w:t>
      </w:r>
      <w:r>
        <w:rPr/>
        <w:t>（国科发火〔</w:t>
      </w:r>
      <w:r>
        <w:rPr>
          <w:rFonts w:ascii="Times New Roman" w:hAnsi="Times New Roman" w:cs="Times New Roman" w:eastAsia="Times New Roman" w:hint="default"/>
          <w:spacing w:val="1"/>
        </w:rPr>
        <w:t>2008</w:t>
      </w:r>
      <w:r>
        <w:rPr>
          <w:spacing w:val="-3"/>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号</w:t>
      </w:r>
      <w:r>
        <w:rPr/>
        <w:t>）的规定，国家需要重点扶持的高新技术企业，减按</w:t>
      </w:r>
      <w:r>
        <w:rPr>
          <w:spacing w:val="-45"/>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2"/>
        </w:rPr>
        <w:t>%</w:t>
      </w:r>
      <w:r>
        <w:rPr>
          <w:spacing w:val="-3"/>
        </w:rPr>
        <w:t>的税 </w:t>
      </w:r>
      <w:r>
        <w:rPr/>
        <w:t>率征收企业所得税。</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日，本公司取得有效</w:t>
      </w:r>
      <w:r>
        <w:rPr>
          <w:spacing w:val="-3"/>
        </w:rPr>
        <w:t>期</w:t>
      </w:r>
      <w:r>
        <w:rPr/>
        <w:t>为</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年的《高新技术企业证书</w:t>
      </w:r>
      <w:r>
        <w:rPr>
          <w:spacing w:val="-92"/>
        </w:rPr>
        <w:t>》</w:t>
      </w:r>
      <w:r>
        <w:rPr/>
        <w:t>。</w:t>
      </w:r>
    </w:p>
    <w:p>
      <w:pPr>
        <w:pStyle w:val="BodyText"/>
        <w:spacing w:line="300" w:lineRule="auto" w:before="51"/>
        <w:ind w:right="193" w:firstLine="360"/>
        <w:jc w:val="both"/>
      </w:pPr>
      <w:r>
        <w:rPr/>
        <w:t>公司本部</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spacing w:val="-3"/>
        </w:rPr>
        <w:t>年、</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8"/>
        </w:rPr>
        <w:t> </w:t>
      </w:r>
      <w:r>
        <w:rPr/>
        <w:t>年被认定为国家规划布局内重点软件企业，根据财政部、国家税务总局下发的《关于企业所得 税若干优惠政策的通知》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[2008]1 </w:t>
      </w:r>
      <w:r>
        <w:rPr>
          <w:spacing w:val="-3"/>
        </w:rPr>
        <w:t>号</w:t>
      </w:r>
      <w:r>
        <w:rPr>
          <w:rFonts w:ascii="Times New Roman" w:hAnsi="Times New Roman" w:cs="Times New Roman" w:eastAsia="Times New Roman" w:hint="default"/>
          <w:spacing w:val="-3"/>
        </w:rPr>
        <w:t>)</w:t>
      </w:r>
      <w:r>
        <w:rPr>
          <w:spacing w:val="-3"/>
        </w:rPr>
        <w:t>规定：国家规划布局内的重点软件生产企业，如当年未享受免税优惠的，减按</w:t>
      </w:r>
      <w:r>
        <w:rPr>
          <w:spacing w:val="-79"/>
        </w:rPr>
        <w:t> </w:t>
      </w:r>
      <w:r>
        <w:rPr>
          <w:rFonts w:ascii="Times New Roman" w:hAnsi="Times New Roman" w:cs="Times New Roman" w:eastAsia="Times New Roman" w:hint="default"/>
        </w:rPr>
        <w:t>10</w:t>
      </w:r>
      <w:r>
        <w:rPr/>
        <w:t>％ 的税率征收企业所得税。</w:t>
      </w:r>
    </w:p>
    <w:p>
      <w:pPr>
        <w:pStyle w:val="BodyText"/>
        <w:spacing w:line="300" w:lineRule="auto" w:before="72"/>
        <w:ind w:right="282" w:firstLine="360"/>
        <w:jc w:val="both"/>
      </w:pPr>
      <w:r>
        <w:rPr>
          <w:spacing w:val="-2"/>
        </w:rPr>
        <w:t>②</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3"/>
        </w:rPr>
        <w:t> </w:t>
      </w:r>
      <w:r>
        <w:rPr>
          <w:rFonts w:ascii="Times New Roman" w:hAnsi="Times New Roman" w:cs="Times New Roman" w:eastAsia="Times New Roman" w:hint="default"/>
          <w:spacing w:val="-1"/>
        </w:rPr>
        <w:t>14</w:t>
      </w:r>
      <w:r>
        <w:rPr>
          <w:rFonts w:ascii="Times New Roman" w:hAnsi="Times New Roman" w:cs="Times New Roman" w:eastAsia="Times New Roman" w:hint="default"/>
          <w:spacing w:val="3"/>
        </w:rPr>
        <w:t> </w:t>
      </w:r>
      <w:r>
        <w:rPr>
          <w:spacing w:val="-1"/>
        </w:rPr>
        <w:t>日，浙江榕基公司取得有效期为</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6"/>
        </w:rPr>
        <w:t>年的《高新技术企业证书》，</w:t>
      </w:r>
      <w:r>
        <w:rPr>
          <w:rFonts w:ascii="Times New Roman" w:hAnsi="Times New Roman" w:cs="Times New Roman" w:eastAsia="Times New Roman" w:hint="default"/>
          <w:spacing w:val="-6"/>
        </w:rPr>
        <w:t>2012</w:t>
      </w:r>
      <w:r>
        <w:rPr>
          <w:rFonts w:ascii="Times New Roman" w:hAnsi="Times New Roman" w:cs="Times New Roman" w:eastAsia="Times New Roman" w:hint="default"/>
          <w:spacing w:val="3"/>
        </w:rPr>
        <w:t> </w:t>
      </w:r>
      <w:r>
        <w:rPr>
          <w:spacing w:val="-2"/>
        </w:rPr>
        <w:t>年享受</w:t>
      </w:r>
      <w:r>
        <w:rPr>
          <w:spacing w:val="-41"/>
        </w:rPr>
        <w:t> </w:t>
      </w:r>
      <w:r>
        <w:rPr>
          <w:rFonts w:ascii="Times New Roman" w:hAnsi="Times New Roman" w:cs="Times New Roman" w:eastAsia="Times New Roman" w:hint="default"/>
        </w:rPr>
        <w:t>15%</w:t>
      </w:r>
      <w:r>
        <w:rPr/>
        <w:t>的优惠企业所得税 税率。</w:t>
      </w:r>
    </w:p>
    <w:p>
      <w:pPr>
        <w:pStyle w:val="BodyText"/>
        <w:spacing w:line="300" w:lineRule="auto" w:before="70"/>
        <w:ind w:right="190" w:firstLine="360"/>
        <w:jc w:val="both"/>
      </w:pPr>
      <w:r>
        <w:rPr>
          <w:spacing w:val="-4"/>
        </w:rPr>
        <w:t>③根据财政部、国家税务总局《关于企业所得税若干优惠政策》（财税</w:t>
      </w:r>
      <w:r>
        <w:rPr>
          <w:rFonts w:ascii="Times New Roman" w:hAnsi="Times New Roman" w:cs="Times New Roman" w:eastAsia="Times New Roman" w:hint="default"/>
          <w:spacing w:val="-4"/>
        </w:rPr>
        <w:t>[2008]1</w:t>
      </w:r>
      <w:r>
        <w:rPr>
          <w:rFonts w:ascii="Times New Roman" w:hAnsi="Times New Roman" w:cs="Times New Roman" w:eastAsia="Times New Roman" w:hint="default"/>
          <w:spacing w:val="20"/>
        </w:rPr>
        <w:t> </w:t>
      </w:r>
      <w:r>
        <w:rPr>
          <w:spacing w:val="-2"/>
        </w:rPr>
        <w:t>号）规定：我国境内新办软件生产企业经</w:t>
      </w:r>
      <w:r>
        <w:rPr/>
        <w:t> 认定后，自获利年度起，第一年和第二年免征企业所得税，第三年至第五年减半征收企业所得税。</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月，福建榕基 软件工程有限公司被认定为软件企业，自</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年起享受</w:t>
      </w:r>
      <w:r>
        <w:rPr>
          <w:rFonts w:ascii="Times New Roman" w:hAnsi="Times New Roman" w:cs="Times New Roman" w:eastAsia="Times New Roman" w:hint="default"/>
        </w:rPr>
        <w:t>“</w:t>
      </w:r>
      <w:r>
        <w:rPr/>
        <w:t>免二减三</w:t>
      </w:r>
      <w:r>
        <w:rPr>
          <w:rFonts w:ascii="Times New Roman" w:hAnsi="Times New Roman" w:cs="Times New Roman" w:eastAsia="Times New Roman" w:hint="default"/>
        </w:rPr>
        <w:t>”</w:t>
      </w:r>
      <w:r>
        <w:rPr/>
        <w:t>的税收优惠。</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月，榕基五一（北京）信息技</w:t>
      </w:r>
    </w:p>
    <w:p>
      <w:pPr>
        <w:pStyle w:val="BodyText"/>
        <w:spacing w:line="240" w:lineRule="auto" w:before="13"/>
        <w:ind w:right="0"/>
        <w:jc w:val="left"/>
      </w:pPr>
      <w:r>
        <w:rPr/>
        <w:t>术有限公司被认定为软件企业，自</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年起享受</w:t>
      </w:r>
      <w:r>
        <w:rPr>
          <w:rFonts w:ascii="Times New Roman" w:hAnsi="Times New Roman" w:cs="Times New Roman" w:eastAsia="Times New Roman" w:hint="default"/>
        </w:rPr>
        <w:t>“</w:t>
      </w:r>
      <w:r>
        <w:rPr/>
        <w:t>免二减三</w:t>
      </w:r>
      <w:r>
        <w:rPr>
          <w:rFonts w:ascii="Times New Roman" w:hAnsi="Times New Roman" w:cs="Times New Roman" w:eastAsia="Times New Roman" w:hint="default"/>
        </w:rPr>
        <w:t>”</w:t>
      </w:r>
      <w:r>
        <w:rPr/>
        <w:t>的税收优惠。</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月，马鞍山榕基软件信息科技有限公</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47"/>
        <w:jc w:val="left"/>
      </w:pPr>
      <w:bookmarkStart w:name="1、子公司情况" w:id="252"/>
      <w:bookmarkEnd w:id="252"/>
      <w:r>
        <w:rPr/>
      </w:r>
      <w:r>
        <w:rPr/>
        <w:t>司被认定为软件企业，自</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年起享受</w:t>
      </w:r>
      <w:r>
        <w:rPr>
          <w:rFonts w:ascii="Times New Roman" w:hAnsi="Times New Roman" w:cs="Times New Roman" w:eastAsia="Times New Roman" w:hint="default"/>
        </w:rPr>
        <w:t>“</w:t>
      </w:r>
      <w:r>
        <w:rPr/>
        <w:t>免二减三</w:t>
      </w:r>
      <w:r>
        <w:rPr>
          <w:rFonts w:ascii="Times New Roman" w:hAnsi="Times New Roman" w:cs="Times New Roman" w:eastAsia="Times New Roman" w:hint="default"/>
        </w:rPr>
        <w:t>”</w:t>
      </w:r>
      <w:r>
        <w:rPr/>
        <w:t>的税收优惠。</w:t>
      </w:r>
    </w:p>
    <w:p>
      <w:pPr>
        <w:spacing w:line="240" w:lineRule="auto" w:before="2"/>
        <w:rPr>
          <w:rFonts w:ascii="宋体" w:hAnsi="宋体" w:cs="宋体" w:eastAsia="宋体" w:hint="default"/>
          <w:sz w:val="26"/>
          <w:szCs w:val="26"/>
        </w:rPr>
      </w:pPr>
    </w:p>
    <w:p>
      <w:pPr>
        <w:spacing w:line="487" w:lineRule="auto" w:before="0"/>
        <w:ind w:left="152" w:right="66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bookmarkStart w:name="3、其他说明" w:id="253"/>
      <w:bookmarkEnd w:id="253"/>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b/>
          <w:bCs/>
          <w:sz w:val="24"/>
          <w:szCs w:val="24"/>
        </w:rPr>
        <w:t>六、企业合并</w:t>
      </w:r>
      <w:bookmarkStart w:name="六、企业合并及合并财务报表" w:id="254"/>
      <w:bookmarkEnd w:id="254"/>
      <w:r>
        <w:rPr>
          <w:rFonts w:ascii="宋体" w:hAnsi="宋体" w:cs="宋体" w:eastAsia="宋体" w:hint="default"/>
          <w:b/>
          <w:bCs/>
          <w:sz w:val="24"/>
          <w:szCs w:val="24"/>
        </w:rPr>
        <w:t>及</w:t>
      </w:r>
      <w:r>
        <w:rPr>
          <w:rFonts w:ascii="宋体" w:hAnsi="宋体" w:cs="宋体" w:eastAsia="宋体" w:hint="default"/>
          <w:b/>
          <w:bCs/>
          <w:sz w:val="24"/>
          <w:szCs w:val="24"/>
        </w:rPr>
        <w:t>合并财务报表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after="0" w:line="487" w:lineRule="auto"/>
        <w:jc w:val="left"/>
        <w:rPr>
          <w:rFonts w:ascii="宋体" w:hAnsi="宋体" w:cs="宋体" w:eastAsia="宋体" w:hint="default"/>
          <w:sz w:val="21"/>
          <w:szCs w:val="21"/>
        </w:rPr>
        <w:sectPr>
          <w:pgSz w:w="11910" w:h="16840"/>
          <w:pgMar w:header="745" w:footer="982" w:top="1060" w:bottom="1180" w:left="980" w:right="980"/>
        </w:sectPr>
      </w:pPr>
    </w:p>
    <w:p>
      <w:pPr>
        <w:spacing w:line="240" w:lineRule="auto" w:before="11"/>
        <w:rPr>
          <w:rFonts w:ascii="宋体" w:hAnsi="宋体" w:cs="宋体" w:eastAsia="宋体" w:hint="default"/>
          <w:b/>
          <w:bCs/>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16"/>
          <w:szCs w:val="16"/>
        </w:rPr>
      </w:pPr>
    </w:p>
    <w:p>
      <w:pPr>
        <w:pStyle w:val="Heading3"/>
        <w:spacing w:line="240" w:lineRule="auto" w:before="36"/>
        <w:ind w:left="140" w:right="0"/>
        <w:jc w:val="left"/>
        <w:rPr>
          <w:b w:val="0"/>
          <w:bCs w:val="0"/>
        </w:rPr>
      </w:pPr>
      <w:bookmarkStart w:name="（1）通过设立或投资等方式取得的子公司" w:id="255"/>
      <w:bookmarkEnd w:id="255"/>
      <w:r>
        <w:rPr>
          <w:b w:val="0"/>
          <w:bCs w:val="0"/>
        </w:rPr>
      </w: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36"/>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998"/>
        <w:gridCol w:w="996"/>
        <w:gridCol w:w="869"/>
        <w:gridCol w:w="994"/>
        <w:gridCol w:w="1123"/>
        <w:gridCol w:w="1994"/>
        <w:gridCol w:w="1277"/>
        <w:gridCol w:w="708"/>
        <w:gridCol w:w="708"/>
        <w:gridCol w:w="710"/>
        <w:gridCol w:w="571"/>
        <w:gridCol w:w="1128"/>
        <w:gridCol w:w="862"/>
        <w:gridCol w:w="996"/>
      </w:tblGrid>
      <w:tr>
        <w:trPr>
          <w:trHeight w:val="3523" w:hRule="exact"/>
        </w:trPr>
        <w:tc>
          <w:tcPr>
            <w:tcW w:w="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542" w:right="91" w:hanging="449"/>
              <w:jc w:val="left"/>
              <w:rPr>
                <w:rFonts w:ascii="宋体" w:hAnsi="宋体" w:cs="宋体" w:eastAsia="宋体" w:hint="default"/>
                <w:sz w:val="18"/>
                <w:szCs w:val="18"/>
              </w:rPr>
            </w:pPr>
            <w:r>
              <w:rPr>
                <w:rFonts w:ascii="宋体" w:hAnsi="宋体" w:cs="宋体" w:eastAsia="宋体" w:hint="default"/>
                <w:sz w:val="18"/>
                <w:szCs w:val="18"/>
              </w:rPr>
              <w:t>期末实际投资 额</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9" w:right="77"/>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124" w:right="77"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36" w:right="35"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98" w:right="101"/>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1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470" w:right="107"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少数股东 权益中用 于冲减少 数股东损 益的金额</w:t>
            </w:r>
          </w:p>
        </w:tc>
        <w:tc>
          <w:tcPr>
            <w:tcW w:w="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 w:right="41"/>
              <w:jc w:val="center"/>
              <w:rPr>
                <w:rFonts w:ascii="宋体" w:hAnsi="宋体" w:cs="宋体" w:eastAsia="宋体" w:hint="default"/>
                <w:sz w:val="18"/>
                <w:szCs w:val="18"/>
              </w:rPr>
            </w:pPr>
            <w:r>
              <w:rPr>
                <w:rFonts w:ascii="宋体" w:hAnsi="宋体" w:cs="宋体" w:eastAsia="宋体" w:hint="default"/>
                <w:sz w:val="18"/>
                <w:szCs w:val="18"/>
              </w:rPr>
              <w:t>从母公司所 有者权益冲 减子公司少 数股东分担 的本期亏损 超过少数股 东在该子公 司年初所有 者权益中所 享有份额后 的余额</w:t>
            </w:r>
          </w:p>
        </w:tc>
      </w:tr>
      <w:tr>
        <w:trPr>
          <w:trHeight w:val="1337"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浙江榕基信 息技术有限 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计算机行业</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9"/>
              <w:jc w:val="both"/>
              <w:rPr>
                <w:rFonts w:ascii="宋体" w:hAnsi="宋体" w:cs="宋体" w:eastAsia="宋体" w:hint="default"/>
                <w:sz w:val="18"/>
                <w:szCs w:val="18"/>
              </w:rPr>
            </w:pPr>
            <w:r>
              <w:rPr>
                <w:rFonts w:ascii="宋体" w:hAnsi="宋体" w:cs="宋体" w:eastAsia="宋体" w:hint="default"/>
                <w:spacing w:val="-4"/>
                <w:sz w:val="18"/>
                <w:szCs w:val="18"/>
              </w:rPr>
              <w:t>技术开发、技术服务、技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术咨询、成果转让，计算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机数据处理、计算机数据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库、计算机维护等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-548,007.97</w:t>
            </w:r>
          </w:p>
        </w:tc>
        <w:tc>
          <w:tcPr>
            <w:tcW w:w="86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both"/>
              <w:rPr>
                <w:rFonts w:ascii="宋体" w:hAnsi="宋体" w:cs="宋体" w:eastAsia="宋体" w:hint="default"/>
                <w:sz w:val="18"/>
                <w:szCs w:val="18"/>
              </w:rPr>
            </w:pPr>
            <w:r>
              <w:rPr>
                <w:rFonts w:ascii="宋体" w:hAnsi="宋体" w:cs="宋体" w:eastAsia="宋体" w:hint="default"/>
                <w:sz w:val="18"/>
                <w:szCs w:val="18"/>
              </w:rPr>
              <w:t>上海榕基软 件开发有限 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5"/>
              <w:jc w:val="center"/>
              <w:rPr>
                <w:rFonts w:ascii="宋体" w:hAnsi="宋体" w:cs="宋体" w:eastAsia="宋体" w:hint="default"/>
                <w:sz w:val="18"/>
                <w:szCs w:val="18"/>
              </w:rPr>
            </w:pPr>
            <w:r>
              <w:rPr>
                <w:rFonts w:ascii="宋体" w:hAnsi="宋体" w:cs="宋体" w:eastAsia="宋体" w:hint="default"/>
                <w:sz w:val="18"/>
                <w:szCs w:val="18"/>
              </w:rPr>
              <w:t>计算机行业</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9"/>
              <w:jc w:val="left"/>
              <w:rPr>
                <w:rFonts w:ascii="宋体" w:hAnsi="宋体" w:cs="宋体" w:eastAsia="宋体" w:hint="default"/>
                <w:sz w:val="18"/>
                <w:szCs w:val="18"/>
              </w:rPr>
            </w:pPr>
            <w:r>
              <w:rPr>
                <w:rFonts w:ascii="宋体" w:hAnsi="宋体" w:cs="宋体" w:eastAsia="宋体" w:hint="default"/>
                <w:sz w:val="18"/>
                <w:szCs w:val="18"/>
              </w:rPr>
              <w:t>电子计算机软硬件领域 内的技术开发，技术转 </w:t>
            </w:r>
            <w:r>
              <w:rPr>
                <w:rFonts w:ascii="宋体" w:hAnsi="宋体" w:cs="宋体" w:eastAsia="宋体" w:hint="default"/>
                <w:spacing w:val="-4"/>
                <w:sz w:val="18"/>
                <w:szCs w:val="18"/>
              </w:rPr>
              <w:t>让，技术咨询，技术服务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榕基五一</w:t>
            </w:r>
          </w:p>
          <w:p>
            <w:pPr>
              <w:pStyle w:val="TableParagraph"/>
              <w:spacing w:line="316" w:lineRule="auto" w:before="74"/>
              <w:ind w:left="23" w:right="62"/>
              <w:jc w:val="both"/>
              <w:rPr>
                <w:rFonts w:ascii="宋体" w:hAnsi="宋体" w:cs="宋体" w:eastAsia="宋体" w:hint="default"/>
                <w:sz w:val="18"/>
                <w:szCs w:val="18"/>
              </w:rPr>
            </w:pPr>
            <w:r>
              <w:rPr>
                <w:rFonts w:ascii="宋体" w:hAnsi="宋体" w:cs="宋体" w:eastAsia="宋体" w:hint="default"/>
                <w:sz w:val="18"/>
                <w:szCs w:val="18"/>
              </w:rPr>
              <w:t>（北京）信 息技术有限 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计算机行业</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7"/>
              <w:jc w:val="both"/>
              <w:rPr>
                <w:rFonts w:ascii="宋体" w:hAnsi="宋体" w:cs="宋体" w:eastAsia="宋体" w:hint="default"/>
                <w:sz w:val="18"/>
                <w:szCs w:val="18"/>
              </w:rPr>
            </w:pPr>
            <w:r>
              <w:rPr>
                <w:rFonts w:ascii="宋体" w:hAnsi="宋体" w:cs="宋体" w:eastAsia="宋体" w:hint="default"/>
                <w:sz w:val="18"/>
                <w:szCs w:val="18"/>
              </w:rPr>
              <w:t>技术推广，销售计算机、 </w:t>
            </w:r>
            <w:r>
              <w:rPr>
                <w:rFonts w:ascii="宋体" w:hAnsi="宋体" w:cs="宋体" w:eastAsia="宋体" w:hint="default"/>
                <w:spacing w:val="-4"/>
                <w:sz w:val="18"/>
                <w:szCs w:val="18"/>
              </w:rPr>
              <w:t>软件及辅助设备、机械设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备、电子产品、器件和元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件、仪器仪表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both"/>
              <w:rPr>
                <w:rFonts w:ascii="宋体" w:hAnsi="宋体" w:cs="宋体" w:eastAsia="宋体" w:hint="default"/>
                <w:sz w:val="18"/>
                <w:szCs w:val="18"/>
              </w:rPr>
            </w:pPr>
            <w:r>
              <w:rPr>
                <w:rFonts w:ascii="宋体" w:hAnsi="宋体" w:cs="宋体" w:eastAsia="宋体" w:hint="default"/>
                <w:sz w:val="18"/>
                <w:szCs w:val="18"/>
              </w:rPr>
              <w:t>河南榕基信 息技术有限 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5"/>
              <w:jc w:val="center"/>
              <w:rPr>
                <w:rFonts w:ascii="宋体" w:hAnsi="宋体" w:cs="宋体" w:eastAsia="宋体" w:hint="default"/>
                <w:sz w:val="18"/>
                <w:szCs w:val="18"/>
              </w:rPr>
            </w:pPr>
            <w:r>
              <w:rPr>
                <w:rFonts w:ascii="宋体" w:hAnsi="宋体" w:cs="宋体" w:eastAsia="宋体" w:hint="default"/>
                <w:sz w:val="18"/>
                <w:szCs w:val="18"/>
              </w:rPr>
              <w:t>计算机行业</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1" w:right="19"/>
              <w:jc w:val="left"/>
              <w:rPr>
                <w:rFonts w:ascii="宋体" w:hAnsi="宋体" w:cs="宋体" w:eastAsia="宋体" w:hint="default"/>
                <w:sz w:val="18"/>
                <w:szCs w:val="18"/>
              </w:rPr>
            </w:pPr>
            <w:r>
              <w:rPr>
                <w:rFonts w:ascii="宋体" w:hAnsi="宋体" w:cs="宋体" w:eastAsia="宋体" w:hint="default"/>
                <w:sz w:val="18"/>
                <w:szCs w:val="18"/>
              </w:rPr>
              <w:t>信息技术服务，软件开 </w:t>
            </w:r>
            <w:r>
              <w:rPr>
                <w:rFonts w:ascii="宋体" w:hAnsi="宋体" w:cs="宋体" w:eastAsia="宋体" w:hint="default"/>
                <w:spacing w:val="-4"/>
                <w:sz w:val="18"/>
                <w:szCs w:val="18"/>
              </w:rPr>
              <w:t>发、销售及平面设计，系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统集成，硬件及耗材、办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5"/>
          <w:footerReference w:type="default" r:id="rId26"/>
          <w:pgSz w:w="16840" w:h="11910" w:orient="landscape"/>
          <w:pgMar w:header="867" w:footer="982" w:top="1060" w:bottom="1180" w:left="1300" w:right="1300"/>
          <w:pgNumType w:start="89"/>
        </w:sectPr>
      </w:pPr>
    </w:p>
    <w:p>
      <w:pPr>
        <w:spacing w:line="240" w:lineRule="auto" w:before="2"/>
        <w:rPr>
          <w:rFonts w:ascii="Times New Roman" w:hAnsi="Times New Roman" w:cs="Times New Roman" w:eastAsia="Times New Roman" w:hint="default"/>
          <w:sz w:val="3"/>
          <w:szCs w:val="3"/>
        </w:rPr>
      </w:pPr>
      <w:r>
        <w:rPr/>
        <w:pict>
          <v:group style="position:absolute;margin-left:419.519989pt;margin-top:439.200012pt;width:63.4pt;height:43.6pt;mso-position-horizontal-relative:page;mso-position-vertical-relative:page;z-index:-749200" coordorigin="8390,8784" coordsize="1268,872">
            <v:group style="position:absolute;left:8402;top:8796;width:2;height:392" coordorigin="8402,8796" coordsize="2,392">
              <v:shape style="position:absolute;left:8402;top:8796;width:2;height:392" coordorigin="8402,8796" coordsize="0,392" path="m8402,8796l8402,9187e" filled="false" stroked="true" strokeweight="1.2pt" strokecolor="#ffffff">
                <v:path arrowok="t"/>
              </v:shape>
            </v:group>
            <v:group style="position:absolute;left:8390;top:9187;width:1268;height:468" coordorigin="8390,9187" coordsize="1268,468">
              <v:shape style="position:absolute;left:8390;top:9187;width:1268;height:468" coordorigin="8390,9187" coordsize="1268,468" path="m8390,9655l9658,9655,9658,9187,8390,9187,8390,9655xe" filled="true" fillcolor="#ffffff" stroked="false">
                <v:path arrowok="t"/>
                <v:fill type="solid"/>
              </v:shape>
            </v:group>
            <v:group style="position:absolute;left:8414;top:8796;width:1220;height:392" coordorigin="8414,8796" coordsize="1220,392">
              <v:shape style="position:absolute;left:8414;top:8796;width:1220;height:392" coordorigin="8414,8796" coordsize="1220,392" path="m8414,9187l9634,9187,9634,8796,8414,8796,8414,9187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998"/>
        <w:gridCol w:w="996"/>
        <w:gridCol w:w="869"/>
        <w:gridCol w:w="994"/>
        <w:gridCol w:w="1123"/>
        <w:gridCol w:w="1994"/>
        <w:gridCol w:w="138"/>
        <w:gridCol w:w="1139"/>
        <w:gridCol w:w="708"/>
        <w:gridCol w:w="708"/>
        <w:gridCol w:w="710"/>
        <w:gridCol w:w="571"/>
        <w:gridCol w:w="1128"/>
        <w:gridCol w:w="862"/>
        <w:gridCol w:w="996"/>
      </w:tblGrid>
      <w:tr>
        <w:trPr>
          <w:trHeight w:val="1001" w:hRule="exact"/>
        </w:trPr>
        <w:tc>
          <w:tcPr>
            <w:tcW w:w="998" w:type="dxa"/>
            <w:tcBorders>
              <w:top w:val="single" w:sz="15" w:space="0" w:color="000000"/>
              <w:left w:val="single" w:sz="4" w:space="0" w:color="000000"/>
              <w:bottom w:val="single" w:sz="4" w:space="0" w:color="000000"/>
              <w:right w:val="single" w:sz="4" w:space="0" w:color="000000"/>
            </w:tcBorders>
          </w:tcPr>
          <w:p>
            <w:pPr/>
          </w:p>
        </w:tc>
        <w:tc>
          <w:tcPr>
            <w:tcW w:w="996" w:type="dxa"/>
            <w:tcBorders>
              <w:top w:val="single" w:sz="15" w:space="0" w:color="000000"/>
              <w:left w:val="single" w:sz="4" w:space="0" w:color="000000"/>
              <w:bottom w:val="single" w:sz="4" w:space="0" w:color="000000"/>
              <w:right w:val="single" w:sz="4" w:space="0" w:color="000000"/>
            </w:tcBorders>
          </w:tcPr>
          <w:p>
            <w:pPr/>
          </w:p>
        </w:tc>
        <w:tc>
          <w:tcPr>
            <w:tcW w:w="869"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1123" w:type="dxa"/>
            <w:tcBorders>
              <w:top w:val="single" w:sz="15" w:space="0" w:color="000000"/>
              <w:left w:val="single" w:sz="4" w:space="0" w:color="000000"/>
              <w:bottom w:val="single" w:sz="4" w:space="0" w:color="000000"/>
              <w:right w:val="single" w:sz="4" w:space="0" w:color="000000"/>
            </w:tcBorders>
          </w:tcPr>
          <w:p>
            <w:pPr/>
          </w:p>
        </w:tc>
        <w:tc>
          <w:tcPr>
            <w:tcW w:w="199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0"/>
              <w:ind w:left="21" w:right="19"/>
              <w:jc w:val="both"/>
              <w:rPr>
                <w:rFonts w:ascii="宋体" w:hAnsi="宋体" w:cs="宋体" w:eastAsia="宋体" w:hint="default"/>
                <w:sz w:val="18"/>
                <w:szCs w:val="18"/>
              </w:rPr>
            </w:pPr>
            <w:r>
              <w:rPr>
                <w:rFonts w:ascii="宋体" w:hAnsi="宋体" w:cs="宋体" w:eastAsia="宋体" w:hint="default"/>
                <w:spacing w:val="-4"/>
                <w:sz w:val="18"/>
                <w:szCs w:val="18"/>
              </w:rPr>
              <w:t>公设备租赁、销售，网络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技术咨询服务，办公自动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化产品销售及服务</w:t>
            </w:r>
          </w:p>
        </w:tc>
        <w:tc>
          <w:tcPr>
            <w:tcW w:w="1277" w:type="dxa"/>
            <w:gridSpan w:val="2"/>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571"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862" w:type="dxa"/>
            <w:tcBorders>
              <w:top w:val="single" w:sz="15" w:space="0" w:color="000000"/>
              <w:left w:val="single" w:sz="4" w:space="0" w:color="000000"/>
              <w:bottom w:val="single" w:sz="4" w:space="0" w:color="000000"/>
              <w:right w:val="single" w:sz="4" w:space="0" w:color="000000"/>
            </w:tcBorders>
          </w:tcPr>
          <w:p>
            <w:pPr/>
          </w:p>
        </w:tc>
        <w:tc>
          <w:tcPr>
            <w:tcW w:w="996" w:type="dxa"/>
            <w:tcBorders>
              <w:top w:val="single" w:sz="15" w:space="0" w:color="000000"/>
              <w:left w:val="single" w:sz="4" w:space="0" w:color="000000"/>
              <w:bottom w:val="single" w:sz="4" w:space="0" w:color="000000"/>
              <w:right w:val="single" w:sz="4" w:space="0" w:color="000000"/>
            </w:tcBorders>
          </w:tcPr>
          <w:p>
            <w:pPr/>
          </w:p>
        </w:tc>
      </w:tr>
      <w:tr>
        <w:trPr>
          <w:trHeight w:val="1651"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62"/>
              <w:jc w:val="both"/>
              <w:rPr>
                <w:rFonts w:ascii="宋体" w:hAnsi="宋体" w:cs="宋体" w:eastAsia="宋体" w:hint="default"/>
                <w:sz w:val="18"/>
                <w:szCs w:val="18"/>
              </w:rPr>
            </w:pPr>
            <w:r>
              <w:rPr>
                <w:rFonts w:ascii="宋体" w:hAnsi="宋体" w:cs="宋体" w:eastAsia="宋体" w:hint="default"/>
                <w:sz w:val="18"/>
                <w:szCs w:val="18"/>
              </w:rPr>
              <w:t>马鞍山榕基 软件信息科 技有限公司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z w:val="18"/>
                <w:szCs w:val="18"/>
              </w:rPr>
              <w:t>计算机及网络软件开发 </w:t>
            </w:r>
            <w:r>
              <w:rPr>
                <w:rFonts w:ascii="宋体" w:hAnsi="宋体" w:cs="宋体" w:eastAsia="宋体" w:hint="default"/>
                <w:spacing w:val="-4"/>
                <w:sz w:val="18"/>
                <w:szCs w:val="18"/>
              </w:rPr>
              <w:t>项目，计算机硬件技术服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务，电子计算机及配件的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批发，自营或代理各类商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品和技术的进出口业务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50,000,000.00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北京中榕基 信息技术有 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9"/>
              <w:jc w:val="both"/>
              <w:rPr>
                <w:rFonts w:ascii="宋体" w:hAnsi="宋体" w:cs="宋体" w:eastAsia="宋体" w:hint="default"/>
                <w:sz w:val="18"/>
                <w:szCs w:val="18"/>
              </w:rPr>
            </w:pPr>
            <w:r>
              <w:rPr>
                <w:rFonts w:ascii="宋体" w:hAnsi="宋体" w:cs="宋体" w:eastAsia="宋体" w:hint="default"/>
                <w:spacing w:val="-4"/>
                <w:sz w:val="18"/>
                <w:szCs w:val="18"/>
              </w:rPr>
              <w:t>技术开发、技术服务、技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术推广，计算机维修，计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算机系统服务，销售计算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机、软件及辅助设备、机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械设备，技术进出口、货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物进出口、代理进出口</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300,000,000.00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587"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福建榕基软 件工程有限 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1"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20000000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7"/>
              <w:jc w:val="left"/>
              <w:rPr>
                <w:rFonts w:ascii="宋体" w:hAnsi="宋体" w:cs="宋体" w:eastAsia="宋体" w:hint="default"/>
                <w:sz w:val="18"/>
                <w:szCs w:val="18"/>
              </w:rPr>
            </w:pPr>
            <w:r>
              <w:rPr>
                <w:rFonts w:ascii="宋体" w:hAnsi="宋体" w:cs="宋体" w:eastAsia="宋体" w:hint="default"/>
                <w:sz w:val="18"/>
                <w:szCs w:val="18"/>
              </w:rPr>
              <w:t>计算机软件的开发服务， </w:t>
            </w:r>
            <w:r>
              <w:rPr>
                <w:rFonts w:ascii="宋体" w:hAnsi="宋体" w:cs="宋体" w:eastAsia="宋体" w:hint="default"/>
                <w:spacing w:val="-4"/>
                <w:sz w:val="18"/>
                <w:szCs w:val="18"/>
              </w:rPr>
              <w:t>计算机硬件技术服务，计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算机网络和系统集成的 </w:t>
            </w:r>
            <w:r>
              <w:rPr>
                <w:rFonts w:ascii="宋体" w:hAnsi="宋体" w:cs="宋体" w:eastAsia="宋体" w:hint="default"/>
                <w:spacing w:val="-4"/>
                <w:sz w:val="18"/>
                <w:szCs w:val="18"/>
              </w:rPr>
              <w:t>安装、服务，自营和代理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各类商品和技术的进出 </w:t>
            </w:r>
            <w:r>
              <w:rPr>
                <w:rFonts w:ascii="宋体" w:hAnsi="宋体" w:cs="宋体" w:eastAsia="宋体" w:hint="default"/>
                <w:spacing w:val="-4"/>
                <w:sz w:val="18"/>
                <w:szCs w:val="18"/>
              </w:rPr>
              <w:t>口，国家限定公司经营或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禁止进出口的商品和技 术除外</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08" w:right="0"/>
              <w:jc w:val="left"/>
              <w:rPr>
                <w:rFonts w:ascii="Times New Roman" w:hAnsi="Times New Roman" w:cs="Times New Roman" w:eastAsia="Times New Roman" w:hint="default"/>
                <w:sz w:val="18"/>
                <w:szCs w:val="18"/>
              </w:rPr>
            </w:pPr>
            <w:r>
              <w:rPr>
                <w:rFonts w:ascii="Times New Roman"/>
                <w:sz w:val="18"/>
              </w:rPr>
              <w:t>20,000,000.00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100%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62"/>
              <w:jc w:val="left"/>
              <w:rPr>
                <w:rFonts w:ascii="宋体" w:hAnsi="宋体" w:cs="宋体" w:eastAsia="宋体" w:hint="default"/>
                <w:sz w:val="18"/>
                <w:szCs w:val="18"/>
              </w:rPr>
            </w:pPr>
            <w:r>
              <w:rPr>
                <w:rFonts w:ascii="宋体" w:hAnsi="宋体" w:cs="宋体" w:eastAsia="宋体" w:hint="default"/>
                <w:sz w:val="18"/>
                <w:szCs w:val="18"/>
              </w:rPr>
              <w:t>福建榕基投 资有限公司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9"/>
              <w:jc w:val="left"/>
              <w:rPr>
                <w:rFonts w:ascii="宋体" w:hAnsi="宋体" w:cs="宋体" w:eastAsia="宋体" w:hint="default"/>
                <w:sz w:val="18"/>
                <w:szCs w:val="18"/>
              </w:rPr>
            </w:pPr>
            <w:r>
              <w:rPr>
                <w:rFonts w:ascii="宋体" w:hAnsi="宋体" w:cs="宋体" w:eastAsia="宋体" w:hint="default"/>
                <w:spacing w:val="-4"/>
                <w:sz w:val="18"/>
                <w:szCs w:val="18"/>
              </w:rPr>
              <w:t>对信息传输、计算机服务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和软件业、制造业、服务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业、教育业，农业，工业</w:t>
            </w:r>
            <w:r>
              <w:rPr>
                <w:rFonts w:ascii="宋体" w:hAnsi="宋体" w:cs="宋体" w:eastAsia="宋体" w:hint="default"/>
                <w:sz w:val="18"/>
                <w:szCs w:val="18"/>
              </w:rPr>
              <w:t> 交通运输业的投资</w:t>
            </w:r>
          </w:p>
        </w:tc>
        <w:tc>
          <w:tcPr>
            <w:tcW w:w="1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3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5" w:right="0"/>
              <w:jc w:val="left"/>
              <w:rPr>
                <w:rFonts w:ascii="Times New Roman" w:hAnsi="Times New Roman" w:cs="Times New Roman" w:eastAsia="Times New Roman" w:hint="default"/>
                <w:sz w:val="18"/>
                <w:szCs w:val="18"/>
              </w:rPr>
            </w:pPr>
            <w:r>
              <w:rPr>
                <w:rFonts w:ascii="Times New Roman"/>
                <w:sz w:val="18"/>
              </w:rPr>
              <w:t>50,000,000.00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2" w:top="1060" w:bottom="1180" w:left="1300" w:right="1320"/>
        </w:sectPr>
      </w:pPr>
    </w:p>
    <w:p>
      <w:pPr>
        <w:spacing w:line="240" w:lineRule="auto" w:before="9"/>
        <w:rPr>
          <w:rFonts w:ascii="Times New Roman" w:hAnsi="Times New Roman" w:cs="Times New Roman" w:eastAsia="Times New Roman" w:hint="default"/>
          <w:sz w:val="24"/>
          <w:szCs w:val="24"/>
        </w:rPr>
      </w:pPr>
    </w:p>
    <w:p>
      <w:pPr>
        <w:pStyle w:val="BodyText"/>
        <w:spacing w:line="360" w:lineRule="auto" w:before="44"/>
        <w:ind w:left="612" w:right="4914" w:hanging="360"/>
        <w:jc w:val="left"/>
      </w:pPr>
      <w:r>
        <w:rPr/>
        <w:t>通过设立或投资等方式取得的子公司的其他说明 通过马鞍山榕基软件信息科技有限公司控制的孙公司情况</w:t>
      </w:r>
    </w:p>
    <w:tbl>
      <w:tblPr>
        <w:tblW w:w="0" w:type="auto"/>
        <w:jc w:val="left"/>
        <w:tblInd w:w="101" w:type="dxa"/>
        <w:tblLayout w:type="fixed"/>
        <w:tblCellMar>
          <w:top w:w="0" w:type="dxa"/>
          <w:left w:w="0" w:type="dxa"/>
          <w:bottom w:w="0" w:type="dxa"/>
          <w:right w:w="0" w:type="dxa"/>
        </w:tblCellMar>
        <w:tblLook w:val="01E0"/>
      </w:tblPr>
      <w:tblGrid>
        <w:gridCol w:w="2551"/>
        <w:gridCol w:w="982"/>
        <w:gridCol w:w="1178"/>
        <w:gridCol w:w="1178"/>
        <w:gridCol w:w="1178"/>
        <w:gridCol w:w="1181"/>
        <w:gridCol w:w="1174"/>
      </w:tblGrid>
      <w:tr>
        <w:trPr>
          <w:trHeight w:val="704" w:hRule="exact"/>
        </w:trPr>
        <w:tc>
          <w:tcPr>
            <w:tcW w:w="2551"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982"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c>
          <w:tcPr>
            <w:tcW w:w="1178"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316" w:lineRule="auto" w:before="39"/>
              <w:ind w:left="398" w:right="307" w:hanging="92"/>
              <w:jc w:val="left"/>
              <w:rPr>
                <w:rFonts w:ascii="宋体" w:hAnsi="宋体" w:cs="宋体" w:eastAsia="宋体" w:hint="default"/>
                <w:sz w:val="18"/>
                <w:szCs w:val="18"/>
              </w:rPr>
            </w:pPr>
            <w:r>
              <w:rPr>
                <w:rFonts w:ascii="宋体" w:hAnsi="宋体" w:cs="宋体" w:eastAsia="宋体" w:hint="default"/>
                <w:b/>
                <w:bCs/>
                <w:sz w:val="18"/>
                <w:szCs w:val="18"/>
              </w:rPr>
              <w:t>孙公司</w:t>
            </w:r>
            <w:r>
              <w:rPr>
                <w:rFonts w:ascii="宋体" w:hAnsi="宋体" w:cs="宋体" w:eastAsia="宋体" w:hint="default"/>
                <w:b/>
                <w:bCs/>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1178"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1178"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181"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1174"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r>
      <w:tr>
        <w:trPr>
          <w:trHeight w:val="354" w:hRule="exact"/>
        </w:trPr>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马鞍山榕基置业投资有限公司</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1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left="129"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1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1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left="4" w:right="0"/>
              <w:jc w:val="center"/>
              <w:rPr>
                <w:rFonts w:ascii="宋体" w:hAnsi="宋体" w:cs="宋体" w:eastAsia="宋体" w:hint="default"/>
                <w:sz w:val="18"/>
                <w:szCs w:val="18"/>
              </w:rPr>
            </w:pPr>
            <w:r>
              <w:rPr>
                <w:rFonts w:ascii="宋体" w:hAnsi="宋体" w:cs="宋体" w:eastAsia="宋体" w:hint="default"/>
                <w:sz w:val="18"/>
                <w:szCs w:val="18"/>
              </w:rPr>
              <w:t>安徽马鞍山</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王捷</w:t>
            </w:r>
          </w:p>
        </w:tc>
        <w:tc>
          <w:tcPr>
            <w:tcW w:w="117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9"/>
              <w:ind w:left="215" w:right="0"/>
              <w:jc w:val="left"/>
              <w:rPr>
                <w:rFonts w:ascii="宋体" w:hAnsi="宋体" w:cs="宋体" w:eastAsia="宋体" w:hint="default"/>
                <w:sz w:val="18"/>
                <w:szCs w:val="18"/>
              </w:rPr>
            </w:pPr>
            <w:r>
              <w:rPr>
                <w:rFonts w:ascii="宋体" w:hAnsi="宋体" w:cs="宋体" w:eastAsia="宋体" w:hint="default"/>
                <w:sz w:val="18"/>
                <w:szCs w:val="18"/>
              </w:rPr>
              <w:t>房产行业</w:t>
            </w:r>
          </w:p>
        </w:tc>
      </w:tr>
    </w:tbl>
    <w:p>
      <w:pPr>
        <w:pStyle w:val="BodyText"/>
        <w:spacing w:line="240" w:lineRule="auto" w:before="65"/>
        <w:ind w:left="612" w:right="103"/>
        <w:jc w:val="left"/>
      </w:pPr>
      <w:r>
        <w:rPr/>
        <w:t>通过马鞍山榕基软件信息科技有限公司控制的孙公司情况（续</w:t>
      </w:r>
      <w:r>
        <w:rPr>
          <w:spacing w:val="-44"/>
        </w:rPr>
        <w:t> </w:t>
      </w:r>
      <w:r>
        <w:rPr>
          <w:rFonts w:ascii="Times New Roman" w:hAnsi="Times New Roman" w:cs="Times New Roman" w:eastAsia="Times New Roman" w:hint="default"/>
        </w:rPr>
        <w:t>1</w:t>
      </w:r>
      <w:r>
        <w:rPr/>
        <w:t>）：</w:t>
      </w:r>
    </w:p>
    <w:p>
      <w:pPr>
        <w:spacing w:line="240" w:lineRule="auto" w:before="1"/>
        <w:rPr>
          <w:rFonts w:ascii="宋体" w:hAnsi="宋体" w:cs="宋体" w:eastAsia="宋体" w:hint="default"/>
          <w:sz w:val="7"/>
          <w:szCs w:val="7"/>
        </w:rPr>
      </w:pPr>
    </w:p>
    <w:tbl>
      <w:tblPr>
        <w:tblW w:w="0" w:type="auto"/>
        <w:jc w:val="left"/>
        <w:tblInd w:w="245" w:type="dxa"/>
        <w:tblLayout w:type="fixed"/>
        <w:tblCellMar>
          <w:top w:w="0" w:type="dxa"/>
          <w:left w:w="0" w:type="dxa"/>
          <w:bottom w:w="0" w:type="dxa"/>
          <w:right w:w="0" w:type="dxa"/>
        </w:tblCellMar>
        <w:tblLook w:val="01E0"/>
      </w:tblPr>
      <w:tblGrid>
        <w:gridCol w:w="1526"/>
        <w:gridCol w:w="991"/>
        <w:gridCol w:w="1277"/>
        <w:gridCol w:w="2834"/>
        <w:gridCol w:w="850"/>
        <w:gridCol w:w="852"/>
        <w:gridCol w:w="950"/>
      </w:tblGrid>
      <w:tr>
        <w:trPr>
          <w:trHeight w:val="659" w:hRule="exact"/>
        </w:trPr>
        <w:tc>
          <w:tcPr>
            <w:tcW w:w="152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b/>
                <w:bCs/>
                <w:w w:val="95"/>
                <w:sz w:val="18"/>
                <w:szCs w:val="18"/>
              </w:rPr>
              <w:t>注册资本</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316" w:lineRule="auto" w:before="17"/>
              <w:ind w:left="451" w:right="266" w:hanging="180"/>
              <w:jc w:val="left"/>
              <w:rPr>
                <w:rFonts w:ascii="宋体" w:hAnsi="宋体" w:cs="宋体" w:eastAsia="宋体" w:hint="default"/>
                <w:sz w:val="18"/>
                <w:szCs w:val="18"/>
              </w:rPr>
            </w:pPr>
            <w:r>
              <w:rPr>
                <w:rFonts w:ascii="宋体" w:hAnsi="宋体" w:cs="宋体" w:eastAsia="宋体" w:hint="default"/>
                <w:b/>
                <w:bCs/>
                <w:sz w:val="18"/>
                <w:szCs w:val="18"/>
              </w:rPr>
              <w:t>组织机构</w:t>
            </w:r>
            <w:r>
              <w:rPr>
                <w:rFonts w:ascii="宋体" w:hAnsi="宋体" w:cs="宋体" w:eastAsia="宋体" w:hint="default"/>
                <w:b/>
                <w:bCs/>
                <w:w w:val="99"/>
                <w:sz w:val="18"/>
                <w:szCs w:val="18"/>
              </w:rPr>
              <w:t> </w:t>
            </w:r>
            <w:r>
              <w:rPr>
                <w:rFonts w:ascii="宋体" w:hAnsi="宋体" w:cs="宋体" w:eastAsia="宋体" w:hint="default"/>
                <w:b/>
                <w:bCs/>
                <w:sz w:val="18"/>
                <w:szCs w:val="18"/>
              </w:rPr>
              <w:t>代码</w:t>
            </w:r>
            <w:r>
              <w:rPr>
                <w:rFonts w:ascii="宋体" w:hAnsi="宋体" w:cs="宋体" w:eastAsia="宋体" w:hint="default"/>
                <w:sz w:val="18"/>
                <w:szCs w:val="18"/>
              </w:rPr>
            </w:r>
          </w:p>
        </w:tc>
        <w:tc>
          <w:tcPr>
            <w:tcW w:w="2834"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316" w:lineRule="auto" w:before="17"/>
              <w:ind w:left="1228" w:right="1224"/>
              <w:jc w:val="center"/>
              <w:rPr>
                <w:rFonts w:ascii="宋体" w:hAnsi="宋体" w:cs="宋体" w:eastAsia="宋体" w:hint="default"/>
                <w:sz w:val="18"/>
                <w:szCs w:val="18"/>
              </w:rPr>
            </w:pPr>
            <w:r>
              <w:rPr>
                <w:rFonts w:ascii="宋体" w:hAnsi="宋体" w:cs="宋体" w:eastAsia="宋体" w:hint="default"/>
                <w:b/>
                <w:bCs/>
                <w:sz w:val="18"/>
                <w:szCs w:val="18"/>
              </w:rPr>
              <w:t>经营</w:t>
            </w:r>
            <w:r>
              <w:rPr>
                <w:rFonts w:ascii="宋体" w:hAnsi="宋体" w:cs="宋体" w:eastAsia="宋体" w:hint="default"/>
                <w:b/>
                <w:bCs/>
                <w:spacing w:val="2"/>
                <w:w w:val="99"/>
                <w:sz w:val="18"/>
                <w:szCs w:val="18"/>
              </w:rPr>
              <w:t> </w:t>
            </w:r>
            <w:r>
              <w:rPr>
                <w:rFonts w:ascii="宋体" w:hAnsi="宋体" w:cs="宋体" w:eastAsia="宋体" w:hint="default"/>
                <w:b/>
                <w:bCs/>
                <w:sz w:val="18"/>
                <w:szCs w:val="18"/>
              </w:rPr>
              <w:t>范围</w:t>
            </w:r>
            <w:r>
              <w:rPr>
                <w:rFonts w:ascii="宋体" w:hAnsi="宋体" w:cs="宋体" w:eastAsia="宋体" w:hint="default"/>
                <w:sz w:val="18"/>
                <w:szCs w:val="18"/>
              </w:rPr>
            </w:r>
          </w:p>
        </w:tc>
        <w:tc>
          <w:tcPr>
            <w:tcW w:w="850"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316" w:lineRule="auto" w:before="17"/>
              <w:ind w:left="148" w:right="139" w:firstLine="88"/>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2"/>
                <w:w w:val="99"/>
                <w:sz w:val="18"/>
                <w:szCs w:val="18"/>
              </w:rPr>
              <w:t> </w:t>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52"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316" w:lineRule="auto" w:before="17"/>
              <w:ind w:left="148" w:right="14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表决权</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950"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316" w:lineRule="auto" w:before="17"/>
              <w:ind w:left="287" w:right="103" w:hanging="180"/>
              <w:jc w:val="left"/>
              <w:rPr>
                <w:rFonts w:ascii="宋体" w:hAnsi="宋体" w:cs="宋体" w:eastAsia="宋体" w:hint="default"/>
                <w:sz w:val="18"/>
                <w:szCs w:val="18"/>
              </w:rPr>
            </w:pPr>
            <w:r>
              <w:rPr>
                <w:rFonts w:ascii="宋体" w:hAnsi="宋体" w:cs="宋体" w:eastAsia="宋体" w:hint="default"/>
                <w:b/>
                <w:bCs/>
                <w:sz w:val="18"/>
                <w:szCs w:val="18"/>
              </w:rPr>
              <w:t>是否合并</w:t>
            </w:r>
            <w:r>
              <w:rPr>
                <w:rFonts w:ascii="宋体" w:hAnsi="宋体" w:cs="宋体" w:eastAsia="宋体" w:hint="default"/>
                <w:b/>
                <w:bCs/>
                <w:w w:val="99"/>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tc>
      </w:tr>
      <w:tr>
        <w:trPr>
          <w:trHeight w:val="1907" w:hRule="exact"/>
        </w:trPr>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07" w:right="31" w:hanging="269"/>
              <w:jc w:val="left"/>
              <w:rPr>
                <w:rFonts w:ascii="宋体" w:hAnsi="宋体" w:cs="宋体" w:eastAsia="宋体" w:hint="default"/>
                <w:sz w:val="18"/>
                <w:szCs w:val="18"/>
              </w:rPr>
            </w:pPr>
            <w:r>
              <w:rPr>
                <w:rFonts w:ascii="宋体" w:hAnsi="宋体" w:cs="宋体" w:eastAsia="宋体" w:hint="default"/>
                <w:sz w:val="18"/>
                <w:szCs w:val="18"/>
              </w:rPr>
              <w:t>马鞍山榕基置业投 资有限公司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65"/>
              <w:jc w:val="righ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宋体" w:hAnsi="宋体" w:cs="宋体" w:eastAsia="宋体" w:hint="default"/>
                <w:sz w:val="18"/>
                <w:szCs w:val="18"/>
              </w:rPr>
              <w:t>万元</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77" w:right="0"/>
              <w:jc w:val="left"/>
              <w:rPr>
                <w:rFonts w:ascii="Times New Roman" w:hAnsi="Times New Roman" w:cs="Times New Roman" w:eastAsia="Times New Roman" w:hint="default"/>
                <w:sz w:val="18"/>
                <w:szCs w:val="18"/>
              </w:rPr>
            </w:pPr>
            <w:r>
              <w:rPr>
                <w:rFonts w:ascii="Times New Roman"/>
                <w:sz w:val="18"/>
              </w:rPr>
              <w:t>59570214-X</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4" w:right="-1" w:hanging="3"/>
              <w:jc w:val="center"/>
              <w:rPr>
                <w:rFonts w:ascii="宋体" w:hAnsi="宋体" w:cs="宋体" w:eastAsia="宋体" w:hint="default"/>
                <w:sz w:val="18"/>
                <w:szCs w:val="18"/>
              </w:rPr>
            </w:pPr>
            <w:r>
              <w:rPr>
                <w:rFonts w:ascii="宋体" w:hAnsi="宋体" w:cs="宋体" w:eastAsia="宋体" w:hint="default"/>
                <w:spacing w:val="-5"/>
                <w:sz w:val="18"/>
                <w:szCs w:val="18"/>
              </w:rPr>
              <w:t>对房地产业的投资；房地产开发，销</w:t>
            </w:r>
            <w:r>
              <w:rPr>
                <w:rFonts w:ascii="宋体" w:hAnsi="宋体" w:cs="宋体" w:eastAsia="宋体" w:hint="default"/>
                <w:sz w:val="18"/>
                <w:szCs w:val="18"/>
              </w:rPr>
              <w:t> </w:t>
            </w:r>
            <w:r>
              <w:rPr>
                <w:rFonts w:ascii="宋体" w:hAnsi="宋体" w:cs="宋体" w:eastAsia="宋体" w:hint="default"/>
                <w:spacing w:val="-5"/>
                <w:sz w:val="18"/>
                <w:szCs w:val="18"/>
              </w:rPr>
              <w:t>售，咨询；房地产中介服务；物业管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理；室内外装装饰工程；园林绿化工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程；企业管理咨询；企业形象策划 </w:t>
            </w:r>
            <w:r>
              <w:rPr>
                <w:rFonts w:ascii="宋体" w:hAnsi="宋体" w:cs="宋体" w:eastAsia="宋体" w:hint="default"/>
                <w:spacing w:val="-5"/>
                <w:sz w:val="18"/>
                <w:szCs w:val="18"/>
              </w:rPr>
              <w:t>工程管理服务；投资咨询服务；经济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w:t>
            </w:r>
            <w:r>
              <w:rPr>
                <w:rFonts w:ascii="宋体" w:hAnsi="宋体" w:cs="宋体" w:eastAsia="宋体" w:hint="default"/>
                <w:spacing w:val="-18"/>
                <w:sz w:val="18"/>
                <w:szCs w:val="18"/>
              </w:rPr>
              <w:t> </w:t>
            </w:r>
            <w:r>
              <w:rPr>
                <w:rFonts w:ascii="宋体" w:hAnsi="宋体" w:cs="宋体" w:eastAsia="宋体" w:hint="default"/>
                <w:sz w:val="18"/>
                <w:szCs w:val="18"/>
              </w:rPr>
              <w:t>商务咨询服务。</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60" w:lineRule="exact" w:before="134"/>
              <w:ind w:left="208"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189"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11" w:right="0"/>
              <w:jc w:val="left"/>
              <w:rPr>
                <w:rFonts w:ascii="Times New Roman" w:hAnsi="Times New Roman" w:cs="Times New Roman" w:eastAsia="Times New Roman" w:hint="default"/>
                <w:sz w:val="18"/>
                <w:szCs w:val="18"/>
              </w:rPr>
            </w:pPr>
            <w:r>
              <w:rPr>
                <w:rFonts w:ascii="Times New Roman"/>
                <w:sz w:val="18"/>
              </w:rPr>
              <w:t>100%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left="612" w:right="103"/>
        <w:jc w:val="left"/>
      </w:pPr>
      <w:r>
        <w:rPr/>
        <w:t>通过马鞍山榕基软件信息科技有限公司控制的孙公司情况（续</w:t>
      </w:r>
      <w:r>
        <w:rPr>
          <w:spacing w:val="-44"/>
        </w:rPr>
        <w:t> </w:t>
      </w:r>
      <w:r>
        <w:rPr>
          <w:rFonts w:ascii="Times New Roman" w:hAnsi="Times New Roman" w:cs="Times New Roman" w:eastAsia="Times New Roman" w:hint="default"/>
        </w:rPr>
        <w:t>2</w:t>
      </w:r>
      <w:r>
        <w:rPr/>
        <w:t>）：</w:t>
      </w:r>
    </w:p>
    <w:p>
      <w:pPr>
        <w:spacing w:line="240" w:lineRule="auto" w:before="4"/>
        <w:rPr>
          <w:rFonts w:ascii="宋体" w:hAnsi="宋体" w:cs="宋体" w:eastAsia="宋体" w:hint="default"/>
          <w:sz w:val="7"/>
          <w:szCs w:val="7"/>
        </w:rPr>
      </w:pPr>
    </w:p>
    <w:tbl>
      <w:tblPr>
        <w:tblW w:w="0" w:type="auto"/>
        <w:jc w:val="left"/>
        <w:tblInd w:w="245" w:type="dxa"/>
        <w:tblLayout w:type="fixed"/>
        <w:tblCellMar>
          <w:top w:w="0" w:type="dxa"/>
          <w:left w:w="0" w:type="dxa"/>
          <w:bottom w:w="0" w:type="dxa"/>
          <w:right w:w="0" w:type="dxa"/>
        </w:tblCellMar>
        <w:tblLook w:val="01E0"/>
      </w:tblPr>
      <w:tblGrid>
        <w:gridCol w:w="1843"/>
        <w:gridCol w:w="1411"/>
        <w:gridCol w:w="2134"/>
        <w:gridCol w:w="1606"/>
        <w:gridCol w:w="2078"/>
      </w:tblGrid>
      <w:tr>
        <w:trPr>
          <w:trHeight w:val="658" w:hRule="exact"/>
        </w:trPr>
        <w:tc>
          <w:tcPr>
            <w:tcW w:w="1843"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1411"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期末实际出资额</w:t>
            </w:r>
            <w:r>
              <w:rPr>
                <w:rFonts w:ascii="宋体" w:hAnsi="宋体" w:cs="宋体" w:eastAsia="宋体" w:hint="default"/>
                <w:sz w:val="18"/>
                <w:szCs w:val="18"/>
              </w:rPr>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2134"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316" w:lineRule="auto" w:before="17"/>
              <w:ind w:left="338" w:right="62" w:hanging="272"/>
              <w:jc w:val="left"/>
              <w:rPr>
                <w:rFonts w:ascii="宋体" w:hAnsi="宋体" w:cs="宋体" w:eastAsia="宋体" w:hint="default"/>
                <w:sz w:val="18"/>
                <w:szCs w:val="18"/>
              </w:rPr>
            </w:pPr>
            <w:r>
              <w:rPr>
                <w:rFonts w:ascii="宋体" w:hAnsi="宋体" w:cs="宋体" w:eastAsia="宋体" w:hint="default"/>
                <w:b/>
                <w:bCs/>
                <w:sz w:val="18"/>
                <w:szCs w:val="18"/>
              </w:rPr>
              <w:t>实质上构成对孙公司净投</w:t>
            </w:r>
            <w:r>
              <w:rPr>
                <w:rFonts w:ascii="宋体" w:hAnsi="宋体" w:cs="宋体" w:eastAsia="宋体" w:hint="default"/>
                <w:b/>
                <w:bCs/>
                <w:w w:val="99"/>
                <w:sz w:val="18"/>
                <w:szCs w:val="18"/>
              </w:rPr>
              <w:t> </w:t>
            </w:r>
            <w:r>
              <w:rPr>
                <w:rFonts w:ascii="宋体" w:hAnsi="宋体" w:cs="宋体" w:eastAsia="宋体" w:hint="default"/>
                <w:b/>
                <w:bCs/>
                <w:sz w:val="18"/>
                <w:szCs w:val="18"/>
              </w:rPr>
              <w:t>资的其他项目余额</w:t>
            </w:r>
            <w:r>
              <w:rPr>
                <w:rFonts w:ascii="宋体" w:hAnsi="宋体" w:cs="宋体" w:eastAsia="宋体" w:hint="default"/>
                <w:sz w:val="18"/>
                <w:szCs w:val="18"/>
              </w:rPr>
            </w:r>
          </w:p>
        </w:tc>
        <w:tc>
          <w:tcPr>
            <w:tcW w:w="160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2078"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316" w:lineRule="auto" w:before="17"/>
              <w:ind w:left="218" w:right="36" w:hanging="180"/>
              <w:jc w:val="left"/>
              <w:rPr>
                <w:rFonts w:ascii="宋体" w:hAnsi="宋体" w:cs="宋体" w:eastAsia="宋体" w:hint="default"/>
                <w:sz w:val="18"/>
                <w:szCs w:val="18"/>
              </w:rPr>
            </w:pPr>
            <w:r>
              <w:rPr>
                <w:rFonts w:ascii="宋体" w:hAnsi="宋体" w:cs="宋体" w:eastAsia="宋体" w:hint="default"/>
                <w:b/>
                <w:bCs/>
                <w:sz w:val="18"/>
                <w:szCs w:val="18"/>
              </w:rPr>
              <w:t>少数股东权益中用于冲减</w:t>
            </w:r>
            <w:r>
              <w:rPr>
                <w:rFonts w:ascii="宋体" w:hAnsi="宋体" w:cs="宋体" w:eastAsia="宋体" w:hint="default"/>
                <w:b/>
                <w:bCs/>
                <w:w w:val="99"/>
                <w:sz w:val="18"/>
                <w:szCs w:val="18"/>
              </w:rPr>
              <w:t> </w:t>
            </w:r>
            <w:r>
              <w:rPr>
                <w:rFonts w:ascii="宋体" w:hAnsi="宋体" w:cs="宋体" w:eastAsia="宋体" w:hint="default"/>
                <w:b/>
                <w:bCs/>
                <w:sz w:val="18"/>
                <w:szCs w:val="18"/>
              </w:rPr>
              <w:t>少数股东损益的金额</w:t>
            </w:r>
            <w:r>
              <w:rPr>
                <w:rFonts w:ascii="宋体" w:hAnsi="宋体" w:cs="宋体" w:eastAsia="宋体" w:hint="default"/>
                <w:sz w:val="18"/>
                <w:szCs w:val="18"/>
              </w:rPr>
            </w:r>
          </w:p>
        </w:tc>
      </w:tr>
      <w:tr>
        <w:trPr>
          <w:trHeight w:val="66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45" w:right="11" w:hanging="629"/>
              <w:jc w:val="left"/>
              <w:rPr>
                <w:rFonts w:ascii="宋体" w:hAnsi="宋体" w:cs="宋体" w:eastAsia="宋体" w:hint="default"/>
                <w:sz w:val="18"/>
                <w:szCs w:val="18"/>
              </w:rPr>
            </w:pPr>
            <w:r>
              <w:rPr>
                <w:rFonts w:ascii="宋体" w:hAnsi="宋体" w:cs="宋体" w:eastAsia="宋体" w:hint="default"/>
                <w:sz w:val="18"/>
                <w:szCs w:val="18"/>
              </w:rPr>
              <w:t>马鞍山榕基置业投资有 限公司</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宋体" w:hAnsi="宋体" w:cs="宋体" w:eastAsia="宋体" w:hint="default"/>
                <w:sz w:val="18"/>
                <w:szCs w:val="18"/>
              </w:rPr>
              <w:t>万元</w:t>
            </w:r>
          </w:p>
        </w:tc>
        <w:tc>
          <w:tcPr>
            <w:tcW w:w="213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207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252" w:right="103"/>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同一控制下企业合并取得的子公司" w:id="256"/>
      <w:bookmarkEnd w:id="256"/>
      <w:r>
        <w:rPr/>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4"/>
        <w:gridCol w:w="682"/>
        <w:gridCol w:w="684"/>
      </w:tblGrid>
      <w:tr>
        <w:trPr>
          <w:trHeight w:val="5706" w:hRule="exact"/>
        </w:trPr>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401"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福州创</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福建省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500000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电气自</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7,496,3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7"/>
          <w:footerReference w:type="default" r:id="rId28"/>
          <w:pgSz w:w="11910" w:h="16840"/>
          <w:pgMar w:header="877" w:footer="982" w:top="1100" w:bottom="1180" w:left="880" w:right="980"/>
          <w:pgNumType w:start="91"/>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686"/>
        <w:gridCol w:w="684"/>
        <w:gridCol w:w="684"/>
        <w:gridCol w:w="682"/>
        <w:gridCol w:w="684"/>
        <w:gridCol w:w="682"/>
        <w:gridCol w:w="684"/>
        <w:gridCol w:w="684"/>
        <w:gridCol w:w="682"/>
        <w:gridCol w:w="684"/>
        <w:gridCol w:w="682"/>
        <w:gridCol w:w="684"/>
        <w:gridCol w:w="682"/>
        <w:gridCol w:w="684"/>
      </w:tblGrid>
      <w:tr>
        <w:trPr>
          <w:trHeight w:val="2546"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0"/>
              <w:jc w:val="both"/>
              <w:rPr>
                <w:rFonts w:ascii="宋体" w:hAnsi="宋体" w:cs="宋体" w:eastAsia="宋体" w:hint="default"/>
                <w:sz w:val="18"/>
                <w:szCs w:val="18"/>
              </w:rPr>
            </w:pPr>
            <w:r>
              <w:rPr>
                <w:rFonts w:ascii="宋体" w:hAnsi="宋体" w:cs="宋体" w:eastAsia="宋体" w:hint="default"/>
                <w:sz w:val="18"/>
                <w:szCs w:val="18"/>
              </w:rPr>
              <w:t>华电气 自动化 系统有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行业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7"/>
              <w:jc w:val="both"/>
              <w:rPr>
                <w:rFonts w:ascii="宋体" w:hAnsi="宋体" w:cs="宋体" w:eastAsia="宋体" w:hint="default"/>
                <w:sz w:val="18"/>
                <w:szCs w:val="18"/>
              </w:rPr>
            </w:pPr>
            <w:r>
              <w:rPr>
                <w:rFonts w:ascii="宋体" w:hAnsi="宋体" w:cs="宋体" w:eastAsia="宋体" w:hint="default"/>
                <w:sz w:val="18"/>
                <w:szCs w:val="18"/>
              </w:rPr>
              <w:t>动化控 制系统 服务、 计算机 软件销 售，计 算机网 络安装</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4" w:right="0"/>
              <w:jc w:val="left"/>
              <w:rPr>
                <w:rFonts w:ascii="Times New Roman" w:hAnsi="Times New Roman" w:cs="Times New Roman" w:eastAsia="Times New Roman" w:hint="default"/>
                <w:sz w:val="18"/>
                <w:szCs w:val="18"/>
              </w:rPr>
            </w:pPr>
            <w:r>
              <w:rPr>
                <w:rFonts w:ascii="Times New Roman"/>
                <w:sz w:val="18"/>
              </w:rPr>
              <w:t>45.89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7"/>
        <w:jc w:val="left"/>
      </w:pPr>
      <w:bookmarkStart w:name="5、报告期内发生的同一控制下企业合并" w:id="257"/>
      <w:bookmarkEnd w:id="257"/>
      <w:r>
        <w:rPr/>
      </w:r>
      <w:r>
        <w:rPr/>
        <w:t>通过同一控制下企业合并取得的子公司的其他说明</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3</w:t>
      </w:r>
      <w:r>
        <w:rPr/>
        <w:t>）非同一控制下企业合</w:t>
      </w:r>
      <w:bookmarkStart w:name="（3）非同一控制下企业合并取得的子公司" w:id="258"/>
      <w:bookmarkEnd w:id="258"/>
      <w:r>
        <w:rPr/>
        <w:t>并取得的子公司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2</w:t>
      </w:r>
      <w:r>
        <w:rPr/>
        <w:t>、特殊目的主体或通过受托经营或承租等方式</w:t>
      </w:r>
      <w:bookmarkStart w:name="2、特殊目的主体或通过受托经营或承租等方式形成控制权的经营实体" w:id="259"/>
      <w:bookmarkEnd w:id="259"/>
      <w:r>
        <w:rPr/>
        <w:t>形</w:t>
      </w:r>
      <w:r>
        <w:rPr/>
        <w:t>成控制权的经营实体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合并报表范围发生变更说明</w:t>
      </w:r>
    </w:p>
    <w:p>
      <w:pPr>
        <w:pStyle w:val="BodyText"/>
        <w:spacing w:line="348" w:lineRule="auto" w:before="117"/>
        <w:ind w:right="581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与上年相比本年（期）新增合并单位</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家，原因为 设立。 与上年相比本年（期）减少合并单位家，原因为 无。</w:t>
      </w:r>
    </w:p>
    <w:p>
      <w:pPr>
        <w:spacing w:line="240" w:lineRule="auto" w:before="11"/>
        <w:rPr>
          <w:rFonts w:ascii="宋体" w:hAnsi="宋体" w:cs="宋体" w:eastAsia="宋体" w:hint="default"/>
          <w:sz w:val="20"/>
          <w:szCs w:val="20"/>
        </w:rPr>
      </w:pPr>
    </w:p>
    <w:p>
      <w:pPr>
        <w:pStyle w:val="Heading3"/>
        <w:spacing w:line="240" w:lineRule="auto"/>
        <w:ind w:right="147"/>
        <w:jc w:val="left"/>
        <w:rPr>
          <w:b w:val="0"/>
          <w:bCs w:val="0"/>
        </w:rPr>
      </w:pPr>
      <w:r>
        <w:rPr>
          <w:rFonts w:ascii="Times New Roman" w:hAnsi="Times New Roman" w:cs="Times New Roman" w:eastAsia="Times New Roman" w:hint="default"/>
        </w:rPr>
        <w:t>4</w:t>
      </w:r>
      <w:r>
        <w:rPr/>
        <w:t>、报告期内新纳入合并范围的主体和报告期内不再</w:t>
      </w:r>
      <w:bookmarkStart w:name="3、合并范围发生变更的说明" w:id="260"/>
      <w:bookmarkEnd w:id="260"/>
      <w:r>
        <w:rPr/>
        <w:t>纳入合并范围的主体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7"/>
        <w:jc w:val="left"/>
      </w:pPr>
      <w:r>
        <w:rPr/>
        <w:t>本期新纳入合并范围的子公司、特殊目的主体、通过受托经营或承租等方式形成控制权的经营实体</w:t>
      </w:r>
    </w:p>
    <w:p>
      <w:pPr>
        <w:pStyle w:val="BodyText"/>
        <w:spacing w:line="240" w:lineRule="auto" w:before="117"/>
        <w:ind w:left="0" w:right="153"/>
        <w:jc w:val="right"/>
      </w:pPr>
      <w:bookmarkStart w:name="4、报告期内新纳入合并范围的主体和报告期内不再纳入合并范围的主体" w:id="261"/>
      <w:bookmarkEnd w:id="261"/>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3"/>
        <w:gridCol w:w="2851"/>
        <w:gridCol w:w="2645"/>
      </w:tblGrid>
      <w:tr>
        <w:trPr>
          <w:trHeight w:val="403" w:hRule="exact"/>
        </w:trPr>
        <w:tc>
          <w:tcPr>
            <w:tcW w:w="4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6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福建榕基投资有限公司</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50,046,740.74</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41,740.74</w:t>
            </w:r>
          </w:p>
        </w:tc>
      </w:tr>
      <w:tr>
        <w:trPr>
          <w:trHeight w:val="403"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马鞍山榕基置业投资有限公司</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6,576,365.50</w:t>
            </w:r>
            <w:r>
              <w:rPr>
                <w:rFonts w:ascii="Times New Roman"/>
                <w:sz w:val="18"/>
              </w:rPr>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-1,423,634.50</w:t>
            </w:r>
            <w:r>
              <w:rPr>
                <w:rFonts w:ascii="Times New Roman"/>
                <w:sz w:val="18"/>
              </w:rPr>
            </w:r>
          </w:p>
        </w:tc>
      </w:tr>
    </w:tbl>
    <w:p>
      <w:pPr>
        <w:pStyle w:val="BodyText"/>
        <w:spacing w:line="357" w:lineRule="auto" w:before="49"/>
        <w:ind w:right="1854"/>
        <w:jc w:val="left"/>
      </w:pPr>
      <w:r>
        <w:rPr/>
        <w:t>本期不再纳入合并范围的子公司、特殊目的主体、通过受托经营或承租等方式形成控制权的经营实体 无。</w:t>
      </w:r>
    </w:p>
    <w:p>
      <w:pPr>
        <w:spacing w:line="240" w:lineRule="auto" w:before="6"/>
        <w:rPr>
          <w:rFonts w:ascii="宋体" w:hAnsi="宋体" w:cs="宋体" w:eastAsia="宋体" w:hint="default"/>
          <w:sz w:val="20"/>
          <w:szCs w:val="20"/>
        </w:rPr>
      </w:pPr>
    </w:p>
    <w:p>
      <w:pPr>
        <w:pStyle w:val="Heading3"/>
        <w:spacing w:line="240" w:lineRule="auto"/>
        <w:ind w:right="147"/>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147"/>
        <w:jc w:val="left"/>
        <w:rPr>
          <w:b w:val="0"/>
          <w:bCs w:val="0"/>
        </w:rPr>
      </w:pPr>
      <w:r>
        <w:rPr>
          <w:rFonts w:ascii="Times New Roman" w:hAnsi="Times New Roman" w:cs="Times New Roman" w:eastAsia="Times New Roman" w:hint="default"/>
        </w:rPr>
        <w:t>6</w:t>
      </w:r>
      <w:bookmarkStart w:name="6、报告期内发生的非同一控制下企业合并" w:id="262"/>
      <w:bookmarkEnd w:id="262"/>
      <w:r>
        <w:rPr>
          <w:rFonts w:ascii="Times New Roman" w:hAnsi="Times New Roman" w:cs="Times New Roman" w:eastAsia="Times New Roman" w:hint="default"/>
        </w:rPr>
      </w:r>
      <w:r>
        <w:rPr/>
        <w:t>、报告期内发生的非同一控制下企业合并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7</w:t>
      </w:r>
      <w:bookmarkStart w:name="7、报告期内出售丧失控制权的股权而减少子公司" w:id="263"/>
      <w:bookmarkEnd w:id="263"/>
      <w:r>
        <w:rPr>
          <w:rFonts w:ascii="Times New Roman" w:hAnsi="Times New Roman" w:cs="Times New Roman" w:eastAsia="Times New Roman" w:hint="default"/>
        </w:rPr>
      </w:r>
      <w:r>
        <w:rPr/>
        <w:t>、报告期内出售丧失控制权的股权而减少子公司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8</w:t>
      </w:r>
      <w:r>
        <w:rPr/>
        <w:t>、报告期内发生的反向购</w:t>
      </w:r>
      <w:bookmarkStart w:name="8、报告期内发生的反向购买" w:id="264"/>
      <w:bookmarkEnd w:id="264"/>
      <w:r>
        <w:rPr/>
        <w:t>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10</w:t>
      </w:r>
      <w:r>
        <w:rPr/>
        <w:t>、境外经营实体主要报</w:t>
      </w:r>
      <w:bookmarkStart w:name="9、本报告期发生的吸收合并" w:id="265"/>
      <w:bookmarkEnd w:id="265"/>
      <w:r>
        <w:rPr/>
        <w:t>表项目的折算汇率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1"/>
        <w:rPr>
          <w:rFonts w:ascii="宋体" w:hAnsi="宋体" w:cs="宋体" w:eastAsia="宋体" w:hint="default"/>
          <w:sz w:val="25"/>
          <w:szCs w:val="25"/>
        </w:rPr>
      </w:pPr>
    </w:p>
    <w:p>
      <w:pPr>
        <w:pStyle w:val="Heading2"/>
        <w:spacing w:line="240" w:lineRule="auto"/>
        <w:ind w:right="147"/>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7"/>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10、境外经营实体主要报表项目的折算汇率" w:id="266"/>
      <w:bookmarkEnd w:id="266"/>
      <w:r>
        <w:rPr/>
      </w:r>
      <w:bookmarkStart w:name="七、合并财务报表主要项目注释" w:id="267"/>
      <w:bookmarkEnd w:id="267"/>
      <w:r>
        <w:rPr/>
      </w:r>
      <w:bookmarkStart w:name="1、货币资金" w:id="268"/>
      <w:bookmarkEnd w:id="268"/>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7"/>
        <w:gridCol w:w="1327"/>
        <w:gridCol w:w="918"/>
        <w:gridCol w:w="1484"/>
        <w:gridCol w:w="1304"/>
        <w:gridCol w:w="930"/>
        <w:gridCol w:w="1606"/>
      </w:tblGrid>
      <w:tr>
        <w:trPr>
          <w:trHeight w:val="206" w:hRule="exact"/>
        </w:trPr>
        <w:tc>
          <w:tcPr>
            <w:tcW w:w="1987" w:type="dxa"/>
            <w:tcBorders>
              <w:top w:val="single" w:sz="4" w:space="0" w:color="000000"/>
              <w:left w:val="single" w:sz="4" w:space="0" w:color="000000"/>
              <w:bottom w:val="nil" w:sz="6" w:space="0" w:color="auto"/>
              <w:right w:val="single" w:sz="4" w:space="0" w:color="000000"/>
            </w:tcBorders>
            <w:shd w:val="clear" w:color="auto" w:fill="D4D4D4"/>
          </w:tcPr>
          <w:p>
            <w:pPr/>
          </w:p>
        </w:tc>
        <w:tc>
          <w:tcPr>
            <w:tcW w:w="3730"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0"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9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730" w:type="dxa"/>
            <w:gridSpan w:val="3"/>
            <w:vMerge/>
            <w:tcBorders>
              <w:left w:val="single" w:sz="4" w:space="0" w:color="000000"/>
              <w:bottom w:val="single" w:sz="4" w:space="0" w:color="000000"/>
              <w:right w:val="single" w:sz="4" w:space="0" w:color="000000"/>
            </w:tcBorders>
            <w:shd w:val="clear" w:color="auto" w:fill="D4D4D4"/>
          </w:tcPr>
          <w:p>
            <w:pPr/>
          </w:p>
        </w:tc>
        <w:tc>
          <w:tcPr>
            <w:tcW w:w="3840"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87" w:type="dxa"/>
            <w:vMerge/>
            <w:tcBorders>
              <w:left w:val="single" w:sz="4" w:space="0" w:color="000000"/>
              <w:bottom w:val="nil" w:sz="6" w:space="0" w:color="auto"/>
              <w:right w:val="single" w:sz="4" w:space="0" w:color="000000"/>
            </w:tcBorders>
            <w:shd w:val="clear" w:color="auto" w:fill="D4D4D4"/>
          </w:tcPr>
          <w:p>
            <w:pPr/>
          </w:p>
        </w:tc>
        <w:tc>
          <w:tcPr>
            <w:tcW w:w="13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0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02"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5" w:hRule="exact"/>
        </w:trPr>
        <w:tc>
          <w:tcPr>
            <w:tcW w:w="1987" w:type="dxa"/>
            <w:tcBorders>
              <w:top w:val="nil" w:sz="6" w:space="0" w:color="auto"/>
              <w:left w:val="single" w:sz="4" w:space="0" w:color="000000"/>
              <w:bottom w:val="single" w:sz="4" w:space="0" w:color="000000"/>
              <w:right w:val="single" w:sz="4" w:space="0" w:color="000000"/>
            </w:tcBorders>
            <w:shd w:val="clear" w:color="auto" w:fill="D4D4D4"/>
          </w:tcPr>
          <w:p>
            <w:pPr/>
          </w:p>
        </w:tc>
        <w:tc>
          <w:tcPr>
            <w:tcW w:w="1327" w:type="dxa"/>
            <w:vMerge/>
            <w:tcBorders>
              <w:left w:val="single" w:sz="4" w:space="0" w:color="000000"/>
              <w:bottom w:val="single" w:sz="4" w:space="0" w:color="000000"/>
              <w:right w:val="single" w:sz="4" w:space="0" w:color="000000"/>
            </w:tcBorders>
            <w:shd w:val="clear" w:color="auto" w:fill="D4D4D4"/>
          </w:tcPr>
          <w:p>
            <w:pPr/>
          </w:p>
        </w:tc>
        <w:tc>
          <w:tcPr>
            <w:tcW w:w="918" w:type="dxa"/>
            <w:vMerge/>
            <w:tcBorders>
              <w:left w:val="single" w:sz="4" w:space="0" w:color="000000"/>
              <w:bottom w:val="single" w:sz="4" w:space="0" w:color="000000"/>
              <w:right w:val="single" w:sz="4" w:space="0" w:color="000000"/>
            </w:tcBorders>
            <w:shd w:val="clear" w:color="auto" w:fill="D4D4D4"/>
          </w:tcPr>
          <w:p>
            <w:pPr/>
          </w:p>
        </w:tc>
        <w:tc>
          <w:tcPr>
            <w:tcW w:w="1484" w:type="dxa"/>
            <w:vMerge/>
            <w:tcBorders>
              <w:left w:val="single" w:sz="4" w:space="0" w:color="000000"/>
              <w:bottom w:val="single" w:sz="4" w:space="0" w:color="000000"/>
              <w:right w:val="single" w:sz="4" w:space="0" w:color="000000"/>
            </w:tcBorders>
            <w:shd w:val="clear" w:color="auto" w:fill="D4D4D4"/>
          </w:tcPr>
          <w:p>
            <w:pPr/>
          </w:p>
        </w:tc>
        <w:tc>
          <w:tcPr>
            <w:tcW w:w="1304" w:type="dxa"/>
            <w:vMerge/>
            <w:tcBorders>
              <w:left w:val="single" w:sz="4" w:space="0" w:color="000000"/>
              <w:bottom w:val="single" w:sz="4" w:space="0" w:color="000000"/>
              <w:right w:val="single" w:sz="4" w:space="0" w:color="000000"/>
            </w:tcBorders>
            <w:shd w:val="clear" w:color="auto" w:fill="D4D4D4"/>
          </w:tcPr>
          <w:p>
            <w:pPr/>
          </w:p>
        </w:tc>
        <w:tc>
          <w:tcPr>
            <w:tcW w:w="930" w:type="dxa"/>
            <w:vMerge/>
            <w:tcBorders>
              <w:left w:val="single" w:sz="4" w:space="0" w:color="000000"/>
              <w:bottom w:val="single" w:sz="4" w:space="0" w:color="000000"/>
              <w:right w:val="single" w:sz="4" w:space="0" w:color="000000"/>
            </w:tcBorders>
            <w:shd w:val="clear" w:color="auto" w:fill="D4D4D4"/>
          </w:tcPr>
          <w:p>
            <w:pPr/>
          </w:p>
        </w:tc>
        <w:tc>
          <w:tcPr>
            <w:tcW w:w="1606"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1484" w:type="dxa"/>
            <w:tcBorders>
              <w:top w:val="single" w:sz="4" w:space="0" w:color="000000"/>
              <w:left w:val="single" w:sz="12" w:space="0" w:color="D4D4D4"/>
              <w:bottom w:val="single" w:sz="4" w:space="0" w:color="000000"/>
              <w:right w:val="single" w:sz="13" w:space="0" w:color="D4D4D4"/>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236,969.97</w:t>
            </w:r>
          </w:p>
        </w:tc>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209,247.88</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4" w:type="dxa"/>
            <w:tcBorders>
              <w:top w:val="single" w:sz="4" w:space="0" w:color="000000"/>
              <w:left w:val="single" w:sz="12" w:space="0" w:color="D4D4D4"/>
              <w:bottom w:val="single" w:sz="4" w:space="0" w:color="000000"/>
              <w:right w:val="single" w:sz="13" w:space="0" w:color="D4D4D4"/>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236,969.97</w:t>
            </w:r>
          </w:p>
        </w:tc>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209,247.88</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1484" w:type="dxa"/>
            <w:tcBorders>
              <w:top w:val="single" w:sz="4" w:space="0" w:color="000000"/>
              <w:left w:val="single" w:sz="12" w:space="0" w:color="D4D4D4"/>
              <w:bottom w:val="single" w:sz="4" w:space="0" w:color="000000"/>
              <w:right w:val="single" w:sz="13" w:space="0" w:color="D4D4D4"/>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1,057,474,146.29</w:t>
            </w:r>
          </w:p>
        </w:tc>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1,040,304,206.72</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4" w:type="dxa"/>
            <w:tcBorders>
              <w:top w:val="single" w:sz="4" w:space="0" w:color="000000"/>
              <w:left w:val="single" w:sz="12" w:space="0" w:color="D4D4D4"/>
              <w:bottom w:val="single" w:sz="4" w:space="0" w:color="000000"/>
              <w:right w:val="single" w:sz="13" w:space="0" w:color="D4D4D4"/>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1,057,474,146.29</w:t>
            </w:r>
          </w:p>
        </w:tc>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1,040,304,206.72</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1484" w:type="dxa"/>
            <w:tcBorders>
              <w:top w:val="single" w:sz="4" w:space="0" w:color="000000"/>
              <w:left w:val="single" w:sz="12" w:space="0" w:color="D4D4D4"/>
              <w:bottom w:val="single" w:sz="4" w:space="0" w:color="000000"/>
              <w:right w:val="single" w:sz="13" w:space="0" w:color="D4D4D4"/>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14,175,281.70</w:t>
            </w:r>
          </w:p>
        </w:tc>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4,218,475.40</w:t>
            </w:r>
            <w:r>
              <w:rPr>
                <w:rFonts w:ascii="Times New Roman"/>
                <w:sz w:val="18"/>
              </w:rPr>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4" w:type="dxa"/>
            <w:tcBorders>
              <w:top w:val="single" w:sz="4" w:space="0" w:color="000000"/>
              <w:left w:val="single" w:sz="12" w:space="0" w:color="D4D4D4"/>
              <w:bottom w:val="single" w:sz="4" w:space="0" w:color="000000"/>
              <w:right w:val="single" w:sz="13" w:space="0" w:color="D4D4D4"/>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14,175,281.70</w:t>
            </w:r>
          </w:p>
        </w:tc>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4,218,475.40</w:t>
            </w:r>
            <w:r>
              <w:rPr>
                <w:rFonts w:ascii="Times New Roman"/>
                <w:sz w:val="18"/>
              </w:rPr>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1484" w:type="dxa"/>
            <w:tcBorders>
              <w:top w:val="single" w:sz="4" w:space="0" w:color="000000"/>
              <w:left w:val="single" w:sz="12" w:space="0" w:color="D4D4D4"/>
              <w:bottom w:val="single" w:sz="4" w:space="0" w:color="000000"/>
              <w:right w:val="single" w:sz="13" w:space="0" w:color="D4D4D4"/>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1,071,886,397.96</w:t>
            </w:r>
          </w:p>
        </w:tc>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1,044,731,930.00</w:t>
            </w:r>
          </w:p>
        </w:tc>
      </w:tr>
    </w:tbl>
    <w:p>
      <w:pPr>
        <w:pStyle w:val="BodyText"/>
        <w:spacing w:line="240" w:lineRule="auto" w:before="49"/>
        <w:ind w:right="147"/>
        <w:jc w:val="left"/>
      </w:pPr>
      <w:r>
        <w:rPr/>
        <w:t>如有因抵押、质押或冻结等对使用有限制、存放在境外、有潜在回收风险的款项应单独说明</w:t>
      </w:r>
    </w:p>
    <w:p>
      <w:pPr>
        <w:pStyle w:val="BodyText"/>
        <w:spacing w:line="300" w:lineRule="auto" w:before="115"/>
        <w:ind w:right="148" w:hanging="1"/>
        <w:jc w:val="left"/>
      </w:pPr>
      <w:r>
        <w:rPr/>
        <w:t>（</w:t>
      </w:r>
      <w:r>
        <w:rPr>
          <w:rFonts w:ascii="Times New Roman" w:hAnsi="Times New Roman" w:cs="Times New Roman" w:eastAsia="Times New Roman" w:hint="default"/>
        </w:rPr>
        <w:t>1</w:t>
      </w:r>
      <w:r>
        <w:rPr/>
        <w:t>）期末银行存款中定期存款</w:t>
      </w:r>
      <w:r>
        <w:rPr>
          <w:spacing w:val="-46"/>
        </w:rPr>
        <w:t> </w:t>
      </w:r>
      <w:r>
        <w:rPr>
          <w:rFonts w:ascii="Times New Roman" w:hAnsi="Times New Roman" w:cs="Times New Roman" w:eastAsia="Times New Roman" w:hint="default"/>
        </w:rPr>
        <w:t>330,152,470.00 </w:t>
      </w:r>
      <w:r>
        <w:rPr/>
        <w:t>元及其他货币资金中保函保证金</w:t>
      </w:r>
      <w:r>
        <w:rPr>
          <w:spacing w:val="-47"/>
        </w:rPr>
        <w:t> </w:t>
      </w:r>
      <w:r>
        <w:rPr>
          <w:rFonts w:ascii="Times New Roman" w:hAnsi="Times New Roman" w:cs="Times New Roman" w:eastAsia="Times New Roman" w:hint="default"/>
        </w:rPr>
        <w:t>14,175,281.70 </w:t>
      </w:r>
      <w:r>
        <w:rPr/>
        <w:t>元本公司在编制现金流量表时 已经不将其作为现金或现金等价物。</w:t>
      </w:r>
    </w:p>
    <w:p>
      <w:pPr>
        <w:pStyle w:val="BodyText"/>
        <w:spacing w:line="240" w:lineRule="auto" w:before="72"/>
        <w:ind w:right="147"/>
        <w:jc w:val="left"/>
      </w:pPr>
      <w:r>
        <w:rPr/>
        <w:t>（</w:t>
      </w:r>
      <w:r>
        <w:rPr>
          <w:rFonts w:ascii="Times New Roman" w:hAnsi="Times New Roman" w:cs="Times New Roman" w:eastAsia="Times New Roman" w:hint="default"/>
        </w:rPr>
        <w:t>2</w:t>
      </w:r>
      <w:r>
        <w:rPr/>
        <w:t>）期末本公司不存在质押、冻结，或有潜在收回风险的款项。</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147"/>
        <w:jc w:val="left"/>
        <w:rPr>
          <w:b w:val="0"/>
          <w:bCs w:val="0"/>
        </w:rPr>
      </w:pPr>
      <w:bookmarkStart w:name="4、应收股利" w:id="269"/>
      <w:bookmarkEnd w:id="269"/>
      <w:r>
        <w:rPr>
          <w:b w:val="0"/>
          <w:bCs w:val="0"/>
        </w:rPr>
      </w:r>
      <w:bookmarkStart w:name="5、应收利息" w:id="270"/>
      <w:bookmarkEnd w:id="270"/>
      <w:r>
        <w:rPr>
          <w:b w:val="0"/>
          <w:bCs w:val="0"/>
        </w:rPr>
      </w:r>
      <w:bookmarkStart w:name="（1）应收利息" w:id="271"/>
      <w:bookmarkEnd w:id="271"/>
      <w:r>
        <w:rPr>
          <w:b w:val="0"/>
          <w:bCs w:val="0"/>
        </w:rPr>
      </w:r>
      <w:r>
        <w:rPr>
          <w:rFonts w:ascii="Times New Roman" w:hAnsi="Times New Roman" w:cs="Times New Roman" w:eastAsia="Times New Roman" w:hint="default"/>
        </w:rPr>
        <w:t>2</w:t>
      </w:r>
      <w:bookmarkStart w:name="2、交易性金融资产" w:id="272"/>
      <w:bookmarkEnd w:id="272"/>
      <w:r>
        <w:rPr>
          <w:rFonts w:ascii="Times New Roman" w:hAnsi="Times New Roman" w:cs="Times New Roman" w:eastAsia="Times New Roman" w:hint="default"/>
        </w:rPr>
      </w:r>
      <w:r>
        <w:rPr/>
        <w:t>、交易性金融资产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bookmarkStart w:name="（1）交易性金融资产" w:id="273"/>
      <w:bookmarkEnd w:id="273"/>
      <w:r>
        <w:rPr>
          <w:rFonts w:ascii="Times New Roman" w:hAnsi="Times New Roman" w:cs="Times New Roman" w:eastAsia="Times New Roman" w:hint="default"/>
        </w:rPr>
      </w:r>
      <w:r>
        <w:rPr/>
        <w:t>）交易性金融资产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2</w:t>
      </w:r>
      <w:r>
        <w:rPr/>
        <w:t>）变现有限制的</w:t>
      </w:r>
      <w:bookmarkStart w:name="（2）变现有限制的交易性金融资产" w:id="274"/>
      <w:bookmarkEnd w:id="274"/>
      <w:r>
        <w:rPr/>
        <w:t>交易</w:t>
      </w:r>
      <w:r>
        <w:rPr/>
        <w:t>性金融资产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3</w:t>
      </w:r>
      <w:r>
        <w:rPr/>
        <w:t>）套期工具及对相关套</w:t>
      </w:r>
      <w:bookmarkStart w:name="（3）套期工具及对相关套期交易的说明" w:id="275"/>
      <w:bookmarkEnd w:id="275"/>
      <w:r>
        <w:rPr/>
        <w:t>期交易的说明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3、应收票据" w:id="276"/>
      <w:bookmarkEnd w:id="276"/>
      <w:r>
        <w:rPr/>
      </w:r>
      <w:bookmarkStart w:name="（1）应收票据的分类" w:id="277"/>
      <w:bookmarkEnd w:id="277"/>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89"/>
        <w:gridCol w:w="2657"/>
        <w:gridCol w:w="2921"/>
      </w:tblGrid>
      <w:tr>
        <w:trPr>
          <w:trHeight w:val="401" w:hRule="exact"/>
        </w:trPr>
        <w:tc>
          <w:tcPr>
            <w:tcW w:w="39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15,639,673.60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980,000.00</w:t>
            </w:r>
          </w:p>
        </w:tc>
      </w:tr>
      <w:tr>
        <w:trPr>
          <w:trHeight w:val="401"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95,926.95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15,735,600.55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980,000.00</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59" w:lineRule="auto" w:before="118"/>
        <w:ind w:right="147"/>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w:t>
      </w:r>
      <w:bookmarkStart w:name="（2）期末已质押的应收票据情况" w:id="278"/>
      <w:bookmarkEnd w:id="278"/>
      <w:r>
        <w:rPr/>
        <w:t>给他方</w:t>
      </w:r>
      <w:r>
        <w:rPr/>
        <w:t>但尚未到期</w:t>
      </w:r>
      <w:bookmarkStart w:name="（3）因出票人无力履约而将票据转为应收账款的票据，以及期末公司已经背书给他方但尚" w:id="279"/>
      <w:bookmarkEnd w:id="279"/>
      <w:r>
        <w:rPr/>
        <w:t>的票据</w:t>
      </w:r>
      <w:r>
        <w:rPr>
          <w:spacing w:val="-65"/>
        </w:rPr>
        <w:t> </w:t>
      </w:r>
      <w:r>
        <w:rPr>
          <w:spacing w:val="-65"/>
        </w:rPr>
      </w:r>
      <w:r>
        <w:rPr/>
        <w:t>情况</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1"/>
        <w:gridCol w:w="1860"/>
        <w:gridCol w:w="1862"/>
        <w:gridCol w:w="1860"/>
        <w:gridCol w:w="2126"/>
      </w:tblGrid>
      <w:tr>
        <w:trPr>
          <w:trHeight w:val="402" w:hRule="exact"/>
        </w:trPr>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862"/>
        <w:gridCol w:w="1860"/>
        <w:gridCol w:w="1862"/>
        <w:gridCol w:w="1860"/>
        <w:gridCol w:w="2126"/>
      </w:tblGrid>
      <w:tr>
        <w:trPr>
          <w:trHeight w:val="401"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322,168.03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15,497,375.90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3,040,883.33</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12,778,660.60</w:t>
            </w:r>
          </w:p>
        </w:tc>
      </w:tr>
      <w:tr>
        <w:trPr>
          <w:trHeight w:val="403" w:hRule="exact"/>
        </w:trPr>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322,168.03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15,497,375.90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3,040,883.33</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12,778,660.60</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2</w:t>
      </w:r>
      <w:bookmarkStart w:name="（2）逾期利息" w:id="280"/>
      <w:bookmarkEnd w:id="280"/>
      <w:r>
        <w:rPr>
          <w:rFonts w:ascii="Times New Roman" w:hAnsi="Times New Roman" w:cs="Times New Roman" w:eastAsia="Times New Roman" w:hint="default"/>
        </w:rPr>
      </w:r>
      <w:r>
        <w:rPr/>
        <w:t>）逾期利息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47" w:firstLine="360"/>
        <w:jc w:val="left"/>
      </w:pPr>
      <w:bookmarkStart w:name="（3）应收利息的说明" w:id="281"/>
      <w:bookmarkEnd w:id="281"/>
      <w:r>
        <w:rPr/>
      </w:r>
      <w:r>
        <w:rPr/>
        <w:t>应收利息账面金额期末比期初增加</w:t>
      </w:r>
      <w:r>
        <w:rPr>
          <w:spacing w:val="-45"/>
        </w:rPr>
        <w:t> </w:t>
      </w:r>
      <w:r>
        <w:rPr>
          <w:rFonts w:ascii="Times New Roman" w:hAnsi="Times New Roman" w:cs="Times New Roman" w:eastAsia="Times New Roman" w:hint="default"/>
        </w:rPr>
        <w:t>1,245.65</w:t>
      </w:r>
      <w:r>
        <w:rPr>
          <w:rFonts w:ascii="Times New Roman" w:hAnsi="Times New Roman" w:cs="Times New Roman" w:eastAsia="Times New Roman" w:hint="default"/>
          <w:spacing w:val="1"/>
        </w:rPr>
        <w:t> </w:t>
      </w:r>
      <w:r>
        <w:rPr>
          <w:spacing w:val="-5"/>
        </w:rPr>
        <w:t>万元，增幅为</w:t>
      </w:r>
      <w:r>
        <w:rPr>
          <w:spacing w:val="-45"/>
        </w:rPr>
        <w:t> </w:t>
      </w:r>
      <w:r>
        <w:rPr>
          <w:rFonts w:ascii="Times New Roman" w:hAnsi="Times New Roman" w:cs="Times New Roman" w:eastAsia="Times New Roman" w:hint="default"/>
          <w:spacing w:val="-3"/>
        </w:rPr>
        <w:t>3866.46%</w:t>
      </w:r>
      <w:r>
        <w:rPr>
          <w:spacing w:val="-3"/>
        </w:rPr>
        <w:t>，主要系本公司</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年度下半年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个月期限的定期 存款大幅增加所致。</w:t>
      </w:r>
    </w:p>
    <w:p>
      <w:pPr>
        <w:spacing w:line="240" w:lineRule="auto" w:before="10"/>
        <w:rPr>
          <w:rFonts w:ascii="宋体" w:hAnsi="宋体" w:cs="宋体" w:eastAsia="宋体" w:hint="default"/>
          <w:sz w:val="23"/>
          <w:szCs w:val="23"/>
        </w:rPr>
      </w:pPr>
    </w:p>
    <w:p>
      <w:pPr>
        <w:pStyle w:val="Heading3"/>
        <w:spacing w:line="240" w:lineRule="auto"/>
        <w:ind w:right="147"/>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bookmarkStart w:name="6、应收账款" w:id="282"/>
      <w:bookmarkEnd w:id="282"/>
      <w:r>
        <w:rPr/>
      </w:r>
      <w:bookmarkStart w:name="（1）应收账款按种类披露" w:id="283"/>
      <w:bookmarkEnd w:id="283"/>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9"/>
        <w:gridCol w:w="929"/>
        <w:gridCol w:w="931"/>
        <w:gridCol w:w="929"/>
        <w:gridCol w:w="929"/>
        <w:gridCol w:w="797"/>
        <w:gridCol w:w="929"/>
        <w:gridCol w:w="1063"/>
        <w:gridCol w:w="1066"/>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00000"/>
              <w:right w:val="single" w:sz="4" w:space="0" w:color="000000"/>
            </w:tcBorders>
            <w:shd w:val="clear" w:color="auto" w:fill="D4D4D4"/>
          </w:tcPr>
          <w:p>
            <w:pP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999" w:type="dxa"/>
            <w:vMerge/>
            <w:tcBorders>
              <w:left w:val="single" w:sz="4" w:space="0" w:color="000000"/>
              <w:bottom w:val="single" w:sz="4" w:space="0" w:color="000000"/>
              <w:right w:val="single" w:sz="4" w:space="0" w:color="000000"/>
            </w:tcBorders>
            <w:shd w:val="clear" w:color="auto" w:fill="D4D4D4"/>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54,071,927.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7,978,111.7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55,929,28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8,636,270.12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15.44%</w:t>
            </w:r>
          </w:p>
        </w:tc>
      </w:tr>
      <w:tr>
        <w:trPr>
          <w:trHeight w:val="715"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54,071,927.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7,978,111.7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55,929,28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1.72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8,636,270.12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15.44%</w:t>
            </w:r>
          </w:p>
        </w:tc>
      </w:tr>
      <w:tr>
        <w:trPr>
          <w:trHeight w:val="715"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54,071,927.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7,978,111.7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55,929,28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1.72</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8,636,270.12</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357" w:lineRule="auto" w:before="49"/>
        <w:ind w:right="-20"/>
        <w:jc w:val="left"/>
      </w:pPr>
      <w:r>
        <w:rPr/>
        <w:t>应收账款种类的说明 期末单项金额重大并单项计提坏账准备的应收账款</w:t>
      </w:r>
    </w:p>
    <w:p>
      <w:pPr>
        <w:pStyle w:val="BodyText"/>
        <w:spacing w:line="338" w:lineRule="auto" w:before="29"/>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113" w:space="4714"/>
            <w:col w:w="112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2"/>
        <w:gridCol w:w="1599"/>
        <w:gridCol w:w="923"/>
        <w:gridCol w:w="1739"/>
        <w:gridCol w:w="1454"/>
        <w:gridCol w:w="924"/>
        <w:gridCol w:w="1454"/>
      </w:tblGrid>
      <w:tr>
        <w:trPr>
          <w:trHeight w:val="403" w:hRule="exact"/>
        </w:trPr>
        <w:tc>
          <w:tcPr>
            <w:tcW w:w="1462" w:type="dxa"/>
            <w:tcBorders>
              <w:top w:val="single" w:sz="4" w:space="0" w:color="000000"/>
              <w:left w:val="single" w:sz="4" w:space="0" w:color="000000"/>
              <w:bottom w:val="nil" w:sz="6" w:space="0" w:color="auto"/>
              <w:right w:val="single" w:sz="4" w:space="0" w:color="000000"/>
            </w:tcBorders>
            <w:shd w:val="clear" w:color="auto" w:fill="D4D4D4"/>
          </w:tcPr>
          <w:p>
            <w:pPr/>
          </w:p>
        </w:tc>
        <w:tc>
          <w:tcPr>
            <w:tcW w:w="426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3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4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2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39" w:type="dxa"/>
            <w:tcBorders>
              <w:top w:val="single" w:sz="4" w:space="0" w:color="000000"/>
              <w:left w:val="single" w:sz="4" w:space="0" w:color="000000"/>
              <w:bottom w:val="nil" w:sz="6" w:space="0" w:color="auto"/>
              <w:right w:val="single" w:sz="4" w:space="0" w:color="000000"/>
            </w:tcBorders>
            <w:shd w:val="clear" w:color="auto" w:fill="D4D4D4"/>
          </w:tcPr>
          <w:p>
            <w:pPr/>
          </w:p>
        </w:tc>
        <w:tc>
          <w:tcPr>
            <w:tcW w:w="237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4" w:hRule="exact"/>
        </w:trPr>
        <w:tc>
          <w:tcPr>
            <w:tcW w:w="1462" w:type="dxa"/>
            <w:vMerge/>
            <w:tcBorders>
              <w:left w:val="single" w:sz="4" w:space="0" w:color="000000"/>
              <w:bottom w:val="nil" w:sz="6" w:space="0" w:color="auto"/>
              <w:right w:val="single" w:sz="4" w:space="0" w:color="000000"/>
            </w:tcBorders>
            <w:shd w:val="clear" w:color="auto" w:fill="D4D4D4"/>
          </w:tcPr>
          <w:p>
            <w:pPr/>
          </w:p>
        </w:tc>
        <w:tc>
          <w:tcPr>
            <w:tcW w:w="2522" w:type="dxa"/>
            <w:gridSpan w:val="2"/>
            <w:vMerge/>
            <w:tcBorders>
              <w:left w:val="single" w:sz="4" w:space="0" w:color="000000"/>
              <w:bottom w:val="single" w:sz="4" w:space="0" w:color="000000"/>
              <w:right w:val="single" w:sz="4" w:space="0" w:color="000000"/>
            </w:tcBorders>
            <w:shd w:val="clear" w:color="auto" w:fill="D4D4D4"/>
          </w:tcPr>
          <w:p>
            <w:pPr/>
          </w:p>
        </w:tc>
        <w:tc>
          <w:tcPr>
            <w:tcW w:w="173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78" w:type="dxa"/>
            <w:gridSpan w:val="2"/>
            <w:vMerge/>
            <w:tcBorders>
              <w:left w:val="single" w:sz="4" w:space="0" w:color="000000"/>
              <w:bottom w:val="single" w:sz="4" w:space="0" w:color="000000"/>
              <w:right w:val="single" w:sz="4" w:space="0" w:color="000000"/>
            </w:tcBorders>
            <w:shd w:val="clear" w:color="auto" w:fill="D4D4D4"/>
          </w:tcPr>
          <w:p>
            <w:pPr/>
          </w:p>
        </w:tc>
        <w:tc>
          <w:tcPr>
            <w:tcW w:w="145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7" w:hRule="exact"/>
        </w:trPr>
        <w:tc>
          <w:tcPr>
            <w:tcW w:w="1462" w:type="dxa"/>
            <w:vMerge w:val="restart"/>
            <w:tcBorders>
              <w:top w:val="nil" w:sz="6" w:space="0" w:color="auto"/>
              <w:left w:val="single" w:sz="4" w:space="0" w:color="000000"/>
              <w:right w:val="single" w:sz="4" w:space="0" w:color="000000"/>
            </w:tcBorders>
            <w:shd w:val="clear" w:color="auto" w:fill="D4D4D4"/>
          </w:tcPr>
          <w:p>
            <w:pPr/>
          </w:p>
        </w:tc>
        <w:tc>
          <w:tcPr>
            <w:tcW w:w="15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39" w:type="dxa"/>
            <w:vMerge/>
            <w:tcBorders>
              <w:left w:val="single" w:sz="4" w:space="0" w:color="000000"/>
              <w:bottom w:val="nil" w:sz="6" w:space="0" w:color="auto"/>
              <w:right w:val="single" w:sz="4" w:space="0" w:color="000000"/>
            </w:tcBorders>
            <w:shd w:val="clear" w:color="auto" w:fill="D4D4D4"/>
          </w:tcPr>
          <w:p>
            <w:pPr/>
          </w:p>
        </w:tc>
        <w:tc>
          <w:tcPr>
            <w:tcW w:w="145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2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4" w:type="dxa"/>
            <w:vMerge/>
            <w:tcBorders>
              <w:left w:val="single" w:sz="4" w:space="0" w:color="000000"/>
              <w:bottom w:val="nil" w:sz="6" w:space="0" w:color="auto"/>
              <w:right w:val="single" w:sz="4" w:space="0" w:color="000000"/>
            </w:tcBorders>
            <w:shd w:val="clear" w:color="auto" w:fill="D4D4D4"/>
          </w:tcPr>
          <w:p>
            <w:pPr/>
          </w:p>
        </w:tc>
      </w:tr>
      <w:tr>
        <w:trPr>
          <w:trHeight w:val="211" w:hRule="exact"/>
        </w:trPr>
        <w:tc>
          <w:tcPr>
            <w:tcW w:w="1462" w:type="dxa"/>
            <w:vMerge/>
            <w:tcBorders>
              <w:left w:val="single" w:sz="4" w:space="0" w:color="000000"/>
              <w:bottom w:val="single" w:sz="4" w:space="0" w:color="000000"/>
              <w:right w:val="single" w:sz="4" w:space="0" w:color="000000"/>
            </w:tcBorders>
            <w:shd w:val="clear" w:color="auto" w:fill="D4D4D4"/>
          </w:tcPr>
          <w:p>
            <w:pPr/>
          </w:p>
        </w:tc>
        <w:tc>
          <w:tcPr>
            <w:tcW w:w="1599" w:type="dxa"/>
            <w:vMerge/>
            <w:tcBorders>
              <w:left w:val="single" w:sz="4" w:space="0" w:color="000000"/>
              <w:bottom w:val="single" w:sz="4" w:space="0" w:color="000000"/>
              <w:right w:val="single" w:sz="4" w:space="0" w:color="000000"/>
            </w:tcBorders>
            <w:shd w:val="clear" w:color="auto" w:fill="D4D4D4"/>
          </w:tcPr>
          <w:p>
            <w:pPr/>
          </w:p>
        </w:tc>
        <w:tc>
          <w:tcPr>
            <w:tcW w:w="923" w:type="dxa"/>
            <w:vMerge/>
            <w:tcBorders>
              <w:left w:val="single" w:sz="4" w:space="0" w:color="000000"/>
              <w:bottom w:val="single" w:sz="4" w:space="0" w:color="000000"/>
              <w:right w:val="single" w:sz="4" w:space="0" w:color="000000"/>
            </w:tcBorders>
            <w:shd w:val="clear" w:color="auto" w:fill="D4D4D4"/>
          </w:tcPr>
          <w:p>
            <w:pPr/>
          </w:p>
        </w:tc>
        <w:tc>
          <w:tcPr>
            <w:tcW w:w="1739" w:type="dxa"/>
            <w:tcBorders>
              <w:top w:val="nil" w:sz="6" w:space="0" w:color="auto"/>
              <w:left w:val="single" w:sz="4" w:space="0" w:color="000000"/>
              <w:bottom w:val="single" w:sz="4" w:space="0" w:color="000000"/>
              <w:right w:val="single" w:sz="4" w:space="0" w:color="000000"/>
            </w:tcBorders>
            <w:shd w:val="clear" w:color="auto" w:fill="D4D4D4"/>
          </w:tcPr>
          <w:p>
            <w:pPr/>
          </w:p>
        </w:tc>
        <w:tc>
          <w:tcPr>
            <w:tcW w:w="1454" w:type="dxa"/>
            <w:vMerge/>
            <w:tcBorders>
              <w:left w:val="single" w:sz="4" w:space="0" w:color="000000"/>
              <w:bottom w:val="single" w:sz="4" w:space="0" w:color="000000"/>
              <w:right w:val="single" w:sz="4" w:space="0" w:color="000000"/>
            </w:tcBorders>
            <w:shd w:val="clear" w:color="auto" w:fill="D4D4D4"/>
          </w:tcPr>
          <w:p>
            <w:pPr/>
          </w:p>
        </w:tc>
        <w:tc>
          <w:tcPr>
            <w:tcW w:w="924" w:type="dxa"/>
            <w:vMerge/>
            <w:tcBorders>
              <w:left w:val="single" w:sz="4" w:space="0" w:color="000000"/>
              <w:bottom w:val="single" w:sz="4" w:space="0" w:color="000000"/>
              <w:right w:val="single" w:sz="4" w:space="0" w:color="000000"/>
            </w:tcBorders>
            <w:shd w:val="clear" w:color="auto" w:fill="D4D4D4"/>
          </w:tcPr>
          <w:p>
            <w:pPr/>
          </w:p>
        </w:tc>
        <w:tc>
          <w:tcPr>
            <w:tcW w:w="145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91"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8" w:hRule="exact"/>
        </w:trPr>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400" w:right="0"/>
              <w:jc w:val="left"/>
              <w:rPr>
                <w:rFonts w:ascii="Times New Roman" w:hAnsi="Times New Roman" w:cs="Times New Roman" w:eastAsia="Times New Roman" w:hint="default"/>
                <w:sz w:val="18"/>
                <w:szCs w:val="18"/>
              </w:rPr>
            </w:pPr>
            <w:r>
              <w:rPr>
                <w:rFonts w:ascii="Times New Roman"/>
                <w:sz w:val="18"/>
              </w:rPr>
              <w:t>--</w:t>
            </w:r>
          </w:p>
        </w:tc>
        <w:tc>
          <w:tcPr>
            <w:tcW w:w="17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w:t>
            </w:r>
          </w:p>
        </w:tc>
        <w:tc>
          <w:tcPr>
            <w:tcW w:w="9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401" w:right="0"/>
              <w:jc w:val="left"/>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16"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37,965,329.21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70.22%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4" w:right="0"/>
              <w:jc w:val="left"/>
              <w:rPr>
                <w:rFonts w:ascii="Times New Roman" w:hAnsi="Times New Roman" w:cs="Times New Roman" w:eastAsia="Times New Roman" w:hint="default"/>
                <w:sz w:val="18"/>
                <w:szCs w:val="18"/>
              </w:rPr>
            </w:pPr>
            <w:r>
              <w:rPr>
                <w:rFonts w:ascii="Times New Roman"/>
                <w:sz w:val="18"/>
              </w:rPr>
              <w:t>1,898,266.52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7" w:right="0"/>
              <w:jc w:val="left"/>
              <w:rPr>
                <w:rFonts w:ascii="Times New Roman" w:hAnsi="Times New Roman" w:cs="Times New Roman" w:eastAsia="Times New Roman" w:hint="default"/>
                <w:sz w:val="18"/>
                <w:szCs w:val="18"/>
              </w:rPr>
            </w:pPr>
            <w:r>
              <w:rPr>
                <w:rFonts w:ascii="Times New Roman"/>
                <w:sz w:val="18"/>
              </w:rPr>
              <w:t>42,807,383.00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4" w:right="0"/>
              <w:jc w:val="left"/>
              <w:rPr>
                <w:rFonts w:ascii="Times New Roman" w:hAnsi="Times New Roman" w:cs="Times New Roman" w:eastAsia="Times New Roman" w:hint="default"/>
                <w:sz w:val="18"/>
                <w:szCs w:val="18"/>
              </w:rPr>
            </w:pPr>
            <w:r>
              <w:rPr>
                <w:rFonts w:ascii="Times New Roman"/>
                <w:sz w:val="18"/>
              </w:rPr>
              <w:t>76.54%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8" w:right="0"/>
              <w:jc w:val="left"/>
              <w:rPr>
                <w:rFonts w:ascii="Times New Roman" w:hAnsi="Times New Roman" w:cs="Times New Roman" w:eastAsia="Times New Roman" w:hint="default"/>
                <w:sz w:val="18"/>
                <w:szCs w:val="18"/>
              </w:rPr>
            </w:pPr>
            <w:r>
              <w:rPr>
                <w:rFonts w:ascii="Times New Roman"/>
                <w:sz w:val="18"/>
              </w:rPr>
              <w:t>2,140,369.15</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65"/>
        <w:gridCol w:w="1594"/>
        <w:gridCol w:w="929"/>
        <w:gridCol w:w="1728"/>
        <w:gridCol w:w="1459"/>
        <w:gridCol w:w="931"/>
        <w:gridCol w:w="1459"/>
      </w:tblGrid>
      <w:tr>
        <w:trPr>
          <w:trHeight w:val="401" w:hRule="exact"/>
        </w:trPr>
        <w:tc>
          <w:tcPr>
            <w:tcW w:w="14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8,367,408.90</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15.47%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836,740.89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4,911,166.91</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8.78%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491,116.69</w:t>
            </w:r>
            <w:r>
              <w:rPr>
                <w:rFonts w:ascii="Times New Roman"/>
                <w:sz w:val="18"/>
              </w:rPr>
            </w:r>
          </w:p>
        </w:tc>
      </w:tr>
      <w:tr>
        <w:trPr>
          <w:trHeight w:val="403" w:hRule="exact"/>
        </w:trPr>
        <w:tc>
          <w:tcPr>
            <w:tcW w:w="14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3,120,106.41</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1" w:right="0"/>
              <w:jc w:val="left"/>
              <w:rPr>
                <w:rFonts w:ascii="Times New Roman" w:hAnsi="Times New Roman" w:cs="Times New Roman" w:eastAsia="Times New Roman" w:hint="default"/>
                <w:sz w:val="18"/>
                <w:szCs w:val="18"/>
              </w:rPr>
            </w:pPr>
            <w:r>
              <w:rPr>
                <w:rFonts w:ascii="Times New Roman"/>
                <w:sz w:val="18"/>
              </w:rPr>
              <w:t>5.77%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624,021.28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2,757,434.41</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4" w:right="0"/>
              <w:jc w:val="left"/>
              <w:rPr>
                <w:rFonts w:ascii="Times New Roman" w:hAnsi="Times New Roman" w:cs="Times New Roman" w:eastAsia="Times New Roman" w:hint="default"/>
                <w:sz w:val="18"/>
                <w:szCs w:val="18"/>
              </w:rPr>
            </w:pPr>
            <w:r>
              <w:rPr>
                <w:rFonts w:ascii="Times New Roman"/>
                <w:sz w:val="18"/>
              </w:rPr>
              <w:t>4.93%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551,486.88</w:t>
            </w:r>
          </w:p>
        </w:tc>
      </w:tr>
      <w:tr>
        <w:trPr>
          <w:trHeight w:val="401" w:hRule="exact"/>
        </w:trPr>
        <w:tc>
          <w:tcPr>
            <w:tcW w:w="14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4,619,083.04</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8.54%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4,619,083.04</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5,453,297.40</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9.75%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5,453,297.40</w:t>
            </w:r>
            <w:r>
              <w:rPr>
                <w:rFonts w:ascii="Times New Roman"/>
                <w:sz w:val="18"/>
              </w:rPr>
            </w:r>
          </w:p>
        </w:tc>
      </w:tr>
      <w:tr>
        <w:trPr>
          <w:trHeight w:val="403" w:hRule="exact"/>
        </w:trPr>
        <w:tc>
          <w:tcPr>
            <w:tcW w:w="14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54,071,927.56</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7,978,111.73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55,929,281.72</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403" w:right="0"/>
              <w:jc w:val="left"/>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8,636,270.12</w:t>
            </w:r>
            <w:r>
              <w:rPr>
                <w:rFonts w:ascii="Times New Roman"/>
                <w:sz w:val="18"/>
              </w:rPr>
            </w:r>
          </w:p>
        </w:tc>
      </w:tr>
    </w:tbl>
    <w:p>
      <w:pPr>
        <w:pStyle w:val="BodyText"/>
        <w:spacing w:line="240" w:lineRule="auto" w:before="49"/>
        <w:ind w:right="147"/>
        <w:jc w:val="left"/>
      </w:pPr>
      <w:bookmarkStart w:name="（6）应收关联方账款情况" w:id="284"/>
      <w:bookmarkEnd w:id="284"/>
      <w:r>
        <w:rPr/>
      </w:r>
      <w:r>
        <w:rPr/>
        <w:t>组合中，采用余额百分比法计提坏账准备的应收账款</w:t>
      </w:r>
    </w:p>
    <w:p>
      <w:pPr>
        <w:pStyle w:val="BodyText"/>
        <w:spacing w:line="340" w:lineRule="auto" w:before="115"/>
        <w:ind w:right="59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38" w:lineRule="auto" w:before="41"/>
        <w:ind w:left="153" w:right="545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3"/>
        <w:ind w:left="153"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47"/>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4</w:t>
      </w:r>
      <w:r>
        <w:rPr/>
        <w:t>）本报告期应收账款中持有公司</w:t>
      </w:r>
      <w:r>
        <w:rPr>
          <w:spacing w:val="-57"/>
        </w:rPr>
        <w:t> </w:t>
      </w:r>
      <w:r>
        <w:rPr>
          <w:rFonts w:ascii="Times New Roman" w:hAnsi="Times New Roman" w:cs="Times New Roman" w:eastAsia="Times New Roman" w:hint="default"/>
        </w:rPr>
        <w:t>5</w:t>
      </w:r>
      <w:r>
        <w:rPr/>
        <w:t>％（含</w:t>
      </w:r>
      <w:r>
        <w:rPr>
          <w:spacing w:val="-57"/>
        </w:rPr>
        <w:t> </w:t>
      </w:r>
      <w:bookmarkStart w:name="（2）本报告期转回或收回的应收账款情况" w:id="285"/>
      <w:bookmarkEnd w:id="285"/>
      <w:r>
        <w:rPr>
          <w:spacing w:val="-57"/>
        </w:rPr>
      </w:r>
      <w:r>
        <w:rPr>
          <w:rFonts w:ascii="Times New Roman" w:hAnsi="Times New Roman" w:cs="Times New Roman" w:eastAsia="Times New Roman" w:hint="default"/>
        </w:rPr>
        <w:t>5</w:t>
      </w:r>
      <w:bookmarkStart w:name="（3）本报告期实际核销的应收账款情况" w:id="286"/>
      <w:bookmarkEnd w:id="286"/>
      <w:r>
        <w:rPr>
          <w:rFonts w:ascii="Times New Roman" w:hAnsi="Times New Roman" w:cs="Times New Roman" w:eastAsia="Times New Roman" w:hint="default"/>
        </w:rPr>
      </w:r>
      <w:bookmarkStart w:name="（4）本报告期应收账款中持有公司5％（含5％）以上表决权股份的股东单位情况" w:id="287"/>
      <w:bookmarkEnd w:id="287"/>
      <w:r>
        <w:rPr>
          <w:rFonts w:ascii="Times New Roman" w:hAnsi="Times New Roman" w:cs="Times New Roman" w:eastAsia="Times New Roman" w:hint="default"/>
        </w:rPr>
      </w:r>
      <w:r>
        <w:rPr/>
        <w:t>％）以上表决权股份的股东单位情况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5）应收账款中金额前五名单位情况" w:id="288"/>
      <w:bookmarkEnd w:id="288"/>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福建亿榕信息技术有限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6,677,612.61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12.35%</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中国联合网络通信有限 公司福建分公司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2,542,190.90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冠林电子有限公司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2,366,000.00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4.38%</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福建省电力物资有限公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福建省建设信息中心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1,907,329.80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15,593,133.31</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28.84%</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1"/>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6,677,612.61</w:t>
            </w:r>
            <w:r>
              <w:rPr>
                <w:rFonts w:ascii="Times New Roman"/>
                <w:sz w:val="18"/>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12.35%</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6,677,612.61</w:t>
            </w:r>
            <w:r>
              <w:rPr>
                <w:rFonts w:ascii="Times New Roman"/>
                <w:sz w:val="18"/>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12.35%</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7</w:t>
      </w:r>
      <w:bookmarkStart w:name="（7）终止确认的应收款项情况" w:id="289"/>
      <w:bookmarkEnd w:id="289"/>
      <w:r>
        <w:rPr>
          <w:rFonts w:ascii="Times New Roman" w:hAnsi="Times New Roman" w:cs="Times New Roman" w:eastAsia="Times New Roman" w:hint="default"/>
        </w:rPr>
      </w:r>
      <w:r>
        <w:rPr/>
        <w:t>）终止确认的应收款项情况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8</w:t>
      </w:r>
      <w:r>
        <w:rPr/>
        <w:t>）以应收款项为标的进</w:t>
      </w:r>
      <w:bookmarkStart w:name="（8）以应收款项为标的进行证券化的，列示继续涉入形成的资产、负债的金额" w:id="290"/>
      <w:bookmarkEnd w:id="290"/>
      <w:r>
        <w:rPr/>
        <w:t>行证券化的，列示</w:t>
      </w:r>
      <w:r>
        <w:rPr/>
        <w:t>继续涉入形成的资产、负债的金额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7、其他应收款" w:id="291"/>
      <w:bookmarkEnd w:id="291"/>
      <w:r>
        <w:rPr/>
      </w:r>
      <w:bookmarkStart w:name="（1）其他应收款按种类披露" w:id="292"/>
      <w:bookmarkEnd w:id="292"/>
      <w:r>
        <w:rPr/>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1"/>
        <w:gridCol w:w="1564"/>
        <w:gridCol w:w="917"/>
        <w:gridCol w:w="1058"/>
        <w:gridCol w:w="794"/>
        <w:gridCol w:w="1058"/>
        <w:gridCol w:w="142"/>
        <w:gridCol w:w="785"/>
        <w:gridCol w:w="1190"/>
        <w:gridCol w:w="790"/>
      </w:tblGrid>
      <w:tr>
        <w:trPr>
          <w:trHeight w:val="402" w:hRule="exact"/>
        </w:trPr>
        <w:tc>
          <w:tcPr>
            <w:tcW w:w="12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33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71" w:type="dxa"/>
            <w:vMerge/>
            <w:tcBorders>
              <w:left w:val="single" w:sz="4" w:space="0" w:color="000000"/>
              <w:right w:val="single" w:sz="4" w:space="0" w:color="000000"/>
            </w:tcBorders>
            <w:shd w:val="clear" w:color="auto" w:fill="D4D4D4"/>
          </w:tcPr>
          <w:p>
            <w:pPr/>
          </w:p>
        </w:tc>
        <w:tc>
          <w:tcPr>
            <w:tcW w:w="248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271" w:type="dxa"/>
            <w:vMerge/>
            <w:tcBorders>
              <w:left w:val="single" w:sz="4" w:space="0" w:color="000000"/>
              <w:bottom w:val="single" w:sz="4" w:space="0" w:color="000000"/>
              <w:right w:val="single" w:sz="4" w:space="0" w:color="000000"/>
            </w:tcBorders>
            <w:shd w:val="clear" w:color="auto" w:fill="D4D4D4"/>
          </w:tcPr>
          <w:p>
            <w:pPr/>
          </w:p>
        </w:tc>
        <w:tc>
          <w:tcPr>
            <w:tcW w:w="15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7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tc>
        <w:tc>
          <w:tcPr>
            <w:tcW w:w="1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20,262,756.32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2,719,437.45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13.42%</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12,957,705.19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1"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2,095,028.38</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16.17%</w:t>
            </w:r>
          </w:p>
        </w:tc>
      </w:tr>
      <w:tr>
        <w:trPr>
          <w:trHeight w:val="401" w:hRule="exact"/>
        </w:trPr>
        <w:tc>
          <w:tcPr>
            <w:tcW w:w="12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5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20,262,756.32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2,719,437.45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13.42%</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12,957,705.19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2,095,028.38</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16.17%</w:t>
            </w:r>
          </w:p>
        </w:tc>
      </w:tr>
      <w:tr>
        <w:trPr>
          <w:trHeight w:val="403" w:hRule="exact"/>
        </w:trPr>
        <w:tc>
          <w:tcPr>
            <w:tcW w:w="12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20,262,756.32</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3"/>
              <w:ind w:left="74" w:right="0"/>
              <w:jc w:val="center"/>
              <w:rPr>
                <w:rFonts w:ascii="Times New Roman" w:hAnsi="Times New Roman" w:cs="Times New Roman" w:eastAsia="Times New Roman" w:hint="default"/>
                <w:sz w:val="18"/>
                <w:szCs w:val="18"/>
              </w:rPr>
            </w:pPr>
            <w:r>
              <w:rPr>
                <w:rFonts w:ascii="Times New Roman"/>
                <w:sz w:val="18"/>
              </w:rPr>
              <w:t>2,719,437.45</w:t>
            </w:r>
          </w:p>
        </w:tc>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12,957,705.19</w:t>
            </w:r>
          </w:p>
        </w:tc>
        <w:tc>
          <w:tcPr>
            <w:tcW w:w="7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2,095,028.38</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357" w:lineRule="auto" w:before="49"/>
        <w:ind w:right="-19"/>
        <w:jc w:val="left"/>
      </w:pPr>
      <w:r>
        <w:rPr/>
        <w:t>其他应收款种类的说明 期末单项金额重大并单项计提坏账准备的其他应收款</w:t>
      </w:r>
    </w:p>
    <w:p>
      <w:pPr>
        <w:pStyle w:val="BodyText"/>
        <w:spacing w:line="340" w:lineRule="auto" w:before="29"/>
        <w:ind w:right="-19"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39"/>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8"/>
        <w:gridCol w:w="1847"/>
        <w:gridCol w:w="646"/>
        <w:gridCol w:w="1459"/>
        <w:gridCol w:w="1444"/>
        <w:gridCol w:w="651"/>
        <w:gridCol w:w="1662"/>
      </w:tblGrid>
      <w:tr>
        <w:trPr>
          <w:trHeight w:val="401" w:hRule="exact"/>
        </w:trPr>
        <w:tc>
          <w:tcPr>
            <w:tcW w:w="1848" w:type="dxa"/>
            <w:vMerge w:val="restart"/>
            <w:tcBorders>
              <w:top w:val="single" w:sz="4" w:space="0" w:color="000000"/>
              <w:left w:val="single" w:sz="4" w:space="0" w:color="000000"/>
              <w:right w:val="single" w:sz="4" w:space="0" w:color="000000"/>
            </w:tcBorders>
            <w:shd w:val="clear" w:color="auto" w:fill="D4D4D4"/>
          </w:tcPr>
          <w:p>
            <w:pPr/>
          </w:p>
        </w:tc>
        <w:tc>
          <w:tcPr>
            <w:tcW w:w="395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5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848" w:type="dxa"/>
            <w:vMerge/>
            <w:tcBorders>
              <w:left w:val="single" w:sz="4" w:space="0" w:color="000000"/>
              <w:bottom w:val="nil" w:sz="6" w:space="0" w:color="auto"/>
              <w:right w:val="single" w:sz="4" w:space="0" w:color="000000"/>
            </w:tcBorders>
            <w:shd w:val="clear" w:color="auto" w:fill="D4D4D4"/>
          </w:tcPr>
          <w:p>
            <w:pPr/>
          </w:p>
        </w:tc>
        <w:tc>
          <w:tcPr>
            <w:tcW w:w="249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4D4D4"/>
          </w:tcPr>
          <w:p>
            <w:pPr/>
          </w:p>
        </w:tc>
        <w:tc>
          <w:tcPr>
            <w:tcW w:w="209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2" w:type="dxa"/>
            <w:vMerge w:val="restart"/>
            <w:tcBorders>
              <w:top w:val="single" w:sz="4" w:space="0" w:color="000000"/>
              <w:left w:val="single" w:sz="4" w:space="0" w:color="000000"/>
              <w:right w:val="single" w:sz="4" w:space="0" w:color="000000"/>
            </w:tcBorders>
            <w:shd w:val="clear" w:color="auto" w:fill="D4D4D4"/>
          </w:tcPr>
          <w:p>
            <w:pPr/>
          </w:p>
        </w:tc>
      </w:tr>
      <w:tr>
        <w:trPr>
          <w:trHeight w:val="242" w:hRule="exact"/>
        </w:trPr>
        <w:tc>
          <w:tcPr>
            <w:tcW w:w="184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493" w:type="dxa"/>
            <w:gridSpan w:val="2"/>
            <w:vMerge/>
            <w:tcBorders>
              <w:left w:val="single" w:sz="4" w:space="0" w:color="000000"/>
              <w:bottom w:val="single" w:sz="4" w:space="0" w:color="000000"/>
              <w:right w:val="single" w:sz="4" w:space="0" w:color="000000"/>
            </w:tcBorders>
            <w:shd w:val="clear" w:color="auto" w:fill="D4D4D4"/>
          </w:tcPr>
          <w:p>
            <w:pPr/>
          </w:p>
        </w:tc>
        <w:tc>
          <w:tcPr>
            <w:tcW w:w="1459" w:type="dxa"/>
            <w:vMerge/>
            <w:tcBorders>
              <w:left w:val="single" w:sz="4" w:space="0" w:color="000000"/>
              <w:bottom w:val="nil" w:sz="6" w:space="0" w:color="auto"/>
              <w:right w:val="single" w:sz="4" w:space="0" w:color="000000"/>
            </w:tcBorders>
            <w:shd w:val="clear" w:color="auto" w:fill="D4D4D4"/>
          </w:tcPr>
          <w:p>
            <w:pPr/>
          </w:p>
        </w:tc>
        <w:tc>
          <w:tcPr>
            <w:tcW w:w="2095" w:type="dxa"/>
            <w:gridSpan w:val="2"/>
            <w:vMerge/>
            <w:tcBorders>
              <w:left w:val="single" w:sz="4" w:space="0" w:color="000000"/>
              <w:bottom w:val="single" w:sz="4" w:space="0" w:color="000000"/>
              <w:right w:val="single" w:sz="4" w:space="0" w:color="000000"/>
            </w:tcBorders>
            <w:shd w:val="clear" w:color="auto" w:fill="D4D4D4"/>
          </w:tcPr>
          <w:p>
            <w:pPr/>
          </w:p>
        </w:tc>
        <w:tc>
          <w:tcPr>
            <w:tcW w:w="1662"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848" w:type="dxa"/>
            <w:vMerge/>
            <w:tcBorders>
              <w:left w:val="single" w:sz="4" w:space="0" w:color="000000"/>
              <w:bottom w:val="single" w:sz="4" w:space="0" w:color="FFFFFF"/>
              <w:right w:val="single" w:sz="4" w:space="0" w:color="000000"/>
            </w:tcBorders>
            <w:shd w:val="clear" w:color="auto" w:fill="D4D4D4"/>
          </w:tcPr>
          <w:p>
            <w:pPr/>
          </w:p>
        </w:tc>
        <w:tc>
          <w:tcPr>
            <w:tcW w:w="1847"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64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3" w:right="0"/>
              <w:jc w:val="left"/>
              <w:rPr>
                <w:rFonts w:ascii="Times New Roman" w:hAnsi="Times New Roman" w:cs="Times New Roman" w:eastAsia="Times New Roman" w:hint="default"/>
                <w:sz w:val="18"/>
                <w:szCs w:val="18"/>
              </w:rPr>
            </w:pPr>
            <w:r>
              <w:rPr>
                <w:rFonts w:ascii="Times New Roman"/>
                <w:sz w:val="18"/>
              </w:rPr>
              <w:t>(%)</w:t>
            </w:r>
          </w:p>
        </w:tc>
        <w:tc>
          <w:tcPr>
            <w:tcW w:w="145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8" w:right="0"/>
              <w:jc w:val="left"/>
              <w:rPr>
                <w:rFonts w:ascii="Times New Roman" w:hAnsi="Times New Roman" w:cs="Times New Roman" w:eastAsia="Times New Roman" w:hint="default"/>
                <w:sz w:val="18"/>
                <w:szCs w:val="18"/>
              </w:rPr>
            </w:pPr>
            <w:r>
              <w:rPr>
                <w:rFonts w:ascii="Times New Roman"/>
                <w:sz w:val="18"/>
              </w:rPr>
              <w:t>(%)</w:t>
            </w:r>
          </w:p>
        </w:tc>
        <w:tc>
          <w:tcPr>
            <w:tcW w:w="16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4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848" w:type="dxa"/>
            <w:vMerge w:val="restart"/>
            <w:tcBorders>
              <w:top w:val="single" w:sz="4" w:space="0" w:color="FFFFFF"/>
              <w:left w:val="single" w:sz="4" w:space="0" w:color="000000"/>
              <w:right w:val="single" w:sz="4" w:space="0" w:color="000000"/>
            </w:tcBorders>
            <w:shd w:val="clear" w:color="auto" w:fill="D4D4D4"/>
          </w:tcPr>
          <w:p>
            <w:pPr/>
          </w:p>
        </w:tc>
        <w:tc>
          <w:tcPr>
            <w:tcW w:w="1847"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4D4D4"/>
          </w:tcPr>
          <w:p>
            <w:pPr/>
          </w:p>
        </w:tc>
        <w:tc>
          <w:tcPr>
            <w:tcW w:w="1459" w:type="dxa"/>
            <w:vMerge/>
            <w:tcBorders>
              <w:left w:val="single" w:sz="4" w:space="0" w:color="000000"/>
              <w:bottom w:val="nil" w:sz="6" w:space="0" w:color="auto"/>
              <w:right w:val="single" w:sz="4" w:space="0" w:color="000000"/>
            </w:tcBorders>
            <w:shd w:val="clear" w:color="auto" w:fill="D4D4D4"/>
          </w:tcPr>
          <w:p>
            <w:pPr/>
          </w:p>
        </w:tc>
        <w:tc>
          <w:tcPr>
            <w:tcW w:w="14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651" w:type="dxa"/>
            <w:vMerge/>
            <w:tcBorders>
              <w:left w:val="single" w:sz="4" w:space="0" w:color="000000"/>
              <w:right w:val="single" w:sz="4" w:space="0" w:color="000000"/>
            </w:tcBorders>
            <w:shd w:val="clear" w:color="auto" w:fill="D4D4D4"/>
          </w:tcPr>
          <w:p>
            <w:pPr/>
          </w:p>
        </w:tc>
        <w:tc>
          <w:tcPr>
            <w:tcW w:w="1662" w:type="dxa"/>
            <w:vMerge/>
            <w:tcBorders>
              <w:left w:val="single" w:sz="4" w:space="0" w:color="000000"/>
              <w:bottom w:val="nil" w:sz="6" w:space="0" w:color="auto"/>
              <w:right w:val="single" w:sz="4" w:space="0" w:color="000000"/>
            </w:tcBorders>
            <w:shd w:val="clear" w:color="auto" w:fill="D4D4D4"/>
          </w:tcPr>
          <w:p>
            <w:pPr/>
          </w:p>
        </w:tc>
      </w:tr>
      <w:tr>
        <w:trPr>
          <w:trHeight w:val="199" w:hRule="exact"/>
        </w:trPr>
        <w:tc>
          <w:tcPr>
            <w:tcW w:w="1848" w:type="dxa"/>
            <w:vMerge/>
            <w:tcBorders>
              <w:left w:val="single" w:sz="4" w:space="0" w:color="000000"/>
              <w:right w:val="single" w:sz="4" w:space="0" w:color="000000"/>
            </w:tcBorders>
            <w:shd w:val="clear" w:color="auto" w:fill="D4D4D4"/>
          </w:tcPr>
          <w:p>
            <w:pPr/>
          </w:p>
        </w:tc>
        <w:tc>
          <w:tcPr>
            <w:tcW w:w="1847" w:type="dxa"/>
            <w:vMerge/>
            <w:tcBorders>
              <w:left w:val="single" w:sz="4" w:space="0" w:color="000000"/>
              <w:bottom w:val="nil" w:sz="6" w:space="0" w:color="auto"/>
              <w:right w:val="single" w:sz="4" w:space="0" w:color="000000"/>
            </w:tcBorders>
            <w:shd w:val="clear" w:color="auto" w:fill="D4D4D4"/>
          </w:tcPr>
          <w:p>
            <w:pPr/>
          </w:p>
        </w:tc>
        <w:tc>
          <w:tcPr>
            <w:tcW w:w="646" w:type="dxa"/>
            <w:vMerge/>
            <w:tcBorders>
              <w:left w:val="single" w:sz="4" w:space="0" w:color="000000"/>
              <w:right w:val="single" w:sz="4" w:space="0" w:color="000000"/>
            </w:tcBorders>
            <w:shd w:val="clear" w:color="auto" w:fill="D4D4D4"/>
          </w:tcPr>
          <w:p>
            <w:pPr/>
          </w:p>
        </w:tc>
        <w:tc>
          <w:tcPr>
            <w:tcW w:w="1459" w:type="dxa"/>
            <w:vMerge w:val="restart"/>
            <w:tcBorders>
              <w:top w:val="nil" w:sz="6" w:space="0" w:color="auto"/>
              <w:left w:val="single" w:sz="4" w:space="0" w:color="000000"/>
              <w:right w:val="single" w:sz="4" w:space="0" w:color="000000"/>
            </w:tcBorders>
            <w:shd w:val="clear" w:color="auto" w:fill="D4D4D4"/>
          </w:tcPr>
          <w:p>
            <w:pPr/>
          </w:p>
        </w:tc>
        <w:tc>
          <w:tcPr>
            <w:tcW w:w="1444" w:type="dxa"/>
            <w:vMerge/>
            <w:tcBorders>
              <w:left w:val="single" w:sz="4" w:space="0" w:color="000000"/>
              <w:bottom w:val="nil" w:sz="6" w:space="0" w:color="auto"/>
              <w:right w:val="single" w:sz="4" w:space="0" w:color="000000"/>
            </w:tcBorders>
            <w:shd w:val="clear" w:color="auto" w:fill="D4D4D4"/>
          </w:tcPr>
          <w:p>
            <w:pPr/>
          </w:p>
        </w:tc>
        <w:tc>
          <w:tcPr>
            <w:tcW w:w="651" w:type="dxa"/>
            <w:vMerge/>
            <w:tcBorders>
              <w:left w:val="single" w:sz="4" w:space="0" w:color="000000"/>
              <w:right w:val="single" w:sz="4" w:space="0" w:color="000000"/>
            </w:tcBorders>
            <w:shd w:val="clear" w:color="auto" w:fill="D4D4D4"/>
          </w:tcPr>
          <w:p>
            <w:pPr/>
          </w:p>
        </w:tc>
        <w:tc>
          <w:tcPr>
            <w:tcW w:w="1662" w:type="dxa"/>
            <w:vMerge w:val="restart"/>
            <w:tcBorders>
              <w:top w:val="nil" w:sz="6" w:space="0" w:color="auto"/>
              <w:left w:val="single" w:sz="4" w:space="0" w:color="000000"/>
              <w:right w:val="single" w:sz="4" w:space="0" w:color="000000"/>
            </w:tcBorders>
            <w:shd w:val="clear" w:color="auto" w:fill="D4D4D4"/>
          </w:tcPr>
          <w:p>
            <w:pPr/>
          </w:p>
        </w:tc>
      </w:tr>
      <w:tr>
        <w:trPr>
          <w:trHeight w:val="166" w:hRule="exact"/>
        </w:trPr>
        <w:tc>
          <w:tcPr>
            <w:tcW w:w="1848" w:type="dxa"/>
            <w:vMerge/>
            <w:tcBorders>
              <w:left w:val="single" w:sz="4" w:space="0" w:color="000000"/>
              <w:bottom w:val="single" w:sz="4" w:space="0" w:color="000000"/>
              <w:right w:val="single" w:sz="4" w:space="0" w:color="000000"/>
            </w:tcBorders>
            <w:shd w:val="clear" w:color="auto" w:fill="D4D4D4"/>
          </w:tcPr>
          <w:p>
            <w:pPr/>
          </w:p>
        </w:tc>
        <w:tc>
          <w:tcPr>
            <w:tcW w:w="1847" w:type="dxa"/>
            <w:tcBorders>
              <w:top w:val="nil" w:sz="6" w:space="0" w:color="auto"/>
              <w:left w:val="single" w:sz="4" w:space="0" w:color="000000"/>
              <w:bottom w:val="single" w:sz="4" w:space="0" w:color="000000"/>
              <w:right w:val="single" w:sz="4" w:space="0" w:color="000000"/>
            </w:tcBorders>
            <w:shd w:val="clear" w:color="auto" w:fill="D4D4D4"/>
          </w:tcPr>
          <w:p>
            <w:pPr/>
          </w:p>
        </w:tc>
        <w:tc>
          <w:tcPr>
            <w:tcW w:w="646" w:type="dxa"/>
            <w:vMerge/>
            <w:tcBorders>
              <w:left w:val="single" w:sz="4" w:space="0" w:color="000000"/>
              <w:bottom w:val="single" w:sz="4" w:space="0" w:color="000000"/>
              <w:right w:val="single" w:sz="4" w:space="0" w:color="000000"/>
            </w:tcBorders>
            <w:shd w:val="clear" w:color="auto" w:fill="D4D4D4"/>
          </w:tcPr>
          <w:p>
            <w:pPr/>
          </w:p>
        </w:tc>
        <w:tc>
          <w:tcPr>
            <w:tcW w:w="1459" w:type="dxa"/>
            <w:vMerge/>
            <w:tcBorders>
              <w:left w:val="single" w:sz="4" w:space="0" w:color="000000"/>
              <w:bottom w:val="single" w:sz="4" w:space="0" w:color="000000"/>
              <w:right w:val="single" w:sz="4" w:space="0" w:color="000000"/>
            </w:tcBorders>
            <w:shd w:val="clear" w:color="auto" w:fill="D4D4D4"/>
          </w:tcPr>
          <w:p>
            <w:pPr/>
          </w:p>
        </w:tc>
        <w:tc>
          <w:tcPr>
            <w:tcW w:w="14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 w:type="dxa"/>
            <w:vMerge/>
            <w:tcBorders>
              <w:left w:val="single" w:sz="4" w:space="0" w:color="000000"/>
              <w:bottom w:val="single" w:sz="4" w:space="0" w:color="000000"/>
              <w:right w:val="single" w:sz="4" w:space="0" w:color="000000"/>
            </w:tcBorders>
            <w:shd w:val="clear" w:color="auto" w:fill="D4D4D4"/>
          </w:tcPr>
          <w:p>
            <w:pPr/>
          </w:p>
        </w:tc>
        <w:tc>
          <w:tcPr>
            <w:tcW w:w="1662" w:type="dxa"/>
            <w:vMerge/>
            <w:tcBorders>
              <w:left w:val="single" w:sz="4" w:space="0" w:color="000000"/>
              <w:bottom w:val="single" w:sz="4" w:space="0" w:color="000000"/>
              <w:right w:val="single" w:sz="4" w:space="0" w:color="000000"/>
            </w:tcBorders>
            <w:shd w:val="clear" w:color="auto" w:fill="D4D4D4"/>
          </w:tcPr>
          <w:p>
            <w:pPr/>
          </w:p>
        </w:tc>
      </w:tr>
      <w:tr>
        <w:trPr>
          <w:trHeight w:val="394" w:hRule="exact"/>
        </w:trPr>
        <w:tc>
          <w:tcPr>
            <w:tcW w:w="9557"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6" w:hRule="exact"/>
        </w:trPr>
        <w:tc>
          <w:tcPr>
            <w:tcW w:w="18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4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5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12,535,219.44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61.86%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629,635.66</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9,662,120.00</w:t>
            </w:r>
            <w:r>
              <w:rPr>
                <w:rFonts w:ascii="Times New Roman"/>
                <w:sz w:val="18"/>
              </w:rPr>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74.57%</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483,106.00</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5,209,201.01</w:t>
            </w:r>
            <w:r>
              <w:rPr>
                <w:rFonts w:ascii="Times New Roman"/>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25.71%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520,920.11</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1,419,208.73</w:t>
            </w:r>
            <w:r>
              <w:rPr>
                <w:rFonts w:ascii="Times New Roman"/>
                <w:sz w:val="18"/>
              </w:rPr>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10.95%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141,920.88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8"/>
        <w:gridCol w:w="1447"/>
        <w:gridCol w:w="1450"/>
        <w:gridCol w:w="658"/>
        <w:gridCol w:w="1668"/>
      </w:tblGrid>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1,186,817.73</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237,363.54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507,968.70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101,593.74</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1,331,518.14</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6.57%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1,331,518.14</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1,368,407.76</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10.56%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1,368,407.76</w:t>
            </w:r>
            <w:r>
              <w:rPr>
                <w:rFonts w:ascii="Times New Roman"/>
                <w:sz w:val="18"/>
              </w:rPr>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20,262,756.32</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2,719,437.45</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12,957,705.19</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2,095,028.38</w:t>
            </w:r>
            <w:r>
              <w:rPr>
                <w:rFonts w:ascii="Times New Roman"/>
                <w:sz w:val="18"/>
              </w:rPr>
            </w:r>
          </w:p>
        </w:tc>
      </w:tr>
    </w:tbl>
    <w:p>
      <w:pPr>
        <w:pStyle w:val="BodyText"/>
        <w:spacing w:line="240" w:lineRule="auto" w:before="49"/>
        <w:ind w:right="147"/>
        <w:jc w:val="left"/>
      </w:pPr>
      <w:r>
        <w:rPr/>
        <w:t>组合中，采用余额百分比法计提坏账准备的其他应收款</w:t>
      </w:r>
    </w:p>
    <w:p>
      <w:pPr>
        <w:pStyle w:val="BodyText"/>
        <w:spacing w:line="340" w:lineRule="auto" w:before="115"/>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39"/>
        <w:ind w:left="153" w:right="527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1"/>
        <w:ind w:left="153"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47"/>
        <w:jc w:val="left"/>
        <w:rPr>
          <w:b w:val="0"/>
          <w:bCs w:val="0"/>
        </w:rPr>
      </w:pPr>
      <w:r>
        <w:rPr/>
        <w:t>（</w:t>
      </w:r>
      <w:r>
        <w:rPr>
          <w:rFonts w:ascii="Times New Roman" w:hAnsi="Times New Roman" w:cs="Times New Roman" w:eastAsia="Times New Roman" w:hint="default"/>
        </w:rPr>
        <w:t>2</w:t>
      </w:r>
      <w:r>
        <w:rPr/>
        <w:t>）本报告期转回或收回</w:t>
      </w:r>
      <w:bookmarkStart w:name="（2）本报告期转回或收回的其他应收款情况" w:id="293"/>
      <w:bookmarkEnd w:id="293"/>
      <w:r>
        <w:rPr/>
        <w:t>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4</w:t>
      </w:r>
      <w:r>
        <w:rPr/>
        <w:t>）本报告期其他应收款中持有公司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bookmarkStart w:name="（3）本报告期实际核销的其他应收款情况" w:id="294"/>
      <w:bookmarkEnd w:id="294"/>
      <w:r>
        <w:rPr>
          <w:rFonts w:ascii="Times New Roman" w:hAnsi="Times New Roman" w:cs="Times New Roman" w:eastAsia="Times New Roman" w:hint="default"/>
        </w:rPr>
      </w:r>
      <w:bookmarkStart w:name="（4）本报告期其他应收款中持有公司5％（含5％）以上表决权股份的股东单位情况" w:id="295"/>
      <w:bookmarkEnd w:id="295"/>
      <w:r>
        <w:rPr>
          <w:rFonts w:ascii="Times New Roman" w:hAnsi="Times New Roman" w:cs="Times New Roman" w:eastAsia="Times New Roman" w:hint="default"/>
        </w:rPr>
      </w:r>
      <w:r>
        <w:rPr/>
        <w:t>％）以上表决权股份的股东单位情况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5）金额较大的其他应收款的性质或内容" w:id="296"/>
      <w:bookmarkEnd w:id="296"/>
      <w:r>
        <w:rPr/>
      </w:r>
      <w:bookmarkStart w:name="（6）其他应收款金额前五名单位情况" w:id="297"/>
      <w:bookmarkEnd w:id="297"/>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福建省农村信用社联合 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2,137,300.00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10.55%</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环境保护部核与辐射安 全中心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830,188.90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福建中升汽车费服务有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654,924.30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青海省政府采购中心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中华人民共和国珠海出 入境检验检疫局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649,456.00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4,921,869.20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8</w:t>
      </w:r>
      <w:bookmarkStart w:name="（7）其他应收关联方账款情况" w:id="298"/>
      <w:bookmarkEnd w:id="298"/>
      <w:r>
        <w:rPr>
          <w:rFonts w:ascii="Times New Roman" w:hAnsi="Times New Roman" w:cs="Times New Roman" w:eastAsia="Times New Roman" w:hint="default"/>
        </w:rPr>
      </w:r>
      <w:bookmarkStart w:name="（8）终止确认的其他应收款项情况" w:id="299"/>
      <w:bookmarkEnd w:id="299"/>
      <w:r>
        <w:rPr>
          <w:rFonts w:ascii="Times New Roman" w:hAnsi="Times New Roman" w:cs="Times New Roman" w:eastAsia="Times New Roman" w:hint="default"/>
        </w:rPr>
      </w:r>
      <w:r>
        <w:rPr/>
        <w:t>）终止确认的其他应收款项情况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9</w:t>
      </w:r>
      <w:r>
        <w:rPr/>
        <w:t>）以其他应收款为标的</w:t>
      </w:r>
      <w:bookmarkStart w:name="（9）以其他应收款为标的进行证券化的，列示继续涉入形成的资产、负债的金额" w:id="300"/>
      <w:bookmarkEnd w:id="300"/>
      <w:r>
        <w:rPr/>
        <w:t>进行证券化的，列</w:t>
      </w:r>
      <w:r>
        <w:rPr/>
        <w:t>示继续涉入形成的资产、负债的金额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8、预付款项" w:id="301"/>
      <w:bookmarkEnd w:id="301"/>
      <w:r>
        <w:rPr/>
      </w:r>
      <w:bookmarkStart w:name="（1）预付款项按账龄列示" w:id="302"/>
      <w:bookmarkEnd w:id="302"/>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2"/>
        <w:gridCol w:w="3198"/>
        <w:gridCol w:w="1063"/>
        <w:gridCol w:w="3053"/>
        <w:gridCol w:w="1063"/>
      </w:tblGrid>
      <w:tr>
        <w:trPr>
          <w:trHeight w:val="206" w:hRule="exact"/>
        </w:trPr>
        <w:tc>
          <w:tcPr>
            <w:tcW w:w="1192" w:type="dxa"/>
            <w:tcBorders>
              <w:top w:val="single" w:sz="4" w:space="0" w:color="000000"/>
              <w:left w:val="single" w:sz="4" w:space="0" w:color="000000"/>
              <w:bottom w:val="nil" w:sz="6" w:space="0" w:color="auto"/>
              <w:right w:val="single" w:sz="4" w:space="0" w:color="000000"/>
            </w:tcBorders>
            <w:shd w:val="clear" w:color="auto" w:fill="D4D4D4"/>
          </w:tcPr>
          <w:p>
            <w:pPr/>
          </w:p>
        </w:tc>
        <w:tc>
          <w:tcPr>
            <w:tcW w:w="426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19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1" w:type="dxa"/>
            <w:gridSpan w:val="2"/>
            <w:vMerge/>
            <w:tcBorders>
              <w:left w:val="single" w:sz="4" w:space="0" w:color="000000"/>
              <w:bottom w:val="single" w:sz="4" w:space="0" w:color="000000"/>
              <w:right w:val="single" w:sz="4" w:space="0" w:color="000000"/>
            </w:tcBorders>
            <w:shd w:val="clear" w:color="auto" w:fill="D4D4D4"/>
          </w:tcPr>
          <w:p>
            <w:pPr/>
          </w:p>
        </w:tc>
        <w:tc>
          <w:tcPr>
            <w:tcW w:w="4116" w:type="dxa"/>
            <w:gridSpan w:val="2"/>
            <w:vMerge/>
            <w:tcBorders>
              <w:left w:val="single" w:sz="4" w:space="0" w:color="000000"/>
              <w:bottom w:val="single" w:sz="4" w:space="0" w:color="000000"/>
              <w:right w:val="single" w:sz="4" w:space="0" w:color="000000"/>
            </w:tcBorders>
            <w:shd w:val="clear" w:color="auto" w:fill="D4D4D4"/>
          </w:tcPr>
          <w:p>
            <w:pPr/>
          </w:p>
        </w:tc>
      </w:tr>
      <w:tr>
        <w:trPr>
          <w:trHeight w:val="197" w:hRule="exact"/>
        </w:trPr>
        <w:tc>
          <w:tcPr>
            <w:tcW w:w="1192" w:type="dxa"/>
            <w:vMerge/>
            <w:tcBorders>
              <w:left w:val="single" w:sz="4" w:space="0" w:color="000000"/>
              <w:bottom w:val="nil" w:sz="6" w:space="0" w:color="auto"/>
              <w:right w:val="single" w:sz="4" w:space="0" w:color="000000"/>
            </w:tcBorders>
            <w:shd w:val="clear" w:color="auto" w:fill="D4D4D4"/>
          </w:tcPr>
          <w:p>
            <w:pPr/>
          </w:p>
        </w:tc>
        <w:tc>
          <w:tcPr>
            <w:tcW w:w="3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4" w:hRule="exact"/>
        </w:trPr>
        <w:tc>
          <w:tcPr>
            <w:tcW w:w="1192"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8"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3053"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74,331,297.38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99.16%</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12,847,138.36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98.88%</w:t>
            </w: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536,264.81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61,971.22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55,608.00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32,115.59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0.24%</w:t>
            </w: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35,119.48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51,369.41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w:t>
            </w: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12" w:space="0" w:color="D4D4D4"/>
              <w:bottom w:val="single" w:sz="4" w:space="0" w:color="000000"/>
              <w:right w:val="single" w:sz="13" w:space="0" w:color="D4D4D4"/>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74,958,289.67</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12,992,594.58</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47"/>
        <w:jc w:val="left"/>
      </w:pPr>
      <w:r>
        <w:rPr/>
        <w:t>预付款项账龄的说明</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预付款项金额前五名单位情况" w:id="303"/>
      <w:bookmarkEnd w:id="303"/>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郑州市金水区杨金产业 园区管委会</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款已付，土地使用权尚 未取得</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福建省海峡信息技术有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6,272,620.00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款已付，货未到</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用友软件股份有限公司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款已付，货未到</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福建省宏远科技有限公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1,836,520.00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款已付，货未到</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深圳金康通达科技有限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1,563,200.00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款已付，货未到</w:t>
            </w:r>
          </w:p>
        </w:tc>
      </w:tr>
    </w:tbl>
    <w:p>
      <w:pPr>
        <w:pStyle w:val="BodyText"/>
        <w:spacing w:line="240" w:lineRule="auto" w:before="49"/>
        <w:ind w:right="147"/>
        <w:jc w:val="left"/>
      </w:pPr>
      <w:r>
        <w:rPr/>
        <w:t>预付款项主要单位的说明</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1"/>
          <w:szCs w:val="21"/>
        </w:rPr>
      </w:pPr>
    </w:p>
    <w:p>
      <w:pPr>
        <w:pStyle w:val="BodyText"/>
        <w:spacing w:line="240" w:lineRule="auto" w:before="44"/>
        <w:ind w:left="0" w:right="153"/>
        <w:jc w:val="right"/>
      </w:pPr>
      <w:bookmarkStart w:name="（3）存货跌价准备情况" w:id="304"/>
      <w:bookmarkEnd w:id="304"/>
      <w:r>
        <w:rPr/>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8"/>
        </w:rPr>
        <w:t> </w:t>
      </w:r>
      <w:r>
        <w:rPr/>
        <w:t>日本公司全资子公司河南榕基信息技术有限公司与郑州市金水区科教新城筹备工作组签订《金水区科教</w:t>
      </w:r>
    </w:p>
    <w:p>
      <w:pPr>
        <w:pStyle w:val="BodyText"/>
        <w:spacing w:line="240" w:lineRule="auto" w:before="62"/>
        <w:ind w:right="0"/>
        <w:jc w:val="left"/>
        <w:rPr>
          <w:rFonts w:ascii="Times New Roman" w:hAnsi="Times New Roman" w:cs="Times New Roman" w:eastAsia="Times New Roman" w:hint="default"/>
        </w:rPr>
      </w:pPr>
      <w:r>
        <w:rPr/>
        <w:t>新城入园项目投资意向协议书</w:t>
      </w:r>
      <w:r>
        <w:rPr>
          <w:spacing w:val="-89"/>
        </w:rPr>
        <w:t>》</w:t>
      </w:r>
      <w:r>
        <w:rPr>
          <w:spacing w:val="-92"/>
        </w:rPr>
        <w:t>。</w:t>
      </w:r>
      <w:r>
        <w:rPr/>
        <w:t>协议约定</w:t>
      </w:r>
      <w:r>
        <w:rPr>
          <w:spacing w:val="-92"/>
        </w:rPr>
        <w:t>，</w:t>
      </w:r>
      <w:r>
        <w:rPr/>
        <w:t>河南榕基信息技</w:t>
      </w:r>
      <w:r>
        <w:rPr>
          <w:spacing w:val="2"/>
        </w:rPr>
        <w:t>术</w:t>
      </w:r>
      <w:r>
        <w:rPr/>
        <w:t>有限公司按照每亩</w:t>
      </w:r>
      <w:r>
        <w:rPr>
          <w:spacing w:val="-6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t>万元的</w:t>
      </w:r>
      <w:r>
        <w:rPr>
          <w:spacing w:val="-3"/>
        </w:rPr>
        <w:t>价</w:t>
      </w:r>
      <w:r>
        <w:rPr/>
        <w:t>格向科教新城支付土地款</w:t>
      </w:r>
      <w:r>
        <w:rPr>
          <w:spacing w:val="1"/>
        </w:rPr>
        <w:t> </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00</w:t>
      </w:r>
      <w:r>
        <w:rPr>
          <w:rFonts w:ascii="Times New Roman" w:hAnsi="Times New Roman" w:cs="Times New Roman" w:eastAsia="Times New Roman" w:hint="default"/>
        </w:rPr>
      </w:r>
    </w:p>
    <w:p>
      <w:pPr>
        <w:pStyle w:val="BodyText"/>
        <w:spacing w:line="240" w:lineRule="auto" w:before="62"/>
        <w:ind w:right="0"/>
        <w:jc w:val="left"/>
      </w:pPr>
      <w:r>
        <w:rPr/>
        <w:t>万元，剩余款项按照郑州市国土资源局土地出让招拍挂程序要求支付。根据该协议，河南榕基信息技术有限公司于</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p>
    <w:p>
      <w:pPr>
        <w:pStyle w:val="BodyText"/>
        <w:spacing w:line="240" w:lineRule="auto" w:before="62"/>
        <w:ind w:right="147"/>
        <w:jc w:val="left"/>
      </w:pPr>
      <w:r>
        <w:rPr>
          <w:rFonts w:ascii="Times New Roman" w:hAnsi="Times New Roman" w:cs="Times New Roman" w:eastAsia="Times New Roman" w:hint="default"/>
        </w:rPr>
        <w:t>6 </w:t>
      </w:r>
      <w:r>
        <w:rPr/>
        <w:t>月支付土地款</w:t>
      </w:r>
      <w:r>
        <w:rPr>
          <w:spacing w:val="-46"/>
        </w:rPr>
        <w:t> </w:t>
      </w:r>
      <w:r>
        <w:rPr>
          <w:rFonts w:ascii="Times New Roman" w:hAnsi="Times New Roman" w:cs="Times New Roman" w:eastAsia="Times New Roman" w:hint="default"/>
        </w:rPr>
        <w:t>4,500 </w:t>
      </w:r>
      <w:r>
        <w:rPr/>
        <w:t>万元。</w:t>
      </w:r>
    </w:p>
    <w:p>
      <w:pPr>
        <w:spacing w:line="240" w:lineRule="auto" w:before="2"/>
        <w:rPr>
          <w:rFonts w:ascii="宋体" w:hAnsi="宋体" w:cs="宋体" w:eastAsia="宋体" w:hint="default"/>
          <w:sz w:val="26"/>
          <w:szCs w:val="26"/>
        </w:rPr>
      </w:pPr>
    </w:p>
    <w:p>
      <w:pPr>
        <w:pStyle w:val="Heading3"/>
        <w:spacing w:line="240" w:lineRule="auto"/>
        <w:ind w:right="147"/>
        <w:jc w:val="left"/>
        <w:rPr>
          <w:b w:val="0"/>
          <w:bCs w:val="0"/>
        </w:rPr>
      </w:pPr>
      <w:r>
        <w:rPr/>
        <w:t>（</w:t>
      </w:r>
      <w:r>
        <w:rPr>
          <w:rFonts w:ascii="Times New Roman" w:hAnsi="Times New Roman" w:cs="Times New Roman" w:eastAsia="Times New Roman" w:hint="default"/>
        </w:rPr>
        <w:t>3</w:t>
      </w:r>
      <w:bookmarkStart w:name="（3）本报告期预付款项中持有本公司5％（含5％）以上表决权股份的股东单位情况" w:id="305"/>
      <w:bookmarkEnd w:id="305"/>
      <w:r>
        <w:rPr>
          <w:rFonts w:ascii="Times New Roman" w:hAnsi="Times New Roman" w:cs="Times New Roman" w:eastAsia="Times New Roman" w:hint="default"/>
        </w:rPr>
      </w:r>
      <w:r>
        <w:rPr/>
        <w:t>）本报告期预付款项中持有本公司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147"/>
        <w:jc w:val="left"/>
      </w:pPr>
      <w:bookmarkStart w:name="（4）预付款项的说明" w:id="306"/>
      <w:bookmarkEnd w:id="306"/>
      <w:r>
        <w:rPr/>
      </w:r>
      <w:r>
        <w:rPr/>
        <w:t>期末预付款项中无预付持本公司</w:t>
      </w:r>
      <w:r>
        <w:rPr>
          <w:spacing w:val="-46"/>
        </w:rPr>
        <w:t> </w:t>
      </w:r>
      <w:r>
        <w:rPr>
          <w:rFonts w:ascii="Times New Roman" w:hAnsi="Times New Roman" w:cs="Times New Roman" w:eastAsia="Times New Roman" w:hint="default"/>
        </w:rPr>
        <w:t>5%</w:t>
      </w:r>
      <w:r>
        <w:rPr/>
        <w:t>（含</w:t>
      </w:r>
      <w:r>
        <w:rPr>
          <w:spacing w:val="-46"/>
        </w:rPr>
        <w:t> </w:t>
      </w:r>
      <w:r>
        <w:rPr>
          <w:rFonts w:ascii="Times New Roman" w:hAnsi="Times New Roman" w:cs="Times New Roman" w:eastAsia="Times New Roman" w:hint="default"/>
        </w:rPr>
        <w:t>5%</w:t>
      </w:r>
      <w:r>
        <w:rPr/>
        <w:t>）以上表决权股份股东的款项及其他关联方款项。</w:t>
      </w:r>
    </w:p>
    <w:p>
      <w:pPr>
        <w:spacing w:line="240" w:lineRule="auto" w:before="2"/>
        <w:rPr>
          <w:rFonts w:ascii="宋体" w:hAnsi="宋体" w:cs="宋体" w:eastAsia="宋体" w:hint="default"/>
          <w:sz w:val="26"/>
          <w:szCs w:val="26"/>
        </w:rPr>
      </w:pPr>
    </w:p>
    <w:p>
      <w:pPr>
        <w:pStyle w:val="Heading3"/>
        <w:spacing w:line="240" w:lineRule="auto"/>
        <w:ind w:right="147"/>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bookmarkStart w:name="9、存货" w:id="307"/>
      <w:bookmarkEnd w:id="307"/>
      <w:r>
        <w:rPr/>
      </w:r>
      <w:bookmarkStart w:name="（1）存货分类" w:id="308"/>
      <w:bookmarkEnd w:id="308"/>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8"/>
        <w:gridCol w:w="1462"/>
        <w:gridCol w:w="1193"/>
        <w:gridCol w:w="1330"/>
        <w:gridCol w:w="1327"/>
        <w:gridCol w:w="1330"/>
        <w:gridCol w:w="1327"/>
      </w:tblGrid>
      <w:tr>
        <w:trPr>
          <w:trHeight w:val="206" w:hRule="exact"/>
        </w:trPr>
        <w:tc>
          <w:tcPr>
            <w:tcW w:w="1598" w:type="dxa"/>
            <w:tcBorders>
              <w:top w:val="single" w:sz="4" w:space="0" w:color="000000"/>
              <w:left w:val="single" w:sz="4" w:space="0" w:color="000000"/>
              <w:bottom w:val="nil" w:sz="6" w:space="0" w:color="auto"/>
              <w:right w:val="single" w:sz="4" w:space="0" w:color="000000"/>
            </w:tcBorders>
            <w:shd w:val="clear" w:color="auto" w:fill="D4D4D4"/>
          </w:tcPr>
          <w:p>
            <w:pPr/>
          </w:p>
        </w:tc>
        <w:tc>
          <w:tcPr>
            <w:tcW w:w="398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5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vMerge/>
            <w:tcBorders>
              <w:left w:val="single" w:sz="4" w:space="0" w:color="000000"/>
              <w:bottom w:val="single" w:sz="4" w:space="0" w:color="000000"/>
              <w:right w:val="single" w:sz="4" w:space="0" w:color="000000"/>
            </w:tcBorders>
            <w:shd w:val="clear" w:color="auto" w:fill="D4D4D4"/>
          </w:tcPr>
          <w:p>
            <w:pPr/>
          </w:p>
        </w:tc>
        <w:tc>
          <w:tcPr>
            <w:tcW w:w="3984"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598" w:type="dxa"/>
            <w:vMerge/>
            <w:tcBorders>
              <w:left w:val="single" w:sz="4" w:space="0" w:color="000000"/>
              <w:bottom w:val="nil" w:sz="6" w:space="0" w:color="auto"/>
              <w:right w:val="single" w:sz="4" w:space="0" w:color="000000"/>
            </w:tcBorders>
            <w:shd w:val="clear" w:color="auto" w:fill="D4D4D4"/>
          </w:tcPr>
          <w:p>
            <w:pPr/>
          </w:p>
        </w:tc>
        <w:tc>
          <w:tcPr>
            <w:tcW w:w="14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462" w:type="dxa"/>
            <w:vMerge/>
            <w:tcBorders>
              <w:left w:val="single" w:sz="4" w:space="0" w:color="000000"/>
              <w:bottom w:val="single" w:sz="4" w:space="0" w:color="000000"/>
              <w:right w:val="single" w:sz="4" w:space="0" w:color="000000"/>
            </w:tcBorders>
            <w:shd w:val="clear" w:color="auto" w:fill="D4D4D4"/>
          </w:tcPr>
          <w:p>
            <w:pPr/>
          </w:p>
        </w:tc>
        <w:tc>
          <w:tcPr>
            <w:tcW w:w="1193" w:type="dxa"/>
            <w:vMerge/>
            <w:tcBorders>
              <w:left w:val="single" w:sz="4" w:space="0" w:color="000000"/>
              <w:bottom w:val="single" w:sz="4" w:space="0" w:color="000000"/>
              <w:right w:val="single" w:sz="4" w:space="0" w:color="000000"/>
            </w:tcBorders>
            <w:shd w:val="clear" w:color="auto" w:fill="D4D4D4"/>
          </w:tcPr>
          <w:p>
            <w:pPr/>
          </w:p>
        </w:tc>
        <w:tc>
          <w:tcPr>
            <w:tcW w:w="1330" w:type="dxa"/>
            <w:vMerge/>
            <w:tcBorders>
              <w:left w:val="single" w:sz="4" w:space="0" w:color="000000"/>
              <w:bottom w:val="single" w:sz="4" w:space="0" w:color="000000"/>
              <w:right w:val="single" w:sz="4" w:space="0" w:color="000000"/>
            </w:tcBorders>
            <w:shd w:val="clear" w:color="auto" w:fill="D4D4D4"/>
          </w:tcPr>
          <w:p>
            <w:pPr/>
          </w:p>
        </w:tc>
        <w:tc>
          <w:tcPr>
            <w:tcW w:w="1327" w:type="dxa"/>
            <w:vMerge/>
            <w:tcBorders>
              <w:left w:val="single" w:sz="4" w:space="0" w:color="000000"/>
              <w:bottom w:val="single" w:sz="4" w:space="0" w:color="000000"/>
              <w:right w:val="single" w:sz="4" w:space="0" w:color="000000"/>
            </w:tcBorders>
            <w:shd w:val="clear" w:color="auto" w:fill="D4D4D4"/>
          </w:tcPr>
          <w:p>
            <w:pPr/>
          </w:p>
        </w:tc>
        <w:tc>
          <w:tcPr>
            <w:tcW w:w="1330" w:type="dxa"/>
            <w:vMerge/>
            <w:tcBorders>
              <w:left w:val="single" w:sz="4" w:space="0" w:color="000000"/>
              <w:bottom w:val="single" w:sz="4" w:space="0" w:color="000000"/>
              <w:right w:val="single" w:sz="4" w:space="0" w:color="000000"/>
            </w:tcBorders>
            <w:shd w:val="clear" w:color="auto" w:fill="D4D4D4"/>
          </w:tcPr>
          <w:p>
            <w:pPr/>
          </w:p>
        </w:tc>
        <w:tc>
          <w:tcPr>
            <w:tcW w:w="1327"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14,669,136.98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418,803.42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14,250,333.56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13,822,565.06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418,803.42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13,403,761.64</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87,691,097.18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87,691,097.18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56,774,281.75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56,774,281.75</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33,007,995.97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33,007,995.97</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135,368,230.13</w:t>
            </w:r>
            <w:r>
              <w:rPr>
                <w:rFonts w:ascii="Times New Roman"/>
                <w:sz w:val="18"/>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418,803.42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134,949,426.71</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70,596,846.81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418,803.42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70,178,043.39</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存货跌价准备" w:id="309"/>
      <w:bookmarkEnd w:id="309"/>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26"/>
        <w:gridCol w:w="1615"/>
        <w:gridCol w:w="1615"/>
        <w:gridCol w:w="1414"/>
        <w:gridCol w:w="1430"/>
        <w:gridCol w:w="1757"/>
      </w:tblGrid>
      <w:tr>
        <w:trPr>
          <w:trHeight w:val="206" w:hRule="exact"/>
        </w:trPr>
        <w:tc>
          <w:tcPr>
            <w:tcW w:w="1726" w:type="dxa"/>
            <w:tcBorders>
              <w:top w:val="single" w:sz="4" w:space="0" w:color="000000"/>
              <w:left w:val="single" w:sz="4" w:space="0" w:color="000000"/>
              <w:bottom w:val="nil" w:sz="6" w:space="0" w:color="auto"/>
              <w:right w:val="single" w:sz="4" w:space="0" w:color="000000"/>
            </w:tcBorders>
            <w:shd w:val="clear" w:color="auto" w:fill="D4D4D4"/>
          </w:tcPr>
          <w:p>
            <w:pPr/>
          </w:p>
        </w:tc>
        <w:tc>
          <w:tcPr>
            <w:tcW w:w="1615" w:type="dxa"/>
            <w:tcBorders>
              <w:top w:val="single" w:sz="4" w:space="0" w:color="000000"/>
              <w:left w:val="single" w:sz="4" w:space="0" w:color="000000"/>
              <w:bottom w:val="nil" w:sz="6" w:space="0" w:color="auto"/>
              <w:right w:val="single" w:sz="4" w:space="0" w:color="000000"/>
            </w:tcBorders>
            <w:shd w:val="clear" w:color="auto" w:fill="D4D4D4"/>
          </w:tcPr>
          <w:p>
            <w:pPr/>
          </w:p>
        </w:tc>
        <w:tc>
          <w:tcPr>
            <w:tcW w:w="1615" w:type="dxa"/>
            <w:tcBorders>
              <w:top w:val="single" w:sz="4" w:space="0" w:color="000000"/>
              <w:left w:val="single" w:sz="4" w:space="0" w:color="000000"/>
              <w:bottom w:val="nil" w:sz="6" w:space="0" w:color="auto"/>
              <w:right w:val="single" w:sz="4" w:space="0" w:color="000000"/>
            </w:tcBorders>
            <w:shd w:val="clear" w:color="auto" w:fill="D4D4D4"/>
          </w:tcPr>
          <w:p>
            <w:pPr/>
          </w:p>
        </w:tc>
        <w:tc>
          <w:tcPr>
            <w:tcW w:w="284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17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6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vMerge/>
            <w:tcBorders>
              <w:left w:val="single" w:sz="4" w:space="0" w:color="000000"/>
              <w:bottom w:val="single" w:sz="4" w:space="0" w:color="000000"/>
              <w:right w:val="single" w:sz="4" w:space="0" w:color="000000"/>
            </w:tcBorders>
            <w:shd w:val="clear" w:color="auto" w:fill="D4D4D4"/>
          </w:tcPr>
          <w:p>
            <w:pPr/>
          </w:p>
        </w:tc>
        <w:tc>
          <w:tcPr>
            <w:tcW w:w="175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1726" w:type="dxa"/>
            <w:vMerge/>
            <w:tcBorders>
              <w:left w:val="single" w:sz="4" w:space="0" w:color="000000"/>
              <w:bottom w:val="nil" w:sz="6" w:space="0" w:color="auto"/>
              <w:right w:val="single" w:sz="4" w:space="0" w:color="000000"/>
            </w:tcBorders>
            <w:shd w:val="clear" w:color="auto" w:fill="D4D4D4"/>
          </w:tcPr>
          <w:p>
            <w:pPr/>
          </w:p>
        </w:tc>
        <w:tc>
          <w:tcPr>
            <w:tcW w:w="1615" w:type="dxa"/>
            <w:vMerge/>
            <w:tcBorders>
              <w:left w:val="single" w:sz="4" w:space="0" w:color="000000"/>
              <w:bottom w:val="nil" w:sz="6" w:space="0" w:color="auto"/>
              <w:right w:val="single" w:sz="4" w:space="0" w:color="000000"/>
            </w:tcBorders>
            <w:shd w:val="clear" w:color="auto" w:fill="D4D4D4"/>
          </w:tcPr>
          <w:p>
            <w:pPr/>
          </w:p>
        </w:tc>
        <w:tc>
          <w:tcPr>
            <w:tcW w:w="1615" w:type="dxa"/>
            <w:vMerge/>
            <w:tcBorders>
              <w:left w:val="single" w:sz="4" w:space="0" w:color="000000"/>
              <w:bottom w:val="nil" w:sz="6" w:space="0" w:color="auto"/>
              <w:right w:val="single" w:sz="4" w:space="0" w:color="000000"/>
            </w:tcBorders>
            <w:shd w:val="clear" w:color="auto" w:fill="D4D4D4"/>
          </w:tcPr>
          <w:p>
            <w:pPr/>
          </w:p>
        </w:tc>
        <w:tc>
          <w:tcPr>
            <w:tcW w:w="14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726" w:type="dxa"/>
            <w:tcBorders>
              <w:top w:val="nil" w:sz="6" w:space="0" w:color="auto"/>
              <w:left w:val="single" w:sz="4" w:space="0" w:color="000000"/>
              <w:bottom w:val="single" w:sz="4" w:space="0" w:color="000000"/>
              <w:right w:val="single" w:sz="4" w:space="0" w:color="000000"/>
            </w:tcBorders>
            <w:shd w:val="clear" w:color="auto" w:fill="D4D4D4"/>
          </w:tcPr>
          <w:p>
            <w:pPr/>
          </w:p>
        </w:tc>
        <w:tc>
          <w:tcPr>
            <w:tcW w:w="1615" w:type="dxa"/>
            <w:tcBorders>
              <w:top w:val="nil" w:sz="6" w:space="0" w:color="auto"/>
              <w:left w:val="single" w:sz="4" w:space="0" w:color="000000"/>
              <w:bottom w:val="single" w:sz="4" w:space="0" w:color="000000"/>
              <w:right w:val="single" w:sz="4" w:space="0" w:color="000000"/>
            </w:tcBorders>
            <w:shd w:val="clear" w:color="auto" w:fill="D4D4D4"/>
          </w:tcPr>
          <w:p>
            <w:pPr/>
          </w:p>
        </w:tc>
        <w:tc>
          <w:tcPr>
            <w:tcW w:w="1615" w:type="dxa"/>
            <w:tcBorders>
              <w:top w:val="nil" w:sz="6" w:space="0" w:color="auto"/>
              <w:left w:val="single" w:sz="4" w:space="0" w:color="000000"/>
              <w:bottom w:val="single" w:sz="4" w:space="0" w:color="000000"/>
              <w:right w:val="single" w:sz="4" w:space="0" w:color="000000"/>
            </w:tcBorders>
            <w:shd w:val="clear" w:color="auto" w:fill="D4D4D4"/>
          </w:tcPr>
          <w:p>
            <w:pPr/>
          </w:p>
        </w:tc>
        <w:tc>
          <w:tcPr>
            <w:tcW w:w="1414" w:type="dxa"/>
            <w:vMerge/>
            <w:tcBorders>
              <w:left w:val="single" w:sz="4" w:space="0" w:color="000000"/>
              <w:bottom w:val="single" w:sz="4" w:space="0" w:color="000000"/>
              <w:right w:val="single" w:sz="4" w:space="0" w:color="000000"/>
            </w:tcBorders>
            <w:shd w:val="clear" w:color="auto" w:fill="D4D4D4"/>
          </w:tcPr>
          <w:p>
            <w:pPr/>
          </w:p>
        </w:tc>
        <w:tc>
          <w:tcPr>
            <w:tcW w:w="1430" w:type="dxa"/>
            <w:vMerge/>
            <w:tcBorders>
              <w:left w:val="single" w:sz="4" w:space="0" w:color="000000"/>
              <w:bottom w:val="single" w:sz="4" w:space="0" w:color="000000"/>
              <w:right w:val="single" w:sz="4" w:space="0" w:color="000000"/>
            </w:tcBorders>
            <w:shd w:val="clear" w:color="auto" w:fill="D4D4D4"/>
          </w:tcPr>
          <w:p>
            <w:pPr/>
          </w:p>
        </w:tc>
        <w:tc>
          <w:tcPr>
            <w:tcW w:w="1757"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418,803.42</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418,803.42</w:t>
            </w:r>
          </w:p>
        </w:tc>
      </w:tr>
      <w:tr>
        <w:trPr>
          <w:trHeight w:val="401" w:hRule="exact"/>
        </w:trPr>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418,803.42</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418,803.42</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96" w:right="110"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50"/>
        <w:ind w:right="147"/>
        <w:jc w:val="left"/>
      </w:pPr>
      <w:r>
        <w:rPr/>
        <w:t>存货的说明</w:t>
      </w:r>
    </w:p>
    <w:p>
      <w:pPr>
        <w:pStyle w:val="BodyText"/>
        <w:spacing w:line="300" w:lineRule="auto" w:before="115"/>
        <w:ind w:right="197" w:firstLine="360"/>
        <w:jc w:val="left"/>
      </w:pPr>
      <w:r>
        <w:rPr/>
        <w:t>存货账面金额期末比期初增加</w:t>
      </w:r>
      <w:r>
        <w:rPr>
          <w:spacing w:val="-48"/>
        </w:rPr>
        <w:t> </w:t>
      </w:r>
      <w:r>
        <w:rPr>
          <w:rFonts w:ascii="Times New Roman" w:hAnsi="Times New Roman" w:cs="Times New Roman" w:eastAsia="Times New Roman" w:hint="default"/>
        </w:rPr>
        <w:t>6,477.14</w:t>
      </w:r>
      <w:r>
        <w:rPr>
          <w:rFonts w:ascii="Times New Roman" w:hAnsi="Times New Roman" w:cs="Times New Roman" w:eastAsia="Times New Roman" w:hint="default"/>
          <w:spacing w:val="-2"/>
        </w:rPr>
        <w:t> </w:t>
      </w:r>
      <w:r>
        <w:rPr/>
        <w:t>万元，增幅为</w:t>
      </w:r>
      <w:r>
        <w:rPr>
          <w:spacing w:val="-48"/>
        </w:rPr>
        <w:t> </w:t>
      </w:r>
      <w:r>
        <w:rPr>
          <w:rFonts w:ascii="Times New Roman" w:hAnsi="Times New Roman" w:cs="Times New Roman" w:eastAsia="Times New Roman" w:hint="default"/>
        </w:rPr>
        <w:t>91.75%</w:t>
      </w:r>
      <w:r>
        <w:rPr/>
        <w:t>，主要系</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年度中标的项目增多，发出商品增加及</w:t>
      </w:r>
      <w:r>
        <w:rPr>
          <w:rFonts w:ascii="Times New Roman" w:hAnsi="Times New Roman" w:cs="Times New Roman" w:eastAsia="Times New Roman" w:hint="default"/>
        </w:rPr>
        <w:t>“</w:t>
      </w:r>
      <w:r>
        <w:rPr/>
        <w:t>马 鞍山智慧园项目</w:t>
      </w:r>
      <w:r>
        <w:rPr>
          <w:rFonts w:ascii="Times New Roman" w:hAnsi="Times New Roman" w:cs="Times New Roman" w:eastAsia="Times New Roman" w:hint="default"/>
        </w:rPr>
        <w:t>”</w:t>
      </w:r>
      <w:r>
        <w:rPr/>
        <w:t>开发成本增加所致。</w:t>
      </w:r>
    </w:p>
    <w:p>
      <w:pPr>
        <w:spacing w:after="0" w:line="300" w:lineRule="auto"/>
        <w:jc w:val="left"/>
        <w:sectPr>
          <w:footerReference w:type="default" r:id="rId29"/>
          <w:pgSz w:w="11910" w:h="16840"/>
          <w:pgMar w:footer="982" w:header="877" w:top="1100" w:bottom="1180" w:left="980" w:right="980"/>
          <w:pgNumType w:start="100"/>
        </w:sectPr>
      </w:pPr>
    </w:p>
    <w:p>
      <w:pPr>
        <w:spacing w:line="240" w:lineRule="auto" w:before="11"/>
        <w:rPr>
          <w:rFonts w:ascii="宋体" w:hAnsi="宋体" w:cs="宋体" w:eastAsia="宋体" w:hint="default"/>
          <w:sz w:val="20"/>
          <w:szCs w:val="20"/>
        </w:rPr>
      </w:pPr>
    </w:p>
    <w:p>
      <w:pPr>
        <w:pStyle w:val="Heading3"/>
        <w:spacing w:line="240" w:lineRule="auto" w:before="36"/>
        <w:ind w:right="147"/>
        <w:jc w:val="left"/>
        <w:rPr>
          <w:b w:val="0"/>
          <w:bCs w:val="0"/>
        </w:rPr>
      </w:pPr>
      <w:bookmarkStart w:name="13、长期应收款" w:id="310"/>
      <w:bookmarkEnd w:id="310"/>
      <w:r>
        <w:rPr>
          <w:b w:val="0"/>
          <w:bCs w:val="0"/>
        </w:rPr>
      </w:r>
      <w:bookmarkStart w:name="14、对合营企业投资和联营企业投资" w:id="311"/>
      <w:bookmarkEnd w:id="311"/>
      <w:r>
        <w:rPr>
          <w:b w:val="0"/>
          <w:bCs w:val="0"/>
        </w:rPr>
      </w:r>
      <w:r>
        <w:rPr>
          <w:rFonts w:ascii="Times New Roman" w:hAnsi="Times New Roman" w:cs="Times New Roman" w:eastAsia="Times New Roman" w:hint="default"/>
        </w:rPr>
        <w:t>10</w:t>
      </w:r>
      <w:bookmarkStart w:name="10、其他流动资产" w:id="312"/>
      <w:bookmarkEnd w:id="312"/>
      <w:r>
        <w:rPr>
          <w:rFonts w:ascii="Times New Roman" w:hAnsi="Times New Roman" w:cs="Times New Roman" w:eastAsia="Times New Roman" w:hint="default"/>
        </w:rPr>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6"/>
        <w:gridCol w:w="2923"/>
        <w:gridCol w:w="3190"/>
      </w:tblGrid>
      <w:tr>
        <w:trPr>
          <w:trHeight w:val="403" w:hRule="exact"/>
        </w:trPr>
        <w:tc>
          <w:tcPr>
            <w:tcW w:w="34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4,736,279.93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604,454.74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5,340,734.67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7"/>
        <w:jc w:val="left"/>
      </w:pPr>
      <w:r>
        <w:rPr/>
        <w:t>其他流动资产说明</w:t>
      </w:r>
    </w:p>
    <w:p>
      <w:pPr>
        <w:pStyle w:val="BodyText"/>
        <w:spacing w:line="240" w:lineRule="auto" w:before="117"/>
        <w:ind w:left="512" w:right="147"/>
        <w:jc w:val="left"/>
      </w:pPr>
      <w:r>
        <w:rPr/>
        <w:t>其他流动资产期末较期初增加</w:t>
      </w:r>
      <w:r>
        <w:rPr>
          <w:spacing w:val="-48"/>
        </w:rPr>
        <w:t> </w:t>
      </w:r>
      <w:r>
        <w:rPr>
          <w:rFonts w:ascii="Times New Roman" w:hAnsi="Times New Roman" w:cs="Times New Roman" w:eastAsia="Times New Roman" w:hint="default"/>
        </w:rPr>
        <w:t>534.07</w:t>
      </w:r>
      <w:r>
        <w:rPr>
          <w:rFonts w:ascii="Times New Roman" w:hAnsi="Times New Roman" w:cs="Times New Roman" w:eastAsia="Times New Roman" w:hint="default"/>
          <w:spacing w:val="-2"/>
        </w:rPr>
        <w:t> </w:t>
      </w:r>
      <w:r>
        <w:rPr/>
        <w:t>万元，主要系本年预交的增值税和企业所得税增加。</w:t>
      </w:r>
    </w:p>
    <w:p>
      <w:pPr>
        <w:spacing w:line="240" w:lineRule="auto" w:before="13"/>
        <w:rPr>
          <w:rFonts w:ascii="宋体" w:hAnsi="宋体" w:cs="宋体" w:eastAsia="宋体" w:hint="default"/>
          <w:sz w:val="25"/>
          <w:szCs w:val="25"/>
        </w:rPr>
      </w:pPr>
    </w:p>
    <w:p>
      <w:pPr>
        <w:pStyle w:val="Heading3"/>
        <w:spacing w:line="240" w:lineRule="auto"/>
        <w:ind w:right="147"/>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2</w:t>
      </w:r>
      <w:r>
        <w:rPr/>
        <w:t>）可供出售金融资产中</w:t>
      </w:r>
      <w:bookmarkStart w:name="11、可供出售金融资产" w:id="313"/>
      <w:bookmarkEnd w:id="313"/>
      <w:r>
        <w:rPr/>
        <w:t>的长期债权投资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2</w:t>
      </w:r>
      <w:r>
        <w:rPr/>
        <w:t>）本报告期内出售但尚未到期的持有至到期</w:t>
      </w:r>
      <w:bookmarkStart w:name="（1）可供出售金融资产情况" w:id="314"/>
      <w:bookmarkEnd w:id="314"/>
      <w:r>
        <w:rPr/>
        <w:t>投</w:t>
      </w:r>
      <w:r>
        <w:rPr/>
        <w:t>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可供出售金融资产中的长期债权投资" w:id="315"/>
      <w:bookmarkEnd w:id="315"/>
      <w:r>
        <w:rPr/>
      </w:r>
      <w:bookmarkStart w:name="12、持有至到期投资" w:id="316"/>
      <w:bookmarkEnd w:id="316"/>
      <w:r>
        <w:rPr/>
      </w:r>
      <w:bookmarkStart w:name="（1）持有至到期投资情况" w:id="317"/>
      <w:bookmarkEnd w:id="317"/>
      <w:r>
        <w:rPr/>
      </w:r>
      <w:bookmarkStart w:name="（2）本报告期内出售但尚未到期的持有至到期投资情况" w:id="318"/>
      <w:bookmarkEnd w:id="318"/>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5"/>
        <w:gridCol w:w="1195"/>
        <w:gridCol w:w="1198"/>
        <w:gridCol w:w="1193"/>
        <w:gridCol w:w="1198"/>
        <w:gridCol w:w="1198"/>
      </w:tblGrid>
      <w:tr>
        <w:trPr>
          <w:trHeight w:val="1025" w:hRule="exact"/>
        </w:trPr>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2"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 w:right="5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5"/>
        <w:gridCol w:w="1195"/>
        <w:gridCol w:w="1198"/>
        <w:gridCol w:w="1193"/>
        <w:gridCol w:w="1198"/>
        <w:gridCol w:w="1198"/>
      </w:tblGrid>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福建亿榕信息 技术有限公司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169,098,866.93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116,502,063.04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52,596,803.89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133,850,504.73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13,307,030.99</w:t>
            </w:r>
          </w:p>
        </w:tc>
      </w:tr>
    </w:tbl>
    <w:p>
      <w:pPr>
        <w:pStyle w:val="BodyText"/>
        <w:spacing w:line="240" w:lineRule="auto" w:before="49"/>
        <w:ind w:right="147"/>
        <w:jc w:val="left"/>
      </w:pPr>
      <w:r>
        <w:rPr/>
        <w:t>合营企业、联营企业的重要会计政策、会计估计与公司的会计政策、会计估计存在重大差异的说明</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15</w:t>
      </w:r>
      <w:bookmarkStart w:name="15、长期股权投资" w:id="319"/>
      <w:bookmarkEnd w:id="319"/>
      <w:r>
        <w:rPr>
          <w:rFonts w:ascii="Times New Roman" w:hAnsi="Times New Roman" w:cs="Times New Roman" w:eastAsia="Times New Roman" w:hint="default"/>
        </w:rPr>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）长期股权投资</w:t>
      </w:r>
      <w:bookmarkStart w:name="（1）长期股权投资明细情况" w:id="320"/>
      <w:bookmarkEnd w:id="320"/>
      <w:r>
        <w:rPr/>
        <w:t>明细</w:t>
      </w:r>
      <w:r>
        <w:rPr/>
        <w:t>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2</w:t>
      </w:r>
      <w:r>
        <w:rPr/>
        <w:t>）向投资企业转移资金</w:t>
      </w:r>
      <w:bookmarkStart w:name="（2）向投资企业转移资金的能力受到限制的有关情况" w:id="321"/>
      <w:bookmarkEnd w:id="321"/>
      <w:r>
        <w:rPr/>
        <w:t>的能力受到限制的</w:t>
      </w:r>
      <w:r>
        <w:rPr/>
        <w:t>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4"/>
        <w:rPr>
          <w:rFonts w:ascii="宋体" w:hAnsi="宋体" w:cs="宋体" w:eastAsia="宋体" w:hint="default"/>
          <w:b/>
          <w:bCs/>
          <w:sz w:val="15"/>
          <w:szCs w:val="15"/>
        </w:rPr>
      </w:pPr>
    </w:p>
    <w:p>
      <w:pPr>
        <w:pStyle w:val="BodyText"/>
        <w:spacing w:line="240" w:lineRule="auto"/>
        <w:ind w:right="147"/>
        <w:jc w:val="left"/>
      </w:pPr>
      <w:r>
        <w:rPr/>
        <w:t>无。</w:t>
      </w:r>
    </w:p>
    <w:p>
      <w:pPr>
        <w:spacing w:line="240" w:lineRule="auto" w:before="2"/>
        <w:rPr>
          <w:rFonts w:ascii="宋体" w:hAnsi="宋体" w:cs="宋体" w:eastAsia="宋体" w:hint="default"/>
          <w:sz w:val="16"/>
          <w:szCs w:val="16"/>
        </w:rPr>
      </w:pPr>
    </w:p>
    <w:p>
      <w:pPr>
        <w:pStyle w:val="Heading3"/>
        <w:spacing w:line="240" w:lineRule="auto"/>
        <w:ind w:right="147"/>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4"/>
        <w:rPr>
          <w:rFonts w:ascii="宋体" w:hAnsi="宋体" w:cs="宋体" w:eastAsia="宋体" w:hint="default"/>
          <w:b/>
          <w:bCs/>
          <w:sz w:val="15"/>
          <w:szCs w:val="15"/>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16、投资性房地产" w:id="322"/>
      <w:bookmarkEnd w:id="322"/>
      <w:r>
        <w:rPr/>
      </w:r>
      <w:bookmarkStart w:name="（1）按成本计量的投资性房地产" w:id="323"/>
      <w:bookmarkEnd w:id="323"/>
      <w:r>
        <w:rPr/>
      </w:r>
      <w:bookmarkStart w:name="（2）按公允价值计量的投资性房地产" w:id="324"/>
      <w:bookmarkEnd w:id="324"/>
      <w:r>
        <w:rPr/>
      </w:r>
      <w:bookmarkStart w:name="17、固定资产" w:id="325"/>
      <w:bookmarkEnd w:id="325"/>
      <w:r>
        <w:rPr/>
      </w:r>
      <w:bookmarkStart w:name="（1）固定资产情况" w:id="326"/>
      <w:bookmarkEnd w:id="326"/>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96"/>
        <w:gridCol w:w="1459"/>
      </w:tblGrid>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73,305,273.28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12,325,787.83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15,043,673.87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70,587,387.24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6,442,068.00</w:t>
            </w:r>
            <w:r>
              <w:rPr>
                <w:rFonts w:ascii="Times New Roman"/>
                <w:sz w:val="18"/>
              </w:rPr>
            </w:r>
          </w:p>
        </w:tc>
        <w:tc>
          <w:tcPr>
            <w:tcW w:w="2921" w:type="dxa"/>
            <w:gridSpan w:val="2"/>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6,442,068.00</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8,629,439.24</w:t>
            </w:r>
            <w:r>
              <w:rPr>
                <w:rFonts w:ascii="Times New Roman"/>
                <w:sz w:val="18"/>
              </w:rPr>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1,870,858.00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360,307.00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10,139,990.24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51,665,192.89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10,266,256.05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11,435,242.87</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50,496,206.07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6,568,573.15</w:t>
            </w:r>
            <w:r>
              <w:rPr>
                <w:rFonts w:ascii="Times New Roman"/>
                <w:sz w:val="18"/>
              </w:rPr>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188,673.78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3,248,124.00</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3,509,122.93</w:t>
            </w:r>
            <w:r>
              <w:rPr>
                <w:rFonts w:ascii="Times New Roman"/>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36,385,799.54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9,494,969.76</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14,204,795.23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31,675,974.07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2,742,346.84</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305,998.32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3,048,345.16</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3,181,310.58</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584,642.93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274,285.33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3,491,668.18</w:t>
            </w:r>
            <w:r>
              <w:rPr>
                <w:rFonts w:ascii="Times New Roman"/>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24,967,665.54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8,378,445.79</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10,844,956.58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22,501,154.75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5,494,476.58</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225,882.72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3,085,553.32</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2,634,805.98</w:t>
            </w:r>
            <w:r>
              <w:rPr>
                <w:rFonts w:ascii="Times New Roman"/>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4517"/>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36,919,473.74</w:t>
            </w:r>
          </w:p>
        </w:tc>
        <w:tc>
          <w:tcPr>
            <w:tcW w:w="4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38,911,413.17</w:t>
            </w:r>
            <w:r>
              <w:rPr>
                <w:rFonts w:ascii="Times New Roman"/>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3,699,721.16</w:t>
            </w:r>
            <w:r>
              <w:rPr>
                <w:rFonts w:ascii="Times New Roman"/>
                <w:sz w:val="18"/>
              </w:rPr>
            </w:r>
          </w:p>
        </w:tc>
        <w:tc>
          <w:tcPr>
            <w:tcW w:w="4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3,393,722.84</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5,448,128.66</w:t>
            </w:r>
            <w:r>
              <w:rPr>
                <w:rFonts w:ascii="Times New Roman"/>
                <w:sz w:val="18"/>
              </w:rPr>
            </w:r>
          </w:p>
        </w:tc>
        <w:tc>
          <w:tcPr>
            <w:tcW w:w="4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6,648,322.06</w:t>
            </w:r>
            <w:r>
              <w:rPr>
                <w:rFonts w:ascii="Times New Roman"/>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26,697,527.35</w:t>
            </w:r>
          </w:p>
        </w:tc>
        <w:tc>
          <w:tcPr>
            <w:tcW w:w="4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27,995,051.32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1,074,096.57</w:t>
            </w:r>
            <w:r>
              <w:rPr>
                <w:rFonts w:ascii="Times New Roman"/>
                <w:sz w:val="18"/>
              </w:rPr>
            </w:r>
          </w:p>
        </w:tc>
        <w:tc>
          <w:tcPr>
            <w:tcW w:w="4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874,316.95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36,919,473.74</w:t>
            </w:r>
          </w:p>
        </w:tc>
        <w:tc>
          <w:tcPr>
            <w:tcW w:w="4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38,911,413.17</w:t>
            </w:r>
            <w:r>
              <w:rPr>
                <w:rFonts w:ascii="Times New Roman"/>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3,699,721.16</w:t>
            </w:r>
            <w:r>
              <w:rPr>
                <w:rFonts w:ascii="Times New Roman"/>
                <w:sz w:val="18"/>
              </w:rPr>
            </w:r>
          </w:p>
        </w:tc>
        <w:tc>
          <w:tcPr>
            <w:tcW w:w="4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3,393,722.84</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5,448,128.66</w:t>
            </w:r>
            <w:r>
              <w:rPr>
                <w:rFonts w:ascii="Times New Roman"/>
                <w:sz w:val="18"/>
              </w:rPr>
            </w:r>
          </w:p>
        </w:tc>
        <w:tc>
          <w:tcPr>
            <w:tcW w:w="4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6,648,322.06</w:t>
            </w:r>
            <w:r>
              <w:rPr>
                <w:rFonts w:ascii="Times New Roman"/>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26,697,527.35</w:t>
            </w:r>
          </w:p>
        </w:tc>
        <w:tc>
          <w:tcPr>
            <w:tcW w:w="4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27,995,051.32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1,074,096.57</w:t>
            </w:r>
            <w:r>
              <w:rPr>
                <w:rFonts w:ascii="Times New Roman"/>
                <w:sz w:val="18"/>
              </w:rPr>
            </w:r>
          </w:p>
        </w:tc>
        <w:tc>
          <w:tcPr>
            <w:tcW w:w="4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874,316.95</w:t>
            </w:r>
          </w:p>
        </w:tc>
      </w:tr>
    </w:tbl>
    <w:p>
      <w:pPr>
        <w:pStyle w:val="BodyText"/>
        <w:spacing w:line="240" w:lineRule="auto" w:before="49"/>
        <w:ind w:right="147"/>
        <w:jc w:val="left"/>
      </w:pPr>
      <w:bookmarkStart w:name="（6）未办妥产权证书的固定资产情况" w:id="327"/>
      <w:bookmarkEnd w:id="327"/>
      <w:r>
        <w:rPr/>
      </w:r>
      <w:bookmarkStart w:name="18、在建工程" w:id="328"/>
      <w:bookmarkEnd w:id="328"/>
      <w:r>
        <w:rPr/>
      </w:r>
      <w:bookmarkStart w:name="（1）在建工程情况" w:id="329"/>
      <w:bookmarkEnd w:id="329"/>
      <w:r>
        <w:rPr/>
      </w:r>
      <w:r>
        <w:rPr/>
        <w:t>本期折旧额</w:t>
      </w:r>
      <w:r>
        <w:rPr>
          <w:spacing w:val="-48"/>
        </w:rPr>
        <w:t> </w:t>
      </w:r>
      <w:r>
        <w:rPr>
          <w:rFonts w:ascii="Times New Roman" w:hAnsi="Times New Roman" w:cs="Times New Roman" w:eastAsia="Times New Roman" w:hint="default"/>
        </w:rPr>
        <w:t>9,494,969.76</w:t>
      </w:r>
      <w:r>
        <w:rPr>
          <w:rFonts w:ascii="Times New Roman" w:hAnsi="Times New Roman" w:cs="Times New Roman" w:eastAsia="Times New Roman" w:hint="default"/>
          <w:spacing w:val="-2"/>
        </w:rPr>
        <w:t> </w:t>
      </w:r>
      <w:r>
        <w:rPr/>
        <w:t>元；本期由在建工程转入固定资产原价为</w:t>
      </w:r>
      <w:r>
        <w:rPr>
          <w:spacing w:val="-48"/>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spacing w:line="240" w:lineRule="auto" w:before="13"/>
        <w:rPr>
          <w:rFonts w:ascii="宋体" w:hAnsi="宋体" w:cs="宋体" w:eastAsia="宋体" w:hint="default"/>
          <w:sz w:val="25"/>
          <w:szCs w:val="25"/>
        </w:rPr>
      </w:pPr>
    </w:p>
    <w:p>
      <w:pPr>
        <w:pStyle w:val="Heading3"/>
        <w:spacing w:line="240" w:lineRule="auto"/>
        <w:ind w:right="147"/>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2）暂时闲置的固定资产情况" w:id="330"/>
      <w:bookmarkEnd w:id="330"/>
      <w:r>
        <w:rPr/>
      </w:r>
      <w:bookmarkStart w:name="（3）通过融资租赁租入的固定资产" w:id="331"/>
      <w:bookmarkEnd w:id="331"/>
      <w:r>
        <w:rPr/>
      </w:r>
      <w:bookmarkStart w:name="（4）通过经营租赁租出的固定资产" w:id="332"/>
      <w:bookmarkEnd w:id="332"/>
      <w:r>
        <w:rPr/>
      </w:r>
      <w:r>
        <w:rPr/>
        <w:t>单位：</w:t>
      </w:r>
      <w:r>
        <w:rPr>
          <w:spacing w:val="1"/>
        </w:rPr>
        <w:t> </w:t>
      </w:r>
      <w:bookmarkStart w:name="（5）期末持有待售的固定资产情况" w:id="333"/>
      <w:bookmarkEnd w:id="333"/>
      <w:r>
        <w:rPr/>
        <w:t>元</w:t>
      </w:r>
    </w:p>
    <w:p>
      <w:pPr>
        <w:spacing w:after="0" w:line="240" w:lineRule="auto"/>
        <w:jc w:val="right"/>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266"/>
        <w:gridCol w:w="1195"/>
        <w:gridCol w:w="1195"/>
        <w:gridCol w:w="1195"/>
        <w:gridCol w:w="1193"/>
        <w:gridCol w:w="1195"/>
        <w:gridCol w:w="1330"/>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装修支出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673,031.50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673,031.50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673,031.50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673,031.50</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bookmarkStart w:name="（3）在建工程减值准备" w:id="334"/>
      <w:bookmarkEnd w:id="334"/>
      <w:r>
        <w:rPr>
          <w:b w:val="0"/>
          <w:bCs w:val="0"/>
        </w:rPr>
      </w:r>
      <w:bookmarkStart w:name="（4）重大在建工程的工程进度情况" w:id="335"/>
      <w:bookmarkEnd w:id="335"/>
      <w:r>
        <w:rPr>
          <w:b w:val="0"/>
          <w:bCs w:val="0"/>
        </w:rPr>
      </w:r>
      <w:bookmarkStart w:name="（5）在建工程的说明" w:id="336"/>
      <w:bookmarkEnd w:id="336"/>
      <w:r>
        <w:rPr>
          <w:b w:val="0"/>
          <w:bCs w:val="0"/>
        </w:rPr>
      </w:r>
      <w:bookmarkStart w:name="19、工程物资" w:id="337"/>
      <w:bookmarkEnd w:id="337"/>
      <w:r>
        <w:rPr>
          <w:b w:val="0"/>
          <w:bCs w:val="0"/>
        </w:rPr>
      </w:r>
      <w:bookmarkStart w:name="20、固定资产清理" w:id="338"/>
      <w:bookmarkEnd w:id="338"/>
      <w:r>
        <w:rPr>
          <w:b w:val="0"/>
          <w:bCs w:val="0"/>
        </w:rPr>
      </w:r>
      <w:bookmarkStart w:name="21、生产性生物资产" w:id="339"/>
      <w:bookmarkEnd w:id="339"/>
      <w:r>
        <w:rPr>
          <w:b w:val="0"/>
          <w:bCs w:val="0"/>
        </w:rPr>
      </w:r>
      <w:bookmarkStart w:name="（1）以成本计量" w:id="340"/>
      <w:bookmarkEnd w:id="340"/>
      <w:r>
        <w:rPr>
          <w:b w:val="0"/>
          <w:bCs w:val="0"/>
        </w:rPr>
      </w:r>
      <w:bookmarkStart w:name="（2）以公允价值计量" w:id="341"/>
      <w:bookmarkEnd w:id="341"/>
      <w:r>
        <w:rPr>
          <w:b w:val="0"/>
          <w:bCs w:val="0"/>
        </w:rPr>
      </w:r>
      <w:r>
        <w:rPr/>
        <w:t>（</w:t>
      </w:r>
      <w:r>
        <w:rPr>
          <w:rFonts w:ascii="Times New Roman" w:hAnsi="Times New Roman" w:cs="Times New Roman" w:eastAsia="Times New Roman" w:hint="default"/>
        </w:rPr>
        <w:t>2</w:t>
      </w:r>
      <w:r>
        <w:rPr/>
        <w:t>）重大在建工程</w:t>
      </w:r>
      <w:bookmarkStart w:name="（2）重大在建工程项目变动情况" w:id="342"/>
      <w:bookmarkEnd w:id="342"/>
      <w:r>
        <w:rPr/>
        <w:t>项目</w:t>
      </w:r>
      <w:r>
        <w:rPr/>
        <w:t>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3"/>
        <w:gridCol w:w="737"/>
        <w:gridCol w:w="734"/>
        <w:gridCol w:w="734"/>
        <w:gridCol w:w="734"/>
        <w:gridCol w:w="737"/>
        <w:gridCol w:w="737"/>
        <w:gridCol w:w="734"/>
        <w:gridCol w:w="737"/>
        <w:gridCol w:w="737"/>
        <w:gridCol w:w="734"/>
        <w:gridCol w:w="737"/>
        <w:gridCol w:w="737"/>
      </w:tblGrid>
      <w:tr>
        <w:trPr>
          <w:trHeight w:val="1338" w:hRule="exact"/>
        </w:trPr>
        <w:tc>
          <w:tcPr>
            <w:tcW w:w="7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2"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7"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240" w:lineRule="auto" w:before="49"/>
        <w:ind w:right="147"/>
        <w:jc w:val="left"/>
      </w:pPr>
      <w:r>
        <w:rPr/>
        <w:t>在建工程项目变动情况的说明</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147"/>
        <w:jc w:val="left"/>
        <w:rPr>
          <w:b w:val="0"/>
          <w:bCs w:val="0"/>
        </w:rPr>
      </w:pPr>
      <w:bookmarkStart w:name="（2）公司开发项目支出" w:id="343"/>
      <w:bookmarkEnd w:id="343"/>
      <w:r>
        <w:rPr>
          <w:b w:val="0"/>
          <w:bCs w:val="0"/>
        </w:rPr>
      </w:r>
      <w:r>
        <w:rPr>
          <w:rFonts w:ascii="Times New Roman" w:hAnsi="Times New Roman" w:cs="Times New Roman" w:eastAsia="Times New Roman" w:hint="default"/>
        </w:rPr>
        <w:t>22</w:t>
      </w:r>
      <w:bookmarkStart w:name="22、油气资产" w:id="344"/>
      <w:bookmarkEnd w:id="344"/>
      <w:r>
        <w:rPr>
          <w:rFonts w:ascii="Times New Roman" w:hAnsi="Times New Roman" w:cs="Times New Roman" w:eastAsia="Times New Roman" w:hint="default"/>
        </w:rPr>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bookmarkStart w:name="23、无形资产" w:id="345"/>
      <w:bookmarkEnd w:id="345"/>
      <w:r>
        <w:rPr>
          <w:rFonts w:ascii="Times New Roman" w:hAnsi="Times New Roman" w:cs="Times New Roman" w:eastAsia="Times New Roman" w:hint="default"/>
        </w:rPr>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1）无形资产情况" w:id="346"/>
      <w:bookmarkEnd w:id="346"/>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56,072,324.47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23,140,349.87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26,002,625.22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53,210,049.12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、计算机软件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8,734,804.19</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9,519,162.50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2,625.22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18,251,341.47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、自行开发软件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21,337,520.28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13,621,187.37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34,958,707.65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26,000,000.00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12,765,831.00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11,687,022.10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261,181.74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24,191,671.36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、计算机软件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4,894,466.01</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1,712,017.99</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1,181.70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6,605,302.30</w:t>
            </w:r>
            <w:r>
              <w:rPr>
                <w:rFonts w:ascii="Times New Roman"/>
                <w:sz w:val="18"/>
              </w:rPr>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、自行开发软件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7,611,364.95</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9,975,004.11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17,586,369.06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260,000.04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260,000.04</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43,306,493.47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11,453,327.77</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25,741,443.48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29,018,377.76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、计算机软件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3,840,338.18</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7,807,144.51</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1,443.52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11,646,039.17</w:t>
            </w:r>
            <w:r>
              <w:rPr>
                <w:rFonts w:ascii="Times New Roman"/>
                <w:sz w:val="18"/>
              </w:rPr>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、自行开发软件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13,726,155.33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3,646,183.26</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17,372,338.59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25,739,999.96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、计算机软件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、自行开发软件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43,306,493.47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11,453,327.77</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25,741,443.48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29,018,377.76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、计算机软件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3,840,338.18</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11,646,039.17</w:t>
            </w:r>
            <w:r>
              <w:rPr>
                <w:rFonts w:ascii="Times New Roman"/>
                <w:sz w:val="18"/>
              </w:rPr>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、自行开发软件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13,726,155.33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17,372,338.59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25,739,999.96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7"/>
        <w:jc w:val="left"/>
      </w:pPr>
      <w:r>
        <w:rPr/>
        <w:t>本期摊销额</w:t>
      </w:r>
      <w:r>
        <w:rPr>
          <w:spacing w:val="-51"/>
        </w:rPr>
        <w:t> </w:t>
      </w:r>
      <w:r>
        <w:rPr>
          <w:rFonts w:ascii="Times New Roman" w:hAnsi="Times New Roman" w:cs="Times New Roman" w:eastAsia="Times New Roman" w:hint="default"/>
        </w:rPr>
        <w:t>11,687,022.10</w:t>
      </w:r>
      <w:r>
        <w:rPr>
          <w:rFonts w:ascii="Times New Roman" w:hAnsi="Times New Roman" w:cs="Times New Roman" w:eastAsia="Times New Roman" w:hint="default"/>
          <w:spacing w:val="-6"/>
        </w:rPr>
        <w:t> </w:t>
      </w:r>
      <w:r>
        <w:rPr/>
        <w:t>元。</w:t>
      </w:r>
    </w:p>
    <w:p>
      <w:pPr>
        <w:spacing w:line="240" w:lineRule="auto" w:before="13"/>
        <w:rPr>
          <w:rFonts w:ascii="宋体" w:hAnsi="宋体" w:cs="宋体" w:eastAsia="宋体" w:hint="default"/>
          <w:sz w:val="25"/>
          <w:szCs w:val="25"/>
        </w:rPr>
      </w:pPr>
    </w:p>
    <w:p>
      <w:pPr>
        <w:pStyle w:val="Heading3"/>
        <w:spacing w:line="240" w:lineRule="auto"/>
        <w:ind w:right="147"/>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7"/>
        <w:gridCol w:w="1596"/>
        <w:gridCol w:w="1594"/>
        <w:gridCol w:w="1591"/>
        <w:gridCol w:w="1594"/>
        <w:gridCol w:w="1594"/>
      </w:tblGrid>
      <w:tr>
        <w:trPr>
          <w:trHeight w:val="401" w:hRule="exact"/>
        </w:trPr>
        <w:tc>
          <w:tcPr>
            <w:tcW w:w="15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597"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8"/>
        <w:gridCol w:w="1596"/>
        <w:gridCol w:w="1594"/>
        <w:gridCol w:w="1591"/>
        <w:gridCol w:w="1594"/>
        <w:gridCol w:w="1594"/>
      </w:tblGrid>
      <w:tr>
        <w:trPr>
          <w:trHeight w:val="71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风险评估综合管理 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5,114,448.93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4,144,507.00</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3,479,689.81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5,779,266.12</w:t>
            </w:r>
            <w:r>
              <w:rPr>
                <w:rFonts w:ascii="Times New Roman"/>
                <w:sz w:val="18"/>
              </w:rPr>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新一代电子政务应 用平台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5,899,388.60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2,675,326.12</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4,325,899.23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4,248,815.49</w:t>
            </w:r>
            <w:r>
              <w:rPr>
                <w:rFonts w:ascii="Times New Roman"/>
                <w:sz w:val="18"/>
              </w:rPr>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协同任务管理平台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5,411,332.41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3,139,547.79</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3,421,360.70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5,129,519.50</w:t>
            </w:r>
            <w:r>
              <w:rPr>
                <w:rFonts w:ascii="Times New Roman"/>
                <w:sz w:val="18"/>
              </w:rPr>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质检行业企业端软 件</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3,570,808.64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2,030,759.71</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2,394,237.63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3,207,330.72</w:t>
            </w:r>
            <w:r>
              <w:rPr>
                <w:rFonts w:ascii="Times New Roman"/>
                <w:sz w:val="18"/>
              </w:rPr>
            </w: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技术研发与创新平 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405,914.47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1,485,845.47</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1,891,759.94</w:t>
            </w:r>
            <w:r>
              <w:rPr>
                <w:rFonts w:ascii="Times New Roman"/>
                <w:sz w:val="18"/>
              </w:rPr>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20,401,893.05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13,475,986.09</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13,621,187.37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20,256,691.77</w:t>
            </w:r>
          </w:p>
        </w:tc>
      </w:tr>
    </w:tbl>
    <w:p>
      <w:pPr>
        <w:pStyle w:val="BodyText"/>
        <w:spacing w:line="338" w:lineRule="auto" w:before="49"/>
        <w:ind w:right="141"/>
        <w:jc w:val="left"/>
      </w:pPr>
      <w:bookmarkStart w:name="（1）递延所得税资产和递延所得税负债不以抵销后的净额列示" w:id="347"/>
      <w:bookmarkEnd w:id="347"/>
      <w:r>
        <w:rPr/>
      </w:r>
      <w:r>
        <w:rPr/>
        <w:t>本期开发支出占本期研究开发项目支出总额的比例</w:t>
      </w:r>
      <w:r>
        <w:rPr>
          <w:spacing w:val="-45"/>
        </w:rPr>
        <w:t> </w:t>
      </w:r>
      <w:r>
        <w:rPr>
          <w:rFonts w:ascii="Times New Roman" w:hAnsi="Times New Roman" w:cs="Times New Roman" w:eastAsia="Times New Roman" w:hint="default"/>
        </w:rPr>
        <w:t>50.34%</w:t>
      </w:r>
      <w:r>
        <w:rPr/>
        <w:t>。 通过公司内部研发形成的无形资产占无形资产期末账面价值的比例</w:t>
      </w:r>
      <w:r>
        <w:rPr>
          <w:spacing w:val="-45"/>
        </w:rPr>
        <w:t> </w:t>
      </w:r>
      <w:r>
        <w:rPr>
          <w:rFonts w:ascii="Times New Roman" w:hAnsi="Times New Roman" w:cs="Times New Roman" w:eastAsia="Times New Roman" w:hint="default"/>
        </w:rPr>
        <w:t>59.87%</w:t>
      </w:r>
      <w:r>
        <w:rPr/>
        <w:t>。 </w:t>
      </w:r>
      <w:r>
        <w:rPr>
          <w:spacing w:val="-2"/>
        </w:rPr>
        <w:t>公司开发项目的说明，包括本期发生的单项价值在</w:t>
      </w:r>
      <w:r>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25"/>
        </w:rPr>
        <w:t> </w:t>
      </w:r>
      <w:r>
        <w:rPr>
          <w:spacing w:val="-2"/>
        </w:rPr>
        <w:t>万元以上且以评估值为入账依据的，应披露评估机构名称、评估方法</w:t>
      </w:r>
    </w:p>
    <w:p>
      <w:pPr>
        <w:spacing w:line="240" w:lineRule="auto" w:before="12"/>
        <w:rPr>
          <w:rFonts w:ascii="宋体" w:hAnsi="宋体" w:cs="宋体" w:eastAsia="宋体" w:hint="default"/>
          <w:sz w:val="19"/>
          <w:szCs w:val="19"/>
        </w:rPr>
      </w:pPr>
    </w:p>
    <w:p>
      <w:pPr>
        <w:pStyle w:val="Heading3"/>
        <w:spacing w:line="240" w:lineRule="auto"/>
        <w:ind w:right="147"/>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bookmarkStart w:name="24、商誉" w:id="348"/>
      <w:bookmarkEnd w:id="348"/>
      <w:r>
        <w:rPr/>
      </w:r>
      <w:bookmarkStart w:name="25、长期待摊费用" w:id="349"/>
      <w:bookmarkEnd w:id="349"/>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装修支出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34,986.10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1,007,239.98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228,836.11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813,389.97</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34,986.10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1,007,239.98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228,836.11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813,389.97</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47"/>
        <w:jc w:val="left"/>
      </w:pPr>
      <w:r>
        <w:rPr/>
        <w:t>长期待摊费用的说明</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47"/>
        <w:jc w:val="left"/>
      </w:pPr>
      <w:r>
        <w:rPr/>
        <w:t>已确认的递延所得税资产和递延所得税负债</w:t>
      </w:r>
    </w:p>
    <w:p>
      <w:pPr>
        <w:pStyle w:val="BodyText"/>
        <w:spacing w:line="240" w:lineRule="auto" w:before="117"/>
        <w:ind w:left="0" w:right="153"/>
        <w:jc w:val="right"/>
      </w:pPr>
      <w:bookmarkStart w:name="26、递延所得税资产和递延所得税负债" w:id="350"/>
      <w:bookmarkEnd w:id="350"/>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923"/>
        <w:gridCol w:w="2920"/>
      </w:tblGrid>
      <w:tr>
        <w:trPr>
          <w:trHeight w:val="406" w:hRule="exact"/>
        </w:trPr>
        <w:tc>
          <w:tcPr>
            <w:tcW w:w="3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1,598,649.48</w:t>
            </w:r>
            <w:r>
              <w:rPr>
                <w:rFonts w:ascii="Times New Roman"/>
                <w:sz w:val="18"/>
              </w:rPr>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1,774,452.03</w:t>
            </w:r>
            <w:r>
              <w:rPr>
                <w:rFonts w:ascii="Times New Roman"/>
                <w:sz w:val="18"/>
              </w:rPr>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1,022,705.45</w:t>
            </w:r>
            <w:r>
              <w:rPr>
                <w:rFonts w:ascii="Times New Roman"/>
                <w:sz w:val="18"/>
              </w:rPr>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450,556.48</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419,720.09</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3,041,075.02</w:t>
            </w:r>
            <w:r>
              <w:rPr>
                <w:rFonts w:ascii="Times New Roman"/>
                <w:sz w:val="18"/>
              </w:rPr>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2,225,008.51</w:t>
            </w:r>
            <w:r>
              <w:rPr>
                <w:rFonts w:ascii="Times New Roman"/>
                <w:sz w:val="18"/>
              </w:rPr>
            </w:r>
          </w:p>
        </w:tc>
      </w:tr>
      <w:tr>
        <w:trPr>
          <w:trHeight w:val="401"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722"/>
        <w:gridCol w:w="2923"/>
        <w:gridCol w:w="2921"/>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开发支出资本化余额</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30,847.69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151,528.18</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30,847.69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151,528.18</w:t>
            </w:r>
          </w:p>
        </w:tc>
      </w:tr>
    </w:tbl>
    <w:p>
      <w:pPr>
        <w:pStyle w:val="BodyText"/>
        <w:spacing w:line="357" w:lineRule="auto" w:before="49"/>
        <w:ind w:right="7614"/>
        <w:jc w:val="left"/>
      </w:pPr>
      <w:bookmarkStart w:name="28、其他非流动资产" w:id="351"/>
      <w:bookmarkEnd w:id="351"/>
      <w:r>
        <w:rPr/>
      </w:r>
      <w:bookmarkStart w:name="29、短期借款" w:id="352"/>
      <w:bookmarkEnd w:id="352"/>
      <w:r>
        <w:rPr/>
      </w:r>
      <w:bookmarkStart w:name="（1）短期借款分类" w:id="353"/>
      <w:bookmarkEnd w:id="353"/>
      <w:r>
        <w:rPr/>
      </w:r>
      <w:r>
        <w:rPr/>
        <w:t>未确认递延所得税资产明细 无。</w:t>
      </w:r>
    </w:p>
    <w:p>
      <w:pPr>
        <w:pStyle w:val="BodyText"/>
        <w:spacing w:line="360" w:lineRule="auto" w:before="29"/>
        <w:ind w:right="5454"/>
        <w:jc w:val="left"/>
      </w:pPr>
      <w:r>
        <w:rPr/>
        <w:t>未确认递延所得税资产的可抵扣亏损将于以下年度到期 无。</w:t>
      </w:r>
    </w:p>
    <w:p>
      <w:pPr>
        <w:pStyle w:val="BodyText"/>
        <w:spacing w:line="360" w:lineRule="auto" w:before="25"/>
        <w:ind w:right="7074"/>
        <w:jc w:val="left"/>
      </w:pPr>
      <w:r>
        <w:rPr/>
        <w:t>应纳税差异和可抵扣差异项目明细 无。</w:t>
      </w:r>
    </w:p>
    <w:p>
      <w:pPr>
        <w:spacing w:line="240" w:lineRule="auto" w:before="4"/>
        <w:rPr>
          <w:rFonts w:ascii="宋体" w:hAnsi="宋体" w:cs="宋体" w:eastAsia="宋体" w:hint="default"/>
          <w:sz w:val="20"/>
          <w:szCs w:val="20"/>
        </w:rPr>
      </w:pPr>
    </w:p>
    <w:p>
      <w:pPr>
        <w:pStyle w:val="Heading3"/>
        <w:spacing w:line="240" w:lineRule="auto"/>
        <w:ind w:right="147"/>
        <w:jc w:val="left"/>
        <w:rPr>
          <w:b w:val="0"/>
          <w:bCs w:val="0"/>
        </w:rPr>
      </w:pPr>
      <w:r>
        <w:rPr/>
        <w:t>（</w:t>
      </w:r>
      <w:r>
        <w:rPr>
          <w:rFonts w:ascii="Times New Roman" w:hAnsi="Times New Roman" w:cs="Times New Roman" w:eastAsia="Times New Roman" w:hint="default"/>
        </w:rPr>
        <w:t>2</w:t>
      </w:r>
      <w:r>
        <w:rPr/>
        <w:t>）递延所得税资产和递</w:t>
      </w:r>
      <w:bookmarkStart w:name="（2）递延所得税资产和递延所得税负债以抵销后的净额列示" w:id="354"/>
      <w:bookmarkEnd w:id="354"/>
      <w:r>
        <w:rPr/>
        <w:t>延所得税负债以抵</w:t>
      </w:r>
      <w:r>
        <w:rPr/>
        <w:t>销后的净额列示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7"/>
        <w:jc w:val="left"/>
      </w:pPr>
      <w:r>
        <w:rPr/>
        <w:t>互抵后的递延所得税资产及负债的组成项目</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2"/>
        <w:gridCol w:w="1625"/>
        <w:gridCol w:w="1627"/>
        <w:gridCol w:w="1627"/>
        <w:gridCol w:w="1630"/>
      </w:tblGrid>
      <w:tr>
        <w:trPr>
          <w:trHeight w:val="317" w:hRule="exact"/>
        </w:trPr>
        <w:tc>
          <w:tcPr>
            <w:tcW w:w="3062" w:type="dxa"/>
            <w:tcBorders>
              <w:top w:val="single" w:sz="4" w:space="0" w:color="000000"/>
              <w:left w:val="single" w:sz="4" w:space="0" w:color="000000"/>
              <w:bottom w:val="nil" w:sz="6" w:space="0" w:color="auto"/>
              <w:right w:val="single" w:sz="4" w:space="0" w:color="000000"/>
            </w:tcBorders>
            <w:shd w:val="clear" w:color="auto" w:fill="D4D4D4"/>
          </w:tcPr>
          <w:p>
            <w:pPr/>
          </w:p>
        </w:tc>
        <w:tc>
          <w:tcPr>
            <w:tcW w:w="162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88" w:right="84"/>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88" w:right="89"/>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4" w:hRule="exact"/>
        </w:trPr>
        <w:tc>
          <w:tcPr>
            <w:tcW w:w="306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vMerge/>
            <w:tcBorders>
              <w:left w:val="single" w:sz="4" w:space="0" w:color="000000"/>
              <w:right w:val="single" w:sz="4" w:space="0" w:color="000000"/>
            </w:tcBorders>
            <w:shd w:val="clear" w:color="auto" w:fill="D4D4D4"/>
          </w:tcPr>
          <w:p>
            <w:pPr/>
          </w:p>
        </w:tc>
        <w:tc>
          <w:tcPr>
            <w:tcW w:w="1627" w:type="dxa"/>
            <w:vMerge/>
            <w:tcBorders>
              <w:left w:val="single" w:sz="4" w:space="0" w:color="000000"/>
              <w:right w:val="single" w:sz="4" w:space="0" w:color="000000"/>
            </w:tcBorders>
            <w:shd w:val="clear" w:color="auto" w:fill="D4D4D4"/>
          </w:tcPr>
          <w:p>
            <w:pPr/>
          </w:p>
        </w:tc>
        <w:tc>
          <w:tcPr>
            <w:tcW w:w="1627" w:type="dxa"/>
            <w:vMerge/>
            <w:tcBorders>
              <w:left w:val="single" w:sz="4" w:space="0" w:color="000000"/>
              <w:right w:val="single" w:sz="4" w:space="0" w:color="000000"/>
            </w:tcBorders>
            <w:shd w:val="clear" w:color="auto" w:fill="D4D4D4"/>
          </w:tcPr>
          <w:p>
            <w:pPr/>
          </w:p>
        </w:tc>
        <w:tc>
          <w:tcPr>
            <w:tcW w:w="1630" w:type="dxa"/>
            <w:vMerge/>
            <w:tcBorders>
              <w:left w:val="single" w:sz="4" w:space="0" w:color="000000"/>
              <w:right w:val="single" w:sz="4" w:space="0" w:color="000000"/>
            </w:tcBorders>
            <w:shd w:val="clear" w:color="auto" w:fill="D4D4D4"/>
          </w:tcPr>
          <w:p>
            <w:pPr/>
          </w:p>
        </w:tc>
      </w:tr>
      <w:tr>
        <w:trPr>
          <w:trHeight w:val="317" w:hRule="exact"/>
        </w:trPr>
        <w:tc>
          <w:tcPr>
            <w:tcW w:w="3062" w:type="dxa"/>
            <w:tcBorders>
              <w:top w:val="nil" w:sz="6" w:space="0" w:color="auto"/>
              <w:left w:val="single" w:sz="4" w:space="0" w:color="000000"/>
              <w:bottom w:val="single" w:sz="4" w:space="0" w:color="000000"/>
              <w:right w:val="single" w:sz="4" w:space="0" w:color="000000"/>
            </w:tcBorders>
            <w:shd w:val="clear" w:color="auto" w:fill="D4D4D4"/>
          </w:tcPr>
          <w:p>
            <w:pPr/>
          </w:p>
        </w:tc>
        <w:tc>
          <w:tcPr>
            <w:tcW w:w="1625" w:type="dxa"/>
            <w:vMerge/>
            <w:tcBorders>
              <w:left w:val="single" w:sz="4" w:space="0" w:color="000000"/>
              <w:bottom w:val="single" w:sz="4" w:space="0" w:color="000000"/>
              <w:right w:val="single" w:sz="4" w:space="0" w:color="000000"/>
            </w:tcBorders>
            <w:shd w:val="clear" w:color="auto" w:fill="D4D4D4"/>
          </w:tcPr>
          <w:p>
            <w:pPr/>
          </w:p>
        </w:tc>
        <w:tc>
          <w:tcPr>
            <w:tcW w:w="1627" w:type="dxa"/>
            <w:vMerge/>
            <w:tcBorders>
              <w:left w:val="single" w:sz="4" w:space="0" w:color="000000"/>
              <w:bottom w:val="single" w:sz="4" w:space="0" w:color="000000"/>
              <w:right w:val="single" w:sz="4" w:space="0" w:color="000000"/>
            </w:tcBorders>
            <w:shd w:val="clear" w:color="auto" w:fill="D4D4D4"/>
          </w:tcPr>
          <w:p>
            <w:pPr/>
          </w:p>
        </w:tc>
        <w:tc>
          <w:tcPr>
            <w:tcW w:w="1627" w:type="dxa"/>
            <w:vMerge/>
            <w:tcBorders>
              <w:left w:val="single" w:sz="4" w:space="0" w:color="000000"/>
              <w:bottom w:val="single" w:sz="4" w:space="0" w:color="000000"/>
              <w:right w:val="single" w:sz="4" w:space="0" w:color="000000"/>
            </w:tcBorders>
            <w:shd w:val="clear" w:color="auto" w:fill="D4D4D4"/>
          </w:tcPr>
          <w:p>
            <w:pPr/>
          </w:p>
        </w:tc>
        <w:tc>
          <w:tcPr>
            <w:tcW w:w="1630"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3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3,041,075.02</w:t>
            </w:r>
            <w:r>
              <w:rPr>
                <w:rFonts w:ascii="Times New Roman"/>
                <w:sz w:val="18"/>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2,225,008.51</w:t>
            </w:r>
            <w:r>
              <w:rPr>
                <w:rFonts w:ascii="Times New Roman"/>
                <w:sz w:val="18"/>
              </w:rPr>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30,847.69</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151,528.18</w:t>
            </w:r>
          </w:p>
        </w:tc>
        <w:tc>
          <w:tcPr>
            <w:tcW w:w="16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6354"/>
        <w:jc w:val="left"/>
      </w:pPr>
      <w:r>
        <w:rPr/>
        <w:t>递延所得税资产和递延所得税负债互抵明细 无。</w:t>
      </w:r>
    </w:p>
    <w:p>
      <w:pPr>
        <w:spacing w:line="240" w:lineRule="auto" w:before="6"/>
        <w:rPr>
          <w:rFonts w:ascii="宋体" w:hAnsi="宋体" w:cs="宋体" w:eastAsia="宋体" w:hint="default"/>
          <w:sz w:val="20"/>
          <w:szCs w:val="20"/>
        </w:rPr>
      </w:pPr>
    </w:p>
    <w:p>
      <w:pPr>
        <w:pStyle w:val="Heading3"/>
        <w:spacing w:line="240" w:lineRule="auto"/>
        <w:ind w:right="147"/>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7、资产减值准备明细" w:id="355"/>
      <w:bookmarkEnd w:id="355"/>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54"/>
        <w:gridCol w:w="1526"/>
        <w:gridCol w:w="1529"/>
        <w:gridCol w:w="1399"/>
        <w:gridCol w:w="1397"/>
        <w:gridCol w:w="1452"/>
      </w:tblGrid>
      <w:tr>
        <w:trPr>
          <w:trHeight w:val="206" w:hRule="exact"/>
        </w:trPr>
        <w:tc>
          <w:tcPr>
            <w:tcW w:w="225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26" w:type="dxa"/>
            <w:tcBorders>
              <w:top w:val="single" w:sz="4" w:space="0" w:color="000000"/>
              <w:left w:val="single" w:sz="4" w:space="0" w:color="000000"/>
              <w:bottom w:val="nil" w:sz="6" w:space="0" w:color="auto"/>
              <w:right w:val="single" w:sz="4" w:space="0" w:color="000000"/>
            </w:tcBorders>
            <w:shd w:val="clear" w:color="auto" w:fill="D4D4D4"/>
          </w:tcPr>
          <w:p>
            <w:pPr/>
          </w:p>
        </w:tc>
        <w:tc>
          <w:tcPr>
            <w:tcW w:w="1529" w:type="dxa"/>
            <w:tcBorders>
              <w:top w:val="single" w:sz="4" w:space="0" w:color="000000"/>
              <w:left w:val="single" w:sz="4" w:space="0" w:color="000000"/>
              <w:bottom w:val="nil" w:sz="6" w:space="0" w:color="auto"/>
              <w:right w:val="single" w:sz="4" w:space="0" w:color="000000"/>
            </w:tcBorders>
            <w:shd w:val="clear" w:color="auto" w:fill="D4D4D4"/>
          </w:tcPr>
          <w:p>
            <w:pPr/>
          </w:p>
        </w:tc>
        <w:tc>
          <w:tcPr>
            <w:tcW w:w="279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225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4D4D4"/>
          </w:tcPr>
          <w:p>
            <w:pPr/>
          </w:p>
        </w:tc>
        <w:tc>
          <w:tcPr>
            <w:tcW w:w="145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54" w:type="dxa"/>
            <w:vMerge/>
            <w:tcBorders>
              <w:left w:val="single" w:sz="4" w:space="0" w:color="000000"/>
              <w:bottom w:val="nil" w:sz="6" w:space="0" w:color="auto"/>
              <w:right w:val="single" w:sz="4" w:space="0" w:color="000000"/>
            </w:tcBorders>
            <w:shd w:val="clear" w:color="auto" w:fill="D4D4D4"/>
          </w:tcPr>
          <w:p>
            <w:pPr/>
          </w:p>
        </w:tc>
        <w:tc>
          <w:tcPr>
            <w:tcW w:w="1526" w:type="dxa"/>
            <w:vMerge/>
            <w:tcBorders>
              <w:left w:val="single" w:sz="4" w:space="0" w:color="000000"/>
              <w:bottom w:val="nil" w:sz="6" w:space="0" w:color="auto"/>
              <w:right w:val="single" w:sz="4" w:space="0" w:color="000000"/>
            </w:tcBorders>
            <w:shd w:val="clear" w:color="auto" w:fill="D4D4D4"/>
          </w:tcPr>
          <w:p>
            <w:pPr/>
          </w:p>
        </w:tc>
        <w:tc>
          <w:tcPr>
            <w:tcW w:w="1529" w:type="dxa"/>
            <w:vMerge/>
            <w:tcBorders>
              <w:left w:val="single" w:sz="4" w:space="0" w:color="000000"/>
              <w:bottom w:val="nil" w:sz="6" w:space="0" w:color="auto"/>
              <w:right w:val="single" w:sz="4" w:space="0" w:color="000000"/>
            </w:tcBorders>
            <w:shd w:val="clear" w:color="auto" w:fill="D4D4D4"/>
          </w:tcPr>
          <w:p>
            <w:pPr/>
          </w:p>
        </w:tc>
        <w:tc>
          <w:tcPr>
            <w:tcW w:w="13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225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2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29" w:type="dxa"/>
            <w:tcBorders>
              <w:top w:val="nil" w:sz="6" w:space="0" w:color="auto"/>
              <w:left w:val="single" w:sz="4" w:space="0" w:color="000000"/>
              <w:bottom w:val="single" w:sz="4" w:space="0" w:color="000000"/>
              <w:right w:val="single" w:sz="4" w:space="0" w:color="000000"/>
            </w:tcBorders>
            <w:shd w:val="clear" w:color="auto" w:fill="D4D4D4"/>
          </w:tcPr>
          <w:p>
            <w:pPr/>
          </w:p>
        </w:tc>
        <w:tc>
          <w:tcPr>
            <w:tcW w:w="1399" w:type="dxa"/>
            <w:vMerge/>
            <w:tcBorders>
              <w:left w:val="single" w:sz="4" w:space="0" w:color="000000"/>
              <w:bottom w:val="single" w:sz="4" w:space="0" w:color="000000"/>
              <w:right w:val="single" w:sz="4" w:space="0" w:color="000000"/>
            </w:tcBorders>
            <w:shd w:val="clear" w:color="auto" w:fill="D4D4D4"/>
          </w:tcPr>
          <w:p>
            <w:pPr/>
          </w:p>
        </w:tc>
        <w:tc>
          <w:tcPr>
            <w:tcW w:w="1397" w:type="dxa"/>
            <w:vMerge/>
            <w:tcBorders>
              <w:left w:val="single" w:sz="4" w:space="0" w:color="000000"/>
              <w:bottom w:val="single" w:sz="4" w:space="0" w:color="000000"/>
              <w:right w:val="single" w:sz="4" w:space="0" w:color="000000"/>
            </w:tcBorders>
            <w:shd w:val="clear" w:color="auto" w:fill="D4D4D4"/>
          </w:tcPr>
          <w:p>
            <w:pPr/>
          </w:p>
        </w:tc>
        <w:tc>
          <w:tcPr>
            <w:tcW w:w="145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2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10,731,298.50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624,409.07</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658,158.39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10,697,549.18</w:t>
            </w:r>
          </w:p>
        </w:tc>
      </w:tr>
      <w:tr>
        <w:trPr>
          <w:trHeight w:val="401" w:hRule="exact"/>
        </w:trPr>
        <w:tc>
          <w:tcPr>
            <w:tcW w:w="2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418,803.42</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418,803.42</w:t>
            </w:r>
          </w:p>
        </w:tc>
      </w:tr>
      <w:tr>
        <w:trPr>
          <w:trHeight w:val="403" w:hRule="exact"/>
        </w:trPr>
        <w:tc>
          <w:tcPr>
            <w:tcW w:w="2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11,150,101.92</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624,409.07</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658,158.39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11,116,352.60</w:t>
            </w:r>
            <w:r>
              <w:rPr>
                <w:rFonts w:ascii="Times New Roman"/>
                <w:sz w:val="18"/>
              </w:rPr>
            </w:r>
          </w:p>
        </w:tc>
      </w:tr>
    </w:tbl>
    <w:p>
      <w:pPr>
        <w:pStyle w:val="BodyText"/>
        <w:spacing w:line="240" w:lineRule="auto" w:before="49"/>
        <w:ind w:right="147"/>
        <w:jc w:val="left"/>
      </w:pPr>
      <w:r>
        <w:rPr/>
        <w:t>资产减值明细情况的说明</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2</w:t>
      </w:r>
      <w:bookmarkStart w:name="（2）已到期未偿还的短期借款情况" w:id="356"/>
      <w:bookmarkEnd w:id="356"/>
      <w:r>
        <w:rPr>
          <w:rFonts w:ascii="Times New Roman" w:hAnsi="Times New Roman" w:cs="Times New Roman" w:eastAsia="Times New Roman" w:hint="default"/>
        </w:rPr>
      </w:r>
      <w:r>
        <w:rPr/>
        <w:t>）已到期未偿还的短期借款情况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30</w:t>
      </w:r>
      <w:bookmarkStart w:name="30、交易性金融负债" w:id="357"/>
      <w:bookmarkEnd w:id="357"/>
      <w:r>
        <w:rPr>
          <w:rFonts w:ascii="Times New Roman" w:hAnsi="Times New Roman" w:cs="Times New Roman" w:eastAsia="Times New Roman" w:hint="default"/>
        </w:rPr>
      </w:r>
      <w:r>
        <w:rPr/>
        <w:t>、交易性金融负债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1、应付票据" w:id="358"/>
      <w:bookmarkEnd w:id="358"/>
      <w:r>
        <w:rPr/>
      </w:r>
      <w:bookmarkStart w:name="32、应付账款" w:id="359"/>
      <w:bookmarkEnd w:id="359"/>
      <w:r>
        <w:rPr/>
      </w:r>
      <w:bookmarkStart w:name="（1）应付账款情况" w:id="360"/>
      <w:bookmarkEnd w:id="360"/>
      <w:r>
        <w:rPr/>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0"/>
        <w:gridCol w:w="2921"/>
        <w:gridCol w:w="305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16,844,754.52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21,704,200.70</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4,235,792.77</w:t>
            </w:r>
            <w:r>
              <w:rPr>
                <w:rFonts w:ascii="Times New Roman"/>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2,296,561.01</w:t>
            </w:r>
            <w:r>
              <w:rPr>
                <w:rFonts w:ascii="Times New Roman"/>
                <w:sz w:val="18"/>
              </w:rPr>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1,934,093.57</w:t>
            </w:r>
            <w:r>
              <w:rPr>
                <w:rFonts w:ascii="Times New Roman"/>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379,494.07</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1,899,221.50</w:t>
            </w:r>
            <w:r>
              <w:rPr>
                <w:rFonts w:ascii="Times New Roman"/>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1,550,388.52</w:t>
            </w:r>
            <w:r>
              <w:rPr>
                <w:rFonts w:ascii="Times New Roman"/>
                <w:sz w:val="18"/>
              </w:rPr>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24,913,862.36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25,930,644.30</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2</w:t>
      </w:r>
      <w:r>
        <w:rPr/>
        <w:t>）本报告期应付账款中应付持有公司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w:t>
      </w:r>
      <w:bookmarkStart w:name="（2）本报告期应付账款中应付持有公司5％（含5％）以上表决权股份的股东单位款项" w:id="361"/>
      <w:bookmarkEnd w:id="361"/>
      <w:r>
        <w:rPr/>
        <w:t>单位款项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期末账龄超过一年的大额应付账款</w:t>
      </w:r>
    </w:p>
    <w:p>
      <w:pPr>
        <w:spacing w:line="240" w:lineRule="auto" w:before="9"/>
        <w:rPr>
          <w:rFonts w:ascii="宋体" w:hAnsi="宋体" w:cs="宋体" w:eastAsia="宋体" w:hint="default"/>
          <w:sz w:val="21"/>
          <w:szCs w:val="21"/>
        </w:rPr>
      </w:pPr>
    </w:p>
    <w:tbl>
      <w:tblPr>
        <w:tblW w:w="0" w:type="auto"/>
        <w:jc w:val="left"/>
        <w:tblInd w:w="145" w:type="dxa"/>
        <w:tblLayout w:type="fixed"/>
        <w:tblCellMar>
          <w:top w:w="0" w:type="dxa"/>
          <w:left w:w="0" w:type="dxa"/>
          <w:bottom w:w="0" w:type="dxa"/>
          <w:right w:w="0" w:type="dxa"/>
        </w:tblCellMar>
        <w:tblLook w:val="01E0"/>
      </w:tblPr>
      <w:tblGrid>
        <w:gridCol w:w="3511"/>
        <w:gridCol w:w="1841"/>
        <w:gridCol w:w="1877"/>
        <w:gridCol w:w="2052"/>
      </w:tblGrid>
      <w:tr>
        <w:trPr>
          <w:trHeight w:val="346" w:hRule="exact"/>
        </w:trPr>
        <w:tc>
          <w:tcPr>
            <w:tcW w:w="3511"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债权人名称</w:t>
            </w:r>
          </w:p>
        </w:tc>
        <w:tc>
          <w:tcPr>
            <w:tcW w:w="1841"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77"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2052"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7"/>
              <w:ind w:left="477" w:right="0"/>
              <w:jc w:val="left"/>
              <w:rPr>
                <w:rFonts w:ascii="宋体" w:hAnsi="宋体" w:cs="宋体" w:eastAsia="宋体" w:hint="default"/>
                <w:sz w:val="18"/>
                <w:szCs w:val="18"/>
              </w:rPr>
            </w:pPr>
            <w:r>
              <w:rPr>
                <w:rFonts w:ascii="宋体" w:hAnsi="宋体" w:cs="宋体" w:eastAsia="宋体" w:hint="default"/>
                <w:sz w:val="18"/>
                <w:szCs w:val="18"/>
              </w:rPr>
              <w:t>未偿还的原因</w:t>
            </w:r>
          </w:p>
        </w:tc>
      </w:tr>
      <w:tr>
        <w:trPr>
          <w:trHeight w:val="348" w:hRule="exact"/>
        </w:trPr>
        <w:tc>
          <w:tcPr>
            <w:tcW w:w="3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浙江联信软件科技有限公司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908,750.00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bookmarkStart w:name="（3）账龄超过一年的大额应付账款情况的说明" w:id="362"/>
            <w:bookmarkEnd w:id="362"/>
            <w:r>
              <w:rPr/>
            </w:r>
            <w:r>
              <w:rPr>
                <w:rFonts w:ascii="宋体" w:hAnsi="宋体" w:cs="宋体" w:eastAsia="宋体" w:hint="default"/>
                <w:sz w:val="18"/>
                <w:szCs w:val="18"/>
              </w:rPr>
              <w:t>未达到支付条件</w:t>
            </w:r>
          </w:p>
        </w:tc>
      </w:tr>
      <w:tr>
        <w:trPr>
          <w:trHeight w:val="346" w:hRule="exact"/>
        </w:trPr>
        <w:tc>
          <w:tcPr>
            <w:tcW w:w="3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福州网飞鸿电子科技有限公司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729,470.96</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未达到支付条件</w:t>
            </w:r>
          </w:p>
        </w:tc>
      </w:tr>
      <w:tr>
        <w:trPr>
          <w:trHeight w:val="348" w:hRule="exact"/>
        </w:trPr>
        <w:tc>
          <w:tcPr>
            <w:tcW w:w="3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郑州创纪元科贸有限公司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500,000.00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未达到支付条件</w:t>
            </w:r>
          </w:p>
        </w:tc>
      </w:tr>
      <w:tr>
        <w:trPr>
          <w:trHeight w:val="348" w:hRule="exact"/>
        </w:trPr>
        <w:tc>
          <w:tcPr>
            <w:tcW w:w="3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河南新地网络技术有限公司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465,000.00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未达到支付条件</w:t>
            </w:r>
          </w:p>
        </w:tc>
      </w:tr>
      <w:tr>
        <w:trPr>
          <w:trHeight w:val="346" w:hRule="exact"/>
        </w:trPr>
        <w:tc>
          <w:tcPr>
            <w:tcW w:w="3511"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2,603,220.96</w:t>
            </w:r>
            <w:r>
              <w:rPr>
                <w:rFonts w:ascii="Times New Roman"/>
                <w:sz w:val="18"/>
              </w:rPr>
            </w:r>
          </w:p>
        </w:tc>
        <w:tc>
          <w:tcPr>
            <w:tcW w:w="1877"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147"/>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bookmarkStart w:name="33、预收账款" w:id="363"/>
      <w:bookmarkEnd w:id="363"/>
      <w:r>
        <w:rPr>
          <w:rFonts w:ascii="Times New Roman" w:hAnsi="Times New Roman" w:cs="Times New Roman" w:eastAsia="Times New Roman" w:hint="default"/>
        </w:rPr>
      </w:r>
      <w:bookmarkStart w:name="（1）预收账款情况" w:id="364"/>
      <w:bookmarkEnd w:id="364"/>
      <w:r>
        <w:rPr>
          <w:rFonts w:ascii="Times New Roman" w:hAnsi="Times New Roman" w:cs="Times New Roman" w:eastAsia="Times New Roman" w:hint="default"/>
        </w:rPr>
      </w:r>
      <w:r>
        <w:rPr/>
        <w:t>）预收账款情况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4"/>
        <w:gridCol w:w="2791"/>
        <w:gridCol w:w="2921"/>
      </w:tblGrid>
      <w:tr>
        <w:trPr>
          <w:trHeight w:val="401" w:hRule="exact"/>
        </w:trPr>
        <w:tc>
          <w:tcPr>
            <w:tcW w:w="3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114,793,352.67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25,154,298.14</w:t>
            </w: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4,402,104.56</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3,056,197.60</w:t>
            </w:r>
            <w:r>
              <w:rPr>
                <w:rFonts w:ascii="Times New Roman"/>
                <w:sz w:val="18"/>
              </w:rPr>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2,182,210.00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442,400.00</w:t>
            </w: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416,600.00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121,794,267.23</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28,652,895.74</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2</w:t>
      </w:r>
      <w:r>
        <w:rPr/>
        <w:t>）本报告期预收账款中预收持有公司</w:t>
      </w:r>
      <w:r>
        <w:rPr>
          <w:spacing w:val="-56"/>
        </w:rPr>
        <w:t> </w:t>
      </w:r>
      <w:r>
        <w:rPr>
          <w:rFonts w:ascii="Times New Roman" w:hAnsi="Times New Roman" w:cs="Times New Roman" w:eastAsia="Times New Roman" w:hint="default"/>
        </w:rPr>
        <w:t>5</w:t>
      </w:r>
      <w:bookmarkStart w:name="（2）本报告期预收账款中预收持有公司5％（含5％）以上表决权股份的股东单位款项" w:id="365"/>
      <w:bookmarkEnd w:id="365"/>
      <w:r>
        <w:rPr>
          <w:rFonts w:ascii="Times New Roman" w:hAnsi="Times New Roman" w:cs="Times New Roman" w:eastAsia="Times New Roman" w:hint="default"/>
        </w:rPr>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截至</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日止，账</w:t>
      </w:r>
      <w:bookmarkStart w:name="（3）账龄超过一年的大额预收账款情况的说明" w:id="366"/>
      <w:bookmarkEnd w:id="366"/>
      <w:r>
        <w:rPr/>
        <w:t>龄超过一年的预收款项主要为项目尚未验收完成的合同预收款。</w:t>
      </w:r>
    </w:p>
    <w:p>
      <w:pPr>
        <w:spacing w:line="240" w:lineRule="auto" w:before="2"/>
        <w:rPr>
          <w:rFonts w:ascii="宋体" w:hAnsi="宋体" w:cs="宋体" w:eastAsia="宋体" w:hint="default"/>
          <w:sz w:val="26"/>
          <w:szCs w:val="26"/>
        </w:rPr>
      </w:pPr>
    </w:p>
    <w:p>
      <w:pPr>
        <w:pStyle w:val="Heading3"/>
        <w:spacing w:line="240" w:lineRule="auto"/>
        <w:ind w:right="147"/>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4、应付职工薪酬" w:id="367"/>
      <w:bookmarkEnd w:id="367"/>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862"/>
        <w:gridCol w:w="1992"/>
        <w:gridCol w:w="2258"/>
        <w:gridCol w:w="1860"/>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3,881,150.05</w:t>
            </w:r>
            <w:r>
              <w:rPr>
                <w:rFonts w:ascii="Times New Roman"/>
                <w:sz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48,851,870.99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49,573,398.12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3,159,622.92</w:t>
            </w:r>
            <w:r>
              <w:rPr>
                <w:rFonts w:ascii="Times New Roman"/>
                <w:sz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2" w:type="dxa"/>
            <w:tcBorders>
              <w:top w:val="single" w:sz="4" w:space="0" w:color="000000"/>
              <w:left w:val="single" w:sz="10" w:space="0" w:color="D4D4D4"/>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1,519,957.63</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1,519,957.63</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23,296.83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3,488,587.58</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3,511,204.95</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679.46</w:t>
            </w:r>
            <w:r>
              <w:rPr>
                <w:rFonts w:ascii="Times New Roman"/>
                <w:sz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0"/>
                <w:sz w:val="18"/>
                <w:szCs w:val="18"/>
              </w:rPr>
              <w:t>：</w:t>
            </w:r>
            <w:r>
              <w:rPr>
                <w:rFonts w:ascii="宋体" w:hAnsi="宋体" w:cs="宋体" w:eastAsia="宋体" w:hint="default"/>
                <w:sz w:val="18"/>
                <w:szCs w:val="18"/>
              </w:rPr>
              <w:t>①医疗保险费</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7,295.02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1,121,448.54</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1,128,743.56</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②基本养老保险费</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13,230.80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2,048,751.78</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2,061,982.58</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③年金缴费</w:t>
            </w:r>
          </w:p>
        </w:tc>
        <w:tc>
          <w:tcPr>
            <w:tcW w:w="1862"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④失业保险费</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2,124.09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151,697.42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153,133.16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688.35</w:t>
            </w:r>
            <w:r>
              <w:rPr>
                <w:rFonts w:ascii="Times New Roman"/>
                <w:sz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⑤工伤保险费</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359.40</w:t>
            </w:r>
            <w:r>
              <w:rPr>
                <w:rFonts w:ascii="Times New Roman"/>
                <w:sz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108,567.17</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108,935.46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w:t>
            </w:r>
            <w:r>
              <w:rPr>
                <w:rFonts w:ascii="Times New Roman"/>
                <w:sz w:val="18"/>
              </w:rPr>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⑥生育保险费</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287.52</w:t>
            </w:r>
            <w:r>
              <w:rPr>
                <w:rFonts w:ascii="Times New Roman"/>
                <w:sz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58,122.67</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58,410.19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2"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1,909,233.72</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1,909,233.72</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2,145,657.04</w:t>
            </w:r>
            <w:r>
              <w:rPr>
                <w:rFonts w:ascii="Times New Roman"/>
                <w:sz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459,837.05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627,577.01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1,977,917.08</w:t>
            </w:r>
            <w:r>
              <w:rPr>
                <w:rFonts w:ascii="Times New Roman"/>
                <w:sz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6,050,103.92</w:t>
            </w:r>
            <w:r>
              <w:rPr>
                <w:rFonts w:ascii="Times New Roman"/>
                <w:sz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56,229,486.97</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57,141,371.43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5,138,219.46</w:t>
            </w:r>
            <w:r>
              <w:rPr>
                <w:rFonts w:ascii="Times New Roman"/>
                <w:sz w:val="18"/>
              </w:rPr>
            </w:r>
          </w:p>
        </w:tc>
      </w:tr>
    </w:tbl>
    <w:p>
      <w:pPr>
        <w:pStyle w:val="BodyText"/>
        <w:spacing w:line="240" w:lineRule="auto" w:before="49"/>
        <w:ind w:right="147"/>
        <w:jc w:val="left"/>
      </w:pPr>
      <w:r>
        <w:rPr/>
        <w:t>应付职工薪酬中属于拖欠性质的金额</w:t>
      </w:r>
      <w:r>
        <w:rPr>
          <w:spacing w:val="-46"/>
        </w:rPr>
        <w:t> </w:t>
      </w:r>
      <w:r>
        <w:rPr>
          <w:rFonts w:ascii="Times New Roman" w:hAnsi="Times New Roman" w:cs="Times New Roman" w:eastAsia="Times New Roman" w:hint="default"/>
        </w:rPr>
        <w:t>0.00 </w:t>
      </w:r>
      <w:r>
        <w:rPr/>
        <w:t>元。</w:t>
      </w:r>
    </w:p>
    <w:p>
      <w:pPr>
        <w:pStyle w:val="BodyText"/>
        <w:spacing w:line="240" w:lineRule="auto" w:before="101"/>
        <w:ind w:right="147"/>
        <w:jc w:val="left"/>
      </w:pPr>
      <w:r>
        <w:rPr/>
        <w:t>工会经费和职工教育经费金额</w:t>
      </w:r>
      <w:r>
        <w:rPr>
          <w:spacing w:val="-49"/>
        </w:rPr>
        <w:t> </w:t>
      </w:r>
      <w:r>
        <w:rPr>
          <w:rFonts w:ascii="Times New Roman" w:hAnsi="Times New Roman" w:cs="Times New Roman" w:eastAsia="Times New Roman" w:hint="default"/>
        </w:rPr>
        <w:t>226,201.61</w:t>
      </w:r>
      <w:r>
        <w:rPr>
          <w:rFonts w:ascii="Times New Roman" w:hAnsi="Times New Roman" w:cs="Times New Roman" w:eastAsia="Times New Roman" w:hint="default"/>
          <w:spacing w:val="-3"/>
        </w:rPr>
        <w:t> </w:t>
      </w:r>
      <w:r>
        <w:rPr/>
        <w:t>元，非货币性福利金额</w:t>
      </w:r>
      <w:r>
        <w:rPr>
          <w:spacing w:val="-47"/>
        </w:rPr>
        <w:t> </w:t>
      </w:r>
      <w:r>
        <w:rPr>
          <w:rFonts w:ascii="Times New Roman" w:hAnsi="Times New Roman" w:cs="Times New Roman" w:eastAsia="Times New Roman" w:hint="default"/>
        </w:rPr>
        <w:t>401,375.40</w:t>
      </w:r>
      <w:r>
        <w:rPr>
          <w:rFonts w:ascii="Times New Roman" w:hAnsi="Times New Roman" w:cs="Times New Roman" w:eastAsia="Times New Roman" w:hint="default"/>
          <w:spacing w:val="-3"/>
        </w:rPr>
        <w:t> </w:t>
      </w:r>
      <w:r>
        <w:rPr/>
        <w:t>元，因解除劳动关系给予补偿</w:t>
      </w:r>
      <w:r>
        <w:rPr>
          <w:spacing w:val="-49"/>
        </w:rPr>
        <w:t> </w:t>
      </w:r>
      <w:r>
        <w:rPr>
          <w:rFonts w:ascii="Times New Roman" w:hAnsi="Times New Roman" w:cs="Times New Roman" w:eastAsia="Times New Roman" w:hint="default"/>
        </w:rPr>
        <w:t>96,777.97</w:t>
      </w:r>
      <w:r>
        <w:rPr>
          <w:rFonts w:ascii="Times New Roman" w:hAnsi="Times New Roman" w:cs="Times New Roman" w:eastAsia="Times New Roman" w:hint="default"/>
          <w:spacing w:val="-3"/>
        </w:rPr>
        <w:t> </w:t>
      </w:r>
      <w:r>
        <w:rPr/>
        <w:t>元。</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1"/>
          <w:szCs w:val="21"/>
        </w:rPr>
      </w:pPr>
    </w:p>
    <w:p>
      <w:pPr>
        <w:pStyle w:val="BodyText"/>
        <w:spacing w:line="360" w:lineRule="auto" w:before="44"/>
        <w:ind w:right="6534"/>
        <w:jc w:val="left"/>
      </w:pPr>
      <w:bookmarkStart w:name="（2）本报告期其他应付款中应付持有公司5％（含5％）以上表决权股份的股东单位款项" w:id="368"/>
      <w:bookmarkEnd w:id="368"/>
      <w:r>
        <w:rPr/>
      </w:r>
      <w:r>
        <w:rPr/>
        <w:t>应付职工薪酬预计发放时间、金额等安排 无。</w:t>
      </w:r>
    </w:p>
    <w:p>
      <w:pPr>
        <w:spacing w:line="240" w:lineRule="auto" w:before="2"/>
        <w:rPr>
          <w:rFonts w:ascii="宋体" w:hAnsi="宋体" w:cs="宋体" w:eastAsia="宋体" w:hint="default"/>
          <w:sz w:val="20"/>
          <w:szCs w:val="20"/>
        </w:rPr>
      </w:pPr>
    </w:p>
    <w:p>
      <w:pPr>
        <w:pStyle w:val="Heading3"/>
        <w:spacing w:line="240" w:lineRule="auto"/>
        <w:ind w:right="147"/>
        <w:jc w:val="left"/>
        <w:rPr>
          <w:b w:val="0"/>
          <w:bCs w:val="0"/>
        </w:rPr>
      </w:pPr>
      <w:r>
        <w:rPr>
          <w:rFonts w:ascii="Times New Roman" w:hAnsi="Times New Roman" w:cs="Times New Roman" w:eastAsia="Times New Roman" w:hint="default"/>
        </w:rPr>
        <w:t>35</w:t>
      </w:r>
      <w:bookmarkStart w:name="35、应交税费" w:id="369"/>
      <w:bookmarkEnd w:id="369"/>
      <w:r>
        <w:rPr>
          <w:rFonts w:ascii="Times New Roman" w:hAnsi="Times New Roman" w:cs="Times New Roman" w:eastAsia="Times New Roman" w:hint="default"/>
        </w:rPr>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99"/>
        <w:gridCol w:w="2801"/>
        <w:gridCol w:w="2657"/>
      </w:tblGrid>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1,744,434.59</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3,283,542.72</w:t>
            </w:r>
            <w:r>
              <w:rPr>
                <w:rFonts w:ascii="Times New Roman"/>
                <w:sz w:val="18"/>
              </w:rPr>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-1,428,951.97</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253,844.81</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512,452.64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10,800,282.43</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123,445.35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-142,787.40</w:t>
            </w:r>
            <w:r>
              <w:rPr>
                <w:rFonts w:ascii="Times New Roman"/>
                <w:sz w:val="18"/>
              </w:rPr>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-831,712.00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181,440.35</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-581,990.79</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-112,260.85</w:t>
            </w:r>
            <w:r>
              <w:rPr>
                <w:rFonts w:ascii="Times New Roman"/>
                <w:sz w:val="18"/>
              </w:rPr>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98,390.40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2"/>
                <w:sz w:val="18"/>
              </w:rPr>
              <w:t>111,716.06</w:t>
            </w:r>
            <w:r>
              <w:rPr>
                <w:rFonts w:ascii="Times New Roman"/>
                <w:sz w:val="18"/>
              </w:rPr>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-363,931.78</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14,375,778.12</w:t>
            </w:r>
          </w:p>
        </w:tc>
      </w:tr>
    </w:tbl>
    <w:p>
      <w:pPr>
        <w:pStyle w:val="BodyText"/>
        <w:spacing w:line="240" w:lineRule="auto" w:before="49"/>
        <w:ind w:right="147"/>
        <w:jc w:val="left"/>
      </w:pPr>
      <w:r>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36、应付利息" w:id="370"/>
      <w:bookmarkEnd w:id="370"/>
      <w:r>
        <w:rPr/>
      </w:r>
      <w:bookmarkStart w:name="37、应付股利" w:id="371"/>
      <w:bookmarkEnd w:id="371"/>
      <w:r>
        <w:rPr/>
      </w:r>
      <w:bookmarkStart w:name="38、其他应付款" w:id="372"/>
      <w:bookmarkEnd w:id="372"/>
      <w:r>
        <w:rPr/>
      </w:r>
      <w:r>
        <w:rPr/>
        <w:t>单位：</w:t>
      </w:r>
      <w:r>
        <w:rPr>
          <w:spacing w:val="1"/>
        </w:rPr>
        <w:t> </w:t>
      </w:r>
      <w:bookmarkStart w:name="（1）其他应付款情况" w:id="373"/>
      <w:bookmarkEnd w:id="373"/>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2"/>
        <w:gridCol w:w="3058"/>
        <w:gridCol w:w="2789"/>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4,185,731.32</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3,462,790.36</w:t>
            </w:r>
            <w:r>
              <w:rPr>
                <w:rFonts w:ascii="Times New Roman"/>
                <w:sz w:val="18"/>
              </w:rPr>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333,999.22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176,637.05</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118,327.05</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12,235.70</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137,334.31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127,853.61</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4,775,391.90</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3,779,516.72</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after="0" w:line="240" w:lineRule="auto"/>
        <w:jc w:val="left"/>
        <w:sectPr>
          <w:footerReference w:type="default" r:id="rId30"/>
          <w:pgSz w:w="11910" w:h="16840"/>
          <w:pgMar w:footer="982" w:header="877" w:top="1100" w:bottom="1180" w:left="980" w:right="980"/>
          <w:pgNumType w:start="110"/>
        </w:sectPr>
      </w:pPr>
    </w:p>
    <w:p>
      <w:pPr>
        <w:spacing w:line="240" w:lineRule="auto" w:before="11"/>
        <w:rPr>
          <w:rFonts w:ascii="宋体" w:hAnsi="宋体" w:cs="宋体" w:eastAsia="宋体" w:hint="default"/>
          <w:sz w:val="20"/>
          <w:szCs w:val="20"/>
        </w:rPr>
      </w:pPr>
    </w:p>
    <w:p>
      <w:pPr>
        <w:pStyle w:val="Heading3"/>
        <w:spacing w:line="240" w:lineRule="auto" w:before="36"/>
        <w:ind w:right="147"/>
        <w:jc w:val="left"/>
        <w:rPr>
          <w:b w:val="0"/>
          <w:bCs w:val="0"/>
        </w:rPr>
      </w:pPr>
      <w:bookmarkStart w:name="42、长期借款" w:id="374"/>
      <w:bookmarkEnd w:id="374"/>
      <w:r>
        <w:rPr>
          <w:b w:val="0"/>
          <w:bCs w:val="0"/>
        </w:rPr>
      </w:r>
      <w:bookmarkStart w:name="（1）长期借款分类" w:id="375"/>
      <w:bookmarkEnd w:id="375"/>
      <w:r>
        <w:rPr>
          <w:b w:val="0"/>
          <w:bCs w:val="0"/>
        </w:rPr>
      </w:r>
      <w:r>
        <w:rPr/>
        <w:t>（</w:t>
      </w:r>
      <w:r>
        <w:rPr>
          <w:rFonts w:ascii="Times New Roman" w:hAnsi="Times New Roman" w:cs="Times New Roman" w:eastAsia="Times New Roman" w:hint="default"/>
        </w:rPr>
        <w:t>3</w:t>
      </w:r>
      <w:bookmarkStart w:name="（3）账龄超过一年的大额其他应付款情况的说明" w:id="376"/>
      <w:bookmarkEnd w:id="376"/>
      <w:r>
        <w:rPr>
          <w:rFonts w:ascii="Times New Roman" w:hAnsi="Times New Roman" w:cs="Times New Roman" w:eastAsia="Times New Roman" w:hint="default"/>
        </w:rPr>
      </w:r>
      <w:r>
        <w:rPr/>
        <w:t>）账龄超过一年的大额其他应付款情况的说明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147"/>
        <w:jc w:val="left"/>
      </w:pPr>
      <w:r>
        <w:rPr/>
        <w:t>截至</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日止，无账龄超过一年的大额其他应付款。</w:t>
      </w:r>
    </w:p>
    <w:p>
      <w:pPr>
        <w:spacing w:line="240" w:lineRule="auto" w:before="13"/>
        <w:rPr>
          <w:rFonts w:ascii="宋体" w:hAnsi="宋体" w:cs="宋体" w:eastAsia="宋体" w:hint="default"/>
          <w:sz w:val="25"/>
          <w:szCs w:val="25"/>
        </w:rPr>
      </w:pPr>
    </w:p>
    <w:p>
      <w:pPr>
        <w:pStyle w:val="Heading3"/>
        <w:spacing w:line="240" w:lineRule="auto"/>
        <w:ind w:right="147"/>
        <w:jc w:val="left"/>
        <w:rPr>
          <w:b w:val="0"/>
          <w:bCs w:val="0"/>
        </w:rPr>
      </w:pPr>
      <w:r>
        <w:rPr/>
        <w:t>（</w:t>
      </w:r>
      <w:r>
        <w:rPr>
          <w:rFonts w:ascii="Times New Roman" w:hAnsi="Times New Roman" w:cs="Times New Roman" w:eastAsia="Times New Roman" w:hint="default"/>
        </w:rPr>
        <w:t>4</w:t>
      </w:r>
      <w:bookmarkStart w:name="（4）金额较大的其他应付款说明内容" w:id="377"/>
      <w:bookmarkEnd w:id="377"/>
      <w:r>
        <w:rPr>
          <w:rFonts w:ascii="Times New Roman" w:hAnsi="Times New Roman" w:cs="Times New Roman" w:eastAsia="Times New Roman" w:hint="default"/>
        </w:rPr>
      </w:r>
      <w:r>
        <w:rPr/>
        <w:t>）金额较大的其他应付款说明内容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40</w:t>
      </w:r>
      <w:bookmarkStart w:name="39、预计负债" w:id="378"/>
      <w:bookmarkEnd w:id="378"/>
      <w:r>
        <w:rPr>
          <w:rFonts w:ascii="Times New Roman" w:hAnsi="Times New Roman" w:cs="Times New Roman" w:eastAsia="Times New Roman" w:hint="default"/>
        </w:rPr>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）一年内到期的非流动</w:t>
      </w:r>
      <w:bookmarkStart w:name="40、一年内到期的非流动负债" w:id="379"/>
      <w:bookmarkEnd w:id="379"/>
      <w:r>
        <w:rPr/>
        <w:t>负债情况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1）一年内到期的非流动负债情况" w:id="380"/>
      <w:bookmarkEnd w:id="380"/>
      <w:r>
        <w:rPr/>
      </w:r>
      <w:bookmarkStart w:name="（2）一年内到期的长期借款" w:id="381"/>
      <w:bookmarkEnd w:id="381"/>
      <w:r>
        <w:rPr/>
      </w:r>
      <w:bookmarkStart w:name="（3）一年内到期的应付债券" w:id="382"/>
      <w:bookmarkEnd w:id="382"/>
      <w:r>
        <w:rPr/>
      </w:r>
      <w:bookmarkStart w:name="（4）一年内到期的长期应付款" w:id="383"/>
      <w:bookmarkEnd w:id="383"/>
      <w:r>
        <w:rPr/>
      </w:r>
      <w:bookmarkStart w:name="41、其他流动负债" w:id="384"/>
      <w:bookmarkEnd w:id="384"/>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0"/>
        <w:gridCol w:w="2921"/>
        <w:gridCol w:w="305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与以后年度收益相关的政府补助</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2,129,841.26</w:t>
            </w:r>
            <w:r>
              <w:rPr>
                <w:rFonts w:ascii="Times New Roman"/>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1,281,341.45</w:t>
            </w:r>
            <w:r>
              <w:rPr>
                <w:rFonts w:ascii="Times New Roman"/>
                <w:sz w:val="18"/>
              </w:rPr>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2,129,841.26</w:t>
            </w:r>
            <w:r>
              <w:rPr>
                <w:rFonts w:ascii="Times New Roman"/>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1,281,341.45</w:t>
            </w:r>
            <w:r>
              <w:rPr>
                <w:rFonts w:ascii="Times New Roman"/>
                <w:sz w:val="18"/>
              </w:rPr>
            </w:r>
          </w:p>
        </w:tc>
      </w:tr>
    </w:tbl>
    <w:p>
      <w:pPr>
        <w:pStyle w:val="BodyText"/>
        <w:spacing w:line="240" w:lineRule="auto" w:before="49"/>
        <w:ind w:right="147"/>
        <w:jc w:val="left"/>
      </w:pPr>
      <w:r>
        <w:rPr/>
        <w:t>其他流动负债说明</w:t>
      </w:r>
    </w:p>
    <w:p>
      <w:pPr>
        <w:pStyle w:val="BodyText"/>
        <w:spacing w:line="240" w:lineRule="auto" w:before="117"/>
        <w:ind w:left="512" w:right="147"/>
        <w:jc w:val="left"/>
      </w:pPr>
      <w:r>
        <w:rPr/>
        <w:t>其他流动负债增加</w:t>
      </w:r>
      <w:r>
        <w:rPr>
          <w:spacing w:val="-48"/>
        </w:rPr>
        <w:t> </w:t>
      </w:r>
      <w:r>
        <w:rPr>
          <w:rFonts w:ascii="Times New Roman" w:hAnsi="Times New Roman" w:cs="Times New Roman" w:eastAsia="Times New Roman" w:hint="default"/>
        </w:rPr>
        <w:t>88.85</w:t>
      </w:r>
      <w:r>
        <w:rPr>
          <w:rFonts w:ascii="Times New Roman" w:hAnsi="Times New Roman" w:cs="Times New Roman" w:eastAsia="Times New Roman" w:hint="default"/>
          <w:spacing w:val="-2"/>
        </w:rPr>
        <w:t> </w:t>
      </w:r>
      <w:r>
        <w:rPr/>
        <w:t>万元，增幅</w:t>
      </w:r>
      <w:r>
        <w:rPr>
          <w:spacing w:val="-48"/>
        </w:rPr>
        <w:t> </w:t>
      </w:r>
      <w:r>
        <w:rPr>
          <w:rFonts w:ascii="Times New Roman" w:hAnsi="Times New Roman" w:cs="Times New Roman" w:eastAsia="Times New Roman" w:hint="default"/>
        </w:rPr>
        <w:t>66.22%</w:t>
      </w:r>
      <w:r>
        <w:rPr/>
        <w:t>，主要系本年收到的政府补助增加。</w:t>
      </w:r>
    </w:p>
    <w:p>
      <w:pPr>
        <w:spacing w:line="240" w:lineRule="auto" w:before="13"/>
        <w:rPr>
          <w:rFonts w:ascii="宋体" w:hAnsi="宋体" w:cs="宋体" w:eastAsia="宋体" w:hint="default"/>
          <w:sz w:val="25"/>
          <w:szCs w:val="25"/>
        </w:rPr>
      </w:pPr>
    </w:p>
    <w:p>
      <w:pPr>
        <w:pStyle w:val="Heading3"/>
        <w:spacing w:line="240" w:lineRule="auto"/>
        <w:ind w:right="147"/>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bookmarkStart w:name="47、股本" w:id="385"/>
      <w:bookmarkEnd w:id="385"/>
      <w:r>
        <w:rPr>
          <w:b w:val="0"/>
          <w:bCs w:val="0"/>
        </w:rPr>
      </w:r>
      <w:r>
        <w:rPr/>
        <w:t>（</w:t>
      </w:r>
      <w:r>
        <w:rPr>
          <w:rFonts w:ascii="Times New Roman" w:hAnsi="Times New Roman" w:cs="Times New Roman" w:eastAsia="Times New Roman" w:hint="default"/>
        </w:rPr>
        <w:t>2</w:t>
      </w:r>
      <w:bookmarkStart w:name="（2）金额前五名的长期借款" w:id="386"/>
      <w:bookmarkEnd w:id="386"/>
      <w:r>
        <w:rPr>
          <w:rFonts w:ascii="Times New Roman" w:hAnsi="Times New Roman" w:cs="Times New Roman" w:eastAsia="Times New Roman" w:hint="default"/>
        </w:rPr>
      </w:r>
      <w:r>
        <w:rPr/>
        <w:t>）金额前五名的长期借款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44</w:t>
      </w:r>
      <w:bookmarkStart w:name="43、应付债券" w:id="387"/>
      <w:bookmarkEnd w:id="387"/>
      <w:r>
        <w:rPr>
          <w:rFonts w:ascii="Times New Roman" w:hAnsi="Times New Roman" w:cs="Times New Roman" w:eastAsia="Times New Roman" w:hint="default"/>
        </w:rPr>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）金额前五名长期应付</w:t>
      </w:r>
      <w:bookmarkStart w:name="44、长期应付款" w:id="388"/>
      <w:bookmarkEnd w:id="388"/>
      <w:r>
        <w:rPr/>
        <w:t>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）长期应付款中的应付</w:t>
      </w:r>
      <w:bookmarkStart w:name="（1）金额前五名长期应付款情况" w:id="389"/>
      <w:bookmarkEnd w:id="389"/>
      <w:r>
        <w:rPr/>
        <w:t>融资租赁款明细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bookmarkStart w:name="（2）长期应付款中的应付融资租赁款明细" w:id="390"/>
      <w:bookmarkEnd w:id="390"/>
      <w:r>
        <w:rPr/>
      </w:r>
      <w:bookmarkStart w:name="45、专项应付款" w:id="391"/>
      <w:bookmarkEnd w:id="391"/>
      <w:r>
        <w:rPr/>
      </w:r>
      <w:bookmarkStart w:name="46、其他非流动负债" w:id="392"/>
      <w:bookmarkEnd w:id="392"/>
      <w:r>
        <w:rPr/>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2"/>
        <w:gridCol w:w="2789"/>
        <w:gridCol w:w="3058"/>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榕基</w:t>
            </w:r>
            <w:r>
              <w:rPr>
                <w:rFonts w:ascii="Times New Roman" w:hAnsi="Times New Roman" w:cs="Times New Roman" w:eastAsia="Times New Roman" w:hint="default"/>
                <w:sz w:val="18"/>
                <w:szCs w:val="18"/>
              </w:rPr>
              <w:t>-</w:t>
            </w:r>
            <w:r>
              <w:rPr>
                <w:rFonts w:ascii="宋体" w:hAnsi="宋体" w:cs="宋体" w:eastAsia="宋体" w:hint="default"/>
                <w:sz w:val="18"/>
                <w:szCs w:val="18"/>
              </w:rPr>
              <w:t>马鞍山软件园</w:t>
            </w:r>
            <w:r>
              <w:rPr>
                <w:rFonts w:ascii="Times New Roman" w:hAnsi="Times New Roman" w:cs="Times New Roman" w:eastAsia="Times New Roman" w:hint="default"/>
                <w:sz w:val="18"/>
                <w:szCs w:val="18"/>
              </w:rPr>
              <w:t>"</w:t>
            </w:r>
            <w:r>
              <w:rPr>
                <w:rFonts w:ascii="宋体" w:hAnsi="宋体" w:cs="宋体" w:eastAsia="宋体" w:hint="default"/>
                <w:sz w:val="18"/>
                <w:szCs w:val="18"/>
              </w:rPr>
              <w:t>项目补助资金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12,286,500.00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与以后年度收益相关的政府补助</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668,292.68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428,292.69</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12,954,792.68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428,292.69</w:t>
            </w:r>
          </w:p>
        </w:tc>
      </w:tr>
    </w:tbl>
    <w:p>
      <w:pPr>
        <w:pStyle w:val="BodyText"/>
        <w:spacing w:line="240" w:lineRule="auto" w:before="49"/>
        <w:ind w:right="0"/>
        <w:jc w:val="left"/>
      </w:pPr>
      <w:r>
        <w:rPr/>
        <w:t>其他非流动负债说明，包括本报告期取得的各类与资产相关、与收益相关的政府补助及其期末金额</w:t>
      </w:r>
    </w:p>
    <w:p>
      <w:pPr>
        <w:pStyle w:val="BodyText"/>
        <w:spacing w:line="240" w:lineRule="auto" w:before="115"/>
        <w:ind w:right="0"/>
        <w:jc w:val="left"/>
      </w:pPr>
      <w:r>
        <w:rPr/>
        <w:t>注</w:t>
      </w:r>
      <w:r>
        <w:rPr>
          <w:spacing w:val="-39"/>
        </w:rPr>
        <w:t> </w:t>
      </w:r>
      <w:r>
        <w:rPr>
          <w:rFonts w:ascii="Times New Roman" w:hAnsi="Times New Roman" w:cs="Times New Roman" w:eastAsia="Times New Roman" w:hint="default"/>
          <w:spacing w:val="-3"/>
        </w:rPr>
        <w:t>1</w:t>
      </w:r>
      <w:r>
        <w:rPr>
          <w:spacing w:val="-3"/>
        </w:rPr>
        <w:t>：根据马鞍山市秀山新区建设指挥部</w:t>
      </w:r>
      <w:r>
        <w:rPr>
          <w:spacing w:val="-3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3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7"/>
        </w:rPr>
        <w:t> </w:t>
      </w:r>
      <w:r>
        <w:rPr>
          <w:spacing w:val="-3"/>
        </w:rPr>
        <w:t>月下发的关于给予榕基软件园项目建设专项资金的意见（马秀山【</w:t>
      </w:r>
      <w:r>
        <w:rPr>
          <w:rFonts w:ascii="Times New Roman" w:hAnsi="Times New Roman" w:cs="Times New Roman" w:eastAsia="Times New Roman" w:hint="default"/>
          <w:spacing w:val="-3"/>
        </w:rPr>
        <w:t>2012</w:t>
      </w:r>
      <w:r>
        <w:rPr>
          <w:spacing w:val="-3"/>
        </w:rPr>
        <w:t>】</w:t>
      </w:r>
    </w:p>
    <w:p>
      <w:pPr>
        <w:pStyle w:val="BodyText"/>
        <w:spacing w:line="240" w:lineRule="auto" w:before="62"/>
        <w:ind w:right="0"/>
        <w:jc w:val="left"/>
      </w:pPr>
      <w:r>
        <w:rPr>
          <w:rFonts w:ascii="Times New Roman" w:hAnsi="Times New Roman" w:cs="Times New Roman" w:eastAsia="Times New Roman" w:hint="default"/>
          <w:spacing w:val="1"/>
        </w:rPr>
        <w:t>7</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spacing w:val="-92"/>
        </w:rPr>
        <w:t>）</w:t>
      </w:r>
      <w:r>
        <w:rPr/>
        <w:t>，财政专项资金全部</w:t>
      </w:r>
      <w:r>
        <w:rPr>
          <w:spacing w:val="-3"/>
        </w:rPr>
        <w:t>用</w:t>
      </w:r>
      <w:r>
        <w:rPr/>
        <w:t>于项目建设。</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年度公司</w:t>
      </w:r>
      <w:r>
        <w:rPr>
          <w:spacing w:val="-3"/>
        </w:rPr>
        <w:t>收</w:t>
      </w:r>
      <w:r>
        <w:rPr/>
        <w:t>到补助资金</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万元。</w:t>
      </w:r>
    </w:p>
    <w:p>
      <w:pPr>
        <w:pStyle w:val="BodyText"/>
        <w:spacing w:line="300" w:lineRule="auto" w:before="103"/>
        <w:ind w:right="192"/>
        <w:jc w:val="left"/>
      </w:pPr>
      <w:r>
        <w:rPr/>
        <w:t>注</w:t>
      </w:r>
      <w:r>
        <w:rPr>
          <w:spacing w:val="-35"/>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年，本公司收到福建省鼓楼区财政局拨付的无线信息服务平台（</w:t>
      </w:r>
      <w:r>
        <w:rPr>
          <w:rFonts w:ascii="Times New Roman" w:hAnsi="Times New Roman" w:cs="Times New Roman" w:eastAsia="Times New Roman" w:hint="default"/>
        </w:rPr>
        <w:t>RJ-WISP</w:t>
      </w:r>
      <w:r>
        <w:rPr/>
        <w:t>）资金补助</w:t>
      </w:r>
      <w:r>
        <w:rPr>
          <w:spacing w:val="-35"/>
        </w:rPr>
        <w:t> </w:t>
      </w:r>
      <w:r>
        <w:rPr>
          <w:rFonts w:ascii="Times New Roman" w:hAnsi="Times New Roman" w:cs="Times New Roman" w:eastAsia="Times New Roman" w:hint="default"/>
        </w:rPr>
        <w:t>50</w:t>
      </w:r>
      <w:r>
        <w:rPr>
          <w:rFonts w:ascii="Times New Roman" w:hAnsi="Times New Roman" w:cs="Times New Roman" w:eastAsia="Times New Roman" w:hint="default"/>
          <w:spacing w:val="11"/>
        </w:rPr>
        <w:t> </w:t>
      </w:r>
      <w:r>
        <w:rPr/>
        <w:t>万元，计入本年度营业 外收入</w:t>
      </w:r>
      <w:r>
        <w:rPr>
          <w:rFonts w:ascii="Times New Roman" w:hAnsi="Times New Roman" w:cs="Times New Roman" w:eastAsia="Times New Roman" w:hint="default"/>
        </w:rPr>
        <w:t>-</w:t>
      </w:r>
      <w:r>
        <w:rPr/>
        <w:t>政府补助</w:t>
      </w:r>
      <w:r>
        <w:rPr>
          <w:spacing w:val="-48"/>
        </w:rPr>
        <w:t> </w:t>
      </w:r>
      <w:r>
        <w:rPr>
          <w:rFonts w:ascii="Times New Roman" w:hAnsi="Times New Roman" w:cs="Times New Roman" w:eastAsia="Times New Roman" w:hint="default"/>
        </w:rPr>
        <w:t>146,341.46</w:t>
      </w:r>
      <w:r>
        <w:rPr>
          <w:rFonts w:ascii="Times New Roman" w:hAnsi="Times New Roman" w:cs="Times New Roman" w:eastAsia="Times New Roman" w:hint="default"/>
          <w:spacing w:val="-2"/>
        </w:rPr>
        <w:t> </w:t>
      </w:r>
      <w:r>
        <w:rPr/>
        <w:t>元，计入其他非流动负债</w:t>
      </w:r>
      <w:r>
        <w:rPr>
          <w:spacing w:val="-48"/>
        </w:rPr>
        <w:t> </w:t>
      </w:r>
      <w:r>
        <w:rPr>
          <w:rFonts w:ascii="Times New Roman" w:hAnsi="Times New Roman" w:cs="Times New Roman" w:eastAsia="Times New Roman" w:hint="default"/>
        </w:rPr>
        <w:t>268,292.68</w:t>
      </w:r>
      <w:r>
        <w:rPr>
          <w:rFonts w:ascii="Times New Roman" w:hAnsi="Times New Roman" w:cs="Times New Roman" w:eastAsia="Times New Roman" w:hint="default"/>
          <w:spacing w:val="-2"/>
        </w:rPr>
        <w:t> </w:t>
      </w:r>
      <w:r>
        <w:rPr/>
        <w:t>元。</w:t>
      </w:r>
    </w:p>
    <w:p>
      <w:pPr>
        <w:pStyle w:val="BodyText"/>
        <w:spacing w:line="300" w:lineRule="auto" w:before="51"/>
        <w:ind w:left="153" w:right="183" w:hanging="1"/>
        <w:jc w:val="left"/>
      </w:pPr>
      <w:r>
        <w:rPr/>
        <w:t>注</w:t>
      </w:r>
      <w:r>
        <w:rPr>
          <w:spacing w:val="-45"/>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年，本公司收到福州市公务员局拨付的海西创业英才专项奖励</w:t>
      </w:r>
      <w:r>
        <w:rPr>
          <w:spacing w:val="-46"/>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t>万元，该奖励用于购买车辆补助，计入其他非 流动负债。</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47</w:t>
      </w:r>
      <w:r>
        <w:rPr/>
        <w:t>、股本</w:t>
      </w:r>
      <w:r>
        <w:rPr>
          <w:b w:val="0"/>
          <w:bCs w:val="0"/>
        </w:rPr>
      </w:r>
    </w:p>
    <w:p>
      <w:pPr>
        <w:spacing w:after="0" w:line="240" w:lineRule="auto"/>
        <w:jc w:val="left"/>
        <w:sectPr>
          <w:pgSz w:w="11910" w:h="16840"/>
          <w:pgMar w:header="877" w:footer="982" w:top="1100" w:bottom="1180" w:left="980" w:right="940"/>
        </w:sectPr>
      </w:pPr>
    </w:p>
    <w:p>
      <w:pPr>
        <w:spacing w:line="240" w:lineRule="auto" w:before="11"/>
        <w:rPr>
          <w:rFonts w:ascii="宋体" w:hAnsi="宋体" w:cs="宋体" w:eastAsia="宋体" w:hint="default"/>
          <w:b/>
          <w:bCs/>
          <w:sz w:val="21"/>
          <w:szCs w:val="21"/>
        </w:rPr>
      </w:pPr>
    </w:p>
    <w:p>
      <w:pPr>
        <w:pStyle w:val="BodyText"/>
        <w:spacing w:line="240" w:lineRule="auto" w:before="44"/>
        <w:ind w:left="0" w:right="173"/>
        <w:jc w:val="right"/>
      </w:pPr>
      <w:bookmarkStart w:name="51、盈余公积" w:id="393"/>
      <w:bookmarkEnd w:id="393"/>
      <w:r>
        <w:rPr/>
      </w: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210"/>
        <w:gridCol w:w="1183"/>
        <w:gridCol w:w="1195"/>
        <w:gridCol w:w="1198"/>
        <w:gridCol w:w="1195"/>
        <w:gridCol w:w="1184"/>
        <w:gridCol w:w="1208"/>
      </w:tblGrid>
      <w:tr>
        <w:trPr>
          <w:trHeight w:val="206" w:hRule="exact"/>
        </w:trPr>
        <w:tc>
          <w:tcPr>
            <w:tcW w:w="1183" w:type="dxa"/>
            <w:tcBorders>
              <w:top w:val="single" w:sz="4" w:space="0" w:color="000000"/>
              <w:left w:val="single" w:sz="4" w:space="0" w:color="000000"/>
              <w:bottom w:val="nil" w:sz="6" w:space="0" w:color="auto"/>
              <w:right w:val="single" w:sz="4" w:space="0" w:color="000000"/>
            </w:tcBorders>
            <w:shd w:val="clear" w:color="auto" w:fill="D4D4D4"/>
          </w:tcPr>
          <w:p>
            <w:pPr/>
          </w:p>
        </w:tc>
        <w:tc>
          <w:tcPr>
            <w:tcW w:w="1210" w:type="dxa"/>
            <w:tcBorders>
              <w:top w:val="single" w:sz="4" w:space="0" w:color="000000"/>
              <w:left w:val="single" w:sz="4" w:space="0" w:color="000000"/>
              <w:bottom w:val="nil" w:sz="6" w:space="0" w:color="auto"/>
              <w:right w:val="single" w:sz="4" w:space="0" w:color="000000"/>
            </w:tcBorders>
            <w:shd w:val="clear" w:color="auto" w:fill="D4D4D4"/>
          </w:tcPr>
          <w:p>
            <w:pPr/>
          </w:p>
        </w:tc>
        <w:tc>
          <w:tcPr>
            <w:tcW w:w="5956"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0" w:hRule="exact"/>
        </w:trPr>
        <w:tc>
          <w:tcPr>
            <w:tcW w:w="1183" w:type="dxa"/>
            <w:vMerge w:val="restart"/>
            <w:tcBorders>
              <w:top w:val="nil" w:sz="6" w:space="0" w:color="auto"/>
              <w:left w:val="single" w:sz="4" w:space="0" w:color="000000"/>
              <w:right w:val="single" w:sz="4" w:space="0" w:color="000000"/>
            </w:tcBorders>
            <w:shd w:val="clear" w:color="auto" w:fill="D4D4D4"/>
          </w:tcPr>
          <w:p>
            <w:pPr/>
          </w:p>
        </w:tc>
        <w:tc>
          <w:tcPr>
            <w:tcW w:w="121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6" w:type="dxa"/>
            <w:gridSpan w:val="5"/>
            <w:vMerge/>
            <w:tcBorders>
              <w:left w:val="single" w:sz="4" w:space="0" w:color="000000"/>
              <w:bottom w:val="single" w:sz="4" w:space="0" w:color="000000"/>
              <w:right w:val="single" w:sz="4" w:space="0" w:color="000000"/>
            </w:tcBorders>
            <w:shd w:val="clear" w:color="auto" w:fill="D4D4D4"/>
          </w:tcPr>
          <w:p>
            <w:pPr/>
          </w:p>
        </w:tc>
        <w:tc>
          <w:tcPr>
            <w:tcW w:w="12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02" w:hRule="exact"/>
        </w:trPr>
        <w:tc>
          <w:tcPr>
            <w:tcW w:w="1183" w:type="dxa"/>
            <w:vMerge/>
            <w:tcBorders>
              <w:left w:val="single" w:sz="4" w:space="0" w:color="000000"/>
              <w:bottom w:val="nil" w:sz="6" w:space="0" w:color="auto"/>
              <w:right w:val="single" w:sz="4" w:space="0" w:color="000000"/>
            </w:tcBorders>
            <w:shd w:val="clear" w:color="auto" w:fill="D4D4D4"/>
          </w:tcPr>
          <w:p>
            <w:pPr/>
          </w:p>
        </w:tc>
        <w:tc>
          <w:tcPr>
            <w:tcW w:w="1210" w:type="dxa"/>
            <w:vMerge/>
            <w:tcBorders>
              <w:left w:val="single" w:sz="4" w:space="0" w:color="000000"/>
              <w:bottom w:val="nil" w:sz="6" w:space="0" w:color="auto"/>
              <w:right w:val="single" w:sz="4" w:space="0" w:color="000000"/>
            </w:tcBorders>
            <w:shd w:val="clear" w:color="auto" w:fill="D4D4D4"/>
          </w:tcPr>
          <w:p>
            <w:pPr/>
          </w:p>
        </w:tc>
        <w:tc>
          <w:tcPr>
            <w:tcW w:w="118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183" w:type="dxa"/>
            <w:tcBorders>
              <w:top w:val="nil" w:sz="6" w:space="0" w:color="auto"/>
              <w:left w:val="single" w:sz="4" w:space="0" w:color="000000"/>
              <w:bottom w:val="single" w:sz="4" w:space="0" w:color="000000"/>
              <w:right w:val="single" w:sz="4" w:space="0" w:color="000000"/>
            </w:tcBorders>
            <w:shd w:val="clear" w:color="auto" w:fill="D4D4D4"/>
          </w:tcPr>
          <w:p>
            <w:pPr/>
          </w:p>
        </w:tc>
        <w:tc>
          <w:tcPr>
            <w:tcW w:w="1210" w:type="dxa"/>
            <w:tcBorders>
              <w:top w:val="nil" w:sz="6" w:space="0" w:color="auto"/>
              <w:left w:val="single" w:sz="4" w:space="0" w:color="000000"/>
              <w:bottom w:val="single" w:sz="4" w:space="0" w:color="000000"/>
              <w:right w:val="single" w:sz="4" w:space="0" w:color="000000"/>
            </w:tcBorders>
            <w:shd w:val="clear" w:color="auto" w:fill="D4D4D4"/>
          </w:tcPr>
          <w:p>
            <w:pPr/>
          </w:p>
        </w:tc>
        <w:tc>
          <w:tcPr>
            <w:tcW w:w="1183"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20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1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103,700,000.00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103,700,000.00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103,700,000.00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207,400,000.00</w:t>
            </w:r>
          </w:p>
        </w:tc>
      </w:tr>
    </w:tbl>
    <w:p>
      <w:pPr>
        <w:pStyle w:val="BodyText"/>
        <w:spacing w:line="240" w:lineRule="auto" w:before="49"/>
        <w:ind w:right="0"/>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5"/>
        </w:rPr>
        <w:t> </w:t>
      </w:r>
      <w:r>
        <w:rPr>
          <w:rFonts w:ascii="Times New Roman" w:hAnsi="Times New Roman" w:cs="Times New Roman" w:eastAsia="Times New Roman" w:hint="default"/>
        </w:rPr>
        <w:t>3</w:t>
      </w:r>
    </w:p>
    <w:p>
      <w:pPr>
        <w:pStyle w:val="BodyText"/>
        <w:spacing w:line="240" w:lineRule="auto" w:before="62"/>
        <w:ind w:right="0"/>
        <w:jc w:val="left"/>
      </w:pPr>
      <w:r>
        <w:rPr/>
        <w:t>年的股份有限公司，设立前的年份只需说明净资产情况；有限责任公司整体变更为股份公司应说明公司设立时的验资情况</w:t>
      </w:r>
    </w:p>
    <w:p>
      <w:pPr>
        <w:pStyle w:val="BodyText"/>
        <w:spacing w:line="240" w:lineRule="auto" w:before="117"/>
        <w:ind w:left="0" w:right="175"/>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日，经中国证券监督管理委员会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[2010]1099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文《关于核准福建榕基软件股份有限公司首次</w:t>
      </w:r>
    </w:p>
    <w:p>
      <w:pPr>
        <w:pStyle w:val="BodyText"/>
        <w:spacing w:line="240" w:lineRule="auto" w:before="62"/>
        <w:ind w:right="0"/>
        <w:jc w:val="left"/>
      </w:pPr>
      <w:r>
        <w:rPr/>
        <w:t>公开发行股票的批复》核准，本公司向社会公开发行</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60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万股人民币普通股（</w:t>
      </w:r>
      <w:r>
        <w:rPr>
          <w:rFonts w:ascii="Times New Roman" w:hAnsi="Times New Roman" w:cs="Times New Roman" w:eastAsia="Times New Roman" w:hint="default"/>
          <w:w w:val="99"/>
        </w:rPr>
        <w:t>A</w:t>
      </w:r>
      <w:r>
        <w:rPr>
          <w:rFonts w:ascii="Times New Roman" w:hAnsi="Times New Roman" w:cs="Times New Roman" w:eastAsia="Times New Roman" w:hint="default"/>
          <w:spacing w:val="-3"/>
        </w:rPr>
        <w:t> </w:t>
      </w:r>
      <w:r>
        <w:rPr/>
        <w:t>股</w:t>
      </w:r>
      <w:r>
        <w:rPr>
          <w:spacing w:val="-92"/>
        </w:rPr>
        <w:t>）</w:t>
      </w:r>
      <w:r>
        <w:rPr/>
        <w:t>，</w:t>
      </w:r>
      <w:r>
        <w:rPr>
          <w:spacing w:val="2"/>
        </w:rPr>
        <w:t>并</w:t>
      </w:r>
      <w:r>
        <w:rPr/>
        <w:t>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日在深圳</w:t>
      </w:r>
      <w:r>
        <w:rPr>
          <w:spacing w:val="-3"/>
        </w:rPr>
        <w:t>证</w:t>
      </w:r>
      <w:r>
        <w:rPr/>
        <w:t>券</w:t>
      </w:r>
    </w:p>
    <w:p>
      <w:pPr>
        <w:pStyle w:val="BodyText"/>
        <w:spacing w:line="240" w:lineRule="auto" w:before="62"/>
        <w:ind w:right="0"/>
        <w:jc w:val="left"/>
      </w:pPr>
      <w:r>
        <w:rPr>
          <w:spacing w:val="-2"/>
        </w:rPr>
        <w:t>交易所挂牌交易，发行后注册资本变更为人民币</w:t>
      </w:r>
      <w:r>
        <w:rPr/>
        <w:t> </w:t>
      </w:r>
      <w:r>
        <w:rPr>
          <w:rFonts w:ascii="Times New Roman" w:hAnsi="Times New Roman" w:cs="Times New Roman" w:eastAsia="Times New Roman" w:hint="default"/>
          <w:spacing w:val="-1"/>
        </w:rPr>
        <w:t>10,370.00</w:t>
      </w:r>
      <w:r>
        <w:rPr>
          <w:rFonts w:ascii="Times New Roman" w:hAnsi="Times New Roman" w:cs="Times New Roman" w:eastAsia="Times New Roman" w:hint="default"/>
          <w:spacing w:val="-12"/>
        </w:rPr>
        <w:t> </w:t>
      </w:r>
      <w:r>
        <w:rPr>
          <w:spacing w:val="-2"/>
        </w:rPr>
        <w:t>万元，本次变更业经天健正信会计师事务所有限公司出具</w:t>
      </w:r>
      <w:r>
        <w:rPr>
          <w:rFonts w:ascii="Times New Roman" w:hAnsi="Times New Roman" w:cs="Times New Roman" w:eastAsia="Times New Roman" w:hint="default"/>
          <w:spacing w:val="-2"/>
        </w:rPr>
        <w:t>“</w:t>
      </w:r>
      <w:r>
        <w:rPr>
          <w:spacing w:val="-2"/>
        </w:rPr>
        <w:t>天健正</w:t>
      </w:r>
    </w:p>
    <w:p>
      <w:pPr>
        <w:pStyle w:val="BodyText"/>
        <w:spacing w:line="240" w:lineRule="auto" w:before="62"/>
        <w:ind w:right="0"/>
        <w:jc w:val="left"/>
      </w:pPr>
      <w:r>
        <w:rPr/>
        <w:t>信验（</w:t>
      </w:r>
      <w:r>
        <w:rPr>
          <w:rFonts w:ascii="Times New Roman" w:hAnsi="Times New Roman" w:cs="Times New Roman" w:eastAsia="Times New Roman" w:hint="default"/>
        </w:rPr>
        <w:t>2010</w:t>
      </w:r>
      <w:r>
        <w:rPr/>
        <w:t>）综字第</w:t>
      </w:r>
      <w:r>
        <w:rPr>
          <w:spacing w:val="-50"/>
        </w:rPr>
        <w:t> </w:t>
      </w:r>
      <w:r>
        <w:rPr>
          <w:rFonts w:ascii="Times New Roman" w:hAnsi="Times New Roman" w:cs="Times New Roman" w:eastAsia="Times New Roman" w:hint="default"/>
        </w:rPr>
        <w:t>020115</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《验资报告》予以验证。</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日，本公司将资本公积</w:t>
      </w:r>
      <w:r>
        <w:rPr>
          <w:spacing w:val="-48"/>
        </w:rPr>
        <w:t> </w:t>
      </w:r>
      <w:r>
        <w:rPr>
          <w:rFonts w:ascii="Times New Roman" w:hAnsi="Times New Roman" w:cs="Times New Roman" w:eastAsia="Times New Roman" w:hint="default"/>
        </w:rPr>
        <w:t>10,370</w:t>
      </w:r>
      <w:r>
        <w:rPr>
          <w:rFonts w:ascii="Times New Roman" w:hAnsi="Times New Roman" w:cs="Times New Roman" w:eastAsia="Times New Roman" w:hint="default"/>
          <w:spacing w:val="-2"/>
        </w:rPr>
        <w:t> </w:t>
      </w:r>
      <w:r>
        <w:rPr/>
        <w:t>万元予以转增资本，</w:t>
      </w:r>
    </w:p>
    <w:p>
      <w:pPr>
        <w:pStyle w:val="BodyText"/>
        <w:spacing w:line="240" w:lineRule="auto" w:before="62"/>
        <w:ind w:right="0"/>
        <w:jc w:val="left"/>
      </w:pPr>
      <w:r>
        <w:rPr/>
        <w:t>转增后注册资本变更为人民币</w:t>
      </w:r>
      <w:r>
        <w:rPr>
          <w:spacing w:val="-62"/>
        </w:rPr>
        <w:t> </w:t>
      </w:r>
      <w:r>
        <w:rPr>
          <w:rFonts w:ascii="Times New Roman" w:hAnsi="Times New Roman" w:cs="Times New Roman" w:eastAsia="Times New Roman" w:hint="default"/>
        </w:rPr>
        <w:t>20,740</w:t>
      </w:r>
      <w:r>
        <w:rPr>
          <w:rFonts w:ascii="Times New Roman" w:hAnsi="Times New Roman" w:cs="Times New Roman" w:eastAsia="Times New Roman" w:hint="default"/>
          <w:spacing w:val="-17"/>
        </w:rPr>
        <w:t> </w:t>
      </w:r>
      <w:r>
        <w:rPr/>
        <w:t>万元。本次变更业经天健正信会计师事务所有限公司出具</w:t>
      </w:r>
      <w:r>
        <w:rPr>
          <w:rFonts w:ascii="Times New Roman" w:hAnsi="Times New Roman" w:cs="Times New Roman" w:eastAsia="Times New Roman" w:hint="default"/>
        </w:rPr>
        <w:t>“</w:t>
      </w:r>
      <w:r>
        <w:rPr/>
        <w:t>天健正信验（</w:t>
      </w:r>
      <w:r>
        <w:rPr>
          <w:rFonts w:ascii="Times New Roman" w:hAnsi="Times New Roman" w:cs="Times New Roman" w:eastAsia="Times New Roman" w:hint="default"/>
        </w:rPr>
        <w:t>2012</w:t>
      </w:r>
      <w:r>
        <w:rPr/>
        <w:t>）综字第</w:t>
      </w:r>
    </w:p>
    <w:p>
      <w:pPr>
        <w:pStyle w:val="BodyText"/>
        <w:spacing w:line="240" w:lineRule="auto" w:before="62"/>
        <w:ind w:right="0"/>
        <w:jc w:val="left"/>
      </w:pPr>
      <w:r>
        <w:rPr>
          <w:rFonts w:ascii="Times New Roman" w:hAnsi="Times New Roman" w:cs="Times New Roman" w:eastAsia="Times New Roman" w:hint="default"/>
        </w:rPr>
        <w:t>020053</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《验资报告》予以验证。</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73"/>
        <w:jc w:val="right"/>
      </w:pPr>
      <w:bookmarkStart w:name="48、库存股" w:id="394"/>
      <w:bookmarkEnd w:id="394"/>
      <w:r>
        <w:rPr/>
      </w:r>
      <w:bookmarkStart w:name="49、专项储备" w:id="395"/>
      <w:bookmarkEnd w:id="395"/>
      <w:r>
        <w:rPr/>
      </w:r>
      <w:bookmarkStart w:name="50、资本公积" w:id="396"/>
      <w:bookmarkEnd w:id="396"/>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2"/>
        <w:gridCol w:w="1872"/>
        <w:gridCol w:w="1992"/>
        <w:gridCol w:w="1728"/>
        <w:gridCol w:w="1594"/>
      </w:tblGrid>
      <w:tr>
        <w:trPr>
          <w:trHeight w:val="401"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880,943,237.65</w:t>
            </w:r>
            <w:r>
              <w:rPr>
                <w:rFonts w:ascii="Times New Roman"/>
                <w:sz w:val="18"/>
              </w:rPr>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103,700,000.00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777,243,237.65</w:t>
            </w:r>
            <w:r>
              <w:rPr>
                <w:rFonts w:ascii="Times New Roman"/>
                <w:sz w:val="18"/>
              </w:rPr>
            </w:r>
          </w:p>
        </w:tc>
      </w:tr>
      <w:tr>
        <w:trPr>
          <w:trHeight w:val="401"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1,199,513.23</w:t>
            </w:r>
            <w:r>
              <w:rPr>
                <w:rFonts w:ascii="Times New Roman"/>
                <w:sz w:val="18"/>
              </w:rPr>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1,199,513.23</w:t>
            </w:r>
            <w:r>
              <w:rPr>
                <w:rFonts w:ascii="Times New Roman"/>
                <w:sz w:val="18"/>
              </w:rPr>
            </w: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882,142,750.88</w:t>
            </w:r>
            <w:r>
              <w:rPr>
                <w:rFonts w:ascii="Times New Roman"/>
                <w:sz w:val="18"/>
              </w:rPr>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103,700,000.00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778,442,750.88</w:t>
            </w:r>
            <w:r>
              <w:rPr>
                <w:rFonts w:ascii="Times New Roman"/>
                <w:sz w:val="18"/>
              </w:rPr>
            </w:r>
          </w:p>
        </w:tc>
      </w:tr>
    </w:tbl>
    <w:p>
      <w:pPr>
        <w:pStyle w:val="BodyText"/>
        <w:spacing w:line="240" w:lineRule="auto" w:before="49"/>
        <w:ind w:right="0"/>
        <w:jc w:val="left"/>
      </w:pPr>
      <w:r>
        <w:rPr/>
        <w:t>资本公积说明</w:t>
      </w:r>
    </w:p>
    <w:p>
      <w:pPr>
        <w:pStyle w:val="BodyText"/>
        <w:spacing w:line="240" w:lineRule="auto" w:before="115"/>
        <w:ind w:left="0" w:right="190"/>
        <w:jc w:val="right"/>
      </w:pPr>
      <w:r>
        <w:rPr/>
        <w:t>本公司</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日召开的</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年度股东大会通过的利润分配方案为：以</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年年末总股本</w:t>
      </w:r>
      <w:r>
        <w:rPr>
          <w:spacing w:val="-48"/>
        </w:rPr>
        <w:t> </w:t>
      </w:r>
      <w:r>
        <w:rPr>
          <w:rFonts w:ascii="Times New Roman" w:hAnsi="Times New Roman" w:cs="Times New Roman" w:eastAsia="Times New Roman" w:hint="default"/>
        </w:rPr>
        <w:t>103,700,000</w:t>
      </w:r>
      <w:r>
        <w:rPr>
          <w:rFonts w:ascii="Times New Roman" w:hAnsi="Times New Roman" w:cs="Times New Roman" w:eastAsia="Times New Roman" w:hint="default"/>
          <w:spacing w:val="-2"/>
        </w:rPr>
        <w:t> </w:t>
      </w:r>
      <w:r>
        <w:rPr/>
        <w:t>股为基</w:t>
      </w:r>
    </w:p>
    <w:p>
      <w:pPr>
        <w:pStyle w:val="BodyText"/>
        <w:spacing w:line="240" w:lineRule="auto" w:before="62"/>
        <w:ind w:right="0"/>
        <w:jc w:val="left"/>
        <w:rPr>
          <w:rFonts w:ascii="Times New Roman" w:hAnsi="Times New Roman" w:cs="Times New Roman" w:eastAsia="Times New Roman" w:hint="default"/>
        </w:rPr>
      </w:pPr>
      <w:r>
        <w:rPr/>
        <w:t>数</w:t>
      </w:r>
      <w:r>
        <w:rPr>
          <w:spacing w:val="-63"/>
        </w:rPr>
        <w:t>，</w:t>
      </w:r>
      <w:r>
        <w:rPr/>
        <w:t>向全体股东每</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股派</w:t>
      </w:r>
      <w:r>
        <w:rPr>
          <w:spacing w:val="-3"/>
        </w:rPr>
        <w:t>现</w:t>
      </w:r>
      <w:r>
        <w:rPr/>
        <w:t>金</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63"/>
        </w:rPr>
        <w:t>元</w:t>
      </w:r>
      <w:r>
        <w:rPr/>
        <w:t>（均含税</w:t>
      </w:r>
      <w:r>
        <w:rPr>
          <w:spacing w:val="-92"/>
        </w:rPr>
        <w:t>）</w:t>
      </w:r>
      <w:r>
        <w:rPr>
          <w:spacing w:val="-63"/>
        </w:rPr>
        <w:t>，</w:t>
      </w:r>
      <w:r>
        <w:rPr/>
        <w:t>共派发股利</w:t>
      </w:r>
      <w:r>
        <w:rPr>
          <w:spacing w:val="-45"/>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9"/>
        </w:rPr>
        <w:t>1</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r>
        <w:rPr>
          <w:spacing w:val="-63"/>
        </w:rPr>
        <w:t>，</w:t>
      </w:r>
      <w:r>
        <w:rPr/>
        <w:t>同时以</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日的总股本</w:t>
      </w:r>
      <w:r>
        <w:rPr>
          <w:spacing w:val="-4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00</w:t>
      </w:r>
      <w:r>
        <w:rPr>
          <w:rFonts w:ascii="Times New Roman" w:hAnsi="Times New Roman" w:cs="Times New Roman" w:eastAsia="Times New Roman" w:hint="default"/>
        </w:rPr>
      </w:r>
    </w:p>
    <w:p>
      <w:pPr>
        <w:pStyle w:val="BodyText"/>
        <w:spacing w:line="240" w:lineRule="auto" w:before="62"/>
        <w:ind w:right="0"/>
        <w:jc w:val="left"/>
      </w:pPr>
      <w:r>
        <w:rPr/>
        <w:t>股为基数进行资本公积转增股本，每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43"/>
        </w:rPr>
        <w:t> </w:t>
      </w:r>
      <w:r>
        <w:rPr/>
        <w:t>股转增</w:t>
      </w:r>
      <w:r>
        <w:rPr>
          <w:spacing w:val="-46"/>
        </w:rPr>
        <w:t> </w:t>
      </w:r>
      <w:r>
        <w:rPr>
          <w:rFonts w:ascii="Times New Roman" w:hAnsi="Times New Roman" w:cs="Times New Roman" w:eastAsia="Times New Roman" w:hint="default"/>
        </w:rPr>
        <w:t>10  </w:t>
      </w:r>
      <w:r>
        <w:rPr/>
        <w:t>股，该项权益分配</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 </w:t>
      </w:r>
      <w:r>
        <w:rPr/>
        <w:t>月实施完毕。</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7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2"/>
        <w:gridCol w:w="1872"/>
        <w:gridCol w:w="1992"/>
        <w:gridCol w:w="1728"/>
        <w:gridCol w:w="1594"/>
      </w:tblGrid>
      <w:tr>
        <w:trPr>
          <w:trHeight w:val="401"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29,217,043.53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8,901,535.05</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38,118,578.58</w:t>
            </w:r>
          </w:p>
        </w:tc>
      </w:tr>
      <w:tr>
        <w:trPr>
          <w:trHeight w:val="401"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29,217,043.53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8,901,535.05</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38,118,578.58</w:t>
            </w:r>
          </w:p>
        </w:tc>
      </w:tr>
    </w:tbl>
    <w:p>
      <w:pPr>
        <w:pStyle w:val="BodyText"/>
        <w:spacing w:line="360" w:lineRule="auto" w:before="49"/>
        <w:ind w:left="512" w:right="3494" w:hanging="360"/>
        <w:jc w:val="left"/>
      </w:pPr>
      <w:r>
        <w:rPr/>
        <w:t>盈余公积说明，用盈余公积转增股本、弥补亏损、分派股利的，应说明有关决议 本期增加系按母公司净利润的</w:t>
      </w:r>
      <w:r>
        <w:rPr>
          <w:spacing w:val="-45"/>
        </w:rPr>
        <w:t> </w:t>
      </w:r>
      <w:r>
        <w:rPr>
          <w:rFonts w:ascii="Times New Roman" w:hAnsi="Times New Roman" w:cs="Times New Roman" w:eastAsia="Times New Roman" w:hint="default"/>
        </w:rPr>
        <w:t>10%</w:t>
      </w:r>
      <w:r>
        <w:rPr/>
        <w:t>计提法定盈余公积。</w:t>
      </w:r>
    </w:p>
    <w:p>
      <w:pPr>
        <w:spacing w:after="0" w:line="360" w:lineRule="auto"/>
        <w:jc w:val="left"/>
        <w:sectPr>
          <w:pgSz w:w="11910" w:h="16840"/>
          <w:pgMar w:header="877" w:footer="982" w:top="1100" w:bottom="1180" w:left="980" w:right="960"/>
        </w:sectPr>
      </w:pPr>
    </w:p>
    <w:p>
      <w:pPr>
        <w:spacing w:line="240" w:lineRule="auto" w:before="11"/>
        <w:rPr>
          <w:rFonts w:ascii="宋体" w:hAnsi="宋体" w:cs="宋体" w:eastAsia="宋体" w:hint="default"/>
          <w:sz w:val="20"/>
          <w:szCs w:val="20"/>
        </w:rPr>
      </w:pPr>
    </w:p>
    <w:p>
      <w:pPr>
        <w:pStyle w:val="Heading3"/>
        <w:spacing w:line="240" w:lineRule="auto" w:before="36"/>
        <w:ind w:right="147"/>
        <w:jc w:val="left"/>
        <w:rPr>
          <w:b w:val="0"/>
          <w:bCs w:val="0"/>
        </w:rPr>
      </w:pPr>
      <w:bookmarkStart w:name="（1）营业收入、营业成本" w:id="397"/>
      <w:bookmarkEnd w:id="397"/>
      <w:r>
        <w:rPr>
          <w:b w:val="0"/>
          <w:bCs w:val="0"/>
        </w:rPr>
      </w:r>
      <w:bookmarkStart w:name="（2）主营业务（分行业）" w:id="398"/>
      <w:bookmarkEnd w:id="398"/>
      <w:r>
        <w:rPr>
          <w:b w:val="0"/>
          <w:bCs w:val="0"/>
        </w:rPr>
      </w:r>
      <w:r>
        <w:rPr>
          <w:rFonts w:ascii="Times New Roman" w:hAnsi="Times New Roman" w:cs="Times New Roman" w:eastAsia="Times New Roman" w:hint="default"/>
        </w:rPr>
        <w:t>52</w:t>
      </w:r>
      <w:bookmarkStart w:name="52、一般风险准备" w:id="399"/>
      <w:bookmarkEnd w:id="399"/>
      <w:r>
        <w:rPr>
          <w:rFonts w:ascii="Times New Roman" w:hAnsi="Times New Roman" w:cs="Times New Roman" w:eastAsia="Times New Roman" w:hint="default"/>
        </w:rPr>
      </w:r>
      <w:r>
        <w:rPr/>
        <w:t>、一般风险准备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53</w:t>
      </w:r>
      <w:bookmarkStart w:name="53、未分配利润" w:id="400"/>
      <w:bookmarkEnd w:id="400"/>
      <w:r>
        <w:rPr>
          <w:rFonts w:ascii="Times New Roman" w:hAnsi="Times New Roman" w:cs="Times New Roman" w:eastAsia="Times New Roman" w:hint="default"/>
        </w:rPr>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5"/>
        <w:gridCol w:w="3740"/>
        <w:gridCol w:w="2122"/>
      </w:tblGrid>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0"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210,616,389.49</w:t>
            </w:r>
            <w:r>
              <w:rPr>
                <w:rFonts w:ascii="Times New Roman"/>
                <w:sz w:val="18"/>
              </w:rPr>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0"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210,616,389.49</w:t>
            </w:r>
            <w:r>
              <w:rPr>
                <w:rFonts w:ascii="Times New Roman"/>
                <w:sz w:val="18"/>
              </w:rPr>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0"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124,344,607.19</w:t>
            </w:r>
            <w:r>
              <w:rPr>
                <w:rFonts w:ascii="Times New Roman"/>
                <w:sz w:val="18"/>
              </w:rPr>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8,901,535.05</w:t>
            </w:r>
            <w:r>
              <w:rPr>
                <w:rFonts w:ascii="Times New Roman"/>
                <w:sz w:val="18"/>
              </w:rPr>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31,110,000.00</w:t>
            </w:r>
            <w:r>
              <w:rPr>
                <w:rFonts w:ascii="Times New Roman"/>
                <w:sz w:val="18"/>
              </w:rPr>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0"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294,949,461.63</w:t>
            </w:r>
            <w:r>
              <w:rPr>
                <w:rFonts w:ascii="Times New Roman"/>
                <w:sz w:val="18"/>
              </w:rPr>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47"/>
        <w:jc w:val="left"/>
      </w:pPr>
      <w:r>
        <w:rPr/>
        <w:t>调整年初未分配利润明细：</w:t>
      </w:r>
    </w:p>
    <w:p>
      <w:pPr>
        <w:pStyle w:val="BodyText"/>
        <w:spacing w:line="240" w:lineRule="auto" w:before="117"/>
        <w:ind w:right="147"/>
        <w:jc w:val="left"/>
      </w:pPr>
      <w:r>
        <w:rPr>
          <w:rFonts w:ascii="Times New Roman" w:hAnsi="Times New Roman" w:cs="Times New Roman" w:eastAsia="Times New Roman" w:hint="default"/>
        </w:rPr>
        <w:t>1)</w:t>
      </w:r>
      <w:r>
        <w:rPr/>
        <w:t>、由于《企业会计准则》及其相关新规定进行追溯调整，影响年初未分配利润</w:t>
      </w:r>
      <w:r>
        <w:rPr>
          <w:spacing w:val="-45"/>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1"/>
        <w:ind w:right="147"/>
        <w:jc w:val="left"/>
      </w:pPr>
      <w:r>
        <w:rPr>
          <w:rFonts w:ascii="Times New Roman" w:hAnsi="Times New Roman" w:cs="Times New Roman" w:eastAsia="Times New Roman" w:hint="default"/>
        </w:rPr>
        <w:t>2)</w:t>
      </w:r>
      <w:r>
        <w:rPr/>
        <w:t>、由于会计政策变更，影响年初未分配利润</w:t>
      </w:r>
      <w:r>
        <w:rPr>
          <w:spacing w:val="-45"/>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3"/>
        <w:ind w:right="147"/>
        <w:jc w:val="left"/>
      </w:pPr>
      <w:r>
        <w:rPr>
          <w:rFonts w:ascii="Times New Roman" w:hAnsi="Times New Roman" w:cs="Times New Roman" w:eastAsia="Times New Roman" w:hint="default"/>
        </w:rPr>
        <w:t>3)</w:t>
      </w:r>
      <w:r>
        <w:rPr/>
        <w:t>、由于重大会计差错更正，影响年初未分配利润</w:t>
      </w:r>
      <w:r>
        <w:rPr>
          <w:spacing w:val="-45"/>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3"/>
        <w:ind w:right="147"/>
        <w:jc w:val="left"/>
      </w:pPr>
      <w:r>
        <w:rPr>
          <w:rFonts w:ascii="Times New Roman" w:hAnsi="Times New Roman" w:cs="Times New Roman" w:eastAsia="Times New Roman" w:hint="default"/>
        </w:rPr>
        <w:t>4)</w:t>
      </w:r>
      <w:r>
        <w:rPr/>
        <w:t>、由于同一控制导致的合并范围变更，影响年初未分配利润</w:t>
      </w:r>
      <w:r>
        <w:rPr>
          <w:spacing w:val="-45"/>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324" w:lineRule="auto" w:before="101"/>
        <w:ind w:right="147"/>
        <w:jc w:val="left"/>
      </w:pPr>
      <w:r>
        <w:rPr>
          <w:rFonts w:ascii="Times New Roman" w:hAnsi="Times New Roman" w:cs="Times New Roman" w:eastAsia="Times New Roman" w:hint="default"/>
        </w:rPr>
        <w:t>5)</w:t>
      </w:r>
      <w:r>
        <w:rPr/>
        <w:t>、其他调整合计影响年初未分配利润</w:t>
      </w:r>
      <w:r>
        <w:rPr>
          <w:spacing w:val="-45"/>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r>
        <w:rPr>
          <w:w w:val="99"/>
        </w:rPr>
        <w:t> </w:t>
      </w:r>
      <w:r>
        <w:rPr>
          <w:spacing w:val="-2"/>
        </w:rPr>
        <w:t>未分配利润说明，对于首次公开发行证券的公司，如果发行前的滚存利润经股东大会决议由新老股东共同享有，应明确予以</w:t>
      </w:r>
      <w:r>
        <w:rPr>
          <w:spacing w:val="-64"/>
        </w:rPr>
        <w:t> </w:t>
      </w:r>
      <w:r>
        <w:rPr>
          <w:spacing w:val="-64"/>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pStyle w:val="BodyText"/>
        <w:spacing w:line="240" w:lineRule="auto" w:before="54"/>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bookmarkStart w:name="54、营业收入、营业成本" w:id="401"/>
      <w:bookmarkEnd w:id="401"/>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99"/>
        <w:gridCol w:w="3068"/>
        <w:gridCol w:w="3190"/>
      </w:tblGrid>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568,319,810.56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432,930,770.34</w:t>
            </w:r>
            <w:r>
              <w:rPr>
                <w:rFonts w:ascii="Times New Roman"/>
                <w:sz w:val="18"/>
              </w:rPr>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355,937,416.61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245,232,989.62</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862"/>
        <w:gridCol w:w="1726"/>
        <w:gridCol w:w="1728"/>
      </w:tblGrid>
      <w:tr>
        <w:trPr>
          <w:trHeight w:val="402" w:hRule="exact"/>
        </w:trPr>
        <w:tc>
          <w:tcPr>
            <w:tcW w:w="252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6" w:type="dxa"/>
            <w:vMerge/>
            <w:tcBorders>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568,319,810.56</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355,937,416.61</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432,930,770.34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245,232,989.62</w:t>
            </w:r>
            <w:r>
              <w:rPr>
                <w:rFonts w:ascii="Times New Roman"/>
                <w:sz w:val="18"/>
              </w:rPr>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568,319,810.56</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355,937,416.61</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432,930,770.34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245,232,989.62</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3</w:t>
      </w:r>
      <w:bookmarkStart w:name="（3）主营业务（分产品）" w:id="402"/>
      <w:bookmarkEnd w:id="402"/>
      <w:r>
        <w:rPr>
          <w:rFonts w:ascii="Times New Roman" w:hAnsi="Times New Roman" w:cs="Times New Roman" w:eastAsia="Times New Roman" w:hint="default"/>
        </w:rPr>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7" w:type="dxa"/>
            <w:vMerge/>
            <w:tcBorders>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372,088,403.00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321,962,540.47</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260,878,700.74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225,845,603.44</w:t>
            </w:r>
            <w:r>
              <w:rPr>
                <w:rFonts w:ascii="Times New Roman"/>
                <w:sz w:val="18"/>
              </w:rPr>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软件产品及服务收入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196,231,407.60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33,974,876.14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172,052,069.60</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19,387,386.18</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568,319,810.56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355,937,416.61</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432,930,770.34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245,232,989.62</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4）主营业务（分地区）" w:id="403"/>
      <w:bookmarkEnd w:id="403"/>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3" w:hRule="exact"/>
        </w:trPr>
        <w:tc>
          <w:tcPr>
            <w:tcW w:w="25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7" w:type="dxa"/>
            <w:vMerge/>
            <w:tcBorders>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144,151,736.91</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118,106,439.69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118,494,778.63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84,111,278.87</w:t>
            </w:r>
            <w:r>
              <w:rPr>
                <w:rFonts w:ascii="Times New Roman"/>
                <w:sz w:val="18"/>
              </w:rPr>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96,612,844.57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58,405,647.52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76,094,899.43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34,040,653.11</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213,416,112.32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105,788,321.57</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149,185,701.31</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75,948,253.55</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45,675,058.38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28,251,675.62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58,871,567.04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35,188,798.61</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68,464,058.38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45,385,332.21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30,283,823.93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15,944,005.48</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568,319,810.56</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355,937,416.61</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432,930,770.34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245,232,989.62</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5）公司前五名客户的营业收入情况" w:id="404"/>
      <w:bookmarkEnd w:id="404"/>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4"/>
        <w:gridCol w:w="2849"/>
        <w:gridCol w:w="4126"/>
      </w:tblGrid>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62,512,335.04</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11.00%</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41,958,367.52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7.38%</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32,223,072.65</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5.67%</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26,772,222.22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4.71%</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21,191,341.27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3.73%</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184,657,338.70</w:t>
            </w:r>
            <w:r>
              <w:rPr>
                <w:rFonts w:ascii="Times New Roman"/>
                <w:sz w:val="18"/>
              </w:rPr>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32.49%</w:t>
            </w:r>
          </w:p>
        </w:tc>
      </w:tr>
    </w:tbl>
    <w:p>
      <w:pPr>
        <w:pStyle w:val="BodyText"/>
        <w:spacing w:line="240" w:lineRule="auto" w:before="49"/>
        <w:ind w:right="147"/>
        <w:jc w:val="left"/>
      </w:pPr>
      <w:r>
        <w:rPr/>
        <w:t>营业收入的说明</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147"/>
        <w:jc w:val="left"/>
        <w:rPr>
          <w:b w:val="0"/>
          <w:bCs w:val="0"/>
        </w:rPr>
      </w:pPr>
      <w:bookmarkStart w:name="58、管理费用" w:id="405"/>
      <w:bookmarkEnd w:id="405"/>
      <w:r>
        <w:rPr>
          <w:b w:val="0"/>
          <w:bCs w:val="0"/>
        </w:rPr>
      </w:r>
      <w:r>
        <w:rPr>
          <w:rFonts w:ascii="Times New Roman" w:hAnsi="Times New Roman" w:cs="Times New Roman" w:eastAsia="Times New Roman" w:hint="default"/>
        </w:rPr>
        <w:t>55</w:t>
      </w:r>
      <w:bookmarkStart w:name="55、合同项目收入" w:id="406"/>
      <w:bookmarkEnd w:id="406"/>
      <w:r>
        <w:rPr>
          <w:rFonts w:ascii="Times New Roman" w:hAnsi="Times New Roman" w:cs="Times New Roman" w:eastAsia="Times New Roman" w:hint="default"/>
        </w:rPr>
      </w:r>
      <w:r>
        <w:rPr/>
        <w:t>、合同项目收入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56</w:t>
      </w:r>
      <w:bookmarkStart w:name="56、营业税金及附加" w:id="407"/>
      <w:bookmarkEnd w:id="407"/>
      <w:r>
        <w:rPr>
          <w:rFonts w:ascii="Times New Roman" w:hAnsi="Times New Roman" w:cs="Times New Roman" w:eastAsia="Times New Roman" w:hint="default"/>
        </w:rPr>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1"/>
        <w:gridCol w:w="2003"/>
        <w:gridCol w:w="1862"/>
        <w:gridCol w:w="2921"/>
      </w:tblGrid>
      <w:tr>
        <w:trPr>
          <w:trHeight w:val="401" w:hRule="exact"/>
        </w:trPr>
        <w:tc>
          <w:tcPr>
            <w:tcW w:w="2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2,422,990.22</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2,888,319.26</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736,943.35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342,428.25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548,928.59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225,616.55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3,708,862.16</w:t>
            </w:r>
            <w:r>
              <w:rPr>
                <w:rFonts w:ascii="Times New Roman"/>
                <w:sz w:val="18"/>
              </w:rPr>
            </w:r>
          </w:p>
        </w:tc>
        <w:tc>
          <w:tcPr>
            <w:tcW w:w="1862"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3,456,364.06</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47"/>
        <w:jc w:val="left"/>
      </w:pPr>
      <w:r>
        <w:rPr/>
        <w:t>营业税金及附加的说明</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57、销售费用" w:id="408"/>
      <w:bookmarkEnd w:id="408"/>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9,991,713.97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10,391,087.11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11,840,349.87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9,666,813.46</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4,758,163.37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5,072,039.58</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3,026,746.98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3,133,191.81</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1,402,400.79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1,233,987.00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3,186,351.79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927,376.88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672,636.89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720,379.93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1,254,037.40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434,428.63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4,001,478.29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1,721,238.64</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40,133,879.35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33,300,543.04</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20,805,593.28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13,717,552.17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7,988,358.26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6,014,808.42</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11,687,022.10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5,857,351.82</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13,291,989.38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5,064,463.58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4,997,461.06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3,747,277.01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4,874,171.81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3,320,696.77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2,416,685.41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1,437,405.83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4,150,049.36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1,380,817.65</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1,587,474.03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1,373,283.64</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1,298,103.77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1,031,175.00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7,862,322.19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5,325,312.59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80,959,230.65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48,270,144.48</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bookmarkStart w:name="（2）按成本法核算的长期股权投资收益" w:id="409"/>
      <w:bookmarkEnd w:id="409"/>
      <w:r>
        <w:rPr>
          <w:b w:val="0"/>
          <w:bCs w:val="0"/>
        </w:rPr>
      </w:r>
      <w:bookmarkStart w:name="（3）按权益法核算的长期股权投资收益" w:id="410"/>
      <w:bookmarkEnd w:id="410"/>
      <w:r>
        <w:rPr>
          <w:b w:val="0"/>
          <w:bCs w:val="0"/>
        </w:rPr>
      </w:r>
      <w:r>
        <w:rPr>
          <w:rFonts w:ascii="Times New Roman" w:hAnsi="Times New Roman" w:cs="Times New Roman" w:eastAsia="Times New Roman" w:hint="default"/>
        </w:rPr>
        <w:t>59</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59、财务费用" w:id="411"/>
      <w:bookmarkEnd w:id="411"/>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521,885.00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-25,566,217.96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-17,892,818.20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102,613.88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71,757.20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-25,463,604.08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-17,299,176.00</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60、公允价值变动收益" w:id="412"/>
      <w:bookmarkEnd w:id="412"/>
      <w:r>
        <w:rPr/>
      </w:r>
      <w:bookmarkStart w:name="61、投资收益" w:id="413"/>
      <w:bookmarkEnd w:id="413"/>
      <w:r>
        <w:rPr/>
      </w:r>
      <w:bookmarkStart w:name="（1）投资收益明细情况" w:id="414"/>
      <w:bookmarkEnd w:id="414"/>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4"/>
        <w:gridCol w:w="2800"/>
        <w:gridCol w:w="2921"/>
      </w:tblGrid>
      <w:tr>
        <w:trPr>
          <w:trHeight w:val="401"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4,657,460.85</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4,045,094.70</w:t>
            </w:r>
            <w:r>
              <w:rPr>
                <w:rFonts w:ascii="Times New Roman"/>
                <w:sz w:val="18"/>
              </w:rPr>
            </w:r>
          </w:p>
        </w:tc>
      </w:tr>
      <w:tr>
        <w:trPr>
          <w:trHeight w:val="401"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4,657,460.85</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4,045,094.70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8"/>
        <w:gridCol w:w="1992"/>
        <w:gridCol w:w="1728"/>
        <w:gridCol w:w="2921"/>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5" w:right="0"/>
              <w:jc w:val="left"/>
              <w:rPr>
                <w:rFonts w:ascii="Times New Roman" w:hAnsi="Times New Roman" w:cs="Times New Roman" w:eastAsia="Times New Roman" w:hint="default"/>
                <w:sz w:val="18"/>
                <w:szCs w:val="18"/>
              </w:rPr>
            </w:pPr>
            <w:r>
              <w:rPr>
                <w:rFonts w:ascii="Times New Roman"/>
                <w:sz w:val="18"/>
              </w:rPr>
              <w:t>4,657,460.85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8" w:right="0"/>
              <w:jc w:val="left"/>
              <w:rPr>
                <w:rFonts w:ascii="Times New Roman" w:hAnsi="Times New Roman" w:cs="Times New Roman" w:eastAsia="Times New Roman" w:hint="default"/>
                <w:sz w:val="18"/>
                <w:szCs w:val="18"/>
              </w:rPr>
            </w:pPr>
            <w:r>
              <w:rPr>
                <w:rFonts w:ascii="Times New Roman"/>
                <w:sz w:val="18"/>
              </w:rPr>
              <w:t>4,045,094.70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净利润增加</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2930"/>
        <w:gridCol w:w="1992"/>
        <w:gridCol w:w="1728"/>
        <w:gridCol w:w="2921"/>
      </w:tblGrid>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5" w:right="0"/>
              <w:jc w:val="left"/>
              <w:rPr>
                <w:rFonts w:ascii="Times New Roman" w:hAnsi="Times New Roman" w:cs="Times New Roman" w:eastAsia="Times New Roman" w:hint="default"/>
                <w:sz w:val="18"/>
                <w:szCs w:val="18"/>
              </w:rPr>
            </w:pPr>
            <w:r>
              <w:rPr>
                <w:rFonts w:ascii="Times New Roman"/>
                <w:sz w:val="18"/>
              </w:rPr>
              <w:t>4,657,460.85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8" w:right="0"/>
              <w:jc w:val="left"/>
              <w:rPr>
                <w:rFonts w:ascii="Times New Roman" w:hAnsi="Times New Roman" w:cs="Times New Roman" w:eastAsia="Times New Roman" w:hint="default"/>
                <w:sz w:val="18"/>
                <w:szCs w:val="18"/>
              </w:rPr>
            </w:pPr>
            <w:r>
              <w:rPr>
                <w:rFonts w:ascii="Times New Roman"/>
                <w:sz w:val="18"/>
              </w:rPr>
              <w:t>4,045,094.70</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47"/>
        <w:jc w:val="left"/>
      </w:pPr>
      <w:r>
        <w:rPr/>
        <w:t>投资收益的说明，若投资收益汇回有重大限制的，应予以说明。若不存在此类重大限制，也应做出说明</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62</w:t>
      </w:r>
      <w:bookmarkStart w:name="62、资产减值损失" w:id="415"/>
      <w:bookmarkEnd w:id="415"/>
      <w:r>
        <w:rPr>
          <w:rFonts w:ascii="Times New Roman" w:hAnsi="Times New Roman" w:cs="Times New Roman" w:eastAsia="Times New Roman" w:hint="default"/>
        </w:rPr>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537"/>
        <w:gridCol w:w="2789"/>
      </w:tblGrid>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-33,749.32</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2,775,884.80</w:t>
            </w:r>
            <w:r>
              <w:rPr>
                <w:rFonts w:ascii="Times New Roman"/>
                <w:sz w:val="18"/>
              </w:rPr>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-33,749.32</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2,775,884.80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63、营业外收入" w:id="416"/>
      <w:bookmarkEnd w:id="416"/>
      <w:r>
        <w:rPr/>
      </w:r>
      <w:bookmarkStart w:name="（1）营业外收入情况" w:id="417"/>
      <w:bookmarkEnd w:id="417"/>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3"/>
        <w:gridCol w:w="1956"/>
        <w:gridCol w:w="2160"/>
        <w:gridCol w:w="2160"/>
      </w:tblGrid>
      <w:tr>
        <w:trPr>
          <w:trHeight w:val="161" w:hRule="exact"/>
        </w:trPr>
        <w:tc>
          <w:tcPr>
            <w:tcW w:w="3293" w:type="dxa"/>
            <w:tcBorders>
              <w:top w:val="single" w:sz="4" w:space="0" w:color="000000"/>
              <w:left w:val="single" w:sz="4" w:space="0" w:color="000000"/>
              <w:bottom w:val="nil" w:sz="6" w:space="0" w:color="auto"/>
              <w:right w:val="single" w:sz="4" w:space="0" w:color="000000"/>
            </w:tcBorders>
            <w:shd w:val="clear" w:color="auto" w:fill="D4D4D4"/>
          </w:tcPr>
          <w:p>
            <w:pPr/>
          </w:p>
        </w:tc>
        <w:tc>
          <w:tcPr>
            <w:tcW w:w="1956" w:type="dxa"/>
            <w:tcBorders>
              <w:top w:val="single" w:sz="4" w:space="0" w:color="000000"/>
              <w:left w:val="single" w:sz="4" w:space="0" w:color="000000"/>
              <w:bottom w:val="nil" w:sz="6" w:space="0" w:color="auto"/>
              <w:right w:val="single" w:sz="4" w:space="0" w:color="000000"/>
            </w:tcBorders>
            <w:shd w:val="clear" w:color="auto" w:fill="D4D4D4"/>
          </w:tcPr>
          <w:p>
            <w:pPr/>
          </w:p>
        </w:tc>
        <w:tc>
          <w:tcPr>
            <w:tcW w:w="2160" w:type="dxa"/>
            <w:tcBorders>
              <w:top w:val="single" w:sz="4" w:space="0" w:color="000000"/>
              <w:left w:val="single" w:sz="4" w:space="0" w:color="000000"/>
              <w:bottom w:val="nil" w:sz="6" w:space="0" w:color="auto"/>
              <w:right w:val="single" w:sz="4" w:space="0" w:color="000000"/>
            </w:tcBorders>
            <w:shd w:val="clear" w:color="auto" w:fill="D4D4D4"/>
          </w:tcPr>
          <w:p>
            <w:pPr/>
          </w:p>
        </w:tc>
        <w:tc>
          <w:tcPr>
            <w:tcW w:w="216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895" w:right="83" w:hanging="809"/>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tcBorders>
              <w:left w:val="single" w:sz="4" w:space="0" w:color="000000"/>
              <w:right w:val="single" w:sz="4" w:space="0" w:color="000000"/>
            </w:tcBorders>
            <w:shd w:val="clear" w:color="auto" w:fill="D4D4D4"/>
          </w:tcPr>
          <w:p>
            <w:pPr/>
          </w:p>
        </w:tc>
      </w:tr>
      <w:tr>
        <w:trPr>
          <w:trHeight w:val="161" w:hRule="exact"/>
        </w:trPr>
        <w:tc>
          <w:tcPr>
            <w:tcW w:w="329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56" w:type="dxa"/>
            <w:tcBorders>
              <w:top w:val="nil" w:sz="6" w:space="0" w:color="auto"/>
              <w:left w:val="single" w:sz="4" w:space="0" w:color="000000"/>
              <w:bottom w:val="single" w:sz="4" w:space="0" w:color="000000"/>
              <w:right w:val="single" w:sz="4" w:space="0" w:color="000000"/>
            </w:tcBorders>
            <w:shd w:val="clear" w:color="auto" w:fill="D4D4D4"/>
          </w:tcPr>
          <w:p>
            <w:pPr/>
          </w:p>
        </w:tc>
        <w:tc>
          <w:tcPr>
            <w:tcW w:w="2160" w:type="dxa"/>
            <w:tcBorders>
              <w:top w:val="nil" w:sz="6" w:space="0" w:color="auto"/>
              <w:left w:val="single" w:sz="4" w:space="0" w:color="000000"/>
              <w:bottom w:val="single" w:sz="4" w:space="0" w:color="000000"/>
              <w:right w:val="single" w:sz="4" w:space="0" w:color="000000"/>
            </w:tcBorders>
            <w:shd w:val="clear" w:color="auto" w:fill="D4D4D4"/>
          </w:tcPr>
          <w:p>
            <w:pPr/>
          </w:p>
        </w:tc>
        <w:tc>
          <w:tcPr>
            <w:tcW w:w="2160"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650,000.04</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650,000.04</w:t>
            </w:r>
          </w:p>
        </w:tc>
      </w:tr>
      <w:tr>
        <w:trPr>
          <w:trHeight w:val="401" w:hRule="exact"/>
        </w:trPr>
        <w:tc>
          <w:tcPr>
            <w:tcW w:w="3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95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650,000.04</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650,000.04</w:t>
            </w: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15,987,837.28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11,612,293.17</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5,108,000.20</w:t>
            </w:r>
            <w:r>
              <w:rPr>
                <w:rFonts w:ascii="Times New Roman"/>
                <w:sz w:val="18"/>
              </w:rPr>
            </w:r>
          </w:p>
        </w:tc>
      </w:tr>
      <w:tr>
        <w:trPr>
          <w:trHeight w:val="40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112,058.00</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1,813.02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112,058.00</w:t>
            </w:r>
            <w:r>
              <w:rPr>
                <w:rFonts w:ascii="Times New Roman"/>
                <w:sz w:val="18"/>
              </w:rPr>
            </w: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16,749,895.32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11,614,106.19</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5,870,058.24</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政府补助明细" w:id="418"/>
      <w:bookmarkEnd w:id="418"/>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59"/>
        <w:gridCol w:w="1994"/>
        <w:gridCol w:w="1994"/>
        <w:gridCol w:w="2921"/>
      </w:tblGrid>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政府补助－增值税税收返还</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10,879,837.08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4,061,292.90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年信息安全专项项目复函</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榕发改工【</w:t>
            </w:r>
            <w:r>
              <w:rPr>
                <w:rFonts w:ascii="Times New Roman" w:hAnsi="Times New Roman" w:cs="Times New Roman" w:eastAsia="Times New Roman" w:hint="default"/>
                <w:sz w:val="18"/>
                <w:szCs w:val="18"/>
              </w:rPr>
              <w:t>2012  </w:t>
            </w:r>
            <w:r>
              <w:rPr>
                <w:rFonts w:ascii="宋体" w:hAnsi="宋体" w:cs="宋体" w:eastAsia="宋体" w:hint="default"/>
                <w:sz w:val="18"/>
                <w:szCs w:val="18"/>
              </w:rPr>
              <w:t>】</w:t>
            </w:r>
            <w:r>
              <w:rPr>
                <w:rFonts w:ascii="Times New Roman" w:hAnsi="Times New Roman" w:cs="Times New Roman" w:eastAsia="Times New Roman" w:hint="default"/>
                <w:sz w:val="18"/>
                <w:szCs w:val="18"/>
              </w:rPr>
              <w:t>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福建省软件骨干企业奖励补助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榕财企（指</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2012</w:t>
            </w:r>
            <w:r>
              <w:rPr>
                <w:rFonts w:ascii="宋体" w:hAnsi="宋体" w:cs="宋体" w:eastAsia="宋体" w:hint="default"/>
                <w:spacing w:val="-3"/>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首届福州市政府质量奖奖励金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榕财企【</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102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3"/>
              <w:jc w:val="both"/>
              <w:rPr>
                <w:rFonts w:ascii="宋体" w:hAnsi="宋体" w:cs="宋体" w:eastAsia="宋体" w:hint="default"/>
                <w:sz w:val="18"/>
                <w:szCs w:val="18"/>
              </w:rPr>
            </w:pPr>
            <w:r>
              <w:rPr>
                <w:rFonts w:ascii="宋体" w:hAnsi="宋体" w:cs="宋体" w:eastAsia="宋体" w:hint="default"/>
                <w:sz w:val="18"/>
                <w:szCs w:val="18"/>
              </w:rPr>
              <w:t>第二批引进高层次创业创新人才 和首批海西产业人才高地、海西 创业英才</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闽委人才【</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年促进项目成果转化扶持资 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277,777.78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榕发改推介【</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年第三批软件产业发展专项 资金支出预算</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266,666.67</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榕财企（指</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2012</w:t>
            </w:r>
            <w:r>
              <w:rPr>
                <w:rFonts w:ascii="宋体" w:hAnsi="宋体" w:cs="宋体" w:eastAsia="宋体" w:hint="default"/>
                <w:spacing w:val="-3"/>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189.960007pt;margin-top:578.700012pt;width:98.05pt;height:20.65pt;mso-position-horizontal-relative:page;mso-position-vertical-relative:page;z-index:-749176" coordorigin="3799,11574" coordsize="1961,413">
            <v:group style="position:absolute;left:3810;top:11585;width:2;height:392" coordorigin="3810,11585" coordsize="2,392">
              <v:shape style="position:absolute;left:3810;top:11585;width:2;height:392" coordorigin="3810,11585" coordsize="0,392" path="m3810,11585l3810,11976e" filled="false" stroked="true" strokeweight="1.08pt" strokecolor="#ffffff">
                <v:path arrowok="t"/>
              </v:shape>
            </v:group>
            <v:group style="position:absolute;left:3821;top:11585;width:1940;height:392" coordorigin="3821,11585" coordsize="1940,392">
              <v:shape style="position:absolute;left:3821;top:11585;width:1940;height:392" coordorigin="3821,11585" coordsize="1940,392" path="m3821,11976l5760,11976,5760,11585,3821,11585,3821,11976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2659"/>
        <w:gridCol w:w="1994"/>
        <w:gridCol w:w="1994"/>
        <w:gridCol w:w="2921"/>
      </w:tblGrid>
      <w:tr>
        <w:trPr>
          <w:trHeight w:val="71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年度支持国家贸易服务发展 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闽外经贸计财【</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49 </w:t>
            </w:r>
            <w:r>
              <w:rPr>
                <w:rFonts w:ascii="宋体" w:hAnsi="宋体" w:cs="宋体" w:eastAsia="宋体" w:hint="default"/>
                <w:sz w:val="18"/>
                <w:szCs w:val="18"/>
              </w:rPr>
              <w:t>号</w:t>
            </w: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RJ-DTS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榕基环保数据分析平台</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榕科计【</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号；闽财（教）指</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号</w:t>
            </w: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年第二批软件产业发展专项 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榕财企（指</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2012</w:t>
            </w:r>
            <w:r>
              <w:rPr>
                <w:rFonts w:ascii="宋体" w:hAnsi="宋体" w:cs="宋体" w:eastAsia="宋体" w:hint="default"/>
                <w:spacing w:val="-3"/>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第二届福州市杰出科技人员奖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榕政【</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服务业专项奖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无线信息服务平台（</w:t>
            </w:r>
            <w:r>
              <w:rPr>
                <w:rFonts w:ascii="Times New Roman" w:hAnsi="Times New Roman" w:cs="Times New Roman" w:eastAsia="Times New Roman" w:hint="default"/>
                <w:sz w:val="18"/>
                <w:szCs w:val="18"/>
              </w:rPr>
              <w:t>RJ-WISP</w:t>
            </w:r>
            <w:r>
              <w:rPr>
                <w:rFonts w:ascii="宋体" w:hAnsi="宋体" w:cs="宋体" w:eastAsia="宋体" w:hint="default"/>
                <w:sz w:val="18"/>
                <w:szCs w:val="18"/>
              </w:rPr>
              <w:t>）</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85,714.29</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榕科【</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79 </w:t>
            </w:r>
            <w:r>
              <w:rPr>
                <w:rFonts w:ascii="宋体" w:hAnsi="宋体" w:cs="宋体" w:eastAsia="宋体" w:hint="default"/>
                <w:sz w:val="18"/>
                <w:szCs w:val="18"/>
              </w:rPr>
              <w:t>号</w:t>
            </w: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年度市科技进步奖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榕政【</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14 </w:t>
            </w:r>
            <w:r>
              <w:rPr>
                <w:rFonts w:ascii="宋体" w:hAnsi="宋体" w:cs="宋体" w:eastAsia="宋体" w:hint="default"/>
                <w:sz w:val="18"/>
                <w:szCs w:val="18"/>
              </w:rPr>
              <w:t>号</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年展会扶持资金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毕业生就业补贴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年中小企业市场开拓资金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专利奖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无线信息服务平台</w:t>
            </w:r>
            <w:r>
              <w:rPr>
                <w:rFonts w:ascii="Times New Roman" w:hAnsi="Times New Roman" w:cs="Times New Roman" w:eastAsia="Times New Roman" w:hint="default"/>
                <w:sz w:val="18"/>
                <w:szCs w:val="18"/>
              </w:rPr>
              <w:t>(RJ-WISP)</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146,341.48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85,365.85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递延收益摊销</w:t>
            </w: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RJ-ICOM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榕基内控运维管理系统 产业化项目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29,999.99</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递延收益摊销</w:t>
            </w: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基于物联网的行业应用终端</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RJ-IOT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开发与产业化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递延收益摊销</w:t>
            </w: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RJ-RMS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榕基信息安全风险综合 管理系统产业化项目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624,999.99</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递延收益摊销</w:t>
            </w: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年福建省名牌奖励</w:t>
            </w:r>
            <w:r>
              <w:rPr>
                <w:rFonts w:ascii="Times New Roman" w:hAnsi="Times New Roman" w:cs="Times New Roman" w:eastAsia="Times New Roman" w:hint="default"/>
                <w:sz w:val="18"/>
                <w:szCs w:val="18"/>
              </w:rPr>
              <w:t>--</w:t>
            </w:r>
            <w:r>
              <w:rPr>
                <w:rFonts w:ascii="宋体" w:hAnsi="宋体" w:cs="宋体" w:eastAsia="宋体" w:hint="default"/>
                <w:sz w:val="18"/>
                <w:szCs w:val="18"/>
              </w:rPr>
              <w:t>引进高 层次软件人才郑马亮</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年度重点扶持的高成长性高 新技术示范企业财政奖励和补助</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2,090,000.00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年福州市优秀新产品三等奖</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区科技计划项目（环保数据平台</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30,967.75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RJ-DIS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数字档案全文信息管理系 统</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266,666.67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福建省软件企业优秀骨干人才承 担的软件产业化项目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榕基电子单 证系统</w:t>
            </w:r>
            <w:r>
              <w:rPr>
                <w:rFonts w:ascii="Times New Roman" w:hAnsi="Times New Roman" w:cs="Times New Roman" w:eastAsia="Times New Roman" w:hint="default"/>
                <w:sz w:val="18"/>
                <w:szCs w:val="18"/>
              </w:rPr>
              <w:t>"</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7"/>
              <w:jc w:val="both"/>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年福州市产学研联合开发项 目补助资金（</w:t>
            </w:r>
            <w:r>
              <w:rPr>
                <w:rFonts w:ascii="Times New Roman" w:hAnsi="Times New Roman" w:cs="Times New Roman" w:eastAsia="Times New Roman" w:hint="default"/>
                <w:sz w:val="18"/>
                <w:szCs w:val="18"/>
              </w:rPr>
              <w:t>RJ-WISP </w:t>
            </w:r>
            <w:r>
              <w:rPr>
                <w:rFonts w:ascii="宋体" w:hAnsi="宋体" w:cs="宋体" w:eastAsia="宋体" w:hint="default"/>
                <w:sz w:val="18"/>
                <w:szCs w:val="18"/>
              </w:rPr>
              <w:t>榕基无线 信息服务平台）</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科技进步二等奖</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200,000.00</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659"/>
        <w:gridCol w:w="1994"/>
        <w:gridCol w:w="1994"/>
        <w:gridCol w:w="2921"/>
      </w:tblGrid>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省科技进步二等奖</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年福建省知识产权试点单位 奖励</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服务外包企业申请人才培训资金 项目</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软件产品奖励款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15,987,837.28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11,612,293.17</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194"/>
        <w:jc w:val="left"/>
      </w:pPr>
      <w:bookmarkStart w:name="66、基本每股收益和稀释每股收益的计算过程" w:id="419"/>
      <w:bookmarkEnd w:id="419"/>
      <w:r>
        <w:rPr/>
      </w:r>
      <w:r>
        <w:rPr/>
        <w:t>营业外收入说明 无。</w:t>
      </w:r>
    </w:p>
    <w:p>
      <w:pPr>
        <w:spacing w:line="240" w:lineRule="auto" w:before="6"/>
        <w:rPr>
          <w:rFonts w:ascii="宋体" w:hAnsi="宋体" w:cs="宋体" w:eastAsia="宋体" w:hint="default"/>
          <w:sz w:val="20"/>
          <w:szCs w:val="20"/>
        </w:rPr>
      </w:pPr>
    </w:p>
    <w:p>
      <w:pPr>
        <w:pStyle w:val="Heading3"/>
        <w:spacing w:line="240" w:lineRule="auto"/>
        <w:ind w:right="147"/>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64、营业外支出" w:id="420"/>
      <w:bookmarkEnd w:id="420"/>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0"/>
        <w:gridCol w:w="2021"/>
        <w:gridCol w:w="1915"/>
        <w:gridCol w:w="1913"/>
      </w:tblGrid>
      <w:tr>
        <w:trPr>
          <w:trHeight w:val="161" w:hRule="exact"/>
        </w:trPr>
        <w:tc>
          <w:tcPr>
            <w:tcW w:w="3720" w:type="dxa"/>
            <w:tcBorders>
              <w:top w:val="single" w:sz="4" w:space="0" w:color="000000"/>
              <w:left w:val="single" w:sz="4" w:space="0" w:color="000000"/>
              <w:bottom w:val="nil" w:sz="6" w:space="0" w:color="auto"/>
              <w:right w:val="single" w:sz="4" w:space="0" w:color="000000"/>
            </w:tcBorders>
            <w:shd w:val="clear" w:color="auto" w:fill="D4D4D4"/>
          </w:tcPr>
          <w:p>
            <w:pPr/>
          </w:p>
        </w:tc>
        <w:tc>
          <w:tcPr>
            <w:tcW w:w="2021"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681"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4" w:hRule="exact"/>
        </w:trPr>
        <w:tc>
          <w:tcPr>
            <w:tcW w:w="37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673"/>
              <w:jc w:val="right"/>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4D4D4"/>
          </w:tcPr>
          <w:p>
            <w:pPr/>
          </w:p>
        </w:tc>
      </w:tr>
      <w:tr>
        <w:trPr>
          <w:trHeight w:val="161" w:hRule="exact"/>
        </w:trPr>
        <w:tc>
          <w:tcPr>
            <w:tcW w:w="3720" w:type="dxa"/>
            <w:tcBorders>
              <w:top w:val="nil" w:sz="6" w:space="0" w:color="auto"/>
              <w:left w:val="single" w:sz="4" w:space="0" w:color="000000"/>
              <w:bottom w:val="single" w:sz="4" w:space="0" w:color="000000"/>
              <w:right w:val="single" w:sz="4" w:space="0" w:color="000000"/>
            </w:tcBorders>
            <w:shd w:val="clear" w:color="auto" w:fill="D4D4D4"/>
          </w:tcPr>
          <w:p>
            <w:pPr/>
          </w:p>
        </w:tc>
        <w:tc>
          <w:tcPr>
            <w:tcW w:w="202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771,872.16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771,872.16</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770,428.64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770,428.64</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701"/>
              <w:jc w:val="righ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02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1,443.52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1,443.52</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52,300.00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52,300.00</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9,968.97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24,023.15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9,968.97</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834,141.13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69,018.45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834,141.13</w:t>
            </w:r>
          </w:p>
        </w:tc>
      </w:tr>
    </w:tbl>
    <w:p>
      <w:pPr>
        <w:pStyle w:val="BodyText"/>
        <w:spacing w:line="357" w:lineRule="auto" w:before="49"/>
        <w:ind w:right="8194"/>
        <w:jc w:val="left"/>
      </w:pPr>
      <w:r>
        <w:rPr/>
        <w:t>营业外支出说明 无。</w:t>
      </w:r>
    </w:p>
    <w:p>
      <w:pPr>
        <w:spacing w:line="240" w:lineRule="auto" w:before="6"/>
        <w:rPr>
          <w:rFonts w:ascii="宋体" w:hAnsi="宋体" w:cs="宋体" w:eastAsia="宋体" w:hint="default"/>
          <w:sz w:val="20"/>
          <w:szCs w:val="20"/>
        </w:rPr>
      </w:pPr>
    </w:p>
    <w:p>
      <w:pPr>
        <w:pStyle w:val="Heading3"/>
        <w:spacing w:line="240" w:lineRule="auto"/>
        <w:ind w:right="147"/>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65、所得税费用" w:id="421"/>
      <w:bookmarkEnd w:id="421"/>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2"/>
        <w:gridCol w:w="2534"/>
        <w:gridCol w:w="2390"/>
      </w:tblGrid>
      <w:tr>
        <w:trPr>
          <w:trHeight w:val="403" w:hRule="exact"/>
        </w:trPr>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10,537,584.29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14,024,406.70</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-936,747.00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-657,076.37</w:t>
            </w:r>
            <w:r>
              <w:rPr>
                <w:rFonts w:ascii="Times New Roman"/>
                <w:sz w:val="18"/>
              </w:rPr>
            </w:r>
          </w:p>
        </w:tc>
      </w:tr>
      <w:tr>
        <w:trPr>
          <w:trHeight w:val="403" w:hRule="exact"/>
        </w:trPr>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9,600,837.29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13,367,330.33</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7"/>
        <w:rPr>
          <w:rFonts w:ascii="宋体" w:hAnsi="宋体" w:cs="宋体" w:eastAsia="宋体" w:hint="default"/>
          <w:b/>
          <w:bCs/>
          <w:sz w:val="25"/>
          <w:szCs w:val="25"/>
        </w:rPr>
      </w:pPr>
    </w:p>
    <w:tbl>
      <w:tblPr>
        <w:tblW w:w="0" w:type="auto"/>
        <w:jc w:val="left"/>
        <w:tblInd w:w="284" w:type="dxa"/>
        <w:tblLayout w:type="fixed"/>
        <w:tblCellMar>
          <w:top w:w="0" w:type="dxa"/>
          <w:left w:w="0" w:type="dxa"/>
          <w:bottom w:w="0" w:type="dxa"/>
          <w:right w:w="0" w:type="dxa"/>
        </w:tblCellMar>
        <w:tblLook w:val="01E0"/>
      </w:tblPr>
      <w:tblGrid>
        <w:gridCol w:w="4822"/>
        <w:gridCol w:w="1138"/>
        <w:gridCol w:w="1697"/>
        <w:gridCol w:w="1699"/>
      </w:tblGrid>
      <w:tr>
        <w:trPr>
          <w:trHeight w:val="353" w:hRule="exact"/>
        </w:trPr>
        <w:tc>
          <w:tcPr>
            <w:tcW w:w="4822"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138"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代码</w:t>
            </w:r>
          </w:p>
        </w:tc>
        <w:tc>
          <w:tcPr>
            <w:tcW w:w="1697"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20"/>
              <w:ind w:left="38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99"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报告期归属于公司普通股股东的净利润</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P1</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124,344,607.19</w:t>
            </w:r>
            <w:r>
              <w:rPr>
                <w:rFonts w:ascii="Times New Roman"/>
                <w:sz w:val="18"/>
              </w:rPr>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119,476,714.75</w:t>
            </w:r>
            <w:r>
              <w:rPr>
                <w:rFonts w:ascii="Times New Roman"/>
                <w:sz w:val="18"/>
              </w:rPr>
            </w:r>
          </w:p>
        </w:tc>
      </w:tr>
      <w:tr>
        <w:trPr>
          <w:trHeight w:val="353"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报告期归属于公司普通股股东的非经常性损益</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4,589,798.75</w:t>
            </w:r>
            <w:r>
              <w:rPr>
                <w:rFonts w:ascii="Times New Roman"/>
                <w:sz w:val="18"/>
              </w:rPr>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6,738,662.05</w:t>
            </w:r>
            <w:r>
              <w:rPr>
                <w:rFonts w:ascii="Times New Roman"/>
                <w:sz w:val="18"/>
              </w:rPr>
            </w:r>
          </w:p>
        </w:tc>
      </w:tr>
      <w:tr>
        <w:trPr>
          <w:trHeight w:val="353"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报告期扣除非经常性损益后归属于公司普通股股东的净利润</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P2=P1-F</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119,754,808.44</w:t>
            </w:r>
            <w:r>
              <w:rPr>
                <w:rFonts w:ascii="Times New Roman"/>
                <w:sz w:val="18"/>
              </w:rPr>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112,738,052.70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31"/>
          <w:pgSz w:w="11910" w:h="16840"/>
          <w:pgMar w:footer="982" w:header="877" w:top="1100" w:bottom="1180" w:left="980" w:right="980"/>
          <w:pgNumType w:start="120"/>
        </w:sectPr>
      </w:pPr>
    </w:p>
    <w:p>
      <w:pPr>
        <w:spacing w:line="240" w:lineRule="auto" w:before="8"/>
        <w:rPr>
          <w:rFonts w:ascii="宋体" w:hAnsi="宋体" w:cs="宋体" w:eastAsia="宋体" w:hint="default"/>
          <w:b/>
          <w:bCs/>
          <w:sz w:val="24"/>
          <w:szCs w:val="24"/>
        </w:rPr>
      </w:pPr>
    </w:p>
    <w:tbl>
      <w:tblPr>
        <w:tblW w:w="0" w:type="auto"/>
        <w:jc w:val="left"/>
        <w:tblInd w:w="284" w:type="dxa"/>
        <w:tblLayout w:type="fixed"/>
        <w:tblCellMar>
          <w:top w:w="0" w:type="dxa"/>
          <w:left w:w="0" w:type="dxa"/>
          <w:bottom w:w="0" w:type="dxa"/>
          <w:right w:w="0" w:type="dxa"/>
        </w:tblCellMar>
        <w:tblLook w:val="01E0"/>
      </w:tblPr>
      <w:tblGrid>
        <w:gridCol w:w="4822"/>
        <w:gridCol w:w="1138"/>
        <w:gridCol w:w="1697"/>
        <w:gridCol w:w="1699"/>
      </w:tblGrid>
      <w:tr>
        <w:trPr>
          <w:trHeight w:val="353"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P3</w:t>
            </w:r>
          </w:p>
        </w:tc>
        <w:tc>
          <w:tcPr>
            <w:tcW w:w="1697" w:type="dxa"/>
            <w:tcBorders>
              <w:top w:val="single" w:sz="8" w:space="0" w:color="000000"/>
              <w:left w:val="single" w:sz="8" w:space="0" w:color="000000"/>
              <w:bottom w:val="single" w:sz="8" w:space="0" w:color="000000"/>
              <w:right w:val="single" w:sz="8" w:space="0" w:color="000000"/>
            </w:tcBorders>
          </w:tcPr>
          <w:p>
            <w:pPr/>
          </w:p>
        </w:tc>
        <w:tc>
          <w:tcPr>
            <w:tcW w:w="1699" w:type="dxa"/>
            <w:tcBorders>
              <w:top w:val="single" w:sz="8" w:space="0" w:color="000000"/>
              <w:left w:val="single" w:sz="8" w:space="0" w:color="000000"/>
              <w:bottom w:val="single" w:sz="8" w:space="0" w:color="000000"/>
              <w:right w:val="single" w:sz="8" w:space="0" w:color="000000"/>
            </w:tcBorders>
          </w:tcPr>
          <w:p>
            <w:pPr/>
          </w:p>
        </w:tc>
      </w:tr>
      <w:tr>
        <w:trPr>
          <w:trHeight w:val="662"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right="-4"/>
              <w:jc w:val="left"/>
              <w:rPr>
                <w:rFonts w:ascii="宋体" w:hAnsi="宋体" w:cs="宋体" w:eastAsia="宋体" w:hint="default"/>
                <w:sz w:val="18"/>
                <w:szCs w:val="18"/>
              </w:rPr>
            </w:pPr>
            <w:r>
              <w:rPr>
                <w:rFonts w:ascii="宋体" w:hAnsi="宋体" w:cs="宋体" w:eastAsia="宋体" w:hint="default"/>
                <w:spacing w:val="4"/>
                <w:sz w:val="18"/>
                <w:szCs w:val="18"/>
              </w:rPr>
              <w:t>稀释事项对扣除非经常性损益后归属于公司普通股股东的净 </w:t>
            </w:r>
            <w:r>
              <w:rPr>
                <w:rFonts w:ascii="宋体" w:hAnsi="宋体" w:cs="宋体" w:eastAsia="宋体" w:hint="default"/>
                <w:sz w:val="18"/>
                <w:szCs w:val="18"/>
              </w:rPr>
              <w:t>利润的影响</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P4</w:t>
            </w:r>
          </w:p>
        </w:tc>
        <w:tc>
          <w:tcPr>
            <w:tcW w:w="1697" w:type="dxa"/>
            <w:tcBorders>
              <w:top w:val="single" w:sz="8" w:space="0" w:color="000000"/>
              <w:left w:val="single" w:sz="8" w:space="0" w:color="000000"/>
              <w:bottom w:val="single" w:sz="8" w:space="0" w:color="000000"/>
              <w:right w:val="single" w:sz="8" w:space="0" w:color="000000"/>
            </w:tcBorders>
          </w:tcPr>
          <w:p>
            <w:pPr/>
          </w:p>
        </w:tc>
        <w:tc>
          <w:tcPr>
            <w:tcW w:w="1699"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S0</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103,700,000.00</w:t>
            </w:r>
            <w:r>
              <w:rPr>
                <w:rFonts w:ascii="Times New Roman"/>
                <w:sz w:val="18"/>
              </w:rPr>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103,700,000.00</w:t>
            </w:r>
            <w:r>
              <w:rPr>
                <w:rFonts w:ascii="Times New Roman"/>
                <w:sz w:val="18"/>
              </w:rPr>
            </w:r>
          </w:p>
        </w:tc>
      </w:tr>
      <w:tr>
        <w:trPr>
          <w:trHeight w:val="353"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S1</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103,700,000.00</w:t>
            </w:r>
            <w:r>
              <w:rPr>
                <w:rFonts w:ascii="Times New Roman"/>
                <w:sz w:val="18"/>
              </w:rPr>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103,700,000.00</w:t>
            </w:r>
            <w:r>
              <w:rPr>
                <w:rFonts w:ascii="Times New Roman"/>
                <w:sz w:val="18"/>
              </w:rPr>
            </w:r>
          </w:p>
        </w:tc>
      </w:tr>
      <w:tr>
        <w:trPr>
          <w:trHeight w:val="350"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Si</w:t>
            </w:r>
          </w:p>
        </w:tc>
        <w:tc>
          <w:tcPr>
            <w:tcW w:w="1697" w:type="dxa"/>
            <w:tcBorders>
              <w:top w:val="single" w:sz="8" w:space="0" w:color="000000"/>
              <w:left w:val="single" w:sz="8" w:space="0" w:color="000000"/>
              <w:bottom w:val="single" w:sz="8" w:space="0" w:color="000000"/>
              <w:right w:val="single" w:sz="8" w:space="0" w:color="000000"/>
            </w:tcBorders>
          </w:tcPr>
          <w:p>
            <w:pPr/>
          </w:p>
        </w:tc>
        <w:tc>
          <w:tcPr>
            <w:tcW w:w="1699"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增加股份下一月份起至报告期期末的月份数</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Mi</w:t>
            </w:r>
          </w:p>
        </w:tc>
        <w:tc>
          <w:tcPr>
            <w:tcW w:w="1697" w:type="dxa"/>
            <w:tcBorders>
              <w:top w:val="single" w:sz="8" w:space="0" w:color="000000"/>
              <w:left w:val="single" w:sz="8" w:space="0" w:color="000000"/>
              <w:bottom w:val="single" w:sz="8" w:space="0" w:color="000000"/>
              <w:right w:val="single" w:sz="8" w:space="0" w:color="000000"/>
            </w:tcBorders>
          </w:tcPr>
          <w:p>
            <w:pPr/>
          </w:p>
        </w:tc>
        <w:tc>
          <w:tcPr>
            <w:tcW w:w="1699"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Sj</w:t>
            </w:r>
          </w:p>
        </w:tc>
        <w:tc>
          <w:tcPr>
            <w:tcW w:w="1697" w:type="dxa"/>
            <w:tcBorders>
              <w:top w:val="single" w:sz="8" w:space="0" w:color="000000"/>
              <w:left w:val="single" w:sz="8" w:space="0" w:color="000000"/>
              <w:bottom w:val="single" w:sz="8" w:space="0" w:color="000000"/>
              <w:right w:val="single" w:sz="8" w:space="0" w:color="000000"/>
            </w:tcBorders>
          </w:tcPr>
          <w:p>
            <w:pPr/>
          </w:p>
        </w:tc>
        <w:tc>
          <w:tcPr>
            <w:tcW w:w="1699" w:type="dxa"/>
            <w:tcBorders>
              <w:top w:val="single" w:sz="8" w:space="0" w:color="000000"/>
              <w:left w:val="single" w:sz="8" w:space="0" w:color="000000"/>
              <w:bottom w:val="single" w:sz="8" w:space="0" w:color="000000"/>
              <w:right w:val="single" w:sz="8" w:space="0" w:color="000000"/>
            </w:tcBorders>
          </w:tcPr>
          <w:p>
            <w:pPr/>
          </w:p>
        </w:tc>
      </w:tr>
      <w:tr>
        <w:trPr>
          <w:trHeight w:val="350"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减少股份下一月份起至报告期期末的月份数</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Mj</w:t>
            </w:r>
          </w:p>
        </w:tc>
        <w:tc>
          <w:tcPr>
            <w:tcW w:w="1697" w:type="dxa"/>
            <w:tcBorders>
              <w:top w:val="single" w:sz="8" w:space="0" w:color="000000"/>
              <w:left w:val="single" w:sz="8" w:space="0" w:color="000000"/>
              <w:bottom w:val="single" w:sz="8" w:space="0" w:color="000000"/>
              <w:right w:val="single" w:sz="8" w:space="0" w:color="000000"/>
            </w:tcBorders>
          </w:tcPr>
          <w:p>
            <w:pPr/>
          </w:p>
        </w:tc>
        <w:tc>
          <w:tcPr>
            <w:tcW w:w="1699"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Sk</w:t>
            </w:r>
          </w:p>
        </w:tc>
        <w:tc>
          <w:tcPr>
            <w:tcW w:w="1697" w:type="dxa"/>
            <w:tcBorders>
              <w:top w:val="single" w:sz="8" w:space="0" w:color="000000"/>
              <w:left w:val="single" w:sz="8" w:space="0" w:color="000000"/>
              <w:bottom w:val="single" w:sz="8" w:space="0" w:color="000000"/>
              <w:right w:val="single" w:sz="8" w:space="0" w:color="000000"/>
            </w:tcBorders>
          </w:tcPr>
          <w:p>
            <w:pPr/>
          </w:p>
        </w:tc>
        <w:tc>
          <w:tcPr>
            <w:tcW w:w="1699"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M0</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12</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12</w:t>
            </w:r>
          </w:p>
        </w:tc>
      </w:tr>
      <w:tr>
        <w:trPr>
          <w:trHeight w:val="974"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5" w:right="0"/>
              <w:jc w:val="left"/>
              <w:rPr>
                <w:rFonts w:ascii="Times New Roman" w:hAnsi="Times New Roman" w:cs="Times New Roman" w:eastAsia="Times New Roman" w:hint="default"/>
                <w:sz w:val="18"/>
                <w:szCs w:val="18"/>
              </w:rPr>
            </w:pPr>
            <w:r>
              <w:rPr>
                <w:rFonts w:ascii="Times New Roman"/>
                <w:sz w:val="18"/>
              </w:rPr>
              <w:t>S=S0+S1+Si*</w:t>
            </w:r>
          </w:p>
          <w:p>
            <w:pPr>
              <w:pStyle w:val="TableParagraph"/>
              <w:spacing w:line="362" w:lineRule="auto" w:before="105"/>
              <w:ind w:left="309" w:right="22" w:hanging="286"/>
              <w:jc w:val="left"/>
              <w:rPr>
                <w:rFonts w:ascii="Times New Roman" w:hAnsi="Times New Roman" w:cs="Times New Roman" w:eastAsia="Times New Roman" w:hint="default"/>
                <w:sz w:val="18"/>
                <w:szCs w:val="18"/>
              </w:rPr>
            </w:pPr>
            <w:r>
              <w:rPr>
                <w:rFonts w:ascii="Times New Roman"/>
                <w:sz w:val="18"/>
              </w:rPr>
              <w:t>Mi/M0-Sj*Mj/ M0-Sk</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3"/>
              <w:jc w:val="right"/>
              <w:rPr>
                <w:rFonts w:ascii="Times New Roman" w:hAnsi="Times New Roman" w:cs="Times New Roman" w:eastAsia="Times New Roman" w:hint="default"/>
                <w:sz w:val="18"/>
                <w:szCs w:val="18"/>
              </w:rPr>
            </w:pPr>
            <w:r>
              <w:rPr>
                <w:rFonts w:ascii="Times New Roman"/>
                <w:spacing w:val="-1"/>
                <w:sz w:val="18"/>
              </w:rPr>
              <w:t>207,400,000.00</w:t>
            </w:r>
            <w:r>
              <w:rPr>
                <w:rFonts w:ascii="Times New Roman"/>
                <w:sz w:val="18"/>
              </w:rPr>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3"/>
              <w:jc w:val="right"/>
              <w:rPr>
                <w:rFonts w:ascii="Times New Roman" w:hAnsi="Times New Roman" w:cs="Times New Roman" w:eastAsia="Times New Roman" w:hint="default"/>
                <w:sz w:val="18"/>
                <w:szCs w:val="18"/>
              </w:rPr>
            </w:pPr>
            <w:r>
              <w:rPr>
                <w:rFonts w:ascii="Times New Roman"/>
                <w:spacing w:val="-1"/>
                <w:sz w:val="18"/>
              </w:rPr>
              <w:t>207,400,000.00</w:t>
            </w:r>
            <w:r>
              <w:rPr>
                <w:rFonts w:ascii="Times New Roman"/>
                <w:sz w:val="18"/>
              </w:rPr>
            </w:r>
          </w:p>
        </w:tc>
      </w:tr>
      <w:tr>
        <w:trPr>
          <w:trHeight w:val="665"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right="0"/>
              <w:jc w:val="left"/>
              <w:rPr>
                <w:rFonts w:ascii="宋体" w:hAnsi="宋体" w:cs="宋体" w:eastAsia="宋体" w:hint="default"/>
                <w:sz w:val="18"/>
                <w:szCs w:val="18"/>
              </w:rPr>
            </w:pPr>
            <w:r>
              <w:rPr>
                <w:rFonts w:ascii="宋体" w:hAnsi="宋体" w:cs="宋体" w:eastAsia="宋体" w:hint="default"/>
                <w:spacing w:val="-3"/>
                <w:sz w:val="18"/>
                <w:szCs w:val="18"/>
              </w:rPr>
              <w:t>加：假定稀释性潜在普通股转换为已发行普通股而增加的普通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股加权平均数</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X1</w:t>
            </w:r>
          </w:p>
        </w:tc>
        <w:tc>
          <w:tcPr>
            <w:tcW w:w="1697" w:type="dxa"/>
            <w:tcBorders>
              <w:top w:val="single" w:sz="8" w:space="0" w:color="000000"/>
              <w:left w:val="single" w:sz="8" w:space="0" w:color="000000"/>
              <w:bottom w:val="single" w:sz="8" w:space="0" w:color="000000"/>
              <w:right w:val="single" w:sz="8" w:space="0" w:color="000000"/>
            </w:tcBorders>
          </w:tcPr>
          <w:p>
            <w:pPr/>
          </w:p>
        </w:tc>
        <w:tc>
          <w:tcPr>
            <w:tcW w:w="1699"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X2=S+X1</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207,400,000.00</w:t>
            </w:r>
            <w:r>
              <w:rPr>
                <w:rFonts w:ascii="Times New Roman"/>
                <w:sz w:val="18"/>
              </w:rPr>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207,400,000.00</w:t>
            </w:r>
            <w:r>
              <w:rPr>
                <w:rFonts w:ascii="Times New Roman"/>
                <w:sz w:val="18"/>
              </w:rPr>
            </w:r>
          </w:p>
        </w:tc>
      </w:tr>
      <w:tr>
        <w:trPr>
          <w:trHeight w:val="350"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180"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138" w:type="dxa"/>
            <w:tcBorders>
              <w:top w:val="single" w:sz="8" w:space="0" w:color="000000"/>
              <w:left w:val="single" w:sz="8" w:space="0" w:color="000000"/>
              <w:bottom w:val="single" w:sz="8" w:space="0" w:color="000000"/>
              <w:right w:val="single" w:sz="8" w:space="0" w:color="000000"/>
            </w:tcBorders>
          </w:tcPr>
          <w:p>
            <w:pPr/>
          </w:p>
        </w:tc>
        <w:tc>
          <w:tcPr>
            <w:tcW w:w="1697" w:type="dxa"/>
            <w:tcBorders>
              <w:top w:val="single" w:sz="8" w:space="0" w:color="000000"/>
              <w:left w:val="single" w:sz="8" w:space="0" w:color="000000"/>
              <w:bottom w:val="single" w:sz="8" w:space="0" w:color="000000"/>
              <w:right w:val="single" w:sz="8" w:space="0" w:color="000000"/>
            </w:tcBorders>
          </w:tcPr>
          <w:p>
            <w:pPr/>
          </w:p>
        </w:tc>
        <w:tc>
          <w:tcPr>
            <w:tcW w:w="1699"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80"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138" w:type="dxa"/>
            <w:tcBorders>
              <w:top w:val="single" w:sz="8" w:space="0" w:color="000000"/>
              <w:left w:val="single" w:sz="8" w:space="0" w:color="000000"/>
              <w:bottom w:val="single" w:sz="8" w:space="0" w:color="000000"/>
              <w:right w:val="single" w:sz="8" w:space="0" w:color="000000"/>
            </w:tcBorders>
          </w:tcPr>
          <w:p>
            <w:pPr/>
          </w:p>
        </w:tc>
        <w:tc>
          <w:tcPr>
            <w:tcW w:w="1697" w:type="dxa"/>
            <w:tcBorders>
              <w:top w:val="single" w:sz="8" w:space="0" w:color="000000"/>
              <w:left w:val="single" w:sz="8" w:space="0" w:color="000000"/>
              <w:bottom w:val="single" w:sz="8" w:space="0" w:color="000000"/>
              <w:right w:val="single" w:sz="8" w:space="0" w:color="000000"/>
            </w:tcBorders>
          </w:tcPr>
          <w:p>
            <w:pPr/>
          </w:p>
        </w:tc>
        <w:tc>
          <w:tcPr>
            <w:tcW w:w="1699"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180"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138" w:type="dxa"/>
            <w:tcBorders>
              <w:top w:val="single" w:sz="8" w:space="0" w:color="000000"/>
              <w:left w:val="single" w:sz="8" w:space="0" w:color="000000"/>
              <w:bottom w:val="single" w:sz="8" w:space="0" w:color="000000"/>
              <w:right w:val="single" w:sz="8" w:space="0" w:color="000000"/>
            </w:tcBorders>
          </w:tcPr>
          <w:p>
            <w:pPr/>
          </w:p>
        </w:tc>
        <w:tc>
          <w:tcPr>
            <w:tcW w:w="1697" w:type="dxa"/>
            <w:tcBorders>
              <w:top w:val="single" w:sz="8" w:space="0" w:color="000000"/>
              <w:left w:val="single" w:sz="8" w:space="0" w:color="000000"/>
              <w:bottom w:val="single" w:sz="8" w:space="0" w:color="000000"/>
              <w:right w:val="single" w:sz="8" w:space="0" w:color="000000"/>
            </w:tcBorders>
          </w:tcPr>
          <w:p>
            <w:pPr/>
          </w:p>
        </w:tc>
        <w:tc>
          <w:tcPr>
            <w:tcW w:w="1699" w:type="dxa"/>
            <w:tcBorders>
              <w:top w:val="single" w:sz="8" w:space="0" w:color="000000"/>
              <w:left w:val="single" w:sz="8" w:space="0" w:color="000000"/>
              <w:bottom w:val="single" w:sz="8" w:space="0" w:color="000000"/>
              <w:right w:val="single" w:sz="8" w:space="0" w:color="000000"/>
            </w:tcBorders>
          </w:tcPr>
          <w:p>
            <w:pPr/>
          </w:p>
        </w:tc>
      </w:tr>
      <w:tr>
        <w:trPr>
          <w:trHeight w:val="350"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Y1=P1/S</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0.5995</w:t>
            </w:r>
            <w:r>
              <w:rPr>
                <w:rFonts w:ascii="Times New Roman"/>
                <w:sz w:val="18"/>
              </w:rPr>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0.5761</w:t>
            </w:r>
            <w:r>
              <w:rPr>
                <w:rFonts w:ascii="Times New Roman"/>
                <w:sz w:val="18"/>
              </w:rPr>
            </w:r>
          </w:p>
        </w:tc>
      </w:tr>
      <w:tr>
        <w:trPr>
          <w:trHeight w:val="353"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Y2=P2/S</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0.5774</w:t>
            </w:r>
            <w:r>
              <w:rPr>
                <w:rFonts w:ascii="Times New Roman"/>
                <w:sz w:val="18"/>
              </w:rPr>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0.5436</w:t>
            </w:r>
            <w:r>
              <w:rPr>
                <w:rFonts w:ascii="Times New Roman"/>
                <w:sz w:val="18"/>
              </w:rPr>
            </w:r>
          </w:p>
        </w:tc>
      </w:tr>
      <w:tr>
        <w:trPr>
          <w:trHeight w:val="665"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8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Y3=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P1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P3</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/X2</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0.5995</w:t>
            </w:r>
            <w:r>
              <w:rPr>
                <w:rFonts w:ascii="Times New Roman"/>
                <w:sz w:val="18"/>
              </w:rPr>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0.5761</w:t>
            </w:r>
            <w:r>
              <w:rPr>
                <w:rFonts w:ascii="Times New Roman"/>
                <w:sz w:val="18"/>
              </w:rPr>
            </w:r>
          </w:p>
        </w:tc>
      </w:tr>
      <w:tr>
        <w:trPr>
          <w:trHeight w:val="665" w:hRule="exact"/>
        </w:trPr>
        <w:tc>
          <w:tcPr>
            <w:tcW w:w="4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8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Y4=</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P2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P4</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/X2</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0.5774</w:t>
            </w:r>
            <w:r>
              <w:rPr>
                <w:rFonts w:ascii="Times New Roman"/>
                <w:sz w:val="18"/>
              </w:rPr>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0.5436</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47"/>
        <w:jc w:val="left"/>
        <w:rPr>
          <w:b w:val="0"/>
          <w:bCs w:val="0"/>
        </w:rPr>
      </w:pPr>
      <w:bookmarkStart w:name="68、现金流量表附注" w:id="422"/>
      <w:bookmarkEnd w:id="422"/>
      <w:r>
        <w:rPr>
          <w:b w:val="0"/>
          <w:bCs w:val="0"/>
        </w:rPr>
      </w:r>
      <w:bookmarkStart w:name="（1）收到的其他与经营活动有关的现金" w:id="423"/>
      <w:bookmarkEnd w:id="423"/>
      <w:r>
        <w:rPr>
          <w:b w:val="0"/>
          <w:bCs w:val="0"/>
        </w:rPr>
      </w:r>
      <w:r>
        <w:rPr>
          <w:rFonts w:ascii="Times New Roman" w:hAnsi="Times New Roman" w:cs="Times New Roman" w:eastAsia="Times New Roman" w:hint="default"/>
        </w:rPr>
        <w:t>67</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bookmarkStart w:name="67、其他综合收益" w:id="424"/>
      <w:bookmarkEnd w:id="424"/>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5"/>
        <w:gridCol w:w="3984"/>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19,764,341.46</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银行保证金</w:t>
            </w:r>
          </w:p>
        </w:tc>
        <w:tc>
          <w:tcPr>
            <w:tcW w:w="39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5585"/>
        <w:gridCol w:w="3984"/>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4,033,504.63</w:t>
            </w:r>
            <w:r>
              <w:rPr>
                <w:rFonts w:ascii="Times New Roman"/>
                <w:sz w:val="18"/>
              </w:rPr>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备用金及其他单位往来款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3,518,068.42</w:t>
            </w:r>
            <w:r>
              <w:rPr>
                <w:rFonts w:ascii="Times New Roman"/>
                <w:sz w:val="18"/>
              </w:rPr>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27,315,914.51</w:t>
            </w:r>
          </w:p>
        </w:tc>
      </w:tr>
    </w:tbl>
    <w:p>
      <w:pPr>
        <w:spacing w:line="240" w:lineRule="auto" w:before="2"/>
        <w:rPr>
          <w:rFonts w:ascii="宋体" w:hAnsi="宋体" w:cs="宋体" w:eastAsia="宋体" w:hint="default"/>
          <w:sz w:val="9"/>
          <w:szCs w:val="9"/>
        </w:rPr>
      </w:pPr>
    </w:p>
    <w:p>
      <w:pPr>
        <w:pStyle w:val="BodyText"/>
        <w:spacing w:line="240" w:lineRule="auto" w:before="44"/>
        <w:ind w:right="147"/>
        <w:jc w:val="left"/>
      </w:pPr>
      <w:bookmarkStart w:name="69、现金流量表补充资料" w:id="425"/>
      <w:bookmarkEnd w:id="425"/>
      <w:r>
        <w:rPr/>
      </w:r>
      <w:bookmarkStart w:name="（1）现金流量表补充资料" w:id="426"/>
      <w:bookmarkEnd w:id="426"/>
      <w:r>
        <w:rPr/>
      </w:r>
      <w:r>
        <w:rPr/>
        <w:t>收到的其他与经营活动有关的现金说明</w:t>
      </w:r>
    </w:p>
    <w:p>
      <w:pPr>
        <w:spacing w:line="240" w:lineRule="auto" w:before="2"/>
        <w:rPr>
          <w:rFonts w:ascii="宋体" w:hAnsi="宋体" w:cs="宋体" w:eastAsia="宋体" w:hint="default"/>
          <w:sz w:val="16"/>
          <w:szCs w:val="16"/>
        </w:rPr>
      </w:pPr>
    </w:p>
    <w:p>
      <w:pPr>
        <w:pStyle w:val="Heading3"/>
        <w:spacing w:line="240" w:lineRule="auto"/>
        <w:ind w:right="147"/>
        <w:jc w:val="left"/>
        <w:rPr>
          <w:b w:val="0"/>
          <w:bCs w:val="0"/>
        </w:rPr>
      </w:pPr>
      <w:r>
        <w:rPr/>
        <w:t>（</w:t>
      </w:r>
      <w:r>
        <w:rPr>
          <w:rFonts w:ascii="Times New Roman" w:hAnsi="Times New Roman" w:cs="Times New Roman" w:eastAsia="Times New Roman" w:hint="default"/>
        </w:rPr>
        <w:t>2</w:t>
      </w:r>
      <w:r>
        <w:rPr/>
        <w:t>）支付的其他与</w:t>
      </w:r>
      <w:bookmarkStart w:name="（2）支付的其他与经营活动有关的现金" w:id="427"/>
      <w:bookmarkEnd w:id="427"/>
      <w:r>
        <w:rPr/>
        <w:t>经营</w:t>
      </w:r>
      <w:r>
        <w:rPr/>
        <w:t>活动有关的现金</w:t>
      </w:r>
      <w:r>
        <w:rPr>
          <w:b w:val="0"/>
          <w:bCs w:val="0"/>
        </w:rPr>
      </w:r>
    </w:p>
    <w:p>
      <w:pPr>
        <w:spacing w:line="240" w:lineRule="auto" w:before="10"/>
        <w:rPr>
          <w:rFonts w:ascii="宋体" w:hAnsi="宋体" w:cs="宋体" w:eastAsia="宋体" w:hint="default"/>
          <w:b/>
          <w:bCs/>
          <w:sz w:val="11"/>
          <w:szCs w:val="1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5"/>
        <w:gridCol w:w="3984"/>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销售费用付现支出</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28,293,529.48</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管理费用付现支出</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38,138,216.17</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备用金及其他单位往来款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7,510,037.04</w:t>
            </w:r>
            <w:r>
              <w:rPr>
                <w:rFonts w:ascii="Times New Roman"/>
                <w:sz w:val="18"/>
              </w:rPr>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9,956,806.30</w:t>
            </w:r>
            <w:r>
              <w:rPr>
                <w:rFonts w:ascii="Times New Roman"/>
                <w:sz w:val="18"/>
              </w:rPr>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606"/>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83,898,588.99</w:t>
            </w:r>
          </w:p>
        </w:tc>
      </w:tr>
    </w:tbl>
    <w:p>
      <w:pPr>
        <w:pStyle w:val="BodyText"/>
        <w:spacing w:line="240" w:lineRule="auto" w:before="49"/>
        <w:ind w:right="147"/>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收到的其他与投资活动有关的现金" w:id="428"/>
      <w:bookmarkEnd w:id="428"/>
      <w:r>
        <w:rPr/>
      </w:r>
      <w:bookmarkStart w:name="（4）支付的其他与投资活动有关的现金" w:id="429"/>
      <w:bookmarkEnd w:id="429"/>
      <w:r>
        <w:rPr/>
      </w:r>
      <w:bookmarkStart w:name="（5）收到的其他与筹资活动有关的现金" w:id="430"/>
      <w:bookmarkEnd w:id="430"/>
      <w:r>
        <w:rPr/>
      </w:r>
      <w:r>
        <w:rPr/>
        <w:t>单位：</w:t>
      </w:r>
      <w:r>
        <w:rPr>
          <w:spacing w:val="1"/>
        </w:rPr>
        <w:t> </w:t>
      </w:r>
      <w:bookmarkStart w:name="（6）支付的其他与筹资活动有关的现金" w:id="431"/>
      <w:bookmarkEnd w:id="431"/>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7"/>
        <w:gridCol w:w="2533"/>
        <w:gridCol w:w="2657"/>
      </w:tblGrid>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124,050,152.94</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119,416,872.45</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-33,749.32</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2,775,884.80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367"/>
        <w:gridCol w:w="2533"/>
        <w:gridCol w:w="2657"/>
      </w:tblGrid>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8,175,520.35</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6,167,899.85</w:t>
            </w:r>
            <w:r>
              <w:rPr>
                <w:rFonts w:ascii="Times New Roman"/>
                <w:sz w:val="18"/>
              </w:rPr>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11,687,022.10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5,857,351.82</w:t>
            </w:r>
            <w:r>
              <w:rPr>
                <w:rFonts w:ascii="Times New Roman"/>
                <w:sz w:val="18"/>
              </w:rPr>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228,836.11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20,991.60</w:t>
            </w:r>
          </w:p>
        </w:tc>
      </w:tr>
      <w:tr>
        <w:trPr>
          <w:trHeight w:val="714"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2"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121,872.12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44,995.30</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-20,405,568.22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-13,638,309.54</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-4,657,460.85</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-4,045,094.70</w:t>
            </w:r>
            <w:r>
              <w:rPr>
                <w:rFonts w:ascii="Times New Roman"/>
                <w:sz w:val="18"/>
              </w:rPr>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-816,066.51</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-536,395.88</w:t>
            </w:r>
            <w:r>
              <w:rPr>
                <w:rFonts w:ascii="Times New Roman"/>
                <w:sz w:val="18"/>
              </w:rPr>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-120,680.49</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-120,680.49</w:t>
            </w:r>
            <w:r>
              <w:rPr>
                <w:rFonts w:ascii="Times New Roman"/>
                <w:sz w:val="18"/>
              </w:rPr>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-64,771,383.32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-37,330,655.46</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-26,344,593.35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-18,105,272.72</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91,144,177.34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23,310,284.96</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118,258,078.90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83,817,871.99</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727,558,646.26</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848,563,454.60</w:t>
            </w:r>
            <w:r>
              <w:rPr>
                <w:rFonts w:ascii="Times New Roman"/>
                <w:sz w:val="18"/>
              </w:rPr>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848,563,454.60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323,161,126.13</w:t>
            </w:r>
            <w:r>
              <w:rPr>
                <w:rFonts w:ascii="Times New Roman"/>
                <w:sz w:val="18"/>
              </w:rPr>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-121,004,808.34</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525,402,328.47</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bookmarkStart w:name="70、所有者权益变动表项目注释" w:id="432"/>
      <w:bookmarkEnd w:id="432"/>
      <w:r>
        <w:rPr>
          <w:b w:val="0"/>
          <w:bCs w:val="0"/>
        </w:rPr>
      </w: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本报告期取得或处置子公司及其他营业单位的相关信息" w:id="433"/>
      <w:bookmarkEnd w:id="433"/>
      <w:r>
        <w:rPr/>
      </w:r>
      <w:bookmarkStart w:name="（3）现金和现金等价物的构成" w:id="434"/>
      <w:bookmarkEnd w:id="434"/>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75"/>
        <w:gridCol w:w="2536"/>
        <w:gridCol w:w="2657"/>
      </w:tblGrid>
      <w:tr>
        <w:trPr>
          <w:trHeight w:val="403"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727,558,646.26</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848,563,454.60</w:t>
            </w:r>
            <w:r>
              <w:rPr>
                <w:rFonts w:ascii="Times New Roman"/>
                <w:sz w:val="18"/>
              </w:rPr>
            </w:r>
          </w:p>
        </w:tc>
      </w:tr>
      <w:tr>
        <w:trPr>
          <w:trHeight w:val="402"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236,969.97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209,247.88</w:t>
            </w:r>
          </w:p>
        </w:tc>
      </w:tr>
      <w:tr>
        <w:trPr>
          <w:trHeight w:val="402"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727,321,676.29</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848,354,206.72</w:t>
            </w:r>
            <w:r>
              <w:rPr>
                <w:rFonts w:ascii="Times New Roman"/>
                <w:sz w:val="18"/>
              </w:rPr>
            </w:r>
          </w:p>
        </w:tc>
      </w:tr>
      <w:tr>
        <w:trPr>
          <w:trHeight w:val="402"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727,558,646.26</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848,563,454.60</w:t>
            </w:r>
            <w:r>
              <w:rPr>
                <w:rFonts w:ascii="Times New Roman"/>
                <w:sz w:val="18"/>
              </w:rPr>
            </w:r>
          </w:p>
        </w:tc>
      </w:tr>
    </w:tbl>
    <w:p>
      <w:pPr>
        <w:pStyle w:val="BodyText"/>
        <w:spacing w:line="357" w:lineRule="auto" w:before="49"/>
        <w:ind w:right="7614"/>
        <w:jc w:val="left"/>
      </w:pPr>
      <w:r>
        <w:rPr/>
        <w:t>现金流量表补充资料的说明 无。</w:t>
      </w:r>
    </w:p>
    <w:p>
      <w:pPr>
        <w:spacing w:line="240" w:lineRule="auto" w:before="6"/>
        <w:rPr>
          <w:rFonts w:ascii="宋体" w:hAnsi="宋体" w:cs="宋体" w:eastAsia="宋体" w:hint="default"/>
          <w:sz w:val="20"/>
          <w:szCs w:val="20"/>
        </w:rPr>
      </w:pPr>
    </w:p>
    <w:p>
      <w:pPr>
        <w:pStyle w:val="Heading3"/>
        <w:spacing w:line="240" w:lineRule="auto"/>
        <w:ind w:right="147"/>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334"/>
        <w:jc w:val="left"/>
      </w:pPr>
      <w:r>
        <w:rPr/>
        <w:t>说明对上年年末余额进行调整的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项目名称及调整金额、由同一控制下企业合并产生的追溯调整等事项 无。</w:t>
      </w:r>
    </w:p>
    <w:p>
      <w:pPr>
        <w:spacing w:after="0" w:line="3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spacing w:line="506" w:lineRule="auto" w:before="26"/>
        <w:ind w:left="152" w:right="3155" w:firstLine="0"/>
        <w:jc w:val="left"/>
        <w:rPr>
          <w:rFonts w:ascii="宋体" w:hAnsi="宋体" w:cs="宋体" w:eastAsia="宋体" w:hint="default"/>
          <w:sz w:val="18"/>
          <w:szCs w:val="18"/>
        </w:rPr>
      </w:pPr>
      <w:r>
        <w:rPr>
          <w:rFonts w:ascii="宋体" w:hAnsi="宋体" w:cs="宋体" w:eastAsia="宋体" w:hint="default"/>
          <w:b/>
          <w:bCs/>
          <w:sz w:val="24"/>
          <w:szCs w:val="24"/>
        </w:rPr>
        <w:t>八</w:t>
      </w:r>
      <w:bookmarkStart w:name="八、资产证券化业务的会计处理" w:id="435"/>
      <w:bookmarkEnd w:id="435"/>
      <w:r>
        <w:rPr>
          <w:rFonts w:ascii="宋体" w:hAnsi="宋体" w:cs="宋体" w:eastAsia="宋体" w:hint="default"/>
          <w:b/>
          <w:bCs/>
          <w:sz w:val="24"/>
          <w:szCs w:val="24"/>
        </w:rPr>
        <w:t>、</w:t>
      </w:r>
      <w:r>
        <w:rPr>
          <w:rFonts w:ascii="宋体" w:hAnsi="宋体" w:cs="宋体" w:eastAsia="宋体" w:hint="default"/>
          <w:b/>
          <w:bCs/>
          <w:sz w:val="24"/>
          <w:szCs w:val="24"/>
        </w:rPr>
        <w:t>资产证券化业务的会计处理</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bookmarkStart w:name="1、说明资产证券化业务的主要交易安排及其会计处理、破产隔离条款" w:id="436"/>
      <w:bookmarkEnd w:id="436"/>
      <w:r>
        <w:rPr>
          <w:rFonts w:ascii="Times New Roman" w:hAnsi="Times New Roman" w:cs="Times New Roman" w:eastAsia="Times New Roman" w:hint="default"/>
          <w:b/>
          <w:bCs/>
          <w:spacing w:val="-1"/>
          <w:sz w:val="21"/>
          <w:szCs w:val="21"/>
        </w:rPr>
      </w:r>
      <w:r>
        <w:rPr>
          <w:rFonts w:ascii="宋体" w:hAnsi="宋体" w:cs="宋体" w:eastAsia="宋体" w:hint="default"/>
          <w:b/>
          <w:bCs/>
          <w:spacing w:val="-1"/>
          <w:sz w:val="21"/>
          <w:szCs w:val="21"/>
        </w:rPr>
        <w:t>、说明资产证券化业务的主要交易安排及其会计处理、破产隔离条款</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sz w:val="18"/>
          <w:szCs w:val="18"/>
        </w:rPr>
        <w:t>无。</w:t>
      </w:r>
    </w:p>
    <w:p>
      <w:pPr>
        <w:pStyle w:val="Heading3"/>
        <w:spacing w:line="240" w:lineRule="auto" w:before="156"/>
        <w:ind w:right="103"/>
        <w:jc w:val="left"/>
        <w:rPr>
          <w:b w:val="0"/>
          <w:bCs w:val="0"/>
        </w:rPr>
      </w:pPr>
      <w:r>
        <w:rPr>
          <w:rFonts w:ascii="Times New Roman" w:hAnsi="Times New Roman" w:cs="Times New Roman" w:eastAsia="Times New Roman" w:hint="default"/>
        </w:rPr>
        <w:t>2</w:t>
      </w:r>
      <w:r>
        <w:rPr/>
        <w:t>、公司不具有控制</w:t>
      </w:r>
      <w:bookmarkStart w:name="2、公司不具有控制权但实质上承担其风险的特殊目的主体情况" w:id="437"/>
      <w:bookmarkEnd w:id="437"/>
      <w:r>
        <w:rPr/>
        <w:t>权但</w:t>
      </w:r>
      <w:r>
        <w:rPr/>
        <w:t>实质上承担其风险的特殊目的主体情况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3"/>
        <w:jc w:val="left"/>
      </w:pPr>
      <w:r>
        <w:rPr/>
        <w:t>无。</w:t>
      </w:r>
    </w:p>
    <w:p>
      <w:pPr>
        <w:spacing w:line="240" w:lineRule="auto" w:before="1"/>
        <w:rPr>
          <w:rFonts w:ascii="宋体" w:hAnsi="宋体" w:cs="宋体" w:eastAsia="宋体" w:hint="default"/>
          <w:sz w:val="25"/>
          <w:szCs w:val="25"/>
        </w:rPr>
      </w:pPr>
    </w:p>
    <w:p>
      <w:pPr>
        <w:pStyle w:val="Heading2"/>
        <w:spacing w:line="240" w:lineRule="auto"/>
        <w:ind w:right="103"/>
        <w:jc w:val="left"/>
        <w:rPr>
          <w:b w:val="0"/>
          <w:bCs w:val="0"/>
        </w:rPr>
      </w:pPr>
      <w:r>
        <w:rPr/>
        <w:t>九、关联方及关联交易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53"/>
        <w:jc w:val="right"/>
      </w:pPr>
      <w:bookmarkStart w:name="九、关联方及关联交易" w:id="438"/>
      <w:bookmarkEnd w:id="438"/>
      <w:r>
        <w:rPr/>
      </w:r>
      <w:bookmarkStart w:name="1、本企业的母公司情况" w:id="439"/>
      <w:bookmarkEnd w:id="439"/>
      <w:r>
        <w:rPr/>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1"/>
        <w:gridCol w:w="869"/>
        <w:gridCol w:w="862"/>
      </w:tblGrid>
      <w:tr>
        <w:trPr>
          <w:trHeight w:val="1338" w:hRule="exact"/>
        </w:trPr>
        <w:tc>
          <w:tcPr>
            <w:tcW w:w="8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40" w:right="71" w:hanging="269"/>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母公司对 本企业的 持股比例</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69" w:right="71"/>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027"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both"/>
              <w:rPr>
                <w:rFonts w:ascii="宋体" w:hAnsi="宋体" w:cs="宋体" w:eastAsia="宋体" w:hint="default"/>
                <w:sz w:val="18"/>
                <w:szCs w:val="18"/>
              </w:rPr>
            </w:pPr>
            <w:r>
              <w:rPr>
                <w:rFonts w:ascii="宋体" w:hAnsi="宋体" w:cs="宋体" w:eastAsia="宋体" w:hint="default"/>
                <w:sz w:val="18"/>
                <w:szCs w:val="18"/>
              </w:rPr>
              <w:t>本公司股 东、董事 长、总裁</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32.80%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32.80%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7394"/>
        <w:jc w:val="left"/>
      </w:pPr>
      <w:r>
        <w:rPr/>
        <w:t>本企业的母公司情况的说明 无。</w:t>
      </w:r>
    </w:p>
    <w:p>
      <w:pPr>
        <w:spacing w:line="240" w:lineRule="auto" w:before="6"/>
        <w:rPr>
          <w:rFonts w:ascii="宋体" w:hAnsi="宋体" w:cs="宋体" w:eastAsia="宋体" w:hint="default"/>
          <w:sz w:val="20"/>
          <w:szCs w:val="20"/>
        </w:rPr>
      </w:pPr>
    </w:p>
    <w:p>
      <w:pPr>
        <w:pStyle w:val="Heading3"/>
        <w:spacing w:line="240" w:lineRule="auto"/>
        <w:ind w:right="10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53"/>
        <w:jc w:val="right"/>
      </w:pPr>
      <w:bookmarkStart w:name="2、本企业的子公司情况" w:id="440"/>
      <w:bookmarkEnd w:id="440"/>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5"/>
        <w:gridCol w:w="960"/>
        <w:gridCol w:w="958"/>
        <w:gridCol w:w="955"/>
        <w:gridCol w:w="1202"/>
        <w:gridCol w:w="852"/>
        <w:gridCol w:w="816"/>
        <w:gridCol w:w="1166"/>
      </w:tblGrid>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w:t>
            </w:r>
          </w:p>
        </w:tc>
        <w:tc>
          <w:tcPr>
            <w:tcW w:w="8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0" w:right="41"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浙江榕基信 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计算机行业</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74946955-6</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上海榕基软 件开发有限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计算机行业</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77434726-X</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榕基五一</w:t>
            </w:r>
          </w:p>
          <w:p>
            <w:pPr>
              <w:pStyle w:val="TableParagraph"/>
              <w:spacing w:line="316" w:lineRule="auto" w:before="74"/>
              <w:ind w:left="24" w:right="23"/>
              <w:jc w:val="both"/>
              <w:rPr>
                <w:rFonts w:ascii="宋体" w:hAnsi="宋体" w:cs="宋体" w:eastAsia="宋体" w:hint="default"/>
                <w:sz w:val="18"/>
                <w:szCs w:val="18"/>
              </w:rPr>
            </w:pPr>
            <w:r>
              <w:rPr>
                <w:rFonts w:ascii="宋体" w:hAnsi="宋体" w:cs="宋体" w:eastAsia="宋体" w:hint="default"/>
                <w:sz w:val="18"/>
                <w:szCs w:val="18"/>
              </w:rPr>
              <w:t>（北京）信 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胡勇</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计算机行业</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57120270-6</w:t>
            </w:r>
          </w:p>
        </w:tc>
      </w:tr>
      <w:tr>
        <w:trPr>
          <w:trHeight w:val="67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河南榕基信 息技术有限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计算机行业</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58603871-8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8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5"/>
        <w:gridCol w:w="960"/>
        <w:gridCol w:w="958"/>
        <w:gridCol w:w="955"/>
        <w:gridCol w:w="1202"/>
        <w:gridCol w:w="852"/>
        <w:gridCol w:w="816"/>
        <w:gridCol w:w="1166"/>
      </w:tblGrid>
      <w:tr>
        <w:trPr>
          <w:trHeight w:val="36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马鞍山榕基 软件信息科 技有限公司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57303464-6</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北京中榕基 信息技术有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宾壮兴</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58774160-8</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福建榕基软 件工程有限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56925148-8</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福建榕基投 资有限公司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05034717-6</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福州创华电 气自动化系 统有限公司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70535098-3</w:t>
            </w:r>
          </w:p>
        </w:tc>
      </w:tr>
    </w:tbl>
    <w:p>
      <w:pPr>
        <w:spacing w:line="240" w:lineRule="auto" w:before="3"/>
        <w:rPr>
          <w:rFonts w:ascii="宋体" w:hAnsi="宋体" w:cs="宋体" w:eastAsia="宋体" w:hint="default"/>
          <w:sz w:val="19"/>
          <w:szCs w:val="19"/>
        </w:rPr>
      </w:pPr>
    </w:p>
    <w:p>
      <w:pPr>
        <w:pStyle w:val="Heading3"/>
        <w:spacing w:line="240" w:lineRule="auto" w:before="36"/>
        <w:ind w:right="103"/>
        <w:jc w:val="left"/>
        <w:rPr>
          <w:b w:val="0"/>
          <w:bCs w:val="0"/>
        </w:rPr>
      </w:pPr>
      <w:bookmarkStart w:name="4、本企业的其他关联方情况" w:id="441"/>
      <w:bookmarkEnd w:id="441"/>
      <w:r>
        <w:rPr>
          <w:b w:val="0"/>
          <w:bCs w:val="0"/>
        </w:rPr>
      </w:r>
      <w:bookmarkStart w:name="5、关联方交易" w:id="442"/>
      <w:bookmarkEnd w:id="442"/>
      <w:r>
        <w:rPr>
          <w:b w:val="0"/>
          <w:bCs w:val="0"/>
        </w:rPr>
      </w:r>
      <w:bookmarkStart w:name="（1）采购商品、接受劳务情况表" w:id="443"/>
      <w:bookmarkEnd w:id="443"/>
      <w:r>
        <w:rPr>
          <w:b w:val="0"/>
          <w:bCs w:val="0"/>
        </w:rPr>
      </w:r>
      <w:r>
        <w:rPr>
          <w:rFonts w:ascii="Times New Roman" w:hAnsi="Times New Roman" w:cs="Times New Roman" w:eastAsia="Times New Roman" w:hint="default"/>
        </w:rPr>
        <w:t>3</w:t>
      </w:r>
      <w:r>
        <w:rPr/>
        <w:t>、本企业的合营和联营企业情况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53"/>
        <w:jc w:val="right"/>
      </w:pPr>
      <w:bookmarkStart w:name="3、本企业的合营和联营企业情况" w:id="444"/>
      <w:bookmarkEnd w:id="444"/>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953"/>
        <w:gridCol w:w="960"/>
        <w:gridCol w:w="955"/>
        <w:gridCol w:w="955"/>
        <w:gridCol w:w="960"/>
        <w:gridCol w:w="958"/>
        <w:gridCol w:w="958"/>
        <w:gridCol w:w="958"/>
        <w:gridCol w:w="960"/>
      </w:tblGrid>
      <w:tr>
        <w:trPr>
          <w:trHeight w:val="1337" w:hRule="exact"/>
        </w:trPr>
        <w:tc>
          <w:tcPr>
            <w:tcW w:w="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0" w:right="110" w:hanging="89"/>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exact" w:before="9"/>
              <w:ind w:left="26"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 </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3"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99"/>
              <w:jc w:val="both"/>
              <w:rPr>
                <w:rFonts w:ascii="宋体" w:hAnsi="宋体" w:cs="宋体" w:eastAsia="宋体" w:hint="default"/>
                <w:sz w:val="18"/>
                <w:szCs w:val="18"/>
              </w:rPr>
            </w:pPr>
            <w:r>
              <w:rPr>
                <w:rFonts w:ascii="宋体" w:hAnsi="宋体" w:cs="宋体" w:eastAsia="宋体" w:hint="default"/>
                <w:sz w:val="18"/>
                <w:szCs w:val="18"/>
              </w:rPr>
              <w:t>福建亿榕 信息技术 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福建省福州 市</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林文孝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计算机行业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0"/>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3" w:right="141"/>
              <w:jc w:val="left"/>
              <w:rPr>
                <w:rFonts w:ascii="Times New Roman" w:hAnsi="Times New Roman" w:cs="Times New Roman" w:eastAsia="Times New Roman" w:hint="default"/>
                <w:sz w:val="18"/>
                <w:szCs w:val="18"/>
              </w:rPr>
            </w:pPr>
            <w:r>
              <w:rPr>
                <w:rFonts w:ascii="Times New Roman"/>
                <w:sz w:val="18"/>
              </w:rPr>
              <w:t>74380590- X</w:t>
            </w:r>
          </w:p>
        </w:tc>
      </w:tr>
    </w:tbl>
    <w:p>
      <w:pPr>
        <w:spacing w:line="240" w:lineRule="auto" w:before="3"/>
        <w:rPr>
          <w:rFonts w:ascii="宋体" w:hAnsi="宋体" w:cs="宋体" w:eastAsia="宋体" w:hint="default"/>
          <w:sz w:val="19"/>
          <w:szCs w:val="19"/>
        </w:rPr>
      </w:pPr>
    </w:p>
    <w:p>
      <w:pPr>
        <w:pStyle w:val="Heading3"/>
        <w:spacing w:line="240" w:lineRule="auto" w:before="36"/>
        <w:ind w:right="103"/>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0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03"/>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728"/>
        <w:gridCol w:w="1462"/>
        <w:gridCol w:w="1594"/>
        <w:gridCol w:w="797"/>
        <w:gridCol w:w="1594"/>
        <w:gridCol w:w="797"/>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7"/>
                <w:szCs w:val="17"/>
              </w:rPr>
            </w:pPr>
          </w:p>
          <w:p>
            <w:pPr>
              <w:pStyle w:val="TableParagraph"/>
              <w:spacing w:line="314"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73"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728" w:type="dxa"/>
            <w:vMerge/>
            <w:tcBorders>
              <w:left w:val="single" w:sz="4" w:space="0" w:color="000000"/>
              <w:bottom w:val="single" w:sz="4" w:space="0" w:color="000000"/>
              <w:right w:val="single" w:sz="4" w:space="0" w:color="000000"/>
            </w:tcBorders>
            <w:shd w:val="clear" w:color="auto" w:fill="D4D4D4"/>
          </w:tcPr>
          <w:p>
            <w:pPr/>
          </w:p>
        </w:tc>
        <w:tc>
          <w:tcPr>
            <w:tcW w:w="1462"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bl>
    <w:p>
      <w:pPr>
        <w:spacing w:after="0" w:line="314" w:lineRule="auto"/>
        <w:jc w:val="left"/>
        <w:rPr>
          <w:rFonts w:ascii="宋体" w:hAnsi="宋体" w:cs="宋体" w:eastAsia="宋体" w:hint="default"/>
          <w:sz w:val="18"/>
          <w:szCs w:val="18"/>
        </w:rPr>
        <w:sectPr>
          <w:pgSz w:w="11910" w:h="16840"/>
          <w:pgMar w:header="877" w:footer="982" w:top="1100" w:bottom="1180" w:left="980" w:right="880"/>
        </w:sectPr>
      </w:pPr>
    </w:p>
    <w:p>
      <w:pPr>
        <w:spacing w:line="240" w:lineRule="auto" w:before="7"/>
        <w:rPr>
          <w:rFonts w:ascii="宋体" w:hAnsi="宋体" w:cs="宋体" w:eastAsia="宋体" w:hint="default"/>
          <w:sz w:val="22"/>
          <w:szCs w:val="22"/>
        </w:rPr>
      </w:pPr>
    </w:p>
    <w:p>
      <w:pPr>
        <w:pStyle w:val="BodyText"/>
        <w:spacing w:line="240" w:lineRule="auto" w:before="44"/>
        <w:ind w:left="0" w:right="162"/>
        <w:jc w:val="right"/>
      </w:pPr>
      <w:r>
        <w:rPr/>
        <w:pict>
          <v:shape style="position:absolute;margin-left:409.559998pt;margin-top:1.791738pt;width:85.45pt;height:17.650pt;mso-position-horizontal-relative:page;mso-position-vertical-relative:paragraph;z-index:-749152" type="#_x0000_t202" filled="false" stroked="false">
            <v:textbox inset="0,0,0,0">
              <w:txbxContent>
                <w:p>
                  <w:pPr>
                    <w:pStyle w:val="BodyText"/>
                    <w:spacing w:line="240" w:lineRule="auto" w:before="8"/>
                    <w:ind w:left="0" w:right="0"/>
                    <w:jc w:val="left"/>
                  </w:pPr>
                  <w:r>
                    <w:rPr/>
                    <w:t>）</w:t>
                  </w:r>
                </w:p>
              </w:txbxContent>
            </v:textbox>
            <w10:wrap type="none"/>
          </v:shape>
        </w:pict>
      </w:r>
      <w:r>
        <w:rPr/>
        <w:pict>
          <v:shape style="position:absolute;margin-left:56.400002pt;margin-top:1.311738pt;width:479.05pt;height:54.2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8"/>
                    <w:gridCol w:w="1462"/>
                    <w:gridCol w:w="1594"/>
                    <w:gridCol w:w="797"/>
                    <w:gridCol w:w="1594"/>
                    <w:gridCol w:w="797"/>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福建亿榕信息技术 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参考市场价格</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294,871.79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0.08%</w:t>
                        </w:r>
                      </w:p>
                    </w:tc>
                  </w:tr>
                </w:tbl>
                <w:p>
                  <w:pPr/>
                </w:p>
              </w:txbxContent>
            </v:textbox>
            <w10:wrap type="none"/>
          </v:shape>
        </w:pict>
      </w:r>
      <w:bookmarkStart w:name="（7）其他关联交易" w:id="445"/>
      <w:bookmarkEnd w:id="445"/>
      <w:r>
        <w:rPr/>
      </w:r>
      <w:bookmarkStart w:name="6、关联方应收应付款项" w:id="446"/>
      <w:bookmarkEnd w:id="446"/>
      <w:r>
        <w:rPr/>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right="147"/>
        <w:jc w:val="left"/>
      </w:pPr>
      <w:r>
        <w:rPr/>
        <w:t>出售商品、提供劳务情况表</w:t>
      </w:r>
    </w:p>
    <w:p>
      <w:pPr>
        <w:pStyle w:val="BodyText"/>
        <w:spacing w:line="240" w:lineRule="auto" w:before="117"/>
        <w:ind w:left="0" w:right="153"/>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62"/>
        <w:jc w:val="right"/>
      </w:pPr>
      <w:r>
        <w:rPr/>
        <w:pict>
          <v:shape style="position:absolute;margin-left:409.559998pt;margin-top:3.711711pt;width:85.45pt;height:15.6pt;mso-position-horizontal-relative:page;mso-position-vertical-relative:paragraph;z-index:-749128" type="#_x0000_t202" filled="false" stroked="false">
            <v:textbox inset="0,0,0,0">
              <w:txbxContent>
                <w:p>
                  <w:pPr>
                    <w:pStyle w:val="BodyText"/>
                    <w:spacing w:line="205" w:lineRule="exact"/>
                    <w:ind w:left="0" w:right="0"/>
                    <w:jc w:val="left"/>
                  </w:pPr>
                  <w:r>
                    <w:rPr/>
                    <w:t>）</w:t>
                  </w:r>
                </w:p>
              </w:txbxContent>
            </v:textbox>
            <w10:wrap type="none"/>
          </v:shape>
        </w:pict>
      </w:r>
      <w:r>
        <w:rPr/>
        <w:pict>
          <v:shape style="position:absolute;margin-left:56.459999pt;margin-top:-52.02829pt;width:479pt;height:107.6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8"/>
                    <w:gridCol w:w="1462"/>
                    <w:gridCol w:w="1594"/>
                    <w:gridCol w:w="797"/>
                    <w:gridCol w:w="1594"/>
                    <w:gridCol w:w="797"/>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728" w:type="dxa"/>
                        <w:vMerge/>
                        <w:tcBorders>
                          <w:left w:val="single" w:sz="4" w:space="0" w:color="000000"/>
                          <w:bottom w:val="single" w:sz="4" w:space="0" w:color="000000"/>
                          <w:right w:val="single" w:sz="4" w:space="0" w:color="000000"/>
                        </w:tcBorders>
                        <w:shd w:val="clear" w:color="auto" w:fill="D4D4D4"/>
                      </w:tcPr>
                      <w:p>
                        <w:pPr/>
                      </w:p>
                    </w:tc>
                    <w:tc>
                      <w:tcPr>
                        <w:tcW w:w="1462"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福建亿榕信息技术 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软件及技术服务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参考市场价格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21,191,341.27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11,544,611.11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2.67%</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7"/>
        <w:jc w:val="left"/>
      </w:pPr>
      <w:r>
        <w:rPr/>
        <w:t>上市公司应收关联方款项</w:t>
      </w:r>
    </w:p>
    <w:p>
      <w:pPr>
        <w:pStyle w:val="BodyText"/>
        <w:spacing w:line="240" w:lineRule="auto" w:before="117"/>
        <w:ind w:left="0" w:right="153"/>
        <w:jc w:val="right"/>
      </w:pPr>
      <w:bookmarkStart w:name="（2）关联托管/承包情况" w:id="447"/>
      <w:bookmarkEnd w:id="447"/>
      <w:r>
        <w:rPr/>
      </w:r>
      <w:bookmarkStart w:name="（3）关联租赁情况" w:id="448"/>
      <w:bookmarkEnd w:id="448"/>
      <w:r>
        <w:rPr/>
      </w:r>
      <w:bookmarkStart w:name="（4）关联担保情况" w:id="449"/>
      <w:bookmarkEnd w:id="449"/>
      <w:r>
        <w:rPr/>
      </w:r>
      <w:bookmarkStart w:name="（5）关联方资金拆借" w:id="450"/>
      <w:bookmarkEnd w:id="450"/>
      <w:r>
        <w:rPr/>
      </w:r>
      <w:bookmarkStart w:name="（6）关联方资产转让、债务重组情况" w:id="451"/>
      <w:bookmarkEnd w:id="451"/>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58"/>
        <w:gridCol w:w="1666"/>
        <w:gridCol w:w="1462"/>
        <w:gridCol w:w="1462"/>
        <w:gridCol w:w="1459"/>
        <w:gridCol w:w="1459"/>
      </w:tblGrid>
      <w:tr>
        <w:trPr>
          <w:trHeight w:val="403" w:hRule="exact"/>
        </w:trPr>
        <w:tc>
          <w:tcPr>
            <w:tcW w:w="205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2058" w:type="dxa"/>
            <w:vMerge/>
            <w:tcBorders>
              <w:left w:val="single" w:sz="4" w:space="0" w:color="000000"/>
              <w:bottom w:val="single" w:sz="4" w:space="0" w:color="000000"/>
              <w:right w:val="single" w:sz="4" w:space="0" w:color="000000"/>
            </w:tcBorders>
            <w:shd w:val="clear" w:color="auto" w:fill="D4D4D4"/>
          </w:tcPr>
          <w:p>
            <w:pPr/>
          </w:p>
        </w:tc>
        <w:tc>
          <w:tcPr>
            <w:tcW w:w="1666" w:type="dxa"/>
            <w:vMerge/>
            <w:tcBorders>
              <w:left w:val="single" w:sz="4" w:space="0" w:color="000000"/>
              <w:bottom w:val="single" w:sz="4" w:space="0" w:color="000000"/>
              <w:right w:val="single" w:sz="4" w:space="0" w:color="000000"/>
            </w:tcBorders>
            <w:shd w:val="clear" w:color="auto" w:fill="D4D4D4"/>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059"/>
        <w:gridCol w:w="1666"/>
        <w:gridCol w:w="1462"/>
        <w:gridCol w:w="1462"/>
        <w:gridCol w:w="1459"/>
        <w:gridCol w:w="1459"/>
      </w:tblGrid>
      <w:tr>
        <w:trPr>
          <w:trHeight w:val="715"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1"/>
              <w:jc w:val="left"/>
              <w:rPr>
                <w:rFonts w:ascii="宋体" w:hAnsi="宋体" w:cs="宋体" w:eastAsia="宋体" w:hint="default"/>
                <w:sz w:val="18"/>
                <w:szCs w:val="18"/>
              </w:rPr>
            </w:pPr>
            <w:r>
              <w:rPr>
                <w:rFonts w:ascii="宋体" w:hAnsi="宋体" w:cs="宋体" w:eastAsia="宋体" w:hint="default"/>
                <w:sz w:val="18"/>
                <w:szCs w:val="18"/>
              </w:rPr>
              <w:t>福建亿榕信息技术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6,677,612.61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333,880.63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3,628,366.01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181,418.30</w:t>
            </w:r>
          </w:p>
        </w:tc>
      </w:tr>
    </w:tbl>
    <w:p>
      <w:pPr>
        <w:pStyle w:val="BodyText"/>
        <w:spacing w:line="357" w:lineRule="auto" w:before="49"/>
        <w:ind w:right="7794"/>
        <w:jc w:val="left"/>
      </w:pPr>
      <w:bookmarkStart w:name="4、以股份支付服务情况" w:id="452"/>
      <w:bookmarkEnd w:id="452"/>
      <w:r>
        <w:rPr/>
      </w:r>
      <w:bookmarkStart w:name="5、股份支付的修改、终止情况" w:id="453"/>
      <w:bookmarkEnd w:id="453"/>
      <w:r>
        <w:rPr/>
      </w:r>
      <w:bookmarkStart w:name="十一、或有事项" w:id="454"/>
      <w:bookmarkEnd w:id="454"/>
      <w:r>
        <w:rPr/>
      </w:r>
      <w:bookmarkStart w:name="未决诉讼或仲裁形成的或有负债及其财务影响" w:id="455"/>
      <w:bookmarkEnd w:id="455"/>
      <w:r>
        <w:rPr/>
      </w:r>
      <w:bookmarkStart w:name="2、为其他单位提供债务担保形成的或有负债及其财务影响" w:id="456"/>
      <w:bookmarkEnd w:id="456"/>
      <w:r>
        <w:rPr/>
      </w:r>
      <w:bookmarkStart w:name="十二、承诺事项" w:id="457"/>
      <w:bookmarkEnd w:id="457"/>
      <w:r>
        <w:rPr/>
      </w:r>
      <w:r>
        <w:rPr/>
        <w:t>上市公司应付关联方款项 无。</w:t>
      </w:r>
    </w:p>
    <w:p>
      <w:pPr>
        <w:spacing w:line="240" w:lineRule="auto" w:before="7"/>
        <w:rPr>
          <w:rFonts w:ascii="宋体" w:hAnsi="宋体" w:cs="宋体" w:eastAsia="宋体" w:hint="default"/>
          <w:sz w:val="18"/>
          <w:szCs w:val="18"/>
        </w:rPr>
      </w:pPr>
    </w:p>
    <w:p>
      <w:pPr>
        <w:spacing w:line="506" w:lineRule="auto" w:before="0"/>
        <w:ind w:left="152" w:right="7772" w:firstLine="0"/>
        <w:jc w:val="left"/>
        <w:rPr>
          <w:rFonts w:ascii="宋体" w:hAnsi="宋体" w:cs="宋体" w:eastAsia="宋体" w:hint="default"/>
          <w:sz w:val="18"/>
          <w:szCs w:val="18"/>
        </w:rPr>
      </w:pPr>
      <w:r>
        <w:rPr>
          <w:rFonts w:ascii="宋体" w:hAnsi="宋体" w:cs="宋体" w:eastAsia="宋体" w:hint="default"/>
          <w:b/>
          <w:bCs/>
          <w:sz w:val="24"/>
          <w:szCs w:val="24"/>
        </w:rPr>
        <w:t>十、股份支付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bookmarkStart w:name="十、股份支付" w:id="458"/>
      <w:bookmarkEnd w:id="458"/>
      <w:r>
        <w:rPr>
          <w:rFonts w:ascii="Times New Roman" w:hAnsi="Times New Roman" w:cs="Times New Roman" w:eastAsia="Times New Roman" w:hint="default"/>
          <w:b/>
          <w:bCs/>
          <w:sz w:val="21"/>
          <w:szCs w:val="21"/>
        </w:rPr>
      </w:r>
      <w:r>
        <w:rPr>
          <w:rFonts w:ascii="宋体" w:hAnsi="宋体" w:cs="宋体" w:eastAsia="宋体" w:hint="default"/>
          <w:b/>
          <w:bCs/>
          <w:sz w:val="21"/>
          <w:szCs w:val="21"/>
        </w:rPr>
        <w:t>、股份支付总体情况</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3"/>
        <w:spacing w:line="240" w:lineRule="auto" w:before="156"/>
        <w:ind w:right="147"/>
        <w:jc w:val="left"/>
        <w:rPr>
          <w:b w:val="0"/>
          <w:bCs w:val="0"/>
        </w:rPr>
      </w:pPr>
      <w:r>
        <w:rPr>
          <w:rFonts w:ascii="Times New Roman" w:hAnsi="Times New Roman" w:cs="Times New Roman" w:eastAsia="Times New Roman" w:hint="default"/>
        </w:rPr>
        <w:t>2</w:t>
      </w:r>
      <w:r>
        <w:rPr/>
        <w:t>、以权益结算的股份支付</w:t>
      </w:r>
      <w:bookmarkStart w:name="1、股份支付总体情况" w:id="459"/>
      <w:bookmarkEnd w:id="459"/>
      <w:r>
        <w:rPr/>
        <w:t>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3"/>
        <w:rPr>
          <w:rFonts w:ascii="宋体" w:hAnsi="宋体" w:cs="宋体" w:eastAsia="宋体" w:hint="default"/>
          <w:sz w:val="25"/>
          <w:szCs w:val="25"/>
        </w:rPr>
      </w:pPr>
    </w:p>
    <w:p>
      <w:pPr>
        <w:pStyle w:val="Heading2"/>
        <w:spacing w:line="240" w:lineRule="auto"/>
        <w:ind w:right="147"/>
        <w:jc w:val="left"/>
        <w:rPr>
          <w:b w:val="0"/>
          <w:bCs w:val="0"/>
        </w:rPr>
      </w:pPr>
      <w:r>
        <w:rPr/>
        <w:t>十一、或有事项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7"/>
        <w:jc w:val="left"/>
        <w:rPr>
          <w:b w:val="0"/>
          <w:bCs w:val="0"/>
        </w:rPr>
      </w:pPr>
      <w:r>
        <w:rPr>
          <w:rFonts w:ascii="Times New Roman" w:hAnsi="Times New Roman" w:cs="Times New Roman" w:eastAsia="Times New Roman" w:hint="default"/>
        </w:rPr>
        <w:t>1</w:t>
      </w:r>
      <w:r>
        <w:rPr/>
        <w:t>、</w:t>
      </w:r>
      <w:r>
        <w:rPr>
          <w:spacing w:val="-62"/>
        </w:rPr>
        <w:t> </w:t>
      </w:r>
      <w:r>
        <w:rPr/>
        <w:t>未决诉讼或仲裁形成的或</w:t>
      </w:r>
      <w:bookmarkStart w:name="2、以权益结算的股份支付情况" w:id="460"/>
      <w:bookmarkEnd w:id="460"/>
      <w:r>
        <w:rPr/>
        <w:t>有负债及</w:t>
      </w:r>
      <w:r>
        <w:rPr/>
        <w:t>其财务影响</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2</w:t>
      </w:r>
      <w:r>
        <w:rPr/>
        <w:t>、为其他单位提供债务担保形成的或有负债及其财</w:t>
      </w:r>
      <w:bookmarkStart w:name="3、以现金结算的股份支付情况" w:id="461"/>
      <w:bookmarkEnd w:id="461"/>
      <w:r>
        <w:rPr/>
        <w:t>务影响</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3"/>
        <w:rPr>
          <w:rFonts w:ascii="宋体" w:hAnsi="宋体" w:cs="宋体" w:eastAsia="宋体" w:hint="default"/>
          <w:sz w:val="25"/>
          <w:szCs w:val="25"/>
        </w:rPr>
      </w:pPr>
    </w:p>
    <w:p>
      <w:pPr>
        <w:pStyle w:val="Heading2"/>
        <w:spacing w:line="240" w:lineRule="auto"/>
        <w:ind w:right="147"/>
        <w:jc w:val="left"/>
        <w:rPr>
          <w:b w:val="0"/>
          <w:bCs w:val="0"/>
        </w:rPr>
      </w:pPr>
      <w:r>
        <w:rPr/>
        <w:t>十二、承诺事项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截至</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日，本公司不存在应披露的承诺事项。</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147"/>
        <w:jc w:val="left"/>
        <w:rPr>
          <w:b w:val="0"/>
          <w:bCs w:val="0"/>
        </w:rPr>
      </w:pPr>
      <w:bookmarkStart w:name="3、其他资产负债表日后事项说明" w:id="462"/>
      <w:bookmarkEnd w:id="462"/>
      <w:r>
        <w:rPr>
          <w:b w:val="0"/>
          <w:bCs w:val="0"/>
        </w:rPr>
      </w:r>
      <w:bookmarkStart w:name="十四、其他重要事项" w:id="463"/>
      <w:bookmarkEnd w:id="463"/>
      <w:r>
        <w:rPr>
          <w:b w:val="0"/>
          <w:bCs w:val="0"/>
        </w:rPr>
      </w:r>
      <w:bookmarkStart w:name="1、非货币性资产交换" w:id="464"/>
      <w:bookmarkEnd w:id="464"/>
      <w:r>
        <w:rPr>
          <w:b w:val="0"/>
          <w:bCs w:val="0"/>
        </w:rPr>
      </w:r>
      <w:bookmarkStart w:name="2、债务重组" w:id="465"/>
      <w:bookmarkEnd w:id="465"/>
      <w:r>
        <w:rPr>
          <w:b w:val="0"/>
          <w:bCs w:val="0"/>
        </w:rPr>
      </w:r>
      <w:bookmarkStart w:name="3、企业合并" w:id="466"/>
      <w:bookmarkEnd w:id="466"/>
      <w:r>
        <w:rPr>
          <w:b w:val="0"/>
          <w:bCs w:val="0"/>
        </w:rPr>
      </w:r>
      <w:r>
        <w:rPr/>
        <w:t>十</w:t>
      </w:r>
      <w:bookmarkStart w:name="十三、资产负债表日后事项" w:id="467"/>
      <w:bookmarkEnd w:id="467"/>
      <w:r>
        <w:rPr/>
        <w:t>三</w:t>
      </w:r>
      <w:r>
        <w:rPr/>
        <w:t>、资产负债表日后事项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7"/>
        <w:jc w:val="left"/>
        <w:rPr>
          <w:b w:val="0"/>
          <w:bCs w:val="0"/>
        </w:rPr>
      </w:pPr>
      <w:r>
        <w:rPr>
          <w:rFonts w:ascii="Times New Roman" w:hAnsi="Times New Roman" w:cs="Times New Roman" w:eastAsia="Times New Roman" w:hint="default"/>
        </w:rPr>
        <w:t>1</w:t>
      </w:r>
      <w:bookmarkStart w:name="1、重要的资产负债表日后事项说明" w:id="468"/>
      <w:bookmarkEnd w:id="468"/>
      <w:r>
        <w:rPr>
          <w:rFonts w:ascii="Times New Roman" w:hAnsi="Times New Roman" w:cs="Times New Roman" w:eastAsia="Times New Roman" w:hint="default"/>
        </w:rPr>
      </w:r>
      <w:r>
        <w:rPr/>
        <w:t>、重要的资产负债表日后事项说明</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10" w:right="110"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4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根据本公司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召开的第二届董事会第二十 一次会议审议通过的关于全 资子公司福建榕基投资有限 公司使用自有资金投资福建 文鑫莲业食品有限公司（以下 简称文鑫莲业）的议案，榕基 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月以自有资金</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向文鑫莲业投资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2,881.76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6"/>
                <w:sz w:val="18"/>
                <w:szCs w:val="18"/>
              </w:rPr>
              <w:t>元，持有其新增股本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528.71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7" w:lineRule="auto" w:before="63"/>
              <w:ind w:left="24" w:right="19"/>
              <w:jc w:val="left"/>
              <w:rPr>
                <w:rFonts w:ascii="宋体" w:hAnsi="宋体" w:cs="宋体" w:eastAsia="宋体" w:hint="default"/>
                <w:sz w:val="18"/>
                <w:szCs w:val="18"/>
              </w:rPr>
            </w:pPr>
            <w:r>
              <w:rPr>
                <w:rFonts w:ascii="宋体" w:hAnsi="宋体" w:cs="宋体" w:eastAsia="宋体" w:hint="default"/>
                <w:spacing w:val="-9"/>
                <w:sz w:val="18"/>
                <w:szCs w:val="18"/>
              </w:rPr>
              <w:t>股，占其增资后总股本的</w:t>
            </w:r>
            <w:r>
              <w:rPr>
                <w:rFonts w:ascii="宋体" w:hAnsi="宋体" w:cs="宋体" w:eastAsia="宋体" w:hint="default"/>
                <w:spacing w:val="-63"/>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增资后，文鑫莲业注册资本由 </w:t>
            </w:r>
            <w:r>
              <w:rPr>
                <w:rFonts w:ascii="Times New Roman" w:hAnsi="Times New Roman" w:cs="Times New Roman" w:eastAsia="Times New Roman" w:hint="default"/>
                <w:sz w:val="18"/>
                <w:szCs w:val="18"/>
              </w:rPr>
              <w:t>2,996 </w:t>
            </w:r>
            <w:r>
              <w:rPr>
                <w:rFonts w:ascii="宋体" w:hAnsi="宋体" w:cs="宋体" w:eastAsia="宋体" w:hint="default"/>
                <w:sz w:val="18"/>
                <w:szCs w:val="18"/>
              </w:rPr>
              <w:t>万元增加至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3,524.71 </w:t>
            </w:r>
            <w:r>
              <w:rPr>
                <w:rFonts w:ascii="宋体" w:hAnsi="宋体" w:cs="宋体" w:eastAsia="宋体" w:hint="default"/>
                <w:sz w:val="18"/>
                <w:szCs w:val="18"/>
              </w:rPr>
              <w:t>万 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b/>
          <w:bCs/>
          <w:sz w:val="19"/>
          <w:szCs w:val="19"/>
        </w:rPr>
      </w:pPr>
    </w:p>
    <w:p>
      <w:pPr>
        <w:pStyle w:val="Heading3"/>
        <w:spacing w:line="240" w:lineRule="auto" w:before="36"/>
        <w:ind w:right="147"/>
        <w:jc w:val="left"/>
        <w:rPr>
          <w:b w:val="0"/>
          <w:bCs w:val="0"/>
        </w:rPr>
      </w:pPr>
      <w:r>
        <w:rPr/>
        <w:pict>
          <v:shape style="position:absolute;margin-left:290.040009pt;margin-top:-114.456322pt;width:125.2pt;height:101.4pt;mso-position-horizontal-relative:page;mso-position-vertical-relative:paragraph;z-index:-7490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pict>
          <v:group style="position:absolute;margin-left:296.160004pt;margin-top:-114.456322pt;width:119.05pt;height:101.4pt;mso-position-horizontal-relative:page;mso-position-vertical-relative:paragraph;z-index:-749032" coordorigin="5923,-2289" coordsize="2381,2028">
            <v:shape style="position:absolute;left:5923;top:-2289;width:2381;height:2028" coordorigin="5923,-2289" coordsize="2381,2028" path="m5923,-261l8304,-261,8304,-2289,5923,-2289,5923,-261xe" filled="true" fillcolor="#ffffff" stroked="false">
              <v:path arrowok="t"/>
              <v:fill type="solid"/>
            </v:shape>
            <w10:wrap type="none"/>
          </v:group>
        </w:pict>
      </w: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资产负债表日后利润分配情况说明" w:id="469"/>
      <w:bookmarkEnd w:id="469"/>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31,110,000.00</w:t>
            </w:r>
            <w:r>
              <w:rPr>
                <w:rFonts w:ascii="Times New Roman"/>
                <w:sz w:val="18"/>
              </w:rPr>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31,110,000.00</w:t>
            </w:r>
            <w:r>
              <w:rPr>
                <w:rFonts w:ascii="Times New Roman"/>
                <w:sz w:val="18"/>
              </w:rPr>
            </w:r>
          </w:p>
        </w:tc>
      </w:tr>
    </w:tbl>
    <w:p>
      <w:pPr>
        <w:spacing w:line="240" w:lineRule="auto" w:before="3"/>
        <w:rPr>
          <w:rFonts w:ascii="宋体" w:hAnsi="宋体" w:cs="宋体" w:eastAsia="宋体" w:hint="default"/>
          <w:sz w:val="19"/>
          <w:szCs w:val="19"/>
        </w:rPr>
      </w:pPr>
    </w:p>
    <w:p>
      <w:pPr>
        <w:spacing w:line="487" w:lineRule="auto" w:before="36"/>
        <w:ind w:left="152" w:right="673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pStyle w:val="BodyText"/>
        <w:spacing w:line="240" w:lineRule="auto" w:before="102"/>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147"/>
        <w:jc w:val="left"/>
        <w:rPr>
          <w:b w:val="0"/>
          <w:bCs w:val="0"/>
        </w:rPr>
      </w:pPr>
      <w:r>
        <w:rPr>
          <w:rFonts w:ascii="Times New Roman" w:hAnsi="Times New Roman" w:cs="Times New Roman" w:eastAsia="Times New Roman" w:hint="default"/>
        </w:rPr>
        <w:t>4</w:t>
      </w:r>
      <w:bookmarkStart w:name="4、租赁" w:id="470"/>
      <w:bookmarkEnd w:id="470"/>
      <w:r>
        <w:rPr>
          <w:rFonts w:ascii="Times New Roman" w:hAnsi="Times New Roman" w:cs="Times New Roman" w:eastAsia="Times New Roman" w:hint="default"/>
        </w:rPr>
      </w:r>
      <w:r>
        <w:rPr/>
        <w:t>、租赁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5</w:t>
      </w:r>
      <w:bookmarkStart w:name="5、期末发行在外的、可转换为股份的金融工具" w:id="471"/>
      <w:bookmarkEnd w:id="471"/>
      <w:r>
        <w:rPr>
          <w:rFonts w:ascii="Times New Roman" w:hAnsi="Times New Roman" w:cs="Times New Roman" w:eastAsia="Times New Roman" w:hint="default"/>
        </w:rPr>
      </w:r>
      <w:r>
        <w:rPr/>
        <w:t>、期末发行在外的、可转换为股份的金融工具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6</w:t>
      </w:r>
      <w:r>
        <w:rPr/>
        <w:t>、以公允价值计量的资产</w:t>
      </w:r>
      <w:bookmarkStart w:name="6、以公允价值计量的资产和负债" w:id="472"/>
      <w:bookmarkEnd w:id="472"/>
      <w:r>
        <w:rPr/>
        <w:t>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32"/>
        <w:ind w:right="147"/>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32"/>
        <w:ind w:right="147"/>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47"/>
        <w:jc w:val="left"/>
      </w:pPr>
      <w:r>
        <w:rPr/>
        <w:t>无。</w:t>
      </w:r>
    </w:p>
    <w:p>
      <w:pPr>
        <w:spacing w:line="240" w:lineRule="auto" w:before="2"/>
        <w:rPr>
          <w:rFonts w:ascii="宋体" w:hAnsi="宋体" w:cs="宋体" w:eastAsia="宋体" w:hint="default"/>
          <w:sz w:val="26"/>
          <w:szCs w:val="26"/>
        </w:rPr>
      </w:pPr>
    </w:p>
    <w:p>
      <w:pPr>
        <w:pStyle w:val="Heading2"/>
        <w:spacing w:line="240" w:lineRule="auto"/>
        <w:ind w:right="147"/>
        <w:jc w:val="left"/>
        <w:rPr>
          <w:b w:val="0"/>
          <w:bCs w:val="0"/>
        </w:rPr>
      </w:pPr>
      <w:r>
        <w:rPr/>
        <w:t>十五、母公司财务报表主要项</w:t>
      </w:r>
      <w:bookmarkStart w:name="7、外币金融资产和外币金融负债" w:id="473"/>
      <w:bookmarkEnd w:id="473"/>
      <w:r>
        <w:rPr/>
        <w:t>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7"/>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8、年金计划主要内容及重大变化" w:id="474"/>
      <w:bookmarkEnd w:id="474"/>
      <w:r>
        <w:rPr/>
      </w:r>
      <w:bookmarkStart w:name="9、其他" w:id="475"/>
      <w:bookmarkEnd w:id="475"/>
      <w:r>
        <w:rPr/>
      </w:r>
      <w:bookmarkStart w:name="十五、母公司财务报表主要项目注释" w:id="476"/>
      <w:bookmarkEnd w:id="476"/>
      <w:r>
        <w:rPr/>
      </w:r>
      <w:bookmarkStart w:name="1、应收账款" w:id="477"/>
      <w:bookmarkEnd w:id="477"/>
      <w:r>
        <w:rPr/>
      </w:r>
      <w:bookmarkStart w:name="（1）应收账款" w:id="478"/>
      <w:bookmarkEnd w:id="478"/>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9"/>
        <w:gridCol w:w="1193"/>
        <w:gridCol w:w="636"/>
        <w:gridCol w:w="1224"/>
        <w:gridCol w:w="665"/>
        <w:gridCol w:w="1195"/>
        <w:gridCol w:w="665"/>
        <w:gridCol w:w="1327"/>
        <w:gridCol w:w="665"/>
      </w:tblGrid>
      <w:tr>
        <w:trPr>
          <w:trHeight w:val="401" w:hRule="exact"/>
        </w:trPr>
        <w:tc>
          <w:tcPr>
            <w:tcW w:w="19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99" w:type="dxa"/>
            <w:vMerge/>
            <w:tcBorders>
              <w:left w:val="single" w:sz="4" w:space="0" w:color="000000"/>
              <w:right w:val="single" w:sz="4" w:space="0" w:color="000000"/>
            </w:tcBorders>
            <w:shd w:val="clear" w:color="auto" w:fill="D4D4D4"/>
          </w:tcPr>
          <w:p>
            <w:pPr/>
          </w:p>
        </w:tc>
        <w:tc>
          <w:tcPr>
            <w:tcW w:w="18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999" w:type="dxa"/>
            <w:vMerge/>
            <w:tcBorders>
              <w:left w:val="single" w:sz="4" w:space="0" w:color="000000"/>
              <w:bottom w:val="single" w:sz="4" w:space="0" w:color="000000"/>
              <w:right w:val="single" w:sz="4" w:space="0" w:color="000000"/>
            </w:tcBorders>
            <w:shd w:val="clear" w:color="auto" w:fill="D4D4D4"/>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79" w:right="0"/>
              <w:jc w:val="left"/>
              <w:rPr>
                <w:rFonts w:ascii="Times New Roman" w:hAnsi="Times New Roman" w:cs="Times New Roman" w:eastAsia="Times New Roman" w:hint="default"/>
                <w:sz w:val="18"/>
                <w:szCs w:val="18"/>
              </w:rPr>
            </w:pPr>
            <w:r>
              <w:rPr>
                <w:rFonts w:ascii="Times New Roman"/>
                <w:sz w:val="18"/>
              </w:rPr>
              <w:t>(%)</w:t>
            </w:r>
          </w:p>
        </w:tc>
        <w:tc>
          <w:tcPr>
            <w:tcW w:w="12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42,724,671.78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86.19%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7,336,938.88</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17.17%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45,137,677.47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87.69%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8,026,184.91</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17.78%</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应收子公司货款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6,846,972.10</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13.81%</w:t>
            </w:r>
          </w:p>
        </w:tc>
        <w:tc>
          <w:tcPr>
            <w:tcW w:w="12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6,338,242.76</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12.31%</w:t>
            </w:r>
          </w:p>
        </w:tc>
        <w:tc>
          <w:tcPr>
            <w:tcW w:w="13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49,571,643.88</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left"/>
              <w:rPr>
                <w:rFonts w:ascii="Times New Roman" w:hAnsi="Times New Roman" w:cs="Times New Roman" w:eastAsia="Times New Roman" w:hint="default"/>
                <w:sz w:val="18"/>
                <w:szCs w:val="18"/>
              </w:rPr>
            </w:pPr>
            <w:r>
              <w:rPr>
                <w:rFonts w:ascii="Times New Roman"/>
                <w:sz w:val="18"/>
              </w:rPr>
              <w:t>100%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7,336,938.88</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14.8%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51,475,920.23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8,026,184.91</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15.59%</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14" w:space="0" w:color="D4D4D4"/>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49,571,643.88</w:t>
            </w:r>
          </w:p>
        </w:tc>
        <w:tc>
          <w:tcPr>
            <w:tcW w:w="6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22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7,336,938.88</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51,475,920.23</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8,026,184.91</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5814"/>
        <w:jc w:val="left"/>
      </w:pPr>
      <w:r>
        <w:rPr/>
        <w:t>应收账款种类的说明 期末单项金额重大并单项计提坏账准备的应收账款</w:t>
      </w:r>
    </w:p>
    <w:p>
      <w:pPr>
        <w:spacing w:after="0" w:line="357"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2" w:top="1100" w:bottom="1180" w:left="980" w:right="980"/>
        </w:sectPr>
      </w:pPr>
    </w:p>
    <w:p>
      <w:pPr>
        <w:pStyle w:val="BodyText"/>
        <w:spacing w:line="340" w:lineRule="auto" w:before="44"/>
        <w:ind w:right="-19" w:hanging="1"/>
        <w:jc w:val="left"/>
      </w:pPr>
      <w:bookmarkStart w:name="（4）本报告期应收账款中持有公司5％（含5％）以上表决权股份的股东单位情况" w:id="479"/>
      <w:bookmarkEnd w:id="479"/>
      <w:r>
        <w:rPr/>
      </w:r>
      <w:bookmarkStart w:name="（5）金额较大的其他的应收账款的性质或内容" w:id="480"/>
      <w:bookmarkEnd w:id="480"/>
      <w:r>
        <w:rPr/>
      </w:r>
      <w:bookmarkStart w:name="（6）应收账款中金额前五名单位情况" w:id="481"/>
      <w:bookmarkEnd w:id="481"/>
      <w:r>
        <w:rPr/>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组合中，采用账龄分析法计提坏账准备的应收账款</w:t>
      </w:r>
    </w:p>
    <w:p>
      <w:pPr>
        <w:pStyle w:val="BodyText"/>
        <w:spacing w:line="240" w:lineRule="auto" w:before="39"/>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113" w:space="4714"/>
            <w:col w:w="1123"/>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17"/>
        <w:gridCol w:w="1937"/>
        <w:gridCol w:w="651"/>
        <w:gridCol w:w="1468"/>
        <w:gridCol w:w="2131"/>
        <w:gridCol w:w="659"/>
        <w:gridCol w:w="1593"/>
      </w:tblGrid>
      <w:tr>
        <w:trPr>
          <w:trHeight w:val="401" w:hRule="exact"/>
        </w:trPr>
        <w:tc>
          <w:tcPr>
            <w:tcW w:w="1117" w:type="dxa"/>
            <w:vMerge w:val="restart"/>
            <w:tcBorders>
              <w:top w:val="single" w:sz="4" w:space="0" w:color="000000"/>
              <w:left w:val="single" w:sz="4" w:space="0" w:color="000000"/>
              <w:right w:val="single" w:sz="4" w:space="0" w:color="000000"/>
            </w:tcBorders>
            <w:shd w:val="clear" w:color="auto" w:fill="D4D4D4"/>
          </w:tcPr>
          <w:p>
            <w:pPr/>
          </w:p>
        </w:tc>
        <w:tc>
          <w:tcPr>
            <w:tcW w:w="405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117" w:type="dxa"/>
            <w:vMerge/>
            <w:tcBorders>
              <w:left w:val="single" w:sz="4" w:space="0" w:color="000000"/>
              <w:bottom w:val="nil" w:sz="6" w:space="0" w:color="auto"/>
              <w:right w:val="single" w:sz="4" w:space="0" w:color="000000"/>
            </w:tcBorders>
            <w:shd w:val="clear" w:color="auto" w:fill="D4D4D4"/>
          </w:tcPr>
          <w:p>
            <w:pPr/>
          </w:p>
        </w:tc>
        <w:tc>
          <w:tcPr>
            <w:tcW w:w="258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8" w:type="dxa"/>
            <w:vMerge w:val="restart"/>
            <w:tcBorders>
              <w:top w:val="single" w:sz="4" w:space="0" w:color="000000"/>
              <w:left w:val="single" w:sz="4" w:space="0" w:color="000000"/>
              <w:right w:val="single" w:sz="4" w:space="0" w:color="000000"/>
            </w:tcBorders>
            <w:shd w:val="clear" w:color="auto" w:fill="D4D4D4"/>
          </w:tcPr>
          <w:p>
            <w:pPr/>
          </w:p>
        </w:tc>
        <w:tc>
          <w:tcPr>
            <w:tcW w:w="279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3" w:type="dxa"/>
            <w:vMerge w:val="restart"/>
            <w:tcBorders>
              <w:top w:val="single" w:sz="4" w:space="0" w:color="000000"/>
              <w:left w:val="single" w:sz="4" w:space="0" w:color="000000"/>
              <w:right w:val="single" w:sz="4" w:space="0" w:color="000000"/>
            </w:tcBorders>
            <w:shd w:val="clear" w:color="auto" w:fill="D4D4D4"/>
          </w:tcPr>
          <w:p>
            <w:pPr/>
          </w:p>
        </w:tc>
      </w:tr>
      <w:tr>
        <w:trPr>
          <w:trHeight w:val="242" w:hRule="exact"/>
        </w:trPr>
        <w:tc>
          <w:tcPr>
            <w:tcW w:w="11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账龄</w:t>
            </w:r>
          </w:p>
        </w:tc>
        <w:tc>
          <w:tcPr>
            <w:tcW w:w="2588" w:type="dxa"/>
            <w:gridSpan w:val="2"/>
            <w:vMerge/>
            <w:tcBorders>
              <w:left w:val="single" w:sz="4" w:space="0" w:color="000000"/>
              <w:bottom w:val="single" w:sz="4" w:space="0" w:color="000000"/>
              <w:right w:val="single" w:sz="4" w:space="0" w:color="000000"/>
            </w:tcBorders>
            <w:shd w:val="clear" w:color="auto" w:fill="D4D4D4"/>
          </w:tcPr>
          <w:p>
            <w:pPr/>
          </w:p>
        </w:tc>
        <w:tc>
          <w:tcPr>
            <w:tcW w:w="1468" w:type="dxa"/>
            <w:vMerge/>
            <w:tcBorders>
              <w:left w:val="single" w:sz="4" w:space="0" w:color="000000"/>
              <w:bottom w:val="nil" w:sz="6" w:space="0" w:color="auto"/>
              <w:right w:val="single" w:sz="4" w:space="0" w:color="000000"/>
            </w:tcBorders>
            <w:shd w:val="clear" w:color="auto" w:fill="D4D4D4"/>
          </w:tcPr>
          <w:p>
            <w:pPr/>
          </w:p>
        </w:tc>
        <w:tc>
          <w:tcPr>
            <w:tcW w:w="2791" w:type="dxa"/>
            <w:gridSpan w:val="2"/>
            <w:vMerge/>
            <w:tcBorders>
              <w:left w:val="single" w:sz="4" w:space="0" w:color="000000"/>
              <w:bottom w:val="single" w:sz="4" w:space="0" w:color="000000"/>
              <w:right w:val="single" w:sz="4" w:space="0" w:color="000000"/>
            </w:tcBorders>
            <w:shd w:val="clear" w:color="auto" w:fill="D4D4D4"/>
          </w:tcPr>
          <w:p>
            <w:pPr/>
          </w:p>
        </w:tc>
        <w:tc>
          <w:tcPr>
            <w:tcW w:w="1593"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1117" w:type="dxa"/>
            <w:vMerge/>
            <w:tcBorders>
              <w:left w:val="single" w:sz="4" w:space="0" w:color="000000"/>
              <w:bottom w:val="nil" w:sz="6" w:space="0" w:color="auto"/>
              <w:right w:val="single" w:sz="4" w:space="0" w:color="000000"/>
            </w:tcBorders>
            <w:shd w:val="clear" w:color="auto" w:fill="D4D4D4"/>
          </w:tcPr>
          <w:p>
            <w:pPr/>
          </w:p>
        </w:tc>
        <w:tc>
          <w:tcPr>
            <w:tcW w:w="1937"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5" w:right="0"/>
              <w:jc w:val="left"/>
              <w:rPr>
                <w:rFonts w:ascii="Times New Roman" w:hAnsi="Times New Roman" w:cs="Times New Roman" w:eastAsia="Times New Roman" w:hint="default"/>
                <w:sz w:val="18"/>
                <w:szCs w:val="18"/>
              </w:rPr>
            </w:pPr>
            <w:r>
              <w:rPr>
                <w:rFonts w:ascii="Times New Roman"/>
                <w:sz w:val="18"/>
              </w:rPr>
              <w:t>(%)</w:t>
            </w:r>
          </w:p>
        </w:tc>
        <w:tc>
          <w:tcPr>
            <w:tcW w:w="14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31" w:type="dxa"/>
            <w:tcBorders>
              <w:top w:val="single" w:sz="4" w:space="0" w:color="000000"/>
              <w:left w:val="single" w:sz="4" w:space="0" w:color="000000"/>
              <w:bottom w:val="nil" w:sz="6" w:space="0" w:color="auto"/>
              <w:right w:val="single" w:sz="4" w:space="0" w:color="000000"/>
            </w:tcBorders>
            <w:shd w:val="clear" w:color="auto" w:fill="D4D4D4"/>
          </w:tcPr>
          <w:p>
            <w:pPr/>
          </w:p>
        </w:tc>
        <w:tc>
          <w:tcPr>
            <w:tcW w:w="65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5" w:right="0"/>
              <w:jc w:val="left"/>
              <w:rPr>
                <w:rFonts w:ascii="Times New Roman" w:hAnsi="Times New Roman" w:cs="Times New Roman" w:eastAsia="Times New Roman" w:hint="default"/>
                <w:sz w:val="18"/>
                <w:szCs w:val="18"/>
              </w:rPr>
            </w:pPr>
            <w:r>
              <w:rPr>
                <w:rFonts w:ascii="Times New Roman"/>
                <w:sz w:val="18"/>
              </w:rPr>
              <w:t>(%)</w:t>
            </w:r>
          </w:p>
        </w:tc>
        <w:tc>
          <w:tcPr>
            <w:tcW w:w="159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0" w:hRule="exact"/>
        </w:trPr>
        <w:tc>
          <w:tcPr>
            <w:tcW w:w="1117" w:type="dxa"/>
            <w:vMerge w:val="restart"/>
            <w:tcBorders>
              <w:top w:val="nil" w:sz="6" w:space="0" w:color="auto"/>
              <w:left w:val="single" w:sz="4" w:space="0" w:color="000000"/>
              <w:right w:val="single" w:sz="4" w:space="0" w:color="000000"/>
            </w:tcBorders>
            <w:shd w:val="clear" w:color="auto" w:fill="D4D4D4"/>
          </w:tcPr>
          <w:p>
            <w:pPr/>
          </w:p>
        </w:tc>
        <w:tc>
          <w:tcPr>
            <w:tcW w:w="193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1" w:type="dxa"/>
            <w:vMerge/>
            <w:tcBorders>
              <w:left w:val="single" w:sz="4" w:space="0" w:color="000000"/>
              <w:right w:val="single" w:sz="4" w:space="0" w:color="000000"/>
            </w:tcBorders>
            <w:shd w:val="clear" w:color="auto" w:fill="D4D4D4"/>
          </w:tcPr>
          <w:p>
            <w:pPr/>
          </w:p>
        </w:tc>
        <w:tc>
          <w:tcPr>
            <w:tcW w:w="1468" w:type="dxa"/>
            <w:vMerge/>
            <w:tcBorders>
              <w:left w:val="single" w:sz="4" w:space="0" w:color="000000"/>
              <w:bottom w:val="nil" w:sz="6" w:space="0" w:color="auto"/>
              <w:right w:val="single" w:sz="4" w:space="0" w:color="000000"/>
            </w:tcBorders>
            <w:shd w:val="clear" w:color="auto" w:fill="D4D4D4"/>
          </w:tcPr>
          <w:p>
            <w:pPr/>
          </w:p>
        </w:tc>
        <w:tc>
          <w:tcPr>
            <w:tcW w:w="21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4D4D4"/>
          </w:tcPr>
          <w:p>
            <w:pPr/>
          </w:p>
        </w:tc>
        <w:tc>
          <w:tcPr>
            <w:tcW w:w="1593"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117" w:type="dxa"/>
            <w:vMerge/>
            <w:tcBorders>
              <w:left w:val="single" w:sz="4" w:space="0" w:color="000000"/>
              <w:right w:val="single" w:sz="4" w:space="0" w:color="000000"/>
            </w:tcBorders>
            <w:shd w:val="clear" w:color="auto" w:fill="D4D4D4"/>
          </w:tcPr>
          <w:p>
            <w:pPr/>
          </w:p>
        </w:tc>
        <w:tc>
          <w:tcPr>
            <w:tcW w:w="1937" w:type="dxa"/>
            <w:vMerge/>
            <w:tcBorders>
              <w:left w:val="single" w:sz="4" w:space="0" w:color="000000"/>
              <w:bottom w:val="nil" w:sz="6" w:space="0" w:color="auto"/>
              <w:right w:val="single" w:sz="4" w:space="0" w:color="000000"/>
            </w:tcBorders>
            <w:shd w:val="clear" w:color="auto" w:fill="D4D4D4"/>
          </w:tcPr>
          <w:p>
            <w:pPr/>
          </w:p>
        </w:tc>
        <w:tc>
          <w:tcPr>
            <w:tcW w:w="651" w:type="dxa"/>
            <w:vMerge/>
            <w:tcBorders>
              <w:left w:val="single" w:sz="4" w:space="0" w:color="000000"/>
              <w:right w:val="single" w:sz="4" w:space="0" w:color="000000"/>
            </w:tcBorders>
            <w:shd w:val="clear" w:color="auto" w:fill="D4D4D4"/>
          </w:tcPr>
          <w:p>
            <w:pPr/>
          </w:p>
        </w:tc>
        <w:tc>
          <w:tcPr>
            <w:tcW w:w="1468" w:type="dxa"/>
            <w:vMerge w:val="restart"/>
            <w:tcBorders>
              <w:top w:val="nil" w:sz="6" w:space="0" w:color="auto"/>
              <w:left w:val="single" w:sz="4" w:space="0" w:color="000000"/>
              <w:right w:val="single" w:sz="4" w:space="0" w:color="000000"/>
            </w:tcBorders>
            <w:shd w:val="clear" w:color="auto" w:fill="D4D4D4"/>
          </w:tcPr>
          <w:p>
            <w:pPr/>
          </w:p>
        </w:tc>
        <w:tc>
          <w:tcPr>
            <w:tcW w:w="2131" w:type="dxa"/>
            <w:vMerge/>
            <w:tcBorders>
              <w:left w:val="single" w:sz="4" w:space="0" w:color="000000"/>
              <w:bottom w:val="nil" w:sz="6" w:space="0" w:color="auto"/>
              <w:right w:val="single" w:sz="4" w:space="0" w:color="000000"/>
            </w:tcBorders>
            <w:shd w:val="clear" w:color="auto" w:fill="D4D4D4"/>
          </w:tcPr>
          <w:p>
            <w:pPr/>
          </w:p>
        </w:tc>
        <w:tc>
          <w:tcPr>
            <w:tcW w:w="659" w:type="dxa"/>
            <w:vMerge/>
            <w:tcBorders>
              <w:left w:val="single" w:sz="4" w:space="0" w:color="000000"/>
              <w:right w:val="single" w:sz="4" w:space="0" w:color="000000"/>
            </w:tcBorders>
            <w:shd w:val="clear" w:color="auto" w:fill="D4D4D4"/>
          </w:tcPr>
          <w:p>
            <w:pPr/>
          </w:p>
        </w:tc>
        <w:tc>
          <w:tcPr>
            <w:tcW w:w="1593" w:type="dxa"/>
            <w:vMerge w:val="restart"/>
            <w:tcBorders>
              <w:top w:val="nil" w:sz="6" w:space="0" w:color="auto"/>
              <w:left w:val="single" w:sz="4" w:space="0" w:color="000000"/>
              <w:right w:val="single" w:sz="4" w:space="0" w:color="000000"/>
            </w:tcBorders>
            <w:shd w:val="clear" w:color="auto" w:fill="D4D4D4"/>
          </w:tcPr>
          <w:p>
            <w:pPr/>
          </w:p>
        </w:tc>
      </w:tr>
      <w:tr>
        <w:trPr>
          <w:trHeight w:val="166" w:hRule="exact"/>
        </w:trPr>
        <w:tc>
          <w:tcPr>
            <w:tcW w:w="1117" w:type="dxa"/>
            <w:vMerge/>
            <w:tcBorders>
              <w:left w:val="single" w:sz="4" w:space="0" w:color="000000"/>
              <w:bottom w:val="single" w:sz="4" w:space="0" w:color="000000"/>
              <w:right w:val="single" w:sz="4" w:space="0" w:color="000000"/>
            </w:tcBorders>
            <w:shd w:val="clear" w:color="auto" w:fill="D4D4D4"/>
          </w:tcPr>
          <w:p>
            <w:pPr/>
          </w:p>
        </w:tc>
        <w:tc>
          <w:tcPr>
            <w:tcW w:w="1937"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 w:type="dxa"/>
            <w:vMerge/>
            <w:tcBorders>
              <w:left w:val="single" w:sz="4" w:space="0" w:color="000000"/>
              <w:bottom w:val="single" w:sz="4" w:space="0" w:color="000000"/>
              <w:right w:val="single" w:sz="4" w:space="0" w:color="000000"/>
            </w:tcBorders>
            <w:shd w:val="clear" w:color="auto" w:fill="D4D4D4"/>
          </w:tcPr>
          <w:p>
            <w:pPr/>
          </w:p>
        </w:tc>
        <w:tc>
          <w:tcPr>
            <w:tcW w:w="1468" w:type="dxa"/>
            <w:vMerge/>
            <w:tcBorders>
              <w:left w:val="single" w:sz="4" w:space="0" w:color="000000"/>
              <w:bottom w:val="single" w:sz="4" w:space="0" w:color="000000"/>
              <w:right w:val="single" w:sz="4" w:space="0" w:color="000000"/>
            </w:tcBorders>
            <w:shd w:val="clear" w:color="auto" w:fill="D4D4D4"/>
          </w:tcPr>
          <w:p>
            <w:pPr/>
          </w:p>
        </w:tc>
        <w:tc>
          <w:tcPr>
            <w:tcW w:w="2131" w:type="dxa"/>
            <w:tcBorders>
              <w:top w:val="nil" w:sz="6" w:space="0" w:color="auto"/>
              <w:left w:val="single" w:sz="4" w:space="0" w:color="000000"/>
              <w:bottom w:val="single" w:sz="4" w:space="0" w:color="000000"/>
              <w:right w:val="single" w:sz="4" w:space="0" w:color="000000"/>
            </w:tcBorders>
            <w:shd w:val="clear" w:color="auto" w:fill="D4D4D4"/>
          </w:tcPr>
          <w:p>
            <w:pPr/>
          </w:p>
        </w:tc>
        <w:tc>
          <w:tcPr>
            <w:tcW w:w="659" w:type="dxa"/>
            <w:vMerge/>
            <w:tcBorders>
              <w:left w:val="single" w:sz="4" w:space="0" w:color="000000"/>
              <w:bottom w:val="single" w:sz="4" w:space="0" w:color="000000"/>
              <w:right w:val="single" w:sz="4" w:space="0" w:color="000000"/>
            </w:tcBorders>
            <w:shd w:val="clear" w:color="auto" w:fill="D4D4D4"/>
          </w:tcPr>
          <w:p>
            <w:pPr/>
          </w:p>
        </w:tc>
        <w:tc>
          <w:tcPr>
            <w:tcW w:w="1593" w:type="dxa"/>
            <w:vMerge/>
            <w:tcBorders>
              <w:left w:val="single" w:sz="4" w:space="0" w:color="000000"/>
              <w:bottom w:val="single" w:sz="4" w:space="0" w:color="000000"/>
              <w:right w:val="single" w:sz="4" w:space="0" w:color="000000"/>
            </w:tcBorders>
            <w:shd w:val="clear" w:color="auto" w:fill="D4D4D4"/>
          </w:tcPr>
          <w:p>
            <w:pPr/>
          </w:p>
        </w:tc>
      </w:tr>
      <w:tr>
        <w:trPr>
          <w:trHeight w:val="394" w:hRule="exact"/>
        </w:trPr>
        <w:tc>
          <w:tcPr>
            <w:tcW w:w="9557"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6" w:hRule="exact"/>
        </w:trPr>
        <w:tc>
          <w:tcPr>
            <w:tcW w:w="11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25" w:right="0"/>
              <w:jc w:val="left"/>
              <w:rPr>
                <w:rFonts w:ascii="Times New Roman" w:hAnsi="Times New Roman" w:cs="Times New Roman" w:eastAsia="Times New Roman" w:hint="default"/>
                <w:sz w:val="18"/>
                <w:szCs w:val="18"/>
              </w:rPr>
            </w:pPr>
            <w:r>
              <w:rPr>
                <w:rFonts w:ascii="Times New Roman"/>
                <w:sz w:val="18"/>
              </w:rPr>
              <w:t>--</w:t>
            </w:r>
          </w:p>
        </w:tc>
        <w:tc>
          <w:tcPr>
            <w:tcW w:w="6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1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9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27,148,073.43</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63.54%</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1,357,403.67</w:t>
            </w:r>
            <w:r>
              <w:rPr>
                <w:rFonts w:ascii="Times New Roman"/>
                <w:sz w:val="18"/>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32,131,278.75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71.19%</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1,606,563.94</w:t>
            </w:r>
            <w:r>
              <w:rPr>
                <w:rFonts w:ascii="Times New Roman"/>
                <w:sz w:val="18"/>
              </w:rPr>
            </w:r>
          </w:p>
        </w:tc>
      </w:tr>
      <w:tr>
        <w:trPr>
          <w:trHeight w:val="401" w:hRule="exact"/>
        </w:trPr>
        <w:tc>
          <w:tcPr>
            <w:tcW w:w="11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7,912,908.90</w:t>
            </w:r>
            <w:r>
              <w:rPr>
                <w:rFonts w:ascii="Times New Roman"/>
                <w:sz w:val="18"/>
              </w:rPr>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18.52%</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791,290.89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4,885,366.91</w:t>
            </w:r>
            <w:r>
              <w:rPr>
                <w:rFonts w:ascii="Times New Roman"/>
                <w:sz w:val="18"/>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10.82%</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488,536.69</w:t>
            </w:r>
          </w:p>
        </w:tc>
      </w:tr>
      <w:tr>
        <w:trPr>
          <w:trHeight w:val="403" w:hRule="exact"/>
        </w:trPr>
        <w:tc>
          <w:tcPr>
            <w:tcW w:w="11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3,094,306.41</w:t>
            </w:r>
            <w:r>
              <w:rPr>
                <w:rFonts w:ascii="Times New Roman"/>
                <w:sz w:val="18"/>
              </w:rPr>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7.25%</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618,861.28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2,737,434.41</w:t>
            </w:r>
            <w:r>
              <w:rPr>
                <w:rFonts w:ascii="Times New Roman"/>
                <w:sz w:val="18"/>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547,486.88</w:t>
            </w:r>
          </w:p>
        </w:tc>
      </w:tr>
      <w:tr>
        <w:trPr>
          <w:trHeight w:val="401" w:hRule="exact"/>
        </w:trPr>
        <w:tc>
          <w:tcPr>
            <w:tcW w:w="11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4,569,383.04</w:t>
            </w:r>
            <w:r>
              <w:rPr>
                <w:rFonts w:ascii="Times New Roman"/>
                <w:sz w:val="18"/>
              </w:rPr>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10.69%</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4,569,383.04</w:t>
            </w:r>
            <w:r>
              <w:rPr>
                <w:rFonts w:ascii="Times New Roman"/>
                <w:sz w:val="18"/>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5,383,597.40</w:t>
            </w:r>
            <w:r>
              <w:rPr>
                <w:rFonts w:ascii="Times New Roman"/>
                <w:sz w:val="18"/>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11.93%</w:t>
            </w:r>
            <w:r>
              <w:rPr>
                <w:rFonts w:ascii="Times New Roman"/>
                <w:sz w:val="18"/>
              </w:rPr>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5,383,597.40</w:t>
            </w:r>
            <w:r>
              <w:rPr>
                <w:rFonts w:ascii="Times New Roman"/>
                <w:sz w:val="18"/>
              </w:rPr>
            </w:r>
          </w:p>
        </w:tc>
      </w:tr>
      <w:tr>
        <w:trPr>
          <w:trHeight w:val="403" w:hRule="exact"/>
        </w:trPr>
        <w:tc>
          <w:tcPr>
            <w:tcW w:w="11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7"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42,724,671.78</w:t>
            </w:r>
          </w:p>
        </w:tc>
        <w:tc>
          <w:tcPr>
            <w:tcW w:w="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7,336,938.88</w:t>
            </w:r>
            <w:r>
              <w:rPr>
                <w:rFonts w:ascii="Times New Roman"/>
                <w:sz w:val="18"/>
              </w:rPr>
            </w:r>
          </w:p>
        </w:tc>
        <w:tc>
          <w:tcPr>
            <w:tcW w:w="213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45,137,677.47</w:t>
            </w:r>
          </w:p>
        </w:tc>
        <w:tc>
          <w:tcPr>
            <w:tcW w:w="6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8,026,184.91</w:t>
            </w:r>
            <w:r>
              <w:rPr>
                <w:rFonts w:ascii="Times New Roman"/>
                <w:sz w:val="18"/>
              </w:rPr>
            </w:r>
          </w:p>
        </w:tc>
      </w:tr>
    </w:tbl>
    <w:p>
      <w:pPr>
        <w:pStyle w:val="BodyText"/>
        <w:spacing w:line="240" w:lineRule="auto" w:before="49"/>
        <w:ind w:right="147"/>
        <w:jc w:val="left"/>
      </w:pPr>
      <w:r>
        <w:rPr/>
        <w:t>组合中，采用余额百分比法计提坏账准备的应收账款</w:t>
      </w:r>
    </w:p>
    <w:p>
      <w:pPr>
        <w:pStyle w:val="BodyText"/>
        <w:spacing w:line="340" w:lineRule="auto" w:before="115"/>
        <w:ind w:right="59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39"/>
        <w:ind w:left="153" w:right="545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1"/>
        <w:ind w:left="153" w:right="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47"/>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4</w:t>
      </w:r>
      <w:r>
        <w:rPr/>
        <w:t>）本报告期应收账款中持有公司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本报告期转回或收回的应收账款情况" w:id="482"/>
      <w:bookmarkEnd w:id="482"/>
      <w:r>
        <w:rPr/>
      </w:r>
      <w:r>
        <w:rPr/>
        <w:t>单位：</w:t>
      </w:r>
      <w:r>
        <w:rPr>
          <w:spacing w:val="1"/>
        </w:rPr>
        <w:t> </w:t>
      </w:r>
      <w:bookmarkStart w:name="（3）本报告期实际核销的应收账款情况" w:id="483"/>
      <w:bookmarkEnd w:id="483"/>
      <w:r>
        <w:rPr/>
        <w:t>元</w:t>
      </w:r>
    </w:p>
    <w:p>
      <w:pPr>
        <w:spacing w:after="0" w:line="240" w:lineRule="auto"/>
        <w:jc w:val="right"/>
        <w:sectPr>
          <w:type w:val="continuous"/>
          <w:pgSz w:w="11910" w:h="16840"/>
          <w:pgMar w:top="106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福建亿榕信息技术有限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5,744,012.61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11.59%</w:t>
            </w:r>
            <w:r>
              <w:rPr>
                <w:rFonts w:ascii="Times New Roman"/>
                <w:sz w:val="18"/>
              </w:rPr>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浙江榕基信息技术有限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5,246,972.10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10.58%</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中国联合网络通信有限 公司福建分公司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2,542,190.90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冠林电子有限公司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2,366,000.00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福建省电力物资有限公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4.24%</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17,999,175.61</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36.31%</w:t>
            </w:r>
          </w:p>
        </w:tc>
      </w:tr>
    </w:tbl>
    <w:p>
      <w:pPr>
        <w:spacing w:line="240" w:lineRule="auto" w:before="3"/>
        <w:rPr>
          <w:rFonts w:ascii="宋体" w:hAnsi="宋体" w:cs="宋体" w:eastAsia="宋体" w:hint="default"/>
          <w:sz w:val="19"/>
          <w:szCs w:val="19"/>
        </w:rPr>
      </w:pPr>
    </w:p>
    <w:p>
      <w:pPr>
        <w:pStyle w:val="Heading3"/>
        <w:spacing w:line="240" w:lineRule="auto" w:before="36"/>
        <w:ind w:right="103"/>
        <w:jc w:val="left"/>
        <w:rPr>
          <w:b w:val="0"/>
          <w:bCs w:val="0"/>
        </w:rPr>
      </w:pPr>
      <w:bookmarkStart w:name="2、其他应收款" w:id="484"/>
      <w:bookmarkEnd w:id="484"/>
      <w:r>
        <w:rPr>
          <w:b w:val="0"/>
          <w:bCs w:val="0"/>
        </w:rPr>
      </w:r>
      <w:bookmarkStart w:name="（1）其他应收款" w:id="485"/>
      <w:bookmarkEnd w:id="485"/>
      <w:r>
        <w:rPr>
          <w:b w:val="0"/>
          <w:bCs w:val="0"/>
        </w:rPr>
      </w:r>
      <w:r>
        <w:rPr/>
        <w:t>（</w:t>
      </w:r>
      <w:r>
        <w:rPr>
          <w:rFonts w:ascii="Times New Roman" w:hAnsi="Times New Roman" w:cs="Times New Roman" w:eastAsia="Times New Roman" w:hint="default"/>
        </w:rPr>
        <w:t>7</w:t>
      </w:r>
      <w:r>
        <w:rPr/>
        <w:t>）应收关联方账款情况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53"/>
        <w:jc w:val="right"/>
      </w:pPr>
      <w:bookmarkStart w:name="（7）应收关联方账款情况" w:id="486"/>
      <w:bookmarkEnd w:id="486"/>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1"/>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5,744,012.61</w:t>
            </w:r>
            <w:r>
              <w:rPr>
                <w:rFonts w:ascii="Times New Roman"/>
                <w:sz w:val="18"/>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11.59%</w:t>
            </w:r>
            <w:r>
              <w:rPr>
                <w:rFonts w:ascii="Times New Roman"/>
                <w:sz w:val="18"/>
              </w:rPr>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
              <w:jc w:val="center"/>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5,246,972.10</w:t>
            </w:r>
            <w:r>
              <w:rPr>
                <w:rFonts w:ascii="Times New Roman"/>
                <w:sz w:val="18"/>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10.58%</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3"/>
              <w:jc w:val="left"/>
              <w:rPr>
                <w:rFonts w:ascii="宋体" w:hAnsi="宋体" w:cs="宋体" w:eastAsia="宋体" w:hint="default"/>
                <w:sz w:val="18"/>
                <w:szCs w:val="18"/>
              </w:rPr>
            </w:pPr>
            <w:r>
              <w:rPr>
                <w:rFonts w:ascii="宋体" w:hAnsi="宋体" w:cs="宋体" w:eastAsia="宋体" w:hint="default"/>
                <w:sz w:val="18"/>
                <w:szCs w:val="18"/>
              </w:rPr>
              <w:t>榕基五一（北京）信息技术 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w:t>
            </w:r>
            <w:r>
              <w:rPr>
                <w:rFonts w:ascii="Times New Roman"/>
                <w:sz w:val="18"/>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3.23%</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12,590,984.71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25.4%</w:t>
            </w:r>
          </w:p>
        </w:tc>
      </w:tr>
    </w:tbl>
    <w:p>
      <w:pPr>
        <w:spacing w:line="240" w:lineRule="auto" w:before="3"/>
        <w:rPr>
          <w:rFonts w:ascii="宋体" w:hAnsi="宋体" w:cs="宋体" w:eastAsia="宋体" w:hint="default"/>
          <w:sz w:val="19"/>
          <w:szCs w:val="19"/>
        </w:rPr>
      </w:pPr>
    </w:p>
    <w:p>
      <w:pPr>
        <w:pStyle w:val="Heading3"/>
        <w:spacing w:line="240" w:lineRule="auto" w:before="36"/>
        <w:ind w:right="103"/>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03"/>
        <w:jc w:val="left"/>
      </w:pPr>
      <w:r>
        <w:rPr/>
        <w:t>不符合终止确认条件的应收账款的转移金额为</w:t>
      </w:r>
      <w:r>
        <w:rPr>
          <w:spacing w:val="-45"/>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03"/>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0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53"/>
        <w:jc w:val="right"/>
      </w:pPr>
      <w:bookmarkStart w:name="（8）" w:id="487"/>
      <w:bookmarkEnd w:id="487"/>
      <w:r>
        <w:rPr/>
      </w:r>
      <w:r>
        <w:rPr/>
        <w:t>单位：</w:t>
      </w:r>
      <w:r>
        <w:rPr>
          <w:spacing w:val="1"/>
        </w:rPr>
        <w:t> </w:t>
      </w:r>
      <w:bookmarkStart w:name="（9）以应收款项为标的资产进行资产证券化的，需简要说明相关交易安排" w:id="488"/>
      <w:bookmarkEnd w:id="488"/>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68"/>
        <w:gridCol w:w="1375"/>
        <w:gridCol w:w="708"/>
        <w:gridCol w:w="1219"/>
        <w:gridCol w:w="624"/>
        <w:gridCol w:w="1226"/>
        <w:gridCol w:w="528"/>
        <w:gridCol w:w="1190"/>
        <w:gridCol w:w="742"/>
      </w:tblGrid>
      <w:tr>
        <w:trPr>
          <w:trHeight w:val="402" w:hRule="exact"/>
        </w:trPr>
        <w:tc>
          <w:tcPr>
            <w:tcW w:w="21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92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8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68" w:type="dxa"/>
            <w:vMerge/>
            <w:tcBorders>
              <w:left w:val="single" w:sz="4" w:space="0" w:color="000000"/>
              <w:right w:val="single" w:sz="4" w:space="0" w:color="000000"/>
            </w:tcBorders>
            <w:shd w:val="clear" w:color="auto" w:fill="D4D4D4"/>
          </w:tcPr>
          <w:p>
            <w:pPr/>
          </w:p>
        </w:tc>
        <w:tc>
          <w:tcPr>
            <w:tcW w:w="208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68" w:type="dxa"/>
            <w:vMerge/>
            <w:tcBorders>
              <w:left w:val="single" w:sz="4" w:space="0" w:color="000000"/>
              <w:bottom w:val="single" w:sz="4" w:space="0" w:color="000000"/>
              <w:right w:val="single" w:sz="4" w:space="0" w:color="000000"/>
            </w:tcBorders>
            <w:shd w:val="clear" w:color="auto" w:fill="D4D4D4"/>
          </w:tcPr>
          <w:p>
            <w:pPr/>
          </w:p>
        </w:tc>
        <w:tc>
          <w:tcPr>
            <w:tcW w:w="1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75" w:right="0"/>
              <w:jc w:val="left"/>
              <w:rPr>
                <w:rFonts w:ascii="Times New Roman" w:hAnsi="Times New Roman" w:cs="Times New Roman" w:eastAsia="Times New Roman" w:hint="default"/>
                <w:sz w:val="18"/>
                <w:szCs w:val="18"/>
              </w:rPr>
            </w:pPr>
            <w:r>
              <w:rPr>
                <w:rFonts w:ascii="Times New Roman"/>
                <w:sz w:val="18"/>
              </w:rPr>
              <w:t>(%)</w:t>
            </w:r>
          </w:p>
        </w:tc>
        <w:tc>
          <w:tcPr>
            <w:tcW w:w="12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8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170"/>
        <w:gridCol w:w="1375"/>
        <w:gridCol w:w="708"/>
        <w:gridCol w:w="1219"/>
        <w:gridCol w:w="624"/>
        <w:gridCol w:w="1226"/>
        <w:gridCol w:w="617"/>
        <w:gridCol w:w="1102"/>
        <w:gridCol w:w="739"/>
      </w:tblGrid>
      <w:tr>
        <w:trPr>
          <w:trHeight w:val="401" w:hRule="exact"/>
        </w:trPr>
        <w:tc>
          <w:tcPr>
            <w:tcW w:w="9780"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17,308,107.90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28.28%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2,376,179.54</w:t>
            </w:r>
            <w:r>
              <w:rPr>
                <w:rFonts w:ascii="Times New Roman"/>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13.73%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11,501,436.15</w:t>
            </w:r>
            <w:r>
              <w:rPr>
                <w:rFonts w:ascii="Times New Roman"/>
                <w:sz w:val="18"/>
              </w:rPr>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76.09%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1,896,982.68</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16.49%</w:t>
            </w: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应收子公司款项</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43,904,734.46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71.72%</w:t>
            </w:r>
          </w:p>
        </w:tc>
        <w:tc>
          <w:tcPr>
            <w:tcW w:w="121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3,613,154.00</w:t>
            </w:r>
            <w:r>
              <w:rPr>
                <w:rFonts w:ascii="Times New Roman"/>
                <w:sz w:val="18"/>
              </w:rPr>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23.91%</w:t>
            </w:r>
          </w:p>
        </w:tc>
        <w:tc>
          <w:tcPr>
            <w:tcW w:w="110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61,212,842.36</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2,376,179.54</w:t>
            </w:r>
            <w:r>
              <w:rPr>
                <w:rFonts w:ascii="Times New Roman"/>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3.88%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15,114,590.15</w:t>
            </w:r>
            <w:r>
              <w:rPr>
                <w:rFonts w:ascii="Times New Roman"/>
                <w:sz w:val="18"/>
              </w:rPr>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3" w:right="0"/>
              <w:jc w:val="left"/>
              <w:rPr>
                <w:rFonts w:ascii="Times New Roman" w:hAnsi="Times New Roman" w:cs="Times New Roman" w:eastAsia="Times New Roman" w:hint="default"/>
                <w:sz w:val="18"/>
                <w:szCs w:val="18"/>
              </w:rPr>
            </w:pPr>
            <w:r>
              <w:rPr>
                <w:rFonts w:ascii="Times New Roman"/>
                <w:sz w:val="18"/>
              </w:rPr>
              <w:t>100%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1,896,982.68</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12.55%</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61,212,842.36</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21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2,376,179.54</w:t>
            </w:r>
            <w:r>
              <w:rPr>
                <w:rFonts w:ascii="Times New Roman"/>
                <w:sz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226"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15,114,590.15</w:t>
            </w:r>
            <w:r>
              <w:rPr>
                <w:rFonts w:ascii="Times New Roman"/>
                <w:sz w:val="18"/>
              </w:rPr>
            </w:r>
          </w:p>
        </w:tc>
        <w:tc>
          <w:tcPr>
            <w:tcW w:w="6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1,896,982.68</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5734"/>
        <w:jc w:val="left"/>
      </w:pPr>
      <w:bookmarkStart w:name="（2）本报告期转回或收回的其他应收款情况" w:id="489"/>
      <w:bookmarkEnd w:id="489"/>
      <w:r>
        <w:rPr/>
      </w:r>
      <w:bookmarkStart w:name="（3）本报告期实际核销的其他应收款情况" w:id="490"/>
      <w:bookmarkEnd w:id="490"/>
      <w:r>
        <w:rPr/>
      </w:r>
      <w:r>
        <w:rPr/>
        <w:t>其他应收款种类的说明 期末单项金额重大并单项计提坏账准备的其他应收款</w:t>
      </w:r>
    </w:p>
    <w:p>
      <w:pPr>
        <w:pStyle w:val="BodyText"/>
        <w:spacing w:line="338" w:lineRule="auto" w:before="29"/>
        <w:ind w:right="57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43"/>
        <w:ind w:right="1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0" w:right="2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1"/>
        <w:gridCol w:w="1805"/>
        <w:gridCol w:w="651"/>
        <w:gridCol w:w="1606"/>
        <w:gridCol w:w="1862"/>
        <w:gridCol w:w="653"/>
        <w:gridCol w:w="1731"/>
      </w:tblGrid>
      <w:tr>
        <w:trPr>
          <w:trHeight w:val="402" w:hRule="exact"/>
        </w:trPr>
        <w:tc>
          <w:tcPr>
            <w:tcW w:w="1261" w:type="dxa"/>
            <w:vMerge w:val="restart"/>
            <w:tcBorders>
              <w:top w:val="single" w:sz="4" w:space="0" w:color="000000"/>
              <w:left w:val="single" w:sz="4" w:space="0" w:color="000000"/>
              <w:right w:val="single" w:sz="4" w:space="0" w:color="000000"/>
            </w:tcBorders>
            <w:shd w:val="clear" w:color="auto" w:fill="D4D4D4"/>
          </w:tcPr>
          <w:p>
            <w:pPr/>
          </w:p>
        </w:tc>
        <w:tc>
          <w:tcPr>
            <w:tcW w:w="406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4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2" w:hRule="exact"/>
        </w:trPr>
        <w:tc>
          <w:tcPr>
            <w:tcW w:w="1261" w:type="dxa"/>
            <w:vMerge/>
            <w:tcBorders>
              <w:left w:val="single" w:sz="4" w:space="0" w:color="000000"/>
              <w:bottom w:val="nil" w:sz="6" w:space="0" w:color="auto"/>
              <w:right w:val="single" w:sz="4" w:space="0" w:color="000000"/>
            </w:tcBorders>
            <w:shd w:val="clear" w:color="auto" w:fill="D4D4D4"/>
          </w:tcPr>
          <w:p>
            <w:pPr/>
          </w:p>
        </w:tc>
        <w:tc>
          <w:tcPr>
            <w:tcW w:w="245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6" w:type="dxa"/>
            <w:vMerge w:val="restart"/>
            <w:tcBorders>
              <w:top w:val="single" w:sz="4" w:space="0" w:color="000000"/>
              <w:left w:val="single" w:sz="4" w:space="0" w:color="000000"/>
              <w:right w:val="single" w:sz="4" w:space="0" w:color="000000"/>
            </w:tcBorders>
            <w:shd w:val="clear" w:color="auto" w:fill="D4D4D4"/>
          </w:tcPr>
          <w:p>
            <w:pPr/>
          </w:p>
        </w:tc>
        <w:tc>
          <w:tcPr>
            <w:tcW w:w="251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31" w:type="dxa"/>
            <w:vMerge w:val="restart"/>
            <w:tcBorders>
              <w:top w:val="single" w:sz="4" w:space="0" w:color="000000"/>
              <w:left w:val="single" w:sz="4" w:space="0" w:color="000000"/>
              <w:right w:val="single" w:sz="4" w:space="0" w:color="000000"/>
            </w:tcBorders>
            <w:shd w:val="clear" w:color="auto" w:fill="D4D4D4"/>
          </w:tcPr>
          <w:p>
            <w:pPr/>
          </w:p>
        </w:tc>
      </w:tr>
      <w:tr>
        <w:trPr>
          <w:trHeight w:val="222" w:hRule="exact"/>
        </w:trPr>
        <w:tc>
          <w:tcPr>
            <w:tcW w:w="12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456" w:type="dxa"/>
            <w:gridSpan w:val="2"/>
            <w:vMerge/>
            <w:tcBorders>
              <w:left w:val="single" w:sz="4" w:space="0" w:color="000000"/>
              <w:bottom w:val="single" w:sz="4" w:space="0" w:color="000000"/>
              <w:right w:val="single" w:sz="4" w:space="0" w:color="000000"/>
            </w:tcBorders>
            <w:shd w:val="clear" w:color="auto" w:fill="D4D4D4"/>
          </w:tcPr>
          <w:p>
            <w:pPr/>
          </w:p>
        </w:tc>
        <w:tc>
          <w:tcPr>
            <w:tcW w:w="1606" w:type="dxa"/>
            <w:vMerge/>
            <w:tcBorders>
              <w:left w:val="single" w:sz="4" w:space="0" w:color="000000"/>
              <w:bottom w:val="nil" w:sz="6" w:space="0" w:color="auto"/>
              <w:right w:val="single" w:sz="4" w:space="0" w:color="000000"/>
            </w:tcBorders>
            <w:shd w:val="clear" w:color="auto" w:fill="D4D4D4"/>
          </w:tcPr>
          <w:p>
            <w:pPr/>
          </w:p>
        </w:tc>
        <w:tc>
          <w:tcPr>
            <w:tcW w:w="2515" w:type="dxa"/>
            <w:gridSpan w:val="2"/>
            <w:vMerge/>
            <w:tcBorders>
              <w:left w:val="single" w:sz="4" w:space="0" w:color="000000"/>
              <w:bottom w:val="single" w:sz="4" w:space="0" w:color="000000"/>
              <w:right w:val="single" w:sz="4" w:space="0" w:color="000000"/>
            </w:tcBorders>
            <w:shd w:val="clear" w:color="auto" w:fill="D4D4D4"/>
          </w:tcPr>
          <w:p>
            <w:pPr/>
          </w:p>
        </w:tc>
        <w:tc>
          <w:tcPr>
            <w:tcW w:w="1731" w:type="dxa"/>
            <w:vMerge/>
            <w:tcBorders>
              <w:left w:val="single" w:sz="4" w:space="0" w:color="000000"/>
              <w:bottom w:val="nil" w:sz="6" w:space="0" w:color="auto"/>
              <w:right w:val="single" w:sz="4" w:space="0" w:color="000000"/>
            </w:tcBorders>
            <w:shd w:val="clear" w:color="auto" w:fill="D4D4D4"/>
          </w:tcPr>
          <w:p>
            <w:pPr/>
          </w:p>
        </w:tc>
      </w:tr>
      <w:tr>
        <w:trPr>
          <w:trHeight w:val="176" w:hRule="exact"/>
        </w:trPr>
        <w:tc>
          <w:tcPr>
            <w:tcW w:w="1261" w:type="dxa"/>
            <w:vMerge/>
            <w:tcBorders>
              <w:left w:val="single" w:sz="4" w:space="0" w:color="000000"/>
              <w:bottom w:val="single" w:sz="4" w:space="0" w:color="FFFFFF"/>
              <w:right w:val="single" w:sz="4" w:space="0" w:color="000000"/>
            </w:tcBorders>
            <w:shd w:val="clear" w:color="auto" w:fill="D4D4D4"/>
          </w:tcPr>
          <w:p>
            <w:pPr/>
          </w:p>
        </w:tc>
        <w:tc>
          <w:tcPr>
            <w:tcW w:w="1805"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65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7"/>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60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6"/>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5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7"/>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8" w:right="0"/>
              <w:jc w:val="left"/>
              <w:rPr>
                <w:rFonts w:ascii="Times New Roman" w:hAnsi="Times New Roman" w:cs="Times New Roman" w:eastAsia="Times New Roman" w:hint="default"/>
                <w:sz w:val="18"/>
                <w:szCs w:val="18"/>
              </w:rPr>
            </w:pPr>
            <w:r>
              <w:rPr>
                <w:rFonts w:ascii="Times New Roman"/>
                <w:sz w:val="18"/>
              </w:rPr>
              <w:t>(%)</w:t>
            </w:r>
          </w:p>
        </w:tc>
        <w:tc>
          <w:tcPr>
            <w:tcW w:w="17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6"/>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261" w:type="dxa"/>
            <w:vMerge w:val="restart"/>
            <w:tcBorders>
              <w:top w:val="single" w:sz="4" w:space="0" w:color="FFFFFF"/>
              <w:left w:val="single" w:sz="4" w:space="0" w:color="000000"/>
              <w:right w:val="single" w:sz="4" w:space="0" w:color="000000"/>
            </w:tcBorders>
            <w:shd w:val="clear" w:color="auto" w:fill="D4D4D4"/>
          </w:tcPr>
          <w:p>
            <w:pPr/>
          </w:p>
        </w:tc>
        <w:tc>
          <w:tcPr>
            <w:tcW w:w="1805"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1" w:type="dxa"/>
            <w:vMerge/>
            <w:tcBorders>
              <w:left w:val="single" w:sz="4" w:space="0" w:color="000000"/>
              <w:right w:val="single" w:sz="4" w:space="0" w:color="000000"/>
            </w:tcBorders>
            <w:shd w:val="clear" w:color="auto" w:fill="D4D4D4"/>
          </w:tcPr>
          <w:p>
            <w:pPr/>
          </w:p>
        </w:tc>
        <w:tc>
          <w:tcPr>
            <w:tcW w:w="1606" w:type="dxa"/>
            <w:vMerge/>
            <w:tcBorders>
              <w:left w:val="single" w:sz="4" w:space="0" w:color="000000"/>
              <w:bottom w:val="nil" w:sz="6" w:space="0" w:color="auto"/>
              <w:right w:val="single" w:sz="4" w:space="0" w:color="000000"/>
            </w:tcBorders>
            <w:shd w:val="clear" w:color="auto" w:fill="D4D4D4"/>
          </w:tcPr>
          <w:p>
            <w:pPr/>
          </w:p>
        </w:tc>
        <w:tc>
          <w:tcPr>
            <w:tcW w:w="18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53" w:type="dxa"/>
            <w:vMerge/>
            <w:tcBorders>
              <w:left w:val="single" w:sz="4" w:space="0" w:color="000000"/>
              <w:right w:val="single" w:sz="4" w:space="0" w:color="000000"/>
            </w:tcBorders>
            <w:shd w:val="clear" w:color="auto" w:fill="D4D4D4"/>
          </w:tcPr>
          <w:p>
            <w:pPr/>
          </w:p>
        </w:tc>
        <w:tc>
          <w:tcPr>
            <w:tcW w:w="1731" w:type="dxa"/>
            <w:vMerge/>
            <w:tcBorders>
              <w:left w:val="single" w:sz="4" w:space="0" w:color="000000"/>
              <w:bottom w:val="nil" w:sz="6" w:space="0" w:color="auto"/>
              <w:right w:val="single" w:sz="4" w:space="0" w:color="000000"/>
            </w:tcBorders>
            <w:shd w:val="clear" w:color="auto" w:fill="D4D4D4"/>
          </w:tcPr>
          <w:p>
            <w:pPr/>
          </w:p>
        </w:tc>
      </w:tr>
      <w:tr>
        <w:trPr>
          <w:trHeight w:val="199" w:hRule="exact"/>
        </w:trPr>
        <w:tc>
          <w:tcPr>
            <w:tcW w:w="1261" w:type="dxa"/>
            <w:vMerge/>
            <w:tcBorders>
              <w:left w:val="single" w:sz="4" w:space="0" w:color="000000"/>
              <w:right w:val="single" w:sz="4" w:space="0" w:color="000000"/>
            </w:tcBorders>
            <w:shd w:val="clear" w:color="auto" w:fill="D4D4D4"/>
          </w:tcPr>
          <w:p>
            <w:pPr/>
          </w:p>
        </w:tc>
        <w:tc>
          <w:tcPr>
            <w:tcW w:w="1805" w:type="dxa"/>
            <w:vMerge/>
            <w:tcBorders>
              <w:left w:val="single" w:sz="4" w:space="0" w:color="000000"/>
              <w:bottom w:val="nil" w:sz="6" w:space="0" w:color="auto"/>
              <w:right w:val="single" w:sz="4" w:space="0" w:color="000000"/>
            </w:tcBorders>
            <w:shd w:val="clear" w:color="auto" w:fill="D4D4D4"/>
          </w:tcPr>
          <w:p>
            <w:pPr/>
          </w:p>
        </w:tc>
        <w:tc>
          <w:tcPr>
            <w:tcW w:w="651" w:type="dxa"/>
            <w:vMerge/>
            <w:tcBorders>
              <w:left w:val="single" w:sz="4" w:space="0" w:color="000000"/>
              <w:right w:val="single" w:sz="4" w:space="0" w:color="000000"/>
            </w:tcBorders>
            <w:shd w:val="clear" w:color="auto" w:fill="D4D4D4"/>
          </w:tcPr>
          <w:p>
            <w:pPr/>
          </w:p>
        </w:tc>
        <w:tc>
          <w:tcPr>
            <w:tcW w:w="1606" w:type="dxa"/>
            <w:vMerge w:val="restart"/>
            <w:tcBorders>
              <w:top w:val="nil" w:sz="6" w:space="0" w:color="auto"/>
              <w:left w:val="single" w:sz="4" w:space="0" w:color="000000"/>
              <w:right w:val="single" w:sz="4" w:space="0" w:color="000000"/>
            </w:tcBorders>
            <w:shd w:val="clear" w:color="auto" w:fill="D4D4D4"/>
          </w:tcPr>
          <w:p>
            <w:pPr/>
          </w:p>
        </w:tc>
        <w:tc>
          <w:tcPr>
            <w:tcW w:w="1862" w:type="dxa"/>
            <w:vMerge/>
            <w:tcBorders>
              <w:left w:val="single" w:sz="4" w:space="0" w:color="000000"/>
              <w:bottom w:val="nil" w:sz="6" w:space="0" w:color="auto"/>
              <w:right w:val="single" w:sz="4" w:space="0" w:color="000000"/>
            </w:tcBorders>
            <w:shd w:val="clear" w:color="auto" w:fill="D4D4D4"/>
          </w:tcPr>
          <w:p>
            <w:pPr/>
          </w:p>
        </w:tc>
        <w:tc>
          <w:tcPr>
            <w:tcW w:w="653" w:type="dxa"/>
            <w:vMerge/>
            <w:tcBorders>
              <w:left w:val="single" w:sz="4" w:space="0" w:color="000000"/>
              <w:right w:val="single" w:sz="4" w:space="0" w:color="000000"/>
            </w:tcBorders>
            <w:shd w:val="clear" w:color="auto" w:fill="D4D4D4"/>
          </w:tcPr>
          <w:p>
            <w:pPr/>
          </w:p>
        </w:tc>
        <w:tc>
          <w:tcPr>
            <w:tcW w:w="1731" w:type="dxa"/>
            <w:vMerge w:val="restart"/>
            <w:tcBorders>
              <w:top w:val="nil" w:sz="6" w:space="0" w:color="auto"/>
              <w:left w:val="single" w:sz="4" w:space="0" w:color="000000"/>
              <w:right w:val="single" w:sz="4" w:space="0" w:color="000000"/>
            </w:tcBorders>
            <w:shd w:val="clear" w:color="auto" w:fill="D4D4D4"/>
          </w:tcPr>
          <w:p>
            <w:pPr/>
          </w:p>
        </w:tc>
      </w:tr>
      <w:tr>
        <w:trPr>
          <w:trHeight w:val="168" w:hRule="exact"/>
        </w:trPr>
        <w:tc>
          <w:tcPr>
            <w:tcW w:w="1261" w:type="dxa"/>
            <w:vMerge/>
            <w:tcBorders>
              <w:left w:val="single" w:sz="4" w:space="0" w:color="000000"/>
              <w:bottom w:val="single" w:sz="4" w:space="0" w:color="000000"/>
              <w:right w:val="single" w:sz="4" w:space="0" w:color="000000"/>
            </w:tcBorders>
            <w:shd w:val="clear" w:color="auto" w:fill="D4D4D4"/>
          </w:tcPr>
          <w:p>
            <w:pPr/>
          </w:p>
        </w:tc>
        <w:tc>
          <w:tcPr>
            <w:tcW w:w="1805"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 w:type="dxa"/>
            <w:vMerge/>
            <w:tcBorders>
              <w:left w:val="single" w:sz="4" w:space="0" w:color="000000"/>
              <w:bottom w:val="single" w:sz="4" w:space="0" w:color="000000"/>
              <w:right w:val="single" w:sz="4" w:space="0" w:color="000000"/>
            </w:tcBorders>
            <w:shd w:val="clear" w:color="auto" w:fill="D4D4D4"/>
          </w:tcPr>
          <w:p>
            <w:pPr/>
          </w:p>
        </w:tc>
        <w:tc>
          <w:tcPr>
            <w:tcW w:w="1606" w:type="dxa"/>
            <w:vMerge/>
            <w:tcBorders>
              <w:left w:val="single" w:sz="4" w:space="0" w:color="000000"/>
              <w:bottom w:val="single" w:sz="4" w:space="0" w:color="000000"/>
              <w:right w:val="single" w:sz="4" w:space="0" w:color="000000"/>
            </w:tcBorders>
            <w:shd w:val="clear" w:color="auto" w:fill="D4D4D4"/>
          </w:tcPr>
          <w:p>
            <w:pPr/>
          </w:p>
        </w:tc>
        <w:tc>
          <w:tcPr>
            <w:tcW w:w="18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single" w:sz="4" w:space="0" w:color="000000"/>
              <w:right w:val="single" w:sz="4" w:space="0" w:color="000000"/>
            </w:tcBorders>
            <w:shd w:val="clear" w:color="auto" w:fill="D4D4D4"/>
          </w:tcPr>
          <w:p>
            <w:pPr/>
          </w:p>
        </w:tc>
        <w:tc>
          <w:tcPr>
            <w:tcW w:w="1731" w:type="dxa"/>
            <w:vMerge/>
            <w:tcBorders>
              <w:left w:val="single" w:sz="4" w:space="0" w:color="000000"/>
              <w:bottom w:val="single" w:sz="4" w:space="0" w:color="000000"/>
              <w:right w:val="single" w:sz="4" w:space="0" w:color="000000"/>
            </w:tcBorders>
            <w:shd w:val="clear" w:color="auto" w:fill="D4D4D4"/>
          </w:tcPr>
          <w:p>
            <w:pPr/>
          </w:p>
        </w:tc>
      </w:tr>
      <w:tr>
        <w:trPr>
          <w:trHeight w:val="39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6" w:hRule="exact"/>
        </w:trPr>
        <w:tc>
          <w:tcPr>
            <w:tcW w:w="1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7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10,539,756.98</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left"/>
              <w:rPr>
                <w:rFonts w:ascii="Times New Roman" w:hAnsi="Times New Roman" w:cs="Times New Roman" w:eastAsia="Times New Roman" w:hint="default"/>
                <w:sz w:val="18"/>
                <w:szCs w:val="18"/>
              </w:rPr>
            </w:pPr>
            <w:r>
              <w:rPr>
                <w:rFonts w:ascii="Times New Roman"/>
                <w:sz w:val="18"/>
              </w:rPr>
              <w:t>60.89%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530,105.85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8,376,305.96</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left"/>
              <w:rPr>
                <w:rFonts w:ascii="Times New Roman" w:hAnsi="Times New Roman" w:cs="Times New Roman" w:eastAsia="Times New Roman" w:hint="default"/>
                <w:sz w:val="18"/>
                <w:szCs w:val="18"/>
              </w:rPr>
            </w:pPr>
            <w:r>
              <w:rPr>
                <w:rFonts w:ascii="Times New Roman"/>
                <w:sz w:val="18"/>
              </w:rPr>
              <w:t>72.83%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418,815.30</w:t>
            </w:r>
          </w:p>
        </w:tc>
      </w:tr>
      <w:tr>
        <w:trPr>
          <w:trHeight w:val="401" w:hRule="exact"/>
        </w:trPr>
        <w:tc>
          <w:tcPr>
            <w:tcW w:w="1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4,420,470.05</w:t>
            </w:r>
            <w:r>
              <w:rPr>
                <w:rFonts w:ascii="Times New Roman"/>
                <w:sz w:val="18"/>
              </w:rPr>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25.54%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442,047.01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1,412,208.73</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12.28%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141,220.88</w:t>
            </w:r>
          </w:p>
        </w:tc>
      </w:tr>
      <w:tr>
        <w:trPr>
          <w:trHeight w:val="403" w:hRule="exact"/>
        </w:trPr>
        <w:tc>
          <w:tcPr>
            <w:tcW w:w="1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1,179,817.73</w:t>
            </w:r>
            <w:r>
              <w:rPr>
                <w:rFonts w:ascii="Times New Roman"/>
                <w:sz w:val="18"/>
              </w:rPr>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6.82%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235,963.54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469,968.70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1" w:right="0"/>
              <w:jc w:val="left"/>
              <w:rPr>
                <w:rFonts w:ascii="Times New Roman" w:hAnsi="Times New Roman" w:cs="Times New Roman" w:eastAsia="Times New Roman" w:hint="default"/>
                <w:sz w:val="18"/>
                <w:szCs w:val="18"/>
              </w:rPr>
            </w:pPr>
            <w:r>
              <w:rPr>
                <w:rFonts w:ascii="Times New Roman"/>
                <w:sz w:val="18"/>
              </w:rPr>
              <w:t>4.09%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93,993.74</w:t>
            </w:r>
          </w:p>
        </w:tc>
      </w:tr>
      <w:tr>
        <w:trPr>
          <w:trHeight w:val="401" w:hRule="exact"/>
        </w:trPr>
        <w:tc>
          <w:tcPr>
            <w:tcW w:w="1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1,168,063.14</w:t>
            </w:r>
            <w:r>
              <w:rPr>
                <w:rFonts w:ascii="Times New Roman"/>
                <w:sz w:val="18"/>
              </w:rPr>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6.75%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1,168,063.14</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1,242,952.76</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10.81%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1,242,952.76</w:t>
            </w:r>
            <w:r>
              <w:rPr>
                <w:rFonts w:ascii="Times New Roman"/>
                <w:sz w:val="18"/>
              </w:rPr>
            </w:r>
          </w:p>
        </w:tc>
      </w:tr>
      <w:tr>
        <w:trPr>
          <w:trHeight w:val="403" w:hRule="exact"/>
        </w:trPr>
        <w:tc>
          <w:tcPr>
            <w:tcW w:w="1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17,308,107.90</w:t>
            </w:r>
          </w:p>
        </w:tc>
        <w:tc>
          <w:tcPr>
            <w:tcW w:w="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2,376,179.54</w:t>
            </w:r>
            <w:r>
              <w:rPr>
                <w:rFonts w:ascii="Times New Roman"/>
                <w:sz w:val="18"/>
              </w:rPr>
            </w:r>
          </w:p>
        </w:tc>
        <w:tc>
          <w:tcPr>
            <w:tcW w:w="1862"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11,501,436.15</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73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1,896,982.68</w:t>
            </w:r>
            <w:r>
              <w:rPr>
                <w:rFonts w:ascii="Times New Roman"/>
                <w:sz w:val="18"/>
              </w:rPr>
            </w:r>
          </w:p>
        </w:tc>
      </w:tr>
    </w:tbl>
    <w:p>
      <w:pPr>
        <w:pStyle w:val="BodyText"/>
        <w:spacing w:line="240" w:lineRule="auto" w:before="49"/>
        <w:ind w:right="103"/>
        <w:jc w:val="left"/>
      </w:pPr>
      <w:r>
        <w:rPr/>
        <w:t>组合中，采用余额百分比法计提坏账准备的其他应收款</w:t>
      </w:r>
    </w:p>
    <w:p>
      <w:pPr>
        <w:pStyle w:val="BodyText"/>
        <w:spacing w:line="340" w:lineRule="auto" w:before="115"/>
        <w:ind w:right="59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38" w:lineRule="auto" w:before="41"/>
        <w:ind w:left="153" w:right="537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3"/>
        <w:ind w:left="153" w:right="1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03"/>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03"/>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3"/>
        <w:jc w:val="left"/>
      </w:pPr>
      <w:r>
        <w:rPr/>
        <w:t>无。</w:t>
      </w:r>
    </w:p>
    <w:p>
      <w:pPr>
        <w:spacing w:after="0" w:line="240" w:lineRule="auto"/>
        <w:jc w:val="left"/>
        <w:sectPr>
          <w:pgSz w:w="11910" w:h="16840"/>
          <w:pgMar w:header="877" w:footer="982" w:top="1100" w:bottom="1180" w:left="980" w:right="880"/>
        </w:sectPr>
      </w:pPr>
    </w:p>
    <w:p>
      <w:pPr>
        <w:spacing w:line="240" w:lineRule="auto" w:before="11"/>
        <w:rPr>
          <w:rFonts w:ascii="宋体" w:hAnsi="宋体" w:cs="宋体" w:eastAsia="宋体" w:hint="default"/>
          <w:sz w:val="20"/>
          <w:szCs w:val="20"/>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4</w:t>
      </w:r>
      <w:bookmarkStart w:name="（4）本报告期其他应收款中持有公司5％（含5％）以上表决权股份的股东单位情况" w:id="491"/>
      <w:bookmarkEnd w:id="491"/>
      <w:r>
        <w:rPr>
          <w:rFonts w:ascii="Times New Roman" w:hAnsi="Times New Roman" w:cs="Times New Roman" w:eastAsia="Times New Roman" w:hint="default"/>
        </w:rPr>
      </w:r>
      <w:r>
        <w:rPr/>
        <w:t>）本报告期其他应收款中持有公司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t>（</w:t>
      </w:r>
      <w:r>
        <w:rPr>
          <w:rFonts w:ascii="Times New Roman" w:hAnsi="Times New Roman" w:cs="Times New Roman" w:eastAsia="Times New Roman" w:hint="default"/>
        </w:rPr>
        <w:t>5</w:t>
      </w:r>
      <w:bookmarkStart w:name="（5）金额较大的其他应收款的性质或内容" w:id="492"/>
      <w:bookmarkEnd w:id="492"/>
      <w:r>
        <w:rPr>
          <w:rFonts w:ascii="Times New Roman" w:hAnsi="Times New Roman" w:cs="Times New Roman" w:eastAsia="Times New Roman" w:hint="default"/>
        </w:rPr>
      </w:r>
      <w:r>
        <w:rPr/>
        <w:t>）金额较大的其他应收款的性质或内容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6</w:t>
      </w:r>
      <w:r>
        <w:rPr/>
        <w:t>）其他应收款金额前五</w:t>
      </w:r>
      <w:bookmarkStart w:name="（6）其他应收款金额前五名单位情况" w:id="493"/>
      <w:bookmarkEnd w:id="493"/>
      <w:r>
        <w:rPr/>
        <w:t>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福州创华电气自动化系 统有限公司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11,289,423.50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18.44%</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榕基五一（北京）信息 技术有限公司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9,843,548.57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16.08%</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河南榕基信息技术有限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8,567,652.73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浙江榕基信息技术有限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7,296,700.26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11.92%</w:t>
            </w:r>
            <w:r>
              <w:rPr>
                <w:rFonts w:ascii="Times New Roman"/>
                <w:sz w:val="18"/>
              </w:rPr>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北京中榕基信息技术有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4,170,894.40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41,168,219.46</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67.25%</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7）其他应收关联方账款情况" w:id="494"/>
      <w:bookmarkEnd w:id="494"/>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1"/>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8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福州创华电气自动化系统有 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11,289,423.50</w:t>
            </w:r>
            <w:r>
              <w:rPr>
                <w:rFonts w:ascii="Times New Roman"/>
                <w:sz w:val="18"/>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18.44%</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榕基五一（北京）信息技术 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9,843,548.57</w:t>
            </w:r>
            <w:r>
              <w:rPr>
                <w:rFonts w:ascii="Times New Roman"/>
                <w:sz w:val="18"/>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16.08%</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
              <w:jc w:val="center"/>
              <w:rPr>
                <w:rFonts w:ascii="宋体" w:hAnsi="宋体" w:cs="宋体" w:eastAsia="宋体" w:hint="default"/>
                <w:sz w:val="18"/>
                <w:szCs w:val="18"/>
              </w:rPr>
            </w:pPr>
            <w:r>
              <w:rPr>
                <w:rFonts w:ascii="宋体" w:hAnsi="宋体" w:cs="宋体" w:eastAsia="宋体" w:hint="default"/>
                <w:sz w:val="18"/>
                <w:szCs w:val="18"/>
              </w:rPr>
              <w:t>河南榕基信息技术有限公司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8,567,652.73</w:t>
            </w:r>
            <w:r>
              <w:rPr>
                <w:rFonts w:ascii="Times New Roman"/>
                <w:sz w:val="18"/>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
              <w:jc w:val="center"/>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7,296,700.26</w:t>
            </w:r>
            <w:r>
              <w:rPr>
                <w:rFonts w:ascii="Times New Roman"/>
                <w:sz w:val="18"/>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11.92%</w:t>
            </w:r>
            <w:r>
              <w:rPr>
                <w:rFonts w:ascii="Times New Roman"/>
                <w:sz w:val="18"/>
              </w:rPr>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北京中榕基信息技术有限公 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4,170,894.40</w:t>
            </w:r>
            <w:r>
              <w:rPr>
                <w:rFonts w:ascii="Times New Roman"/>
                <w:sz w:val="18"/>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6.81%</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马鞍山榕基软件信息科技有 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2,736,515.00</w:t>
            </w:r>
            <w:r>
              <w:rPr>
                <w:rFonts w:ascii="Times New Roman"/>
                <w:sz w:val="18"/>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4.47%</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43,904,734.46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71.72%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bookmarkStart w:name="（8）" w:id="495"/>
      <w:bookmarkEnd w:id="495"/>
      <w:r>
        <w:rPr/>
      </w:r>
      <w:r>
        <w:rPr/>
        <w:t>不符合终止确认条件的其他应收款项的转移金额为</w:t>
      </w:r>
      <w:r>
        <w:rPr>
          <w:spacing w:val="-45"/>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47"/>
        <w:jc w:val="left"/>
        <w:rPr>
          <w:b w:val="0"/>
          <w:bCs w:val="0"/>
        </w:rPr>
      </w:pPr>
      <w:r>
        <w:rPr/>
        <w:t>（</w:t>
      </w:r>
      <w:r>
        <w:rPr>
          <w:rFonts w:ascii="Times New Roman" w:hAnsi="Times New Roman" w:cs="Times New Roman" w:eastAsia="Times New Roman" w:hint="default"/>
        </w:rPr>
        <w:t>9</w:t>
      </w:r>
      <w:bookmarkStart w:name="（9）以其他应收款项为标的资产进行资产证券化的，需简要说明相关交易安排" w:id="496"/>
      <w:bookmarkEnd w:id="496"/>
      <w:r>
        <w:rPr>
          <w:rFonts w:ascii="Times New Roman" w:hAnsi="Times New Roman" w:cs="Times New Roman" w:eastAsia="Times New Roman" w:hint="default"/>
        </w:rPr>
      </w:r>
      <w:r>
        <w:rPr/>
        <w:t>）以其他应收款项为标的资产进行资产证券化的，需简要说明相关交易安排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BodyText"/>
        <w:spacing w:line="240" w:lineRule="auto" w:before="44"/>
        <w:ind w:left="0" w:right="153"/>
        <w:jc w:val="right"/>
      </w:pPr>
      <w:bookmarkStart w:name="3、长期股权投资" w:id="497"/>
      <w:bookmarkEnd w:id="497"/>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4"/>
        <w:gridCol w:w="797"/>
        <w:gridCol w:w="799"/>
        <w:gridCol w:w="797"/>
        <w:gridCol w:w="799"/>
        <w:gridCol w:w="977"/>
        <w:gridCol w:w="619"/>
        <w:gridCol w:w="797"/>
        <w:gridCol w:w="799"/>
        <w:gridCol w:w="797"/>
        <w:gridCol w:w="799"/>
        <w:gridCol w:w="797"/>
      </w:tblGrid>
      <w:tr>
        <w:trPr>
          <w:trHeight w:val="1963" w:hRule="exact"/>
        </w:trPr>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1"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9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2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5"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持股比 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福州创华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7,496,345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7,496,345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w:t>
            </w:r>
          </w:p>
        </w:tc>
        <w:tc>
          <w:tcPr>
            <w:tcW w:w="79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7,496,345.8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上海榕基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浙江榕基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北京五一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河南榕基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马鞍山榕 基公司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榕基软件 工程公司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北京中榕 基公司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福建榕基 投资公司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566,996,3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45.89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516,996,3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45.89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566,996,345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6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7"/>
        <w:jc w:val="left"/>
      </w:pPr>
      <w:r>
        <w:rPr/>
        <w:t>长期股权投资的说明</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147"/>
        <w:jc w:val="left"/>
      </w:pPr>
      <w:bookmarkStart w:name="（4）主营业务（分地区）" w:id="498"/>
      <w:bookmarkEnd w:id="498"/>
      <w:r>
        <w:rPr/>
      </w: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4</w:t>
      </w:r>
      <w:bookmarkStart w:name="4、营业收入和营业成本" w:id="499"/>
      <w:bookmarkEnd w:id="499"/>
      <w:r>
        <w:rPr>
          <w:rFonts w:ascii="Times New Roman" w:hAnsi="Times New Roman" w:cs="Times New Roman" w:eastAsia="Times New Roman" w:hint="default"/>
        </w:rPr>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1）营业收入" w:id="500"/>
      <w:bookmarkEnd w:id="500"/>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7"/>
        <w:gridCol w:w="3588"/>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453,765,738.70</w:t>
            </w:r>
            <w:r>
              <w:rPr>
                <w:rFonts w:ascii="Times New Roman"/>
                <w:sz w:val="18"/>
              </w:rPr>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410,632,426.84</w:t>
            </w:r>
            <w:r>
              <w:rPr>
                <w:rFonts w:ascii="Times New Roman"/>
                <w:sz w:val="18"/>
              </w:rPr>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453,765,738.70</w:t>
            </w:r>
            <w:r>
              <w:rPr>
                <w:rFonts w:ascii="Times New Roman"/>
                <w:sz w:val="18"/>
              </w:rPr>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410,632,426.84</w:t>
            </w:r>
            <w:r>
              <w:rPr>
                <w:rFonts w:ascii="Times New Roman"/>
                <w:sz w:val="18"/>
              </w:rPr>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297,705,516.32</w:t>
            </w:r>
            <w:r>
              <w:rPr>
                <w:rFonts w:ascii="Times New Roman"/>
                <w:sz w:val="18"/>
              </w:rPr>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230,529,899.54</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2）主营业务（分行业）" w:id="501"/>
      <w:bookmarkEnd w:id="501"/>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4D4D4"/>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软件行业</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453,765,738.70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297,705,516.32</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410,632,426.84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230,529,899.54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453,765,738.70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297,705,516.32</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410,632,426.84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230,529,899.54</w:t>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主营业务（分产品）" w:id="502"/>
      <w:bookmarkEnd w:id="502"/>
      <w:r>
        <w:rPr/>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4D4D4"/>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283,780,306.71</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243,958,348.04</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240,555,345.51</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209,552,307.09</w:t>
            </w:r>
            <w:r>
              <w:rPr>
                <w:rFonts w:ascii="Times New Roman"/>
                <w:sz w:val="18"/>
              </w:rPr>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软件产品及服务收入</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169,985,431.99</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53,747,168.28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170,077,081.33</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20,977,592.45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453,765,738.70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297,705,516.32</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410,632,426.84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230,529,899.54</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4D4D4"/>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92,485,829.06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73,705,587.99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114,997,724.46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79,860,820.52</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77,746,846.43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48,127,651.50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72,203,082.68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31,602,014.89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192,043,694.08</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118,243,919.33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144,040,176.12</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76,076,463.41</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42,995,908.38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26,120,143.88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52,337,170.08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29,739,733.11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48,493,460.75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31,508,213.62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27,054,273.50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13,250,867.61</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453,765,738.70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297,705,516.32</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410,632,426.84</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230,529,899.54</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bookmarkStart w:name="6、现金流量表补充资料" w:id="503"/>
      <w:bookmarkEnd w:id="503"/>
      <w:r>
        <w:rPr>
          <w:b w:val="0"/>
          <w:bCs w:val="0"/>
        </w:rPr>
      </w:r>
      <w:r>
        <w:rPr/>
        <w:t>（</w:t>
      </w:r>
      <w:r>
        <w:rPr>
          <w:rFonts w:ascii="Times New Roman" w:hAnsi="Times New Roman" w:cs="Times New Roman" w:eastAsia="Times New Roman" w:hint="default"/>
        </w:rPr>
        <w:t>5</w:t>
      </w:r>
      <w:bookmarkStart w:name="（5）公司前五名客户的营业收入情况" w:id="504"/>
      <w:bookmarkEnd w:id="504"/>
      <w:r>
        <w:rPr>
          <w:rFonts w:ascii="Times New Roman" w:hAnsi="Times New Roman" w:cs="Times New Roman" w:eastAsia="Times New Roman" w:hint="default"/>
        </w:rPr>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2921"/>
        <w:gridCol w:w="1865"/>
      </w:tblGrid>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62,512,335.04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13.78%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32,223,072.65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7.1%</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18,700,020.51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17,178,324.79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3.79%</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16,068,376.07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146,682,129.06</w:t>
            </w:r>
            <w:r>
              <w:rPr>
                <w:rFonts w:ascii="Times New Roman"/>
                <w:sz w:val="18"/>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32.33%</w:t>
            </w:r>
          </w:p>
        </w:tc>
      </w:tr>
    </w:tbl>
    <w:p>
      <w:pPr>
        <w:pStyle w:val="BodyText"/>
        <w:spacing w:line="357" w:lineRule="auto" w:before="49"/>
        <w:ind w:right="8514"/>
        <w:jc w:val="left"/>
      </w:pPr>
      <w:r>
        <w:rPr/>
        <w:t>营业收入的说明 无。</w:t>
      </w:r>
    </w:p>
    <w:p>
      <w:pPr>
        <w:spacing w:line="240" w:lineRule="auto" w:before="6"/>
        <w:rPr>
          <w:rFonts w:ascii="宋体" w:hAnsi="宋体" w:cs="宋体" w:eastAsia="宋体" w:hint="default"/>
          <w:sz w:val="20"/>
          <w:szCs w:val="20"/>
        </w:rPr>
      </w:pPr>
    </w:p>
    <w:p>
      <w:pPr>
        <w:pStyle w:val="Heading3"/>
        <w:spacing w:line="240" w:lineRule="auto"/>
        <w:ind w:right="147"/>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7"/>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7"/>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5、投资收益" w:id="505"/>
      <w:bookmarkEnd w:id="505"/>
      <w:r>
        <w:rPr/>
      </w:r>
      <w:bookmarkStart w:name="（1）投资收益明细" w:id="506"/>
      <w:bookmarkEnd w:id="506"/>
      <w:r>
        <w:rPr/>
      </w:r>
      <w:bookmarkStart w:name="（2）按成本法核算的长期股权投资收益" w:id="507"/>
      <w:bookmarkEnd w:id="507"/>
      <w:r>
        <w:rPr/>
      </w:r>
      <w:bookmarkStart w:name="（3）按权益法核算的长期股权投资收益" w:id="508"/>
      <w:bookmarkEnd w:id="508"/>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0"/>
        <w:gridCol w:w="2269"/>
        <w:gridCol w:w="2258"/>
      </w:tblGrid>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89,015,350.48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119,787,796.51</w:t>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-210,049.17</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2,227,209.87</w:t>
            </w:r>
            <w:r>
              <w:rPr>
                <w:rFonts w:ascii="Times New Roman"/>
                <w:sz w:val="18"/>
              </w:rPr>
            </w: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7,904,074.61</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5,965,292.84</w:t>
            </w:r>
            <w:r>
              <w:rPr>
                <w:rFonts w:ascii="Times New Roman"/>
                <w:sz w:val="18"/>
              </w:rPr>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11,686,422.10</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5,597,351.78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040"/>
        <w:gridCol w:w="2269"/>
        <w:gridCol w:w="2258"/>
      </w:tblGrid>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227,523.61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20,991.60</w:t>
            </w:r>
          </w:p>
        </w:tc>
      </w:tr>
      <w:tr>
        <w:trPr>
          <w:trHeight w:val="714"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0"/>
              <w:ind w:left="2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723,850.49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44,995.30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-8,143,068.22</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-13,638,309.54</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-361,197.90</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-102,441.27</w:t>
            </w:r>
            <w:r>
              <w:rPr>
                <w:rFonts w:ascii="Times New Roman"/>
                <w:sz w:val="18"/>
              </w:rPr>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-120,680.49</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-120,680.49</w:t>
            </w:r>
            <w:r>
              <w:rPr>
                <w:rFonts w:ascii="Times New Roman"/>
                <w:sz w:val="18"/>
              </w:rPr>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-35,977,997.58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-26,199,798.77</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-86,203,805.20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-5,637,443.56</w:t>
            </w:r>
            <w:r>
              <w:rPr>
                <w:rFonts w:ascii="Times New Roman"/>
                <w:sz w:val="18"/>
              </w:rPr>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94,917,681.69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770,558.84</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73,458,104.42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88,715,523.11</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076" w:right="0"/>
              <w:jc w:val="left"/>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06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76" w:right="0"/>
              <w:jc w:val="left"/>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6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501,049,680.93</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476,845,272.96</w:t>
            </w:r>
            <w:r>
              <w:rPr>
                <w:rFonts w:ascii="Times New Roman"/>
                <w:sz w:val="18"/>
              </w:rPr>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476,845,272.96</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320,671,531.37</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bookmarkStart w:name="2、公司主要会计报表项目的异常情况及原因的说明" w:id="509"/>
      <w:bookmarkEnd w:id="509"/>
      <w:r>
        <w:rPr>
          <w:b w:val="0"/>
          <w:bCs w:val="0"/>
        </w:rPr>
      </w: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7"/>
        <w:jc w:val="left"/>
      </w:pPr>
      <w:r>
        <w:rPr/>
        <w:t>无。</w:t>
      </w:r>
    </w:p>
    <w:p>
      <w:pPr>
        <w:spacing w:line="240" w:lineRule="auto" w:before="3"/>
        <w:rPr>
          <w:rFonts w:ascii="宋体" w:hAnsi="宋体" w:cs="宋体" w:eastAsia="宋体" w:hint="default"/>
          <w:sz w:val="25"/>
          <w:szCs w:val="25"/>
        </w:rPr>
      </w:pPr>
    </w:p>
    <w:p>
      <w:pPr>
        <w:pStyle w:val="Heading2"/>
        <w:spacing w:line="240" w:lineRule="auto"/>
        <w:ind w:right="147"/>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7"/>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7、反向购买下以评估值入账的资产、负债情况" w:id="510"/>
      <w:bookmarkEnd w:id="510"/>
      <w:r>
        <w:rPr/>
      </w:r>
      <w:bookmarkStart w:name="十六、补充资料" w:id="511"/>
      <w:bookmarkEnd w:id="511"/>
      <w:r>
        <w:rPr/>
      </w:r>
      <w:bookmarkStart w:name="1、净资产收益率及每股收益" w:id="512"/>
      <w:bookmarkEnd w:id="512"/>
      <w:r>
        <w:rPr/>
      </w:r>
      <w:r>
        <w:rPr/>
        <w:t>单位：</w:t>
      </w:r>
      <w:r>
        <w:rPr>
          <w:spacing w:val="1"/>
        </w:rPr>
        <w:t> </w:t>
      </w:r>
      <w:r>
        <w:rPr/>
        <w:t>元</w:t>
      </w: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8"/>
        <w:gridCol w:w="2177"/>
        <w:gridCol w:w="1915"/>
        <w:gridCol w:w="1937"/>
      </w:tblGrid>
      <w:tr>
        <w:trPr>
          <w:trHeight w:val="184" w:hRule="exact"/>
        </w:trPr>
        <w:tc>
          <w:tcPr>
            <w:tcW w:w="3528" w:type="dxa"/>
            <w:tcBorders>
              <w:top w:val="single" w:sz="4" w:space="0" w:color="000000"/>
              <w:left w:val="single" w:sz="4" w:space="0" w:color="000000"/>
              <w:bottom w:val="nil" w:sz="6" w:space="0" w:color="auto"/>
              <w:right w:val="single" w:sz="4" w:space="0" w:color="000000"/>
            </w:tcBorders>
            <w:shd w:val="clear" w:color="auto" w:fill="D4D4D4"/>
          </w:tcPr>
          <w:p>
            <w:pPr/>
          </w:p>
        </w:tc>
        <w:tc>
          <w:tcPr>
            <w:tcW w:w="217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6"/>
              <w:ind w:left="2"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2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4D4D4"/>
          </w:tcPr>
          <w:p>
            <w:pPr/>
          </w:p>
        </w:tc>
        <w:tc>
          <w:tcPr>
            <w:tcW w:w="3852"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3528" w:type="dxa"/>
            <w:vMerge/>
            <w:tcBorders>
              <w:left w:val="single" w:sz="4" w:space="0" w:color="000000"/>
              <w:bottom w:val="nil" w:sz="6" w:space="0" w:color="auto"/>
              <w:right w:val="single" w:sz="4" w:space="0" w:color="000000"/>
            </w:tcBorders>
            <w:shd w:val="clear" w:color="auto" w:fill="D4D4D4"/>
          </w:tcPr>
          <w:p>
            <w:pPr/>
          </w:p>
        </w:tc>
        <w:tc>
          <w:tcPr>
            <w:tcW w:w="2177" w:type="dxa"/>
            <w:vMerge/>
            <w:tcBorders>
              <w:left w:val="single" w:sz="4" w:space="0" w:color="000000"/>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8" w:type="dxa"/>
            <w:tcBorders>
              <w:top w:val="nil" w:sz="6" w:space="0" w:color="auto"/>
              <w:left w:val="single" w:sz="4" w:space="0" w:color="000000"/>
              <w:bottom w:val="single" w:sz="4" w:space="0" w:color="000000"/>
              <w:right w:val="single" w:sz="4" w:space="0" w:color="000000"/>
            </w:tcBorders>
            <w:shd w:val="clear" w:color="auto" w:fill="D4D4D4"/>
          </w:tcPr>
          <w:p>
            <w:pPr/>
          </w:p>
        </w:tc>
        <w:tc>
          <w:tcPr>
            <w:tcW w:w="2177"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37" w:type="dxa"/>
            <w:vMerge/>
            <w:tcBorders>
              <w:left w:val="single" w:sz="4" w:space="0" w:color="000000"/>
              <w:bottom w:val="single" w:sz="4" w:space="0" w:color="000000"/>
              <w:right w:val="single" w:sz="4" w:space="0" w:color="000000"/>
            </w:tcBorders>
            <w:shd w:val="clear" w:color="auto" w:fill="D4D4D4"/>
          </w:tcPr>
          <w:p>
            <w:pPr/>
          </w:p>
        </w:tc>
      </w:tr>
      <w:tr>
        <w:trPr>
          <w:trHeight w:val="424" w:hRule="exact"/>
        </w:trPr>
        <w:tc>
          <w:tcPr>
            <w:tcW w:w="3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4D4D4"/>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z w:val="18"/>
              </w:rPr>
              <w:t>0.6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
              <w:jc w:val="right"/>
              <w:rPr>
                <w:rFonts w:ascii="Times New Roman" w:hAnsi="Times New Roman" w:cs="Times New Roman" w:eastAsia="Times New Roman" w:hint="default"/>
                <w:sz w:val="18"/>
                <w:szCs w:val="18"/>
              </w:rPr>
            </w:pPr>
            <w:r>
              <w:rPr>
                <w:rFonts w:ascii="Times New Roman"/>
                <w:sz w:val="18"/>
              </w:rPr>
              <w:t>0.6</w:t>
            </w:r>
          </w:p>
        </w:tc>
      </w:tr>
      <w:tr>
        <w:trPr>
          <w:trHeight w:val="715" w:hRule="exact"/>
        </w:trPr>
        <w:tc>
          <w:tcPr>
            <w:tcW w:w="3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0.58</w:t>
            </w:r>
            <w:r>
              <w:rPr>
                <w:rFonts w:ascii="Times New Roman"/>
                <w:sz w:val="18"/>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0.58</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47"/>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7"/>
        <w:jc w:val="left"/>
      </w:pPr>
      <w:r>
        <w:rPr/>
        <w:t>一、资产负债表项目：</w:t>
      </w:r>
    </w:p>
    <w:p>
      <w:pPr>
        <w:pStyle w:val="BodyText"/>
        <w:spacing w:line="240" w:lineRule="auto" w:before="115"/>
        <w:ind w:right="147"/>
        <w:jc w:val="left"/>
      </w:pPr>
      <w:r>
        <w:rPr>
          <w:rFonts w:ascii="Times New Roman" w:hAnsi="Times New Roman" w:cs="Times New Roman" w:eastAsia="Times New Roman" w:hint="default"/>
        </w:rPr>
        <w:t>1</w:t>
      </w:r>
      <w:r>
        <w:rPr/>
        <w:t>、应收票据比上年期末增加</w:t>
      </w:r>
      <w:r>
        <w:rPr>
          <w:rFonts w:ascii="Times New Roman" w:hAnsi="Times New Roman" w:cs="Times New Roman" w:eastAsia="Times New Roman" w:hint="default"/>
        </w:rPr>
        <w:t>1505.67%</w:t>
      </w:r>
      <w:r>
        <w:rPr/>
        <w:t>，主要是报告期票据方式结算量增加所致。</w:t>
      </w:r>
    </w:p>
    <w:p>
      <w:pPr>
        <w:pStyle w:val="BodyText"/>
        <w:spacing w:line="240" w:lineRule="auto" w:before="103"/>
        <w:ind w:right="147"/>
        <w:jc w:val="left"/>
      </w:pPr>
      <w:r>
        <w:rPr>
          <w:rFonts w:ascii="Times New Roman" w:hAnsi="Times New Roman" w:cs="Times New Roman" w:eastAsia="Times New Roman" w:hint="default"/>
        </w:rPr>
        <w:t>2</w:t>
      </w:r>
      <w:r>
        <w:rPr/>
        <w:t>、预付账款比上年期末增加</w:t>
      </w:r>
      <w:r>
        <w:rPr>
          <w:rFonts w:ascii="Times New Roman" w:hAnsi="Times New Roman" w:cs="Times New Roman" w:eastAsia="Times New Roman" w:hint="default"/>
        </w:rPr>
        <w:t>476.93%</w:t>
      </w:r>
      <w:r>
        <w:rPr/>
        <w:t>，主要是报告期预付供应商款项及预付土地款增加所致。</w:t>
      </w:r>
    </w:p>
    <w:p>
      <w:pPr>
        <w:pStyle w:val="BodyText"/>
        <w:spacing w:line="240" w:lineRule="auto" w:before="103"/>
        <w:ind w:right="147"/>
        <w:jc w:val="left"/>
      </w:pPr>
      <w:r>
        <w:rPr>
          <w:rFonts w:ascii="Times New Roman" w:hAnsi="Times New Roman" w:cs="Times New Roman" w:eastAsia="Times New Roman" w:hint="default"/>
        </w:rPr>
        <w:t>3</w:t>
      </w:r>
      <w:r>
        <w:rPr/>
        <w:t>、应收利息比上年期末增加</w:t>
      </w:r>
      <w:r>
        <w:rPr>
          <w:rFonts w:ascii="Times New Roman" w:hAnsi="Times New Roman" w:cs="Times New Roman" w:eastAsia="Times New Roman" w:hint="default"/>
        </w:rPr>
        <w:t>3866.46%</w:t>
      </w:r>
      <w:r>
        <w:rPr/>
        <w:t>，主要是报告期计提定期存款利息所致。</w:t>
      </w:r>
    </w:p>
    <w:p>
      <w:pPr>
        <w:pStyle w:val="BodyText"/>
        <w:spacing w:line="240" w:lineRule="auto" w:before="101"/>
        <w:ind w:right="147"/>
        <w:jc w:val="left"/>
      </w:pPr>
      <w:r>
        <w:rPr>
          <w:rFonts w:ascii="Times New Roman" w:hAnsi="Times New Roman" w:cs="Times New Roman" w:eastAsia="Times New Roman" w:hint="default"/>
        </w:rPr>
        <w:t>4</w:t>
      </w:r>
      <w:r>
        <w:rPr/>
        <w:t>、其他应收款比上年期末增加</w:t>
      </w:r>
      <w:r>
        <w:rPr>
          <w:rFonts w:ascii="Times New Roman" w:hAnsi="Times New Roman" w:cs="Times New Roman" w:eastAsia="Times New Roman" w:hint="default"/>
        </w:rPr>
        <w:t>61.50%</w:t>
      </w:r>
      <w:r>
        <w:rPr/>
        <w:t>，主要是报告期质保金等款项增加所致。</w:t>
      </w:r>
    </w:p>
    <w:p>
      <w:pPr>
        <w:pStyle w:val="BodyText"/>
        <w:spacing w:line="240" w:lineRule="auto" w:before="103"/>
        <w:ind w:right="147"/>
        <w:jc w:val="left"/>
      </w:pPr>
      <w:r>
        <w:rPr>
          <w:rFonts w:ascii="Times New Roman" w:hAnsi="Times New Roman" w:cs="Times New Roman" w:eastAsia="Times New Roman" w:hint="default"/>
        </w:rPr>
        <w:t>5</w:t>
      </w:r>
      <w:r>
        <w:rPr/>
        <w:t>、存货比上年期末增加</w:t>
      </w:r>
      <w:r>
        <w:rPr>
          <w:rFonts w:ascii="Times New Roman" w:hAnsi="Times New Roman" w:cs="Times New Roman" w:eastAsia="Times New Roman" w:hint="default"/>
        </w:rPr>
        <w:t>92.30%</w:t>
      </w:r>
      <w:r>
        <w:rPr/>
        <w:t>，主要是报告期项目总额增加，未完工项目增加及开发成本增加所致。</w:t>
      </w:r>
    </w:p>
    <w:p>
      <w:pPr>
        <w:pStyle w:val="BodyText"/>
        <w:spacing w:line="240" w:lineRule="auto" w:before="103"/>
        <w:ind w:right="147"/>
        <w:jc w:val="left"/>
      </w:pPr>
      <w:r>
        <w:rPr>
          <w:rFonts w:ascii="Times New Roman" w:hAnsi="Times New Roman" w:cs="Times New Roman" w:eastAsia="Times New Roman" w:hint="default"/>
        </w:rPr>
        <w:t>6</w:t>
      </w:r>
      <w:r>
        <w:rPr/>
        <w:t>、其他流动资产比上年期末增加</w:t>
      </w:r>
      <w:r>
        <w:rPr>
          <w:rFonts w:ascii="Times New Roman" w:hAnsi="Times New Roman" w:cs="Times New Roman" w:eastAsia="Times New Roman" w:hint="default"/>
        </w:rPr>
        <w:t>534.07</w:t>
      </w:r>
      <w:r>
        <w:rPr/>
        <w:t>万元，主要是本年预交的增值税和企业所得税增加所致。</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147"/>
        <w:jc w:val="left"/>
      </w:pPr>
      <w:r>
        <w:rPr>
          <w:rFonts w:ascii="Times New Roman" w:hAnsi="Times New Roman" w:cs="Times New Roman" w:eastAsia="Times New Roman" w:hint="default"/>
        </w:rPr>
        <w:t>7</w:t>
      </w:r>
      <w:r>
        <w:rPr/>
        <w:t>、在建工程比上年期末减少</w:t>
      </w:r>
      <w:r>
        <w:rPr>
          <w:rFonts w:ascii="Times New Roman" w:hAnsi="Times New Roman" w:cs="Times New Roman" w:eastAsia="Times New Roman" w:hint="default"/>
        </w:rPr>
        <w:t>100%</w:t>
      </w:r>
      <w:r>
        <w:rPr/>
        <w:t>，主要是完工结转所致。</w:t>
      </w:r>
    </w:p>
    <w:p>
      <w:pPr>
        <w:pStyle w:val="BodyText"/>
        <w:spacing w:line="240" w:lineRule="auto" w:before="103"/>
        <w:ind w:right="147"/>
        <w:jc w:val="left"/>
      </w:pPr>
      <w:r>
        <w:rPr>
          <w:rFonts w:ascii="Times New Roman" w:hAnsi="Times New Roman" w:cs="Times New Roman" w:eastAsia="Times New Roman" w:hint="default"/>
        </w:rPr>
        <w:t>8</w:t>
      </w:r>
      <w:r>
        <w:rPr/>
        <w:t>、无形资产比上年期末减少</w:t>
      </w:r>
      <w:r>
        <w:rPr>
          <w:rFonts w:ascii="Times New Roman" w:hAnsi="Times New Roman" w:cs="Times New Roman" w:eastAsia="Times New Roman" w:hint="default"/>
        </w:rPr>
        <w:t>32.99%</w:t>
      </w:r>
      <w:r>
        <w:rPr/>
        <w:t>，主要是报告期摊销及将土地转入存货</w:t>
      </w:r>
      <w:r>
        <w:rPr>
          <w:rFonts w:ascii="Times New Roman" w:hAnsi="Times New Roman" w:cs="Times New Roman" w:eastAsia="Times New Roman" w:hint="default"/>
        </w:rPr>
        <w:t>-</w:t>
      </w:r>
      <w:r>
        <w:rPr/>
        <w:t>开发成本所致。</w:t>
      </w:r>
    </w:p>
    <w:p>
      <w:pPr>
        <w:pStyle w:val="BodyText"/>
        <w:spacing w:line="240" w:lineRule="auto" w:before="101"/>
        <w:ind w:right="147"/>
        <w:jc w:val="left"/>
      </w:pPr>
      <w:r>
        <w:rPr>
          <w:rFonts w:ascii="Times New Roman" w:hAnsi="Times New Roman" w:cs="Times New Roman" w:eastAsia="Times New Roman" w:hint="default"/>
        </w:rPr>
        <w:t>9</w:t>
      </w:r>
      <w:r>
        <w:rPr/>
        <w:t>、长期待摊费用比上年期末增加</w:t>
      </w:r>
      <w:r>
        <w:rPr>
          <w:rFonts w:ascii="Times New Roman" w:hAnsi="Times New Roman" w:cs="Times New Roman" w:eastAsia="Times New Roman" w:hint="default"/>
        </w:rPr>
        <w:t>77.84</w:t>
      </w:r>
      <w:r>
        <w:rPr/>
        <w:t>万元，主要是报告期新增装修费用所致。</w:t>
      </w:r>
    </w:p>
    <w:p>
      <w:pPr>
        <w:pStyle w:val="BodyText"/>
        <w:spacing w:line="240" w:lineRule="auto" w:before="103"/>
        <w:ind w:right="147"/>
        <w:jc w:val="left"/>
      </w:pPr>
      <w:r>
        <w:rPr>
          <w:rFonts w:ascii="Times New Roman" w:hAnsi="Times New Roman" w:cs="Times New Roman" w:eastAsia="Times New Roman" w:hint="default"/>
        </w:rPr>
        <w:t>10</w:t>
      </w:r>
      <w:r>
        <w:rPr/>
        <w:t>、递延所得税资产比上年期末增加</w:t>
      </w:r>
      <w:r>
        <w:rPr>
          <w:rFonts w:ascii="Times New Roman" w:hAnsi="Times New Roman" w:cs="Times New Roman" w:eastAsia="Times New Roman" w:hint="default"/>
        </w:rPr>
        <w:t>36.68%</w:t>
      </w:r>
      <w:r>
        <w:rPr/>
        <w:t>，主要是报告期子公司累计未弥补亏损增加所致。</w:t>
      </w:r>
    </w:p>
    <w:p>
      <w:pPr>
        <w:pStyle w:val="BodyText"/>
        <w:spacing w:line="240" w:lineRule="auto" w:before="103"/>
        <w:ind w:right="147"/>
        <w:jc w:val="left"/>
      </w:pPr>
      <w:r>
        <w:rPr>
          <w:rFonts w:ascii="Times New Roman" w:hAnsi="Times New Roman" w:cs="Times New Roman" w:eastAsia="Times New Roman" w:hint="default"/>
        </w:rPr>
        <w:t>11</w:t>
      </w:r>
      <w:r>
        <w:rPr/>
        <w:t>、预收款项比上年期末增加</w:t>
      </w:r>
      <w:r>
        <w:rPr>
          <w:rFonts w:ascii="Times New Roman" w:hAnsi="Times New Roman" w:cs="Times New Roman" w:eastAsia="Times New Roman" w:hint="default"/>
        </w:rPr>
        <w:t>325.07%</w:t>
      </w:r>
      <w:r>
        <w:rPr/>
        <w:t>，主要是报告期预收到部分客户收入款项所致。</w:t>
      </w:r>
    </w:p>
    <w:p>
      <w:pPr>
        <w:pStyle w:val="BodyText"/>
        <w:spacing w:line="240" w:lineRule="auto" w:before="101"/>
        <w:ind w:right="147"/>
        <w:jc w:val="left"/>
      </w:pPr>
      <w:r>
        <w:rPr>
          <w:rFonts w:ascii="Times New Roman" w:hAnsi="Times New Roman" w:cs="Times New Roman" w:eastAsia="Times New Roman" w:hint="default"/>
        </w:rPr>
        <w:t>12</w:t>
      </w:r>
      <w:r>
        <w:rPr/>
        <w:t>、应交税费比上年期末减少</w:t>
      </w:r>
      <w:r>
        <w:rPr>
          <w:rFonts w:ascii="Times New Roman" w:hAnsi="Times New Roman" w:cs="Times New Roman" w:eastAsia="Times New Roman" w:hint="default"/>
        </w:rPr>
        <w:t>102.53%</w:t>
      </w:r>
      <w:r>
        <w:rPr/>
        <w:t>，主要是上年度汇算的企业所得税按</w:t>
      </w:r>
      <w:r>
        <w:rPr>
          <w:rFonts w:ascii="宋体" w:hAnsi="宋体" w:cs="宋体" w:eastAsia="宋体" w:hint="default"/>
        </w:rPr>
        <w:t>15%</w:t>
      </w:r>
      <w:r>
        <w:rPr/>
        <w:t>的税率在本年缴纳所致。</w:t>
      </w:r>
    </w:p>
    <w:p>
      <w:pPr>
        <w:pStyle w:val="BodyText"/>
        <w:spacing w:line="240" w:lineRule="auto" w:before="103"/>
        <w:ind w:right="147"/>
        <w:jc w:val="left"/>
      </w:pPr>
      <w:r>
        <w:rPr>
          <w:rFonts w:ascii="Times New Roman" w:hAnsi="Times New Roman" w:cs="Times New Roman" w:eastAsia="Times New Roman" w:hint="default"/>
        </w:rPr>
        <w:t>13</w:t>
      </w:r>
      <w:r>
        <w:rPr/>
        <w:t>、其他流动负债比上年期末增加</w:t>
      </w:r>
      <w:r>
        <w:rPr>
          <w:rFonts w:ascii="Times New Roman" w:hAnsi="Times New Roman" w:cs="Times New Roman" w:eastAsia="Times New Roman" w:hint="default"/>
        </w:rPr>
        <w:t>66.22%</w:t>
      </w:r>
      <w:r>
        <w:rPr/>
        <w:t>，主要是报告期收到的政府补助增加所致。</w:t>
      </w:r>
    </w:p>
    <w:p>
      <w:pPr>
        <w:pStyle w:val="BodyText"/>
        <w:spacing w:line="240" w:lineRule="auto" w:before="103"/>
        <w:ind w:right="147"/>
        <w:jc w:val="left"/>
      </w:pPr>
      <w:r>
        <w:rPr>
          <w:rFonts w:ascii="Times New Roman" w:hAnsi="Times New Roman" w:cs="Times New Roman" w:eastAsia="Times New Roman" w:hint="default"/>
        </w:rPr>
        <w:t>14</w:t>
      </w:r>
      <w:r>
        <w:rPr/>
        <w:t>、递延所得税负债比上年期末减少</w:t>
      </w:r>
      <w:r>
        <w:rPr>
          <w:rFonts w:ascii="Times New Roman" w:hAnsi="Times New Roman" w:cs="Times New Roman" w:eastAsia="Times New Roman" w:hint="default"/>
        </w:rPr>
        <w:t>79.64%</w:t>
      </w:r>
      <w:r>
        <w:rPr/>
        <w:t>，主要是报告期对形成递延税款的开发支出进行摊销所致。</w:t>
      </w:r>
    </w:p>
    <w:p>
      <w:pPr>
        <w:pStyle w:val="BodyText"/>
        <w:spacing w:line="240" w:lineRule="auto" w:before="101"/>
        <w:ind w:right="147"/>
        <w:jc w:val="left"/>
      </w:pPr>
      <w:r>
        <w:rPr>
          <w:rFonts w:ascii="Times New Roman" w:hAnsi="Times New Roman" w:cs="Times New Roman" w:eastAsia="Times New Roman" w:hint="default"/>
        </w:rPr>
        <w:t>15</w:t>
      </w:r>
      <w:r>
        <w:rPr/>
        <w:t>、其他非流动负债比上年期末增加</w:t>
      </w:r>
      <w:r>
        <w:rPr>
          <w:rFonts w:ascii="Times New Roman" w:hAnsi="Times New Roman" w:cs="Times New Roman" w:eastAsia="Times New Roman" w:hint="default"/>
        </w:rPr>
        <w:t>2924.65%</w:t>
      </w:r>
      <w:r>
        <w:rPr/>
        <w:t>，主要是报告期收到的政府补助增加所致。</w:t>
      </w:r>
    </w:p>
    <w:p>
      <w:pPr>
        <w:pStyle w:val="BodyText"/>
        <w:spacing w:line="240" w:lineRule="auto" w:before="103"/>
        <w:ind w:right="147"/>
        <w:jc w:val="left"/>
      </w:pPr>
      <w:r>
        <w:rPr>
          <w:rFonts w:ascii="Times New Roman" w:hAnsi="Times New Roman" w:cs="Times New Roman" w:eastAsia="Times New Roman" w:hint="default"/>
        </w:rPr>
        <w:t>16</w:t>
      </w:r>
      <w:r>
        <w:rPr/>
        <w:t>、股本比上年期末增加</w:t>
      </w:r>
      <w:r>
        <w:rPr>
          <w:rFonts w:ascii="Times New Roman" w:hAnsi="Times New Roman" w:cs="Times New Roman" w:eastAsia="Times New Roman" w:hint="default"/>
        </w:rPr>
        <w:t>100.00%</w:t>
      </w:r>
      <w:r>
        <w:rPr/>
        <w:t>，主要是报告期资本公积转增股本所致。</w:t>
      </w:r>
    </w:p>
    <w:p>
      <w:pPr>
        <w:pStyle w:val="BodyText"/>
        <w:spacing w:line="240" w:lineRule="auto" w:before="103"/>
        <w:ind w:right="147"/>
        <w:jc w:val="left"/>
      </w:pPr>
      <w:r>
        <w:rPr>
          <w:rFonts w:ascii="Times New Roman" w:hAnsi="Times New Roman" w:cs="Times New Roman" w:eastAsia="Times New Roman" w:hint="default"/>
        </w:rPr>
        <w:t>17</w:t>
      </w:r>
      <w:r>
        <w:rPr/>
        <w:t>、盈余公积比上年期末增加</w:t>
      </w:r>
      <w:r>
        <w:rPr>
          <w:rFonts w:ascii="Times New Roman" w:hAnsi="Times New Roman" w:cs="Times New Roman" w:eastAsia="Times New Roman" w:hint="default"/>
        </w:rPr>
        <w:t>30.47%</w:t>
      </w:r>
      <w:r>
        <w:rPr/>
        <w:t>，主要是报告期按规定计提法定公积金所致。</w:t>
      </w:r>
    </w:p>
    <w:p>
      <w:pPr>
        <w:pStyle w:val="BodyText"/>
        <w:spacing w:line="240" w:lineRule="auto" w:before="101"/>
        <w:ind w:right="147"/>
        <w:jc w:val="left"/>
      </w:pPr>
      <w:r>
        <w:rPr>
          <w:rFonts w:ascii="Times New Roman" w:hAnsi="Times New Roman" w:cs="Times New Roman" w:eastAsia="Times New Roman" w:hint="default"/>
        </w:rPr>
        <w:t>18</w:t>
      </w:r>
      <w:r>
        <w:rPr/>
        <w:t>、少数股东权益比上年期末减少</w:t>
      </w:r>
      <w:r>
        <w:rPr>
          <w:rFonts w:ascii="Times New Roman" w:hAnsi="Times New Roman" w:cs="Times New Roman" w:eastAsia="Times New Roman" w:hint="default"/>
        </w:rPr>
        <w:t>116.13%</w:t>
      </w:r>
      <w:r>
        <w:rPr/>
        <w:t>，主要是报告期未完全控股的公司亏损所致。</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147"/>
        <w:jc w:val="left"/>
      </w:pPr>
      <w:r>
        <w:rPr/>
        <w:t>二、利润表项目：</w:t>
      </w:r>
    </w:p>
    <w:p>
      <w:pPr>
        <w:pStyle w:val="BodyText"/>
        <w:spacing w:line="240" w:lineRule="auto" w:before="115"/>
        <w:ind w:right="147"/>
        <w:jc w:val="left"/>
      </w:pPr>
      <w:r>
        <w:rPr>
          <w:rFonts w:ascii="Times New Roman" w:hAnsi="Times New Roman" w:cs="Times New Roman" w:eastAsia="Times New Roman" w:hint="default"/>
        </w:rPr>
        <w:t>1</w:t>
      </w:r>
      <w:r>
        <w:rPr/>
        <w:t>、营业收入较上年同期增长</w:t>
      </w:r>
      <w:r>
        <w:rPr>
          <w:rFonts w:ascii="Times New Roman" w:hAnsi="Times New Roman" w:cs="Times New Roman" w:eastAsia="Times New Roman" w:hint="default"/>
        </w:rPr>
        <w:t>31.27%</w:t>
      </w:r>
      <w:r>
        <w:rPr/>
        <w:t>，主要是公司加强市场开拓，产品收入得到稳步增长。</w:t>
      </w:r>
    </w:p>
    <w:p>
      <w:pPr>
        <w:pStyle w:val="BodyText"/>
        <w:spacing w:line="240" w:lineRule="auto" w:before="103"/>
        <w:ind w:right="147"/>
        <w:jc w:val="left"/>
      </w:pPr>
      <w:r>
        <w:rPr>
          <w:rFonts w:ascii="Times New Roman" w:hAnsi="Times New Roman" w:cs="Times New Roman" w:eastAsia="Times New Roman" w:hint="default"/>
        </w:rPr>
        <w:t>2</w:t>
      </w:r>
      <w:r>
        <w:rPr/>
        <w:t>、营业成本较上年同期分别增长</w:t>
      </w:r>
      <w:r>
        <w:rPr>
          <w:rFonts w:ascii="Times New Roman" w:hAnsi="Times New Roman" w:cs="Times New Roman" w:eastAsia="Times New Roman" w:hint="default"/>
        </w:rPr>
        <w:t>45.14%</w:t>
      </w:r>
      <w:r>
        <w:rPr/>
        <w:t>，主要是报告期收入较上年同期增长，成本相应增加。</w:t>
      </w:r>
    </w:p>
    <w:p>
      <w:pPr>
        <w:pStyle w:val="BodyText"/>
        <w:spacing w:line="240" w:lineRule="auto" w:before="103"/>
        <w:ind w:right="147"/>
        <w:jc w:val="left"/>
      </w:pPr>
      <w:r>
        <w:rPr>
          <w:rFonts w:ascii="Times New Roman" w:hAnsi="Times New Roman" w:cs="Times New Roman" w:eastAsia="Times New Roman" w:hint="default"/>
        </w:rPr>
        <w:t>3</w:t>
      </w:r>
      <w:r>
        <w:rPr/>
        <w:t>、管理费用较上年同期增长</w:t>
      </w:r>
      <w:r>
        <w:rPr>
          <w:rFonts w:ascii="Times New Roman" w:hAnsi="Times New Roman" w:cs="Times New Roman" w:eastAsia="Times New Roman" w:hint="default"/>
        </w:rPr>
        <w:t>67.72%</w:t>
      </w:r>
      <w:r>
        <w:rPr/>
        <w:t>，主要是报告期职工薪酬、研发支出、摊销费用等增加。</w:t>
      </w:r>
    </w:p>
    <w:p>
      <w:pPr>
        <w:pStyle w:val="BodyText"/>
        <w:spacing w:line="240" w:lineRule="auto" w:before="101"/>
        <w:ind w:right="147"/>
        <w:jc w:val="left"/>
      </w:pPr>
      <w:r>
        <w:rPr>
          <w:rFonts w:ascii="Times New Roman" w:hAnsi="Times New Roman" w:cs="Times New Roman" w:eastAsia="Times New Roman" w:hint="default"/>
        </w:rPr>
        <w:t>4</w:t>
      </w:r>
      <w:r>
        <w:rPr/>
        <w:t>、财务费用较上年同期减少</w:t>
      </w:r>
      <w:r>
        <w:rPr>
          <w:rFonts w:ascii="Times New Roman" w:hAnsi="Times New Roman" w:cs="Times New Roman" w:eastAsia="Times New Roman" w:hint="default"/>
        </w:rPr>
        <w:t>47.2%</w:t>
      </w:r>
      <w:r>
        <w:rPr/>
        <w:t>，主要是报告期利息收入增加所致。</w:t>
      </w:r>
    </w:p>
    <w:p>
      <w:pPr>
        <w:pStyle w:val="BodyText"/>
        <w:spacing w:line="240" w:lineRule="auto" w:before="103"/>
        <w:ind w:right="147"/>
        <w:jc w:val="left"/>
      </w:pPr>
      <w:r>
        <w:rPr>
          <w:rFonts w:ascii="Times New Roman" w:hAnsi="Times New Roman" w:cs="Times New Roman" w:eastAsia="Times New Roman" w:hint="default"/>
        </w:rPr>
        <w:t>5</w:t>
      </w:r>
      <w:r>
        <w:rPr/>
        <w:t>、资产减值损失较上年同期减少</w:t>
      </w:r>
      <w:r>
        <w:rPr>
          <w:rFonts w:ascii="Times New Roman" w:hAnsi="Times New Roman" w:cs="Times New Roman" w:eastAsia="Times New Roman" w:hint="default"/>
        </w:rPr>
        <w:t>101.22%</w:t>
      </w:r>
      <w:r>
        <w:rPr/>
        <w:t>，主要是上年同期公司转销存货跌价准备所致。</w:t>
      </w:r>
    </w:p>
    <w:p>
      <w:pPr>
        <w:pStyle w:val="BodyText"/>
        <w:spacing w:line="240" w:lineRule="auto" w:before="103"/>
        <w:ind w:left="153" w:right="147"/>
        <w:jc w:val="left"/>
      </w:pPr>
      <w:r>
        <w:rPr>
          <w:rFonts w:ascii="Times New Roman" w:hAnsi="Times New Roman" w:cs="Times New Roman" w:eastAsia="Times New Roman" w:hint="default"/>
        </w:rPr>
        <w:t>6</w:t>
      </w:r>
      <w:r>
        <w:rPr/>
        <w:t>、财务费用较上年同期减少</w:t>
      </w:r>
      <w:r>
        <w:rPr>
          <w:rFonts w:ascii="Times New Roman" w:hAnsi="Times New Roman" w:cs="Times New Roman" w:eastAsia="Times New Roman" w:hint="default"/>
        </w:rPr>
        <w:t>47.2%</w:t>
      </w:r>
      <w:r>
        <w:rPr/>
        <w:t>，主要是报告期利息收入增加所致。</w:t>
      </w:r>
    </w:p>
    <w:p>
      <w:pPr>
        <w:pStyle w:val="BodyText"/>
        <w:spacing w:line="240" w:lineRule="auto" w:before="101"/>
        <w:ind w:left="153" w:right="147"/>
        <w:jc w:val="left"/>
      </w:pPr>
      <w:r>
        <w:rPr>
          <w:rFonts w:ascii="Times New Roman" w:hAnsi="Times New Roman" w:cs="Times New Roman" w:eastAsia="Times New Roman" w:hint="default"/>
        </w:rPr>
        <w:t>7</w:t>
      </w:r>
      <w:r>
        <w:rPr/>
        <w:t>、营业外收入较上年同期增长</w:t>
      </w:r>
      <w:r>
        <w:rPr>
          <w:rFonts w:ascii="Times New Roman" w:hAnsi="Times New Roman" w:cs="Times New Roman" w:eastAsia="Times New Roman" w:hint="default"/>
        </w:rPr>
        <w:t>44.22%</w:t>
      </w:r>
      <w:r>
        <w:rPr/>
        <w:t>，主要是报告期收到退税款增加等。</w:t>
      </w:r>
    </w:p>
    <w:p>
      <w:pPr>
        <w:pStyle w:val="BodyText"/>
        <w:spacing w:line="240" w:lineRule="auto" w:before="103"/>
        <w:ind w:left="153" w:right="147"/>
        <w:jc w:val="left"/>
      </w:pPr>
      <w:r>
        <w:rPr>
          <w:rFonts w:ascii="Times New Roman" w:hAnsi="Times New Roman" w:cs="Times New Roman" w:eastAsia="Times New Roman" w:hint="default"/>
        </w:rPr>
        <w:t>8</w:t>
      </w:r>
      <w:r>
        <w:rPr/>
        <w:t>、营业外支出较上年同期增长</w:t>
      </w:r>
      <w:r>
        <w:rPr>
          <w:rFonts w:ascii="Times New Roman" w:hAnsi="Times New Roman" w:cs="Times New Roman" w:eastAsia="Times New Roman" w:hint="default"/>
        </w:rPr>
        <w:t>1108.58%</w:t>
      </w:r>
      <w:r>
        <w:rPr/>
        <w:t>，主要是报告期处理非流动资产损失增加。</w:t>
      </w:r>
    </w:p>
    <w:p>
      <w:pPr>
        <w:pStyle w:val="BodyText"/>
        <w:spacing w:line="348" w:lineRule="auto" w:before="103"/>
        <w:ind w:left="153" w:right="2288" w:hanging="1"/>
        <w:jc w:val="left"/>
      </w:pPr>
      <w:r>
        <w:rPr>
          <w:rFonts w:ascii="Times New Roman" w:hAnsi="Times New Roman" w:cs="Times New Roman" w:eastAsia="Times New Roman" w:hint="default"/>
        </w:rPr>
        <w:t>9</w:t>
      </w:r>
      <w:r>
        <w:rPr/>
        <w:t>、少数股东损益较上年同期减少</w:t>
      </w:r>
      <w:r>
        <w:rPr>
          <w:rFonts w:ascii="Times New Roman" w:hAnsi="Times New Roman" w:cs="Times New Roman" w:eastAsia="Times New Roman" w:hint="default"/>
        </w:rPr>
        <w:t>392.05%</w:t>
      </w:r>
      <w:r>
        <w:rPr/>
        <w:t>，主要是报告期未完全控股的子公司亏损。 三、现金流量表项目： </w:t>
      </w:r>
      <w:r>
        <w:rPr>
          <w:rFonts w:ascii="Times New Roman" w:hAnsi="Times New Roman" w:cs="Times New Roman" w:eastAsia="Times New Roman" w:hint="default"/>
        </w:rPr>
        <w:t>1</w:t>
      </w:r>
      <w:r>
        <w:rPr/>
        <w:t>、经营活动产生的现金流量净额较上年同期增加</w:t>
      </w:r>
      <w:r>
        <w:rPr>
          <w:rFonts w:ascii="Times New Roman" w:hAnsi="Times New Roman" w:cs="Times New Roman" w:eastAsia="Times New Roman" w:hint="default"/>
        </w:rPr>
        <w:t>41.09%</w:t>
      </w:r>
      <w:r>
        <w:rPr/>
        <w:t>，主要是报告期公司预收账款等增加。</w:t>
      </w:r>
    </w:p>
    <w:p>
      <w:pPr>
        <w:pStyle w:val="BodyText"/>
        <w:spacing w:line="240" w:lineRule="auto" w:before="14"/>
        <w:ind w:left="153" w:right="147"/>
        <w:jc w:val="left"/>
      </w:pPr>
      <w:r>
        <w:rPr>
          <w:rFonts w:ascii="Times New Roman" w:hAnsi="Times New Roman" w:cs="Times New Roman" w:eastAsia="Times New Roman" w:hint="default"/>
        </w:rPr>
        <w:t>2</w:t>
      </w:r>
      <w:r>
        <w:rPr/>
        <w:t>、投资活动产生的现金流量净额较上年同期减少</w:t>
      </w:r>
      <w:r>
        <w:rPr>
          <w:rFonts w:ascii="Times New Roman" w:hAnsi="Times New Roman" w:cs="Times New Roman" w:eastAsia="Times New Roman" w:hint="default"/>
        </w:rPr>
        <w:t>141.27%</w:t>
      </w:r>
      <w:r>
        <w:rPr/>
        <w:t>，主要是报告期末定期存款增加。</w:t>
      </w:r>
    </w:p>
    <w:p>
      <w:pPr>
        <w:pStyle w:val="BodyText"/>
        <w:spacing w:line="240" w:lineRule="auto" w:before="101"/>
        <w:ind w:left="153" w:right="147"/>
        <w:jc w:val="left"/>
      </w:pPr>
      <w:r>
        <w:rPr>
          <w:rFonts w:ascii="Times New Roman" w:hAnsi="Times New Roman" w:cs="Times New Roman" w:eastAsia="Times New Roman" w:hint="default"/>
        </w:rPr>
        <w:t>3</w:t>
      </w:r>
      <w:r>
        <w:rPr/>
        <w:t>、筹资活动产生的现金流量净额较上年同期减少</w:t>
      </w:r>
      <w:r>
        <w:rPr>
          <w:rFonts w:ascii="Times New Roman" w:hAnsi="Times New Roman" w:cs="Times New Roman" w:eastAsia="Times New Roman" w:hint="default"/>
        </w:rPr>
        <w:t>50.42%</w:t>
      </w:r>
      <w:r>
        <w:rPr/>
        <w:t>，主要是报告期发放现金股利较上年同期减少。</w:t>
      </w:r>
    </w:p>
    <w:p>
      <w:pPr>
        <w:spacing w:after="0" w:line="240" w:lineRule="auto"/>
        <w:jc w:val="left"/>
        <w:sectPr>
          <w:pgSz w:w="11910" w:h="16840"/>
          <w:pgMar w:header="877" w:footer="982" w:top="1100" w:bottom="1180" w:left="980" w:right="980"/>
        </w:sectPr>
      </w:pPr>
    </w:p>
    <w:p>
      <w:pPr>
        <w:spacing w:line="240" w:lineRule="auto" w:before="5"/>
        <w:rPr>
          <w:rFonts w:ascii="宋体" w:hAnsi="宋体" w:cs="宋体" w:eastAsia="宋体" w:hint="default"/>
          <w:sz w:val="6"/>
          <w:szCs w:val="6"/>
        </w:rPr>
      </w:pPr>
    </w:p>
    <w:p>
      <w:pPr>
        <w:spacing w:line="220" w:lineRule="exact"/>
        <w:ind w:left="114" w:right="0" w:firstLine="0"/>
        <w:rPr>
          <w:rFonts w:ascii="宋体" w:hAnsi="宋体" w:cs="宋体" w:eastAsia="宋体" w:hint="default"/>
          <w:sz w:val="20"/>
          <w:szCs w:val="20"/>
        </w:rPr>
      </w:pPr>
      <w:r>
        <w:rPr>
          <w:rFonts w:ascii="宋体" w:hAnsi="宋体" w:cs="宋体" w:eastAsia="宋体" w:hint="default"/>
          <w:position w:val="-3"/>
          <w:sz w:val="20"/>
          <w:szCs w:val="20"/>
        </w:rPr>
        <w:pict>
          <v:group style="width:487.7pt;height:11.05pt;mso-position-horizontal-relative:char;mso-position-vertical-relative:line" coordorigin="0,0" coordsize="9754,221">
            <v:group style="position:absolute;left:12;top:209;width:9730;height:2" coordorigin="12,209" coordsize="9730,2">
              <v:shape style="position:absolute;left:12;top:209;width:9730;height:2" coordorigin="12,209" coordsize="9730,0" path="m12,209l9742,209e" filled="false" stroked="true" strokeweight="1.2pt" strokecolor="#1c1c1c">
                <v:path arrowok="t"/>
              </v:shape>
              <v:shape style="position:absolute;left:5983;top:0;width:3706;height:187" type="#_x0000_t75" stroked="false">
                <v:imagedata r:id="rId34" o:title=""/>
              </v:shape>
            </v:group>
          </v:group>
        </w:pict>
      </w:r>
      <w:r>
        <w:rPr>
          <w:rFonts w:ascii="宋体" w:hAnsi="宋体" w:cs="宋体" w:eastAsia="宋体" w:hint="default"/>
          <w:position w:val="-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1900" w:lineRule="exact"/>
        <w:ind w:left="942" w:right="0" w:firstLine="0"/>
        <w:rPr>
          <w:rFonts w:ascii="宋体" w:hAnsi="宋体" w:cs="宋体" w:eastAsia="宋体" w:hint="default"/>
          <w:sz w:val="20"/>
          <w:szCs w:val="20"/>
        </w:rPr>
      </w:pPr>
      <w:r>
        <w:rPr>
          <w:rFonts w:ascii="宋体" w:hAnsi="宋体" w:cs="宋体" w:eastAsia="宋体" w:hint="default"/>
          <w:position w:val="-37"/>
          <w:sz w:val="20"/>
          <w:szCs w:val="20"/>
        </w:rPr>
        <w:drawing>
          <wp:inline distT="0" distB="0" distL="0" distR="0">
            <wp:extent cx="4401312" cy="1207007"/>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35" cstate="print"/>
                    <a:stretch>
                      <a:fillRect/>
                    </a:stretch>
                  </pic:blipFill>
                  <pic:spPr>
                    <a:xfrm>
                      <a:off x="0" y="0"/>
                      <a:ext cx="4401312" cy="1207007"/>
                    </a:xfrm>
                    <a:prstGeom prst="rect">
                      <a:avLst/>
                    </a:prstGeom>
                  </pic:spPr>
                </pic:pic>
              </a:graphicData>
            </a:graphic>
          </wp:inline>
        </w:drawing>
      </w:r>
      <w:r>
        <w:rPr>
          <w:rFonts w:ascii="宋体" w:hAnsi="宋体" w:cs="宋体" w:eastAsia="宋体" w:hint="default"/>
          <w:position w:val="-3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spacing w:line="2332" w:lineRule="exact"/>
        <w:ind w:left="6337"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1853183" cy="1481327"/>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36" cstate="print"/>
                    <a:stretch>
                      <a:fillRect/>
                    </a:stretch>
                  </pic:blipFill>
                  <pic:spPr>
                    <a:xfrm>
                      <a:off x="0" y="0"/>
                      <a:ext cx="1853183" cy="1481327"/>
                    </a:xfrm>
                    <a:prstGeom prst="rect">
                      <a:avLst/>
                    </a:prstGeom>
                  </pic:spPr>
                </pic:pic>
              </a:graphicData>
            </a:graphic>
          </wp:inline>
        </w:drawing>
      </w:r>
      <w:r>
        <w:rPr>
          <w:rFonts w:ascii="宋体" w:hAnsi="宋体" w:cs="宋体" w:eastAsia="宋体" w:hint="default"/>
          <w:position w:val="-46"/>
          <w:sz w:val="20"/>
          <w:szCs w:val="20"/>
        </w:rPr>
      </w:r>
    </w:p>
    <w:p>
      <w:pPr>
        <w:spacing w:line="240" w:lineRule="auto" w:before="8"/>
        <w:rPr>
          <w:rFonts w:ascii="宋体" w:hAnsi="宋体" w:cs="宋体" w:eastAsia="宋体" w:hint="default"/>
          <w:sz w:val="20"/>
          <w:szCs w:val="20"/>
        </w:rPr>
      </w:pPr>
    </w:p>
    <w:p>
      <w:pPr>
        <w:tabs>
          <w:tab w:pos="8468" w:val="left" w:leader="none"/>
        </w:tabs>
        <w:spacing w:line="432" w:lineRule="exact"/>
        <w:ind w:left="7144" w:right="0" w:firstLine="0"/>
        <w:rPr>
          <w:rFonts w:ascii="宋体" w:hAnsi="宋体" w:cs="宋体" w:eastAsia="宋体" w:hint="default"/>
          <w:sz w:val="20"/>
          <w:szCs w:val="20"/>
        </w:rPr>
      </w:pPr>
      <w:r>
        <w:rPr>
          <w:rFonts w:ascii="宋体"/>
          <w:position w:val="-1"/>
          <w:sz w:val="20"/>
        </w:rPr>
        <w:drawing>
          <wp:inline distT="0" distB="0" distL="0" distR="0">
            <wp:extent cx="67055" cy="219456"/>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37" cstate="print"/>
                    <a:stretch>
                      <a:fillRect/>
                    </a:stretch>
                  </pic:blipFill>
                  <pic:spPr>
                    <a:xfrm>
                      <a:off x="0" y="0"/>
                      <a:ext cx="67055" cy="219456"/>
                    </a:xfrm>
                    <a:prstGeom prst="rect">
                      <a:avLst/>
                    </a:prstGeom>
                  </pic:spPr>
                </pic:pic>
              </a:graphicData>
            </a:graphic>
          </wp:inline>
        </w:drawing>
      </w:r>
      <w:r>
        <w:rPr>
          <w:rFonts w:ascii="宋体"/>
          <w:position w:val="-1"/>
          <w:sz w:val="20"/>
        </w:rPr>
      </w:r>
      <w:r>
        <w:rPr>
          <w:rFonts w:ascii="宋体"/>
          <w:position w:val="-1"/>
          <w:sz w:val="20"/>
        </w:rPr>
        <w:tab/>
      </w:r>
      <w:r>
        <w:rPr>
          <w:rFonts w:ascii="宋体"/>
          <w:position w:val="-8"/>
          <w:sz w:val="20"/>
        </w:rPr>
        <w:drawing>
          <wp:inline distT="0" distB="0" distL="0" distR="0">
            <wp:extent cx="109727" cy="274319"/>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38" cstate="print"/>
                    <a:stretch>
                      <a:fillRect/>
                    </a:stretch>
                  </pic:blipFill>
                  <pic:spPr>
                    <a:xfrm>
                      <a:off x="0" y="0"/>
                      <a:ext cx="109727" cy="274319"/>
                    </a:xfrm>
                    <a:prstGeom prst="rect">
                      <a:avLst/>
                    </a:prstGeom>
                  </pic:spPr>
                </pic:pic>
              </a:graphicData>
            </a:graphic>
          </wp:inline>
        </w:drawing>
      </w:r>
      <w:r>
        <w:rPr>
          <w:rFonts w:ascii="宋体"/>
          <w:position w:val="-8"/>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73"/>
        <w:ind w:left="0" w:right="249" w:firstLine="0"/>
        <w:jc w:val="right"/>
        <w:rPr>
          <w:rFonts w:ascii="Cambria" w:hAnsi="Cambria" w:cs="Cambria" w:eastAsia="Cambria" w:hint="default"/>
          <w:sz w:val="19"/>
          <w:szCs w:val="19"/>
        </w:rPr>
      </w:pPr>
      <w:r>
        <w:rPr>
          <w:rFonts w:ascii="Cambria"/>
          <w:w w:val="75"/>
          <w:sz w:val="19"/>
        </w:rPr>
        <w:t>139</w:t>
      </w:r>
      <w:r>
        <w:rPr>
          <w:rFonts w:ascii="Cambria"/>
          <w:sz w:val="19"/>
        </w:rPr>
      </w:r>
    </w:p>
    <w:sectPr>
      <w:headerReference w:type="default" r:id="rId32"/>
      <w:footerReference w:type="default" r:id="rId33"/>
      <w:pgSz w:w="12240" w:h="17040"/>
      <w:pgMar w:header="0" w:footer="0" w:top="780" w:bottom="280" w:left="11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mbria">
    <w:altName w:val="Cambria"/>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517944pt;width:6.5pt;height:11pt;mso-position-horizontal-relative:page;mso-position-vertical-relative:page;z-index:-7497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749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9983pt;margin-top:535.237915pt;width:13.15pt;height:11pt;mso-position-horizontal-relative:page;mso-position-vertical-relative:page;z-index:-749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89</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749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7495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749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7494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pt;margin-top:36.265610pt;width:186.7pt;height:11.5pt;mso-position-horizontal-relative:page;mso-position-vertical-relative:page;z-index:-749728" type="#_x0000_t202" filled="false" stroked="false">
          <v:textbox inset="0,0,0,0">
            <w:txbxContent>
              <w:p>
                <w:pPr>
                  <w:pStyle w:val="BodyText"/>
                  <w:spacing w:line="214" w:lineRule="exact"/>
                  <w:ind w:left="20" w:right="0"/>
                  <w:jc w:val="left"/>
                </w:pPr>
                <w:r>
                  <w:rPr/>
                  <w:t>福建榕基软件股份有限公司</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359985pt;margin-top:42.865631pt;width:186.7pt;height:11.5pt;mso-position-horizontal-relative:page;mso-position-vertical-relative:page;z-index:-749656" type="#_x0000_t202" filled="false" stroked="false">
          <v:textbox inset="0,0,0,0">
            <w:txbxContent>
              <w:p>
                <w:pPr>
                  <w:pStyle w:val="BodyText"/>
                  <w:spacing w:line="214" w:lineRule="exact"/>
                  <w:ind w:left="20" w:right="0"/>
                  <w:jc w:val="left"/>
                </w:pPr>
                <w:r>
                  <w:rPr/>
                  <w:t>福建榕基软件股份有限公司</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8pt;height:.1pt;mso-position-horizontal-relative:page;mso-position-vertical-relative:page;z-index:-749608" coordorigin="1104,1111" coordsize="9696,2">
          <v:shape style="position:absolute;left:1104;top:1111;width:9696;height:2" coordorigin="1104,1111" coordsize="9696,0" path="m1104,1111l10800,1111e" filled="false" stroked="true" strokeweight=".72pt" strokecolor="#000000">
            <v:path arrowok="t"/>
          </v:shape>
          <w10:wrap type="none"/>
        </v:group>
      </w:pict>
    </w:r>
    <w:r>
      <w:rPr/>
      <w:pict>
        <v:shape style="position:absolute;margin-left:353pt;margin-top:42.865608pt;width:186.7pt;height:11.5pt;mso-position-horizontal-relative:page;mso-position-vertical-relative:page;z-index:-749584" type="#_x0000_t202" filled="false" stroked="false">
          <v:textbox inset="0,0,0,0">
            <w:txbxContent>
              <w:p>
                <w:pPr>
                  <w:pStyle w:val="BodyText"/>
                  <w:spacing w:line="214" w:lineRule="exact"/>
                  <w:ind w:left="20" w:right="0"/>
                  <w:jc w:val="left"/>
                </w:pPr>
                <w:r>
                  <w:rPr/>
                  <w:t>福建榕基软件股份有限公司</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3"/>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620"/>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rongji.com/" TargetMode="External"/><Relationship Id="rId10" Type="http://schemas.openxmlformats.org/officeDocument/2006/relationships/hyperlink" Target="mailto:rongji@rongji.com" TargetMode="External"/><Relationship Id="rId11" Type="http://schemas.openxmlformats.org/officeDocument/2006/relationships/hyperlink" Target="mailto:wanxiaoxiong@rongji.com" TargetMode="External"/><Relationship Id="rId12" Type="http://schemas.openxmlformats.org/officeDocument/2006/relationships/hyperlink" Target="mailto:chenlve@rongji.com" TargetMode="External"/><Relationship Id="rId13" Type="http://schemas.openxmlformats.org/officeDocument/2006/relationships/hyperlink" Target="http://www.cninfo.com.cn/" TargetMode="External"/><Relationship Id="rId14" Type="http://schemas.openxmlformats.org/officeDocument/2006/relationships/hyperlink" Target="http://www.cninfo.com.cn/finalpage/2012-12-05/61872087.PDF" TargetMode="External"/><Relationship Id="rId15" Type="http://schemas.openxmlformats.org/officeDocument/2006/relationships/image" Target="media/image2.jpeg"/><Relationship Id="rId16" Type="http://schemas.openxmlformats.org/officeDocument/2006/relationships/hyperlink" Target="http://www.cninfo.com.cn/%E7%9A%84"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www.cninfo.com.cn/finalpage/2012-04-06/60786398.PDF" TargetMode="External"/><Relationship Id="rId20" Type="http://schemas.openxmlformats.org/officeDocument/2006/relationships/hyperlink" Target="http://www.cninfo.com.cn/finalpage/2012-04-23/60870071.PDF" TargetMode="External"/><Relationship Id="rId21" Type="http://schemas.openxmlformats.org/officeDocument/2006/relationships/hyperlink" Target="http://www.cninfo.com.cn/finalpage/2012-06-09/61114183.PDF" TargetMode="External"/><Relationship Id="rId22" Type="http://schemas.openxmlformats.org/officeDocument/2006/relationships/hyperlink" Target="http://www.cninfo.com.cn/finalpage/2012-06-09/61114182.PDF" TargetMode="External"/><Relationship Id="rId23" Type="http://schemas.openxmlformats.org/officeDocument/2006/relationships/hyperlink" Target="http://www.cninfo.co/" TargetMode="External"/><Relationship Id="rId24" Type="http://schemas.openxmlformats.org/officeDocument/2006/relationships/hyperlink" Target="http://www.cninfo.com/" TargetMode="External"/><Relationship Id="rId25" Type="http://schemas.openxmlformats.org/officeDocument/2006/relationships/header" Target="header2.xml"/><Relationship Id="rId26" Type="http://schemas.openxmlformats.org/officeDocument/2006/relationships/footer" Target="footer3.xml"/><Relationship Id="rId27" Type="http://schemas.openxmlformats.org/officeDocument/2006/relationships/header" Target="header3.xm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footer" Target="footer6.xml"/><Relationship Id="rId31" Type="http://schemas.openxmlformats.org/officeDocument/2006/relationships/footer" Target="footer7.xml"/><Relationship Id="rId32" Type="http://schemas.openxmlformats.org/officeDocument/2006/relationships/header" Target="header4.xml"/><Relationship Id="rId33" Type="http://schemas.openxmlformats.org/officeDocument/2006/relationships/footer" Target="footer8.xml"/><Relationship Id="rId34" Type="http://schemas.openxmlformats.org/officeDocument/2006/relationships/image" Target="media/image5.jpeg"/><Relationship Id="rId35" Type="http://schemas.openxmlformats.org/officeDocument/2006/relationships/image" Target="media/image6.jpeg"/><Relationship Id="rId36" Type="http://schemas.openxmlformats.org/officeDocument/2006/relationships/image" Target="media/image7.png"/><Relationship Id="rId37" Type="http://schemas.openxmlformats.org/officeDocument/2006/relationships/image" Target="media/image8.png"/><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福建榕基软件股份有限公司</dc:creator>
  <dc:title>福建榕基软件股份有限公司2012年度报告全文</dc:title>
  <dcterms:created xsi:type="dcterms:W3CDTF">2020-05-04T01:07:46Z</dcterms:created>
  <dcterms:modified xsi:type="dcterms:W3CDTF">2020-05-04T01:07:46Z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2013-03-19T00:00:00Z</vt:filetime>
  </property>
  <property fmtid="{D5CDD505-2E9C-101B-9397-08002B2CF9AE}" pid="3" name="Creator">
    <vt:lpwstr>Acrobat PDFMaker 9.0 Word 版</vt:lpwstr>
  </property>
  <property fmtid="{D5CDD505-2E9C-101B-9397-08002B2CF9AE}" pid="4" name="LastSaved">
    <vt:filetime>2020-05-03T00:00:00Z</vt:filetime>
  </property>
</Properties>
</file>