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line="621" w:lineRule="exact" w:before="0"/>
        <w:ind w:left="1620" w:right="1616" w:firstLine="0"/>
        <w:jc w:val="center"/>
        <w:rPr>
          <w:rFonts w:ascii="黑体" w:hAnsi="黑体" w:cs="黑体" w:eastAsia="黑体" w:hint="default"/>
          <w:sz w:val="52"/>
          <w:szCs w:val="52"/>
        </w:rPr>
      </w:pPr>
      <w:r>
        <w:rPr/>
        <w:pict>
          <v:group style="position:absolute;margin-left:55.200001pt;margin-top:-27.461874pt;width:484.8pt;height:.1pt;mso-position-horizontal-relative:page;mso-position-vertical-relative:paragraph;z-index:0" coordorigin="1104,-549" coordsize="9696,2">
            <v:shape style="position:absolute;left:1104;top:-549;width:9696;height:2" coordorigin="1104,-549" coordsize="9696,0" path="m1104,-549l10800,-549e" filled="false" stroked="true" strokeweight=".72pt" strokecolor="#000000">
              <v:path arrowok="t"/>
            </v:shape>
            <w10:wrap type="none"/>
          </v:group>
        </w:pict>
      </w:r>
      <w:r>
        <w:rPr>
          <w:rFonts w:ascii="黑体" w:hAnsi="黑体" w:cs="黑体" w:eastAsia="黑体" w:hint="default"/>
          <w:b/>
          <w:bCs/>
          <w:sz w:val="52"/>
          <w:szCs w:val="52"/>
        </w:rPr>
        <w:t>福建榕基软件股份有限公司</w:t>
      </w:r>
      <w:r>
        <w:rPr>
          <w:rFonts w:ascii="黑体" w:hAnsi="黑体" w:cs="黑体" w:eastAsia="黑体" w:hint="default"/>
          <w:sz w:val="52"/>
          <w:szCs w:val="52"/>
        </w:rPr>
      </w:r>
    </w:p>
    <w:p>
      <w:pPr>
        <w:spacing w:before="81"/>
        <w:ind w:left="1620" w:right="1620" w:firstLine="0"/>
        <w:jc w:val="center"/>
        <w:rPr>
          <w:rFonts w:ascii="Times New Roman" w:hAnsi="Times New Roman" w:cs="Times New Roman" w:eastAsia="Times New Roman" w:hint="default"/>
          <w:sz w:val="30"/>
          <w:szCs w:val="30"/>
        </w:rPr>
      </w:pPr>
      <w:r>
        <w:rPr>
          <w:rFonts w:ascii="Times New Roman"/>
          <w:b/>
          <w:sz w:val="30"/>
        </w:rPr>
        <w:t>Fujian Rongji Software Co.,</w:t>
      </w:r>
      <w:r>
        <w:rPr>
          <w:rFonts w:ascii="Times New Roman"/>
          <w:b/>
          <w:spacing w:val="-17"/>
          <w:sz w:val="30"/>
        </w:rPr>
        <w:t> </w:t>
      </w:r>
      <w:r>
        <w:rPr>
          <w:rFonts w:ascii="Times New Roman"/>
          <w:b/>
          <w:sz w:val="30"/>
        </w:rPr>
        <w:t>Ltd.</w:t>
      </w:r>
      <w:r>
        <w:rPr>
          <w:rFonts w:ascii="Times New Roman"/>
          <w:sz w:val="30"/>
        </w:rPr>
      </w:r>
    </w:p>
    <w:p>
      <w:pPr>
        <w:spacing w:before="67"/>
        <w:ind w:left="1620" w:right="1620" w:firstLine="0"/>
        <w:jc w:val="center"/>
        <w:rPr>
          <w:rFonts w:ascii="黑体" w:hAnsi="黑体" w:cs="黑体" w:eastAsia="黑体" w:hint="default"/>
          <w:sz w:val="32"/>
          <w:szCs w:val="32"/>
        </w:rPr>
      </w:pPr>
      <w:r>
        <w:rPr>
          <w:rFonts w:ascii="黑体" w:hAnsi="黑体" w:cs="黑体" w:eastAsia="黑体" w:hint="default"/>
          <w:b/>
          <w:bCs/>
          <w:spacing w:val="12"/>
          <w:sz w:val="32"/>
          <w:szCs w:val="32"/>
        </w:rPr>
        <w:t>（福州市鼓楼区铜盘路福州软件园产业基地）</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7"/>
          <w:szCs w:val="27"/>
        </w:rPr>
      </w:pPr>
    </w:p>
    <w:p>
      <w:pPr>
        <w:spacing w:line="1857" w:lineRule="exact"/>
        <w:ind w:left="3968" w:right="0" w:firstLine="0"/>
        <w:rPr>
          <w:rFonts w:ascii="黑体" w:hAnsi="黑体" w:cs="黑体" w:eastAsia="黑体" w:hint="default"/>
          <w:sz w:val="20"/>
          <w:szCs w:val="20"/>
        </w:rPr>
      </w:pPr>
      <w:r>
        <w:rPr>
          <w:rFonts w:ascii="黑体" w:hAnsi="黑体" w:cs="黑体" w:eastAsia="黑体" w:hint="default"/>
          <w:position w:val="-36"/>
          <w:sz w:val="20"/>
          <w:szCs w:val="20"/>
        </w:rPr>
        <w:drawing>
          <wp:inline distT="0" distB="0" distL="0" distR="0">
            <wp:extent cx="1293863" cy="11793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93863" cy="1179385"/>
                    </a:xfrm>
                    <a:prstGeom prst="rect">
                      <a:avLst/>
                    </a:prstGeom>
                  </pic:spPr>
                </pic:pic>
              </a:graphicData>
            </a:graphic>
          </wp:inline>
        </w:drawing>
      </w:r>
      <w:r>
        <w:rPr>
          <w:rFonts w:ascii="黑体" w:hAnsi="黑体" w:cs="黑体" w:eastAsia="黑体" w:hint="default"/>
          <w:position w:val="-36"/>
          <w:sz w:val="20"/>
          <w:szCs w:val="20"/>
        </w:rPr>
      </w:r>
    </w:p>
    <w:p>
      <w:pPr>
        <w:spacing w:line="240" w:lineRule="auto" w:before="7"/>
        <w:rPr>
          <w:rFonts w:ascii="黑体" w:hAnsi="黑体" w:cs="黑体" w:eastAsia="黑体" w:hint="default"/>
          <w:b/>
          <w:bCs/>
          <w:sz w:val="37"/>
          <w:szCs w:val="37"/>
        </w:rPr>
      </w:pPr>
    </w:p>
    <w:p>
      <w:pPr>
        <w:spacing w:before="0"/>
        <w:ind w:left="1615" w:right="1620" w:firstLine="0"/>
        <w:jc w:val="center"/>
        <w:rPr>
          <w:rFonts w:ascii="黑体" w:hAnsi="黑体" w:cs="黑体" w:eastAsia="黑体" w:hint="default"/>
          <w:sz w:val="72"/>
          <w:szCs w:val="72"/>
        </w:rPr>
      </w:pPr>
      <w:r>
        <w:rPr>
          <w:rFonts w:ascii="Times New Roman" w:hAnsi="Times New Roman" w:cs="Times New Roman" w:eastAsia="Times New Roman" w:hint="default"/>
          <w:b/>
          <w:bCs/>
          <w:sz w:val="72"/>
          <w:szCs w:val="72"/>
        </w:rPr>
        <w:t>2014</w:t>
      </w:r>
      <w:r>
        <w:rPr>
          <w:rFonts w:ascii="Times New Roman" w:hAnsi="Times New Roman" w:cs="Times New Roman" w:eastAsia="Times New Roman" w:hint="default"/>
          <w:b/>
          <w:bCs/>
          <w:spacing w:val="-10"/>
          <w:sz w:val="72"/>
          <w:szCs w:val="72"/>
        </w:rPr>
        <w:t> </w:t>
      </w:r>
      <w:r>
        <w:rPr>
          <w:rFonts w:ascii="黑体" w:hAnsi="黑体" w:cs="黑体" w:eastAsia="黑体" w:hint="default"/>
          <w:b/>
          <w:bCs/>
          <w:spacing w:val="2"/>
          <w:sz w:val="72"/>
          <w:szCs w:val="72"/>
        </w:rPr>
        <w:t>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10"/>
        <w:rPr>
          <w:rFonts w:ascii="黑体" w:hAnsi="黑体" w:cs="黑体" w:eastAsia="黑体" w:hint="default"/>
          <w:b/>
          <w:bCs/>
          <w:sz w:val="66"/>
          <w:szCs w:val="66"/>
        </w:rPr>
      </w:pPr>
    </w:p>
    <w:p>
      <w:pPr>
        <w:spacing w:line="292" w:lineRule="auto" w:before="0"/>
        <w:ind w:left="5605" w:right="791" w:firstLine="31"/>
        <w:jc w:val="left"/>
        <w:rPr>
          <w:rFonts w:ascii="宋体" w:hAnsi="宋体" w:cs="宋体" w:eastAsia="宋体" w:hint="default"/>
          <w:sz w:val="28"/>
          <w:szCs w:val="28"/>
        </w:rPr>
      </w:pPr>
      <w:r>
        <w:rPr>
          <w:rFonts w:ascii="宋体" w:hAnsi="宋体" w:cs="宋体" w:eastAsia="宋体" w:hint="default"/>
          <w:b/>
          <w:bCs/>
          <w:sz w:val="28"/>
          <w:szCs w:val="28"/>
        </w:rPr>
        <w:t>公告编号：</w:t>
      </w:r>
      <w:r>
        <w:rPr>
          <w:rFonts w:ascii="Arial" w:hAnsi="Arial" w:cs="Arial" w:eastAsia="Arial" w:hint="default"/>
          <w:b/>
          <w:bCs/>
          <w:sz w:val="28"/>
          <w:szCs w:val="28"/>
        </w:rPr>
        <w:t>2015-008</w:t>
      </w:r>
      <w:r>
        <w:rPr>
          <w:rFonts w:ascii="Arial" w:hAnsi="Arial" w:cs="Arial" w:eastAsia="Arial" w:hint="default"/>
          <w:b/>
          <w:bCs/>
          <w:spacing w:val="-1"/>
          <w:w w:val="100"/>
          <w:sz w:val="28"/>
          <w:szCs w:val="28"/>
        </w:rPr>
        <w:t> </w:t>
      </w:r>
      <w:r>
        <w:rPr>
          <w:rFonts w:ascii="宋体" w:hAnsi="宋体" w:cs="宋体" w:eastAsia="宋体" w:hint="default"/>
          <w:b/>
          <w:bCs/>
          <w:sz w:val="28"/>
          <w:szCs w:val="28"/>
        </w:rPr>
        <w:t>证券代码：</w:t>
      </w:r>
      <w:r>
        <w:rPr>
          <w:rFonts w:ascii="Arial" w:hAnsi="Arial" w:cs="Arial" w:eastAsia="Arial" w:hint="default"/>
          <w:b/>
          <w:bCs/>
          <w:sz w:val="28"/>
          <w:szCs w:val="28"/>
        </w:rPr>
        <w:t>002474</w:t>
      </w:r>
      <w:r>
        <w:rPr>
          <w:rFonts w:ascii="Arial" w:hAnsi="Arial" w:cs="Arial" w:eastAsia="Arial" w:hint="default"/>
          <w:b/>
          <w:bCs/>
          <w:w w:val="100"/>
          <w:sz w:val="28"/>
          <w:szCs w:val="28"/>
        </w:rPr>
        <w:t> </w:t>
      </w:r>
      <w:r>
        <w:rPr>
          <w:rFonts w:ascii="宋体" w:hAnsi="宋体" w:cs="宋体" w:eastAsia="宋体" w:hint="default"/>
          <w:b/>
          <w:bCs/>
          <w:sz w:val="28"/>
          <w:szCs w:val="28"/>
        </w:rPr>
        <w:t>证券简称：榕基软件</w:t>
      </w:r>
      <w:r>
        <w:rPr>
          <w:rFonts w:ascii="宋体" w:hAnsi="宋体" w:cs="宋体" w:eastAsia="宋体" w:hint="default"/>
          <w:b/>
          <w:bCs/>
          <w:w w:val="99"/>
          <w:sz w:val="28"/>
          <w:szCs w:val="28"/>
        </w:rPr>
        <w:t> </w:t>
      </w:r>
      <w:r>
        <w:rPr>
          <w:rFonts w:ascii="宋体" w:hAnsi="宋体" w:cs="宋体" w:eastAsia="宋体" w:hint="default"/>
          <w:b/>
          <w:bCs/>
          <w:sz w:val="28"/>
          <w:szCs w:val="28"/>
        </w:rPr>
        <w:t>披露日期：</w:t>
      </w:r>
      <w:r>
        <w:rPr>
          <w:rFonts w:ascii="Arial" w:hAnsi="Arial" w:cs="Arial" w:eastAsia="Arial" w:hint="default"/>
          <w:b/>
          <w:bCs/>
          <w:sz w:val="28"/>
          <w:szCs w:val="28"/>
        </w:rPr>
        <w:t>2015</w:t>
      </w:r>
      <w:r>
        <w:rPr>
          <w:rFonts w:ascii="Arial" w:hAnsi="Arial" w:cs="Arial" w:eastAsia="Arial" w:hint="default"/>
          <w:b/>
          <w:bCs/>
          <w:spacing w:val="-9"/>
          <w:sz w:val="28"/>
          <w:szCs w:val="28"/>
        </w:rPr>
        <w:t> </w:t>
      </w:r>
      <w:r>
        <w:rPr>
          <w:rFonts w:ascii="宋体" w:hAnsi="宋体" w:cs="宋体" w:eastAsia="宋体" w:hint="default"/>
          <w:b/>
          <w:bCs/>
          <w:sz w:val="28"/>
          <w:szCs w:val="28"/>
        </w:rPr>
        <w:t>年</w:t>
      </w:r>
      <w:r>
        <w:rPr>
          <w:rFonts w:ascii="宋体" w:hAnsi="宋体" w:cs="宋体" w:eastAsia="宋体" w:hint="default"/>
          <w:b/>
          <w:bCs/>
          <w:spacing w:val="-72"/>
          <w:sz w:val="28"/>
          <w:szCs w:val="28"/>
        </w:rPr>
        <w:t> </w:t>
      </w:r>
      <w:r>
        <w:rPr>
          <w:rFonts w:ascii="Arial" w:hAnsi="Arial" w:cs="Arial" w:eastAsia="Arial" w:hint="default"/>
          <w:b/>
          <w:bCs/>
          <w:sz w:val="28"/>
          <w:szCs w:val="28"/>
        </w:rPr>
        <w:t>4</w:t>
      </w:r>
      <w:r>
        <w:rPr>
          <w:rFonts w:ascii="Arial" w:hAnsi="Arial" w:cs="Arial" w:eastAsia="Arial" w:hint="default"/>
          <w:b/>
          <w:bCs/>
          <w:spacing w:val="-9"/>
          <w:sz w:val="28"/>
          <w:szCs w:val="28"/>
        </w:rPr>
        <w:t> </w:t>
      </w:r>
      <w:r>
        <w:rPr>
          <w:rFonts w:ascii="宋体" w:hAnsi="宋体" w:cs="宋体" w:eastAsia="宋体" w:hint="default"/>
          <w:b/>
          <w:bCs/>
          <w:sz w:val="28"/>
          <w:szCs w:val="28"/>
        </w:rPr>
        <w:t>月</w:t>
      </w:r>
      <w:r>
        <w:rPr>
          <w:rFonts w:ascii="宋体" w:hAnsi="宋体" w:cs="宋体" w:eastAsia="宋体" w:hint="default"/>
          <w:b/>
          <w:bCs/>
          <w:spacing w:val="-70"/>
          <w:sz w:val="28"/>
          <w:szCs w:val="28"/>
        </w:rPr>
        <w:t> </w:t>
      </w:r>
      <w:r>
        <w:rPr>
          <w:rFonts w:ascii="Arial" w:hAnsi="Arial" w:cs="Arial" w:eastAsia="Arial" w:hint="default"/>
          <w:b/>
          <w:bCs/>
          <w:sz w:val="28"/>
          <w:szCs w:val="28"/>
        </w:rPr>
        <w:t>3</w:t>
      </w:r>
      <w:r>
        <w:rPr>
          <w:rFonts w:ascii="Arial" w:hAnsi="Arial" w:cs="Arial" w:eastAsia="Arial" w:hint="default"/>
          <w:b/>
          <w:bCs/>
          <w:spacing w:val="-9"/>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line="292" w:lineRule="auto"/>
        <w:jc w:val="left"/>
        <w:rPr>
          <w:rFonts w:ascii="宋体" w:hAnsi="宋体" w:cs="宋体" w:eastAsia="宋体" w:hint="default"/>
          <w:sz w:val="28"/>
          <w:szCs w:val="28"/>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46"/>
        <w:ind w:left="2802" w:right="791"/>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7"/>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1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2"/>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0"/>
        <w:ind w:left="714" w:right="14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622,200,000 </w:t>
      </w:r>
      <w:r>
        <w:rPr>
          <w:rFonts w:ascii="宋体" w:hAnsi="宋体" w:cs="宋体" w:eastAsia="宋体" w:hint="default"/>
          <w:b/>
          <w:bCs/>
          <w:sz w:val="28"/>
          <w:szCs w:val="28"/>
        </w:rPr>
        <w:t>股为基数，向全体股东每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0.15 </w:t>
      </w:r>
      <w:r>
        <w:rPr>
          <w:rFonts w:ascii="宋体" w:hAnsi="宋体" w:cs="宋体" w:eastAsia="宋体" w:hint="default"/>
          <w:b/>
          <w:bCs/>
          <w:sz w:val="28"/>
          <w:szCs w:val="28"/>
        </w:rPr>
        <w:t>元（含</w:t>
      </w:r>
      <w:r>
        <w:rPr>
          <w:rFonts w:ascii="宋体" w:hAnsi="宋体" w:cs="宋体" w:eastAsia="宋体" w:hint="default"/>
          <w:sz w:val="28"/>
          <w:szCs w:val="28"/>
        </w:rPr>
      </w:r>
    </w:p>
    <w:p>
      <w:pPr>
        <w:spacing w:line="448" w:lineRule="auto" w:before="236"/>
        <w:ind w:left="714" w:right="147"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72"/>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28"/>
          <w:w w:val="99"/>
          <w:sz w:val="28"/>
          <w:szCs w:val="28"/>
        </w:rPr>
        <w:t> </w:t>
      </w:r>
      <w:r>
        <w:rPr>
          <w:rFonts w:ascii="宋体" w:hAnsi="宋体" w:cs="宋体" w:eastAsia="宋体" w:hint="default"/>
          <w:b/>
          <w:bCs/>
          <w:spacing w:val="-128"/>
          <w:w w:val="99"/>
          <w:sz w:val="28"/>
          <w:szCs w:val="28"/>
        </w:rPr>
      </w:r>
      <w:r>
        <w:rPr>
          <w:rFonts w:ascii="宋体" w:hAnsi="宋体" w:cs="宋体" w:eastAsia="宋体" w:hint="default"/>
          <w:b/>
          <w:bCs/>
          <w:spacing w:val="-1"/>
          <w:sz w:val="28"/>
          <w:szCs w:val="28"/>
        </w:rPr>
        <w:t>公司负责人鲁峰、主管会计工作负责人侯伟及会计机构负责人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会计主管人</w:t>
      </w:r>
      <w:r>
        <w:rPr>
          <w:rFonts w:ascii="宋体" w:hAnsi="宋体" w:cs="宋体" w:eastAsia="宋体" w:hint="default"/>
          <w:spacing w:val="-1"/>
          <w:sz w:val="28"/>
          <w:szCs w:val="28"/>
        </w:rPr>
      </w:r>
    </w:p>
    <w:p>
      <w:pPr>
        <w:spacing w:line="354" w:lineRule="exact" w:before="0"/>
        <w:ind w:left="152" w:right="791"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镇千金声明：保证年度报告中财务报告的真实、准确、完整。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2" w:right="1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本报告中涉及未来发展规划等事项的前瞻性陈述，不构成公司对投资者的</w:t>
      </w:r>
      <w:r>
        <w:rPr>
          <w:rFonts w:ascii="宋体" w:hAnsi="宋体" w:cs="宋体" w:eastAsia="宋体" w:hint="default"/>
          <w:b/>
          <w:bCs/>
          <w:spacing w:val="2"/>
          <w:w w:val="99"/>
          <w:sz w:val="28"/>
          <w:szCs w:val="28"/>
        </w:rPr>
        <w:t> </w:t>
      </w:r>
      <w:r>
        <w:rPr>
          <w:rFonts w:ascii="宋体" w:hAnsi="宋体" w:cs="宋体" w:eastAsia="宋体" w:hint="default"/>
          <w:b/>
          <w:bCs/>
          <w:sz w:val="28"/>
          <w:szCs w:val="28"/>
        </w:rPr>
        <w:t>实质承诺，请投资者注意投资风险。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2"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1620" w:right="162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9"/>
              </w:rPr>
              <w:t> </w:t>
            </w:r>
            <w:r>
              <w:rPr/>
              <w:t>公司简介</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7"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9"/>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8"/>
              </w:rPr>
              <w:t> </w:t>
            </w:r>
            <w:r>
              <w:rPr/>
              <w:t>董事会报告</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9"/>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内部控制</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8"/>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第十二节</w:t>
          </w:r>
          <w:r>
            <w:rPr>
              <w:spacing w:val="-19"/>
            </w:rPr>
            <w:t> </w:t>
          </w:r>
          <w:r>
            <w:rPr/>
            <w:t>备查文件目录</w:t>
          </w:r>
          <w:r>
            <w:rPr>
              <w:rFonts w:ascii="Times New Roman" w:hAnsi="Times New Roman" w:cs="Times New Roman" w:eastAsia="Times New Roman" w:hint="default"/>
            </w:rPr>
            <w:tab/>
            <w:t>174</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5" w:footer="982" w:top="1060" w:bottom="1180" w:left="980" w:right="980"/>
        </w:sectPr>
      </w:pPr>
    </w:p>
    <w:p>
      <w:pPr>
        <w:spacing w:before="944"/>
        <w:ind w:left="1618" w:right="162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2"/>
        <w:ind w:left="0" w:right="160"/>
        <w:jc w:val="right"/>
      </w:pPr>
      <w:r>
        <w:rPr/>
        <w:pict>
          <v:shape style="position:absolute;margin-left:56.400002pt;margin-top:-404.928284pt;width:479.2pt;height:601.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5"/>
                    <w:gridCol w:w="599"/>
                    <w:gridCol w:w="5435"/>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公司、本公司、榕基软件</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创华公司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五一公司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榕基工程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中榕基公司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马鞍山榕基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榕基投资</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信阳榕基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榕基国际</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亿榕信息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中国证券监督管理委员会福建监管局</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公司主营业务领域、四大业务领域</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电子政务、信息安全、质检三电工程、协同管理等</w:t>
                        </w:r>
                      </w:p>
                    </w:tc>
                  </w:tr>
                  <w:tr>
                    <w:trPr>
                      <w:trHeight w:val="629"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公共管理组织在政务活动中，综合运用现代信息技术，实现服务职能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和管理职能重组优化的运作模式。电子政务有狭义和广义之分。狭义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的电子政务专指政府部门的管理和服务，广义的电子政务包括各类行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政管理活动，例如电子政府（狭义电子政务）、电子党务、电子政协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电子人大</w:t>
                        </w:r>
                      </w:p>
                    </w:tc>
                  </w:tr>
                  <w:tr>
                    <w:trPr>
                      <w:trHeight w:val="394"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629"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金环工程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国家环保部提高环境保护监管和综合决策能力的重要的信息化工程</w:t>
                        </w:r>
                      </w:p>
                    </w:tc>
                  </w:tr>
                  <w:tr>
                    <w:trPr>
                      <w:trHeight w:val="161"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天平工程</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110"/>
                          <w:jc w:val="left"/>
                          <w:rPr>
                            <w:rFonts w:ascii="宋体" w:hAnsi="宋体" w:cs="宋体" w:eastAsia="宋体" w:hint="default"/>
                            <w:sz w:val="18"/>
                            <w:szCs w:val="18"/>
                          </w:rPr>
                        </w:pPr>
                        <w:r>
                          <w:rPr>
                            <w:rFonts w:ascii="宋体" w:hAnsi="宋体" w:cs="宋体" w:eastAsia="宋体" w:hint="default"/>
                            <w:spacing w:val="-3"/>
                            <w:w w:val="99"/>
                            <w:sz w:val="18"/>
                            <w:szCs w:val="18"/>
                          </w:rPr>
                          <w:t>最高人民法院在</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十二五</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期间，推进全国法院信息化建设的重大举措</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是国家电子政务重点业务信息系统建设项目</w:t>
                        </w:r>
                      </w:p>
                    </w:tc>
                  </w:tr>
                  <w:tr>
                    <w:trPr>
                      <w:trHeight w:val="394"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73"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金质工程</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2" w:lineRule="auto" w:before="49"/>
                          <w:ind w:left="28" w:right="-10"/>
                          <w:jc w:val="both"/>
                          <w:rPr>
                            <w:rFonts w:ascii="宋体" w:hAnsi="宋体" w:cs="宋体" w:eastAsia="宋体" w:hint="default"/>
                            <w:sz w:val="18"/>
                            <w:szCs w:val="18"/>
                          </w:rPr>
                        </w:pPr>
                        <w:r>
                          <w:rPr>
                            <w:rFonts w:ascii="宋体" w:hAnsi="宋体" w:cs="宋体" w:eastAsia="宋体" w:hint="default"/>
                            <w:sz w:val="18"/>
                            <w:szCs w:val="18"/>
                          </w:rPr>
                          <w:t>质量监督检验检疫信息化工程，国家电子政务建设的重要组成部分。 </w:t>
                        </w: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的建设促进了各级质检机关向管理服务型转变，形成全国 统一的质检网络，促进质检系统执法电子化、信息化，为生产企业和 进出口企业带来更大的方便与效益</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473"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142" w:hRule="exact"/>
                    </w:trPr>
                    <w:tc>
                      <w:tcPr>
                        <w:tcW w:w="3535" w:type="dxa"/>
                        <w:vMerge w:val="restart"/>
                        <w:tcBorders>
                          <w:top w:val="single" w:sz="4" w:space="0" w:color="000000"/>
                          <w:left w:val="single" w:sz="4" w:space="0" w:color="000000"/>
                          <w:right w:val="single" w:sz="13" w:space="0" w:color="D4D4D4"/>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中国电子检验检疫主干系统</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12" w:space="0" w:color="D4D4D4"/>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中国电子检验检疫在全国范围的信息化平台及应用系统；进一步完 善、整合和推广中国电子检验检疫</w:t>
                        </w:r>
                        <w:r>
                          <w:rPr>
                            <w:rFonts w:ascii="Times New Roman" w:hAnsi="Times New Roman" w:cs="Times New Roman" w:eastAsia="Times New Roman" w:hint="default"/>
                            <w:sz w:val="18"/>
                            <w:szCs w:val="18"/>
                          </w:rPr>
                          <w:t>"</w:t>
                        </w:r>
                        <w:r>
                          <w:rPr>
                            <w:rFonts w:ascii="宋体" w:hAnsi="宋体" w:cs="宋体" w:eastAsia="宋体" w:hint="default"/>
                            <w:sz w:val="18"/>
                            <w:szCs w:val="18"/>
                          </w:rPr>
                          <w:t>十一五</w:t>
                        </w:r>
                        <w:r>
                          <w:rPr>
                            <w:rFonts w:ascii="Times New Roman" w:hAnsi="Times New Roman" w:cs="Times New Roman" w:eastAsia="Times New Roman" w:hint="default"/>
                            <w:sz w:val="18"/>
                            <w:szCs w:val="18"/>
                          </w:rPr>
                          <w:t>"</w:t>
                        </w:r>
                        <w:r>
                          <w:rPr>
                            <w:rFonts w:ascii="宋体" w:hAnsi="宋体" w:cs="宋体" w:eastAsia="宋体" w:hint="default"/>
                            <w:sz w:val="18"/>
                            <w:szCs w:val="18"/>
                          </w:rPr>
                          <w:t>时期建成的各项信息化应</w:t>
                        </w:r>
                      </w:p>
                    </w:tc>
                  </w:tr>
                  <w:tr>
                    <w:trPr>
                      <w:trHeight w:val="391" w:hRule="exact"/>
                    </w:trPr>
                    <w:tc>
                      <w:tcPr>
                        <w:tcW w:w="3535" w:type="dxa"/>
                        <w:vMerge/>
                        <w:tcBorders>
                          <w:left w:val="single" w:sz="4" w:space="0" w:color="000000"/>
                          <w:right w:val="single" w:sz="13"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12" w:space="0" w:color="D4D4D4"/>
                          <w:right w:val="single" w:sz="4" w:space="0" w:color="000000"/>
                        </w:tcBorders>
                      </w:tcPr>
                      <w:p>
                        <w:pPr/>
                      </w:p>
                    </w:tc>
                  </w:tr>
                  <w:tr>
                    <w:trPr>
                      <w:trHeight w:val="142" w:hRule="exact"/>
                    </w:trPr>
                    <w:tc>
                      <w:tcPr>
                        <w:tcW w:w="3535" w:type="dxa"/>
                        <w:vMerge/>
                        <w:tcBorders>
                          <w:left w:val="single" w:sz="4" w:space="0" w:color="000000"/>
                          <w:bottom w:val="single" w:sz="4" w:space="0" w:color="000000"/>
                          <w:right w:val="single" w:sz="13"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12" w:space="0" w:color="D4D4D4"/>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60"/>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4"/>
        <w:gridCol w:w="620"/>
        <w:gridCol w:w="5424"/>
      </w:tblGrid>
      <w:tr>
        <w:trPr>
          <w:trHeight w:val="674"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用而建成高速、泛在的信息基础云设施、实现数据大集中、应用大集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中、支撑平台大集中的项目</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三电工程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的重要组成部分，包括</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电子申报、电子监管、电子放行</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三大电子化业务应用</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电子申报</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质量监督检验检疫原产地证电子签证及检验检疫电子报检</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电子监管</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以检验检疫综合业务管理系统为基础，利用信息化手段对企业生产加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工过程、实验室检测、产品质量控制等检验检疫及监督管理工作实施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电子化管理</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电子放行</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利用口岸电子执法系统和检验检疫广域网，实现检验检疫机构与海关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之间，检验检疫产地机构与口岸机构之间，在通关放行信息上的互联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互通</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协同管理软件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基于网络的、实现组织内部多人或者多组织共同完成管理事务、提高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组织的灵活性和应变能力的软件</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spacing w:before="0"/>
        <w:ind w:left="1617" w:right="162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4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公司存在的风险因素主要有人力资源管理和人力成本上升的风险、行业技</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术风险、公司管理能力风险、新业务投入风险等，有关主要风险因素及公司应</w:t>
      </w:r>
      <w:r>
        <w:rPr>
          <w:rFonts w:ascii="宋体" w:hAnsi="宋体" w:cs="宋体" w:eastAsia="宋体" w:hint="default"/>
          <w:b/>
          <w:bCs/>
          <w:spacing w:val="2"/>
          <w:w w:val="99"/>
          <w:sz w:val="28"/>
          <w:szCs w:val="28"/>
        </w:rPr>
        <w:t> </w:t>
      </w:r>
      <w:r>
        <w:rPr>
          <w:rFonts w:ascii="宋体" w:hAnsi="宋体" w:cs="宋体" w:eastAsia="宋体" w:hint="default"/>
          <w:b/>
          <w:bCs/>
          <w:sz w:val="28"/>
          <w:szCs w:val="28"/>
        </w:rPr>
        <w:t>对措施已在本报告第四节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董事会报告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119995pt;margin-top:269.159973pt;width:362.65pt;height:20.8pt;mso-position-horizontal-relative:page;mso-position-vertical-relative:page;z-index:-982744" coordorigin="3422,5383" coordsize="7253,416">
            <v:group style="position:absolute;left:3434;top:5395;width:2;height:392" coordorigin="3434,5395" coordsize="2,392">
              <v:shape style="position:absolute;left:3434;top:5395;width:2;height:392" coordorigin="3434,5395" coordsize="0,392" path="m3434,5395l3434,5786e" filled="false" stroked="true" strokeweight="1.2pt" strokecolor="#ffffff">
                <v:path arrowok="t"/>
              </v:shape>
            </v:group>
            <v:group style="position:absolute;left:3446;top:5395;width:7229;height:392" coordorigin="3446,5395" coordsize="7229,392">
              <v:shape style="position:absolute;left:3446;top:5395;width:7229;height:392" coordorigin="3446,5395" coordsize="7229,392" path="m3446,5786l10675,5786,10675,5395,3446,5395,3446,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1620"/>
        <w:jc w:val="center"/>
        <w:rPr>
          <w:b w:val="0"/>
          <w:bCs w:val="0"/>
        </w:rPr>
      </w:pPr>
      <w:bookmarkStart w:name="三、信息披露及备置地点" w:id="3"/>
      <w:bookmarkEnd w:id="3"/>
      <w:r>
        <w:rPr>
          <w:b w:val="0"/>
          <w:bCs w:val="0"/>
        </w:rPr>
      </w:r>
      <w:bookmarkStart w:name="第二节 公司简介" w:id="4"/>
      <w:bookmarkEnd w:id="4"/>
      <w:r>
        <w:rPr>
          <w:b w:val="0"/>
          <w:bCs w:val="0"/>
        </w:rPr>
      </w:r>
      <w:bookmarkStart w:name="_bookmark1" w:id="5"/>
      <w:bookmarkEnd w:id="5"/>
      <w:r>
        <w:rPr>
          <w:b w:val="0"/>
          <w:bCs w:val="0"/>
        </w:rPr>
      </w:r>
      <w:r>
        <w:rPr/>
        <w:t>第二节</w:t>
      </w:r>
      <w:r>
        <w:rPr>
          <w:spacing w:val="-4"/>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791"/>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76"/>
        <w:gridCol w:w="2132"/>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bookmarkStart w:name="一、公司信息" w:id="6"/>
            <w:bookmarkEnd w:id="6"/>
            <w:r>
              <w:rPr/>
            </w:r>
            <w:r>
              <w:rPr>
                <w:rFonts w:ascii="宋体" w:hAnsi="宋体" w:cs="宋体" w:eastAsia="宋体" w:hint="default"/>
                <w:sz w:val="18"/>
                <w:szCs w:val="18"/>
              </w:rPr>
              <w:t>榕基软件</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002474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FUJIAN RONGJI </w:t>
            </w:r>
            <w:r>
              <w:rPr>
                <w:rFonts w:ascii="Times New Roman"/>
                <w:spacing w:val="-3"/>
                <w:sz w:val="18"/>
              </w:rPr>
              <w:t>SOFTWARE </w:t>
            </w:r>
            <w:r>
              <w:rPr>
                <w:rFonts w:ascii="Times New Roman"/>
                <w:sz w:val="18"/>
              </w:rPr>
              <w:t>Co.,</w:t>
            </w:r>
            <w:r>
              <w:rPr>
                <w:rFonts w:ascii="Times New Roman"/>
                <w:spacing w:val="-3"/>
                <w:sz w:val="18"/>
              </w:rPr>
              <w:t> </w:t>
            </w:r>
            <w:r>
              <w:rPr>
                <w:rFonts w:ascii="Times New Roman"/>
                <w:sz w:val="18"/>
              </w:rPr>
              <w:t>Ltd.</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RONGJI</w:t>
            </w:r>
            <w:r>
              <w:rPr>
                <w:rFonts w:ascii="Times New Roman"/>
                <w:spacing w:val="-4"/>
                <w:sz w:val="18"/>
              </w:rPr>
              <w:t> </w:t>
            </w:r>
            <w:r>
              <w:rPr>
                <w:rFonts w:ascii="Times New Roman"/>
                <w:spacing w:val="-3"/>
                <w:sz w:val="18"/>
              </w:rPr>
              <w:t>SOFTWARE</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http://www.rongji.com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rongji@rongji.com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791"/>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陈略</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0591-83517761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0591-87303569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0591-87862566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0591-87862566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hyperlink r:id="rId11">
              <w:r>
                <w:rPr>
                  <w:rFonts w:ascii="Times New Roman"/>
                  <w:sz w:val="18"/>
                </w:rPr>
                <w:t>wanxiaoxiong@rongji.com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chenlve@rongji.com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791"/>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791"/>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523" w:right="72" w:hanging="452"/>
              <w:jc w:val="left"/>
              <w:rPr>
                <w:rFonts w:ascii="宋体" w:hAnsi="宋体" w:cs="宋体" w:eastAsia="宋体" w:hint="default"/>
                <w:sz w:val="18"/>
                <w:szCs w:val="18"/>
              </w:rPr>
            </w:pPr>
            <w:bookmarkStart w:name="四、注册变更情况" w:id="8"/>
            <w:bookmarkEnd w:id="8"/>
            <w:r>
              <w:rPr/>
            </w: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福建省工商行政管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闽工商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350111628507579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62850757-9</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福建省工商行政管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350000100001214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350111628507579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62850757-9</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791"/>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bookmarkStart w:name="五、其他有关资料" w:id="9"/>
            <w:bookmarkEnd w:id="9"/>
            <w:r>
              <w:rPr/>
            </w:r>
            <w:r>
              <w:rPr>
                <w:rFonts w:ascii="宋体" w:hAnsi="宋体" w:cs="宋体" w:eastAsia="宋体" w:hint="default"/>
                <w:sz w:val="18"/>
                <w:szCs w:val="18"/>
              </w:rPr>
              <w:t>致同会计师事务所（特殊普通合伙）</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福建省厦门市珍珠湾软件园创新大厦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吴乐霖、曾徽</w:t>
            </w:r>
          </w:p>
        </w:tc>
      </w:tr>
    </w:tbl>
    <w:p>
      <w:pPr>
        <w:pStyle w:val="BodyText"/>
        <w:spacing w:line="240" w:lineRule="auto" w:before="49"/>
        <w:ind w:right="791"/>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1" w:right="791"/>
        <w:jc w:val="left"/>
        <w:rPr>
          <w:b w:val="0"/>
          <w:bCs w:val="0"/>
        </w:rPr>
      </w:pPr>
      <w:bookmarkStart w:name="2、同时按照境外会计准则与按照中国会计准则披露的财务报告中净利润和净资产差异情况" w:id="10"/>
      <w:bookmarkEnd w:id="10"/>
      <w:r>
        <w:rPr>
          <w:b w:val="0"/>
          <w:bCs w:val="0"/>
        </w:rPr>
      </w:r>
      <w:bookmarkStart w:name="三、非经常性损益项目及金额" w:id="11"/>
      <w:bookmarkEnd w:id="11"/>
      <w:r>
        <w:rPr>
          <w:b w:val="0"/>
          <w:bCs w:val="0"/>
        </w:rPr>
      </w:r>
      <w:bookmarkStart w:name="第三节 会计数据和财务指标摘要" w:id="12"/>
      <w:bookmarkEnd w:id="12"/>
      <w:r>
        <w:rPr>
          <w:b w:val="0"/>
          <w:bCs w:val="0"/>
        </w:rPr>
      </w:r>
      <w:bookmarkStart w:name="_bookmark2" w:id="13"/>
      <w:bookmarkEnd w:id="13"/>
      <w:r>
        <w:rPr>
          <w:b w:val="0"/>
          <w:bCs w:val="0"/>
        </w:rPr>
      </w:r>
      <w:r>
        <w:rPr/>
        <w:t>第三节</w:t>
      </w:r>
      <w:r>
        <w:rPr>
          <w:spacing w:val="-7"/>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791"/>
        <w:jc w:val="left"/>
        <w:rPr>
          <w:b w:val="0"/>
          <w:bCs w:val="0"/>
        </w:rPr>
      </w:pPr>
      <w:r>
        <w:rPr/>
        <w:t>一、主要会计</w:t>
      </w:r>
      <w:bookmarkStart w:name="一、主要会计数据和财务指标" w:id="14"/>
      <w:bookmarkEnd w:id="14"/>
      <w:r>
        <w:rPr/>
        <w:t>数</w:t>
      </w:r>
      <w:r>
        <w:rPr/>
        <w:t>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公司是否因会计政策变更及会计差错更正等追溯调整或重述以前年度会计数据</w:t>
      </w:r>
    </w:p>
    <w:p>
      <w:pPr>
        <w:pStyle w:val="BodyText"/>
        <w:spacing w:line="240" w:lineRule="auto" w:before="117"/>
        <w:ind w:right="7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598,305,165.28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603,142,394.74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568,319,810.56</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22,250,622.89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62,838,706.64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-1,338,504.83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49,841,085.97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-102.69%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119,754,808.44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-43,156,140.17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57,140,556.07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-175.53%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118,258,078.90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0.0358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0.2020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0.3997</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0.0358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0.2020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0.3997</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1,686,154,881.95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1,580,829,480.17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1,489,736,073.92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1,355,839,634.45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1,350,150,043.04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1,318,910,791.09</w:t>
            </w:r>
          </w:p>
        </w:tc>
      </w:tr>
    </w:tbl>
    <w:p>
      <w:pPr>
        <w:spacing w:line="240" w:lineRule="auto" w:before="1"/>
        <w:rPr>
          <w:rFonts w:ascii="宋体" w:hAnsi="宋体" w:cs="宋体" w:eastAsia="宋体" w:hint="default"/>
          <w:sz w:val="18"/>
          <w:szCs w:val="18"/>
        </w:rPr>
      </w:pPr>
    </w:p>
    <w:p>
      <w:pPr>
        <w:pStyle w:val="Heading2"/>
        <w:spacing w:line="240" w:lineRule="auto" w:before="26"/>
        <w:ind w:right="791"/>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791"/>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3"/>
        <w:jc w:val="right"/>
      </w:pPr>
      <w:bookmarkStart w:name="二、境内外会计准则下会计数据差异" w:id="15"/>
      <w:bookmarkEnd w:id="15"/>
      <w:r>
        <w:rPr/>
      </w:r>
      <w:bookmarkStart w:name="1、同时按照国际会计准则与按照中国会计准则披露的财务报告中净利润和净资产差异情况" w:id="16"/>
      <w:bookmarkEnd w:id="16"/>
      <w:r>
        <w:rPr/>
      </w:r>
      <w:r>
        <w:rPr/>
        <w:t>单位：元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-1,160,681.25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-121,872.12</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4,643,214.66</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8,341,298.51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5,108,000.20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24,293,468.96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8,163,733.45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-50,851.91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-142,140.01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49,789.03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5,280,562.88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2,204,294.23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441,351.02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16,141.11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4,767.34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23,589,127.72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12,997,620.67</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pacing w:val="-1"/>
                <w:sz w:val="18"/>
              </w:rPr>
              <w:t>4,589,798.75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footerReference w:type="default" r:id="rId14"/>
          <w:pgSz w:w="11910" w:h="16840"/>
          <w:pgMar w:footer="982" w:header="745" w:top="1060" w:bottom="1180" w:left="980" w:right="98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89" w:right="3626"/>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186"/>
        <w:jc w:val="left"/>
      </w:pPr>
      <w:r>
        <w:rPr>
          <w:rFonts w:ascii="Times New Roman" w:hAnsi="Times New Roman" w:cs="Times New Roman" w:eastAsia="Times New Roman" w:hint="default"/>
        </w:rPr>
        <w:t>1</w:t>
      </w:r>
      <w:bookmarkStart w:name="一、概述" w:id="19"/>
      <w:bookmarkEnd w:id="19"/>
      <w:r>
        <w:rPr>
          <w:rFonts w:ascii="Times New Roman" w:hAnsi="Times New Roman" w:cs="Times New Roman" w:eastAsia="Times New Roman" w:hint="default"/>
        </w:rPr>
      </w:r>
      <w:r>
        <w:rPr/>
        <w:t>、总体经营情况</w:t>
      </w:r>
    </w:p>
    <w:p>
      <w:pPr>
        <w:pStyle w:val="BodyText"/>
        <w:spacing w:line="312" w:lineRule="auto" w:before="103"/>
        <w:ind w:left="153" w:right="190" w:firstLine="359"/>
        <w:jc w:val="both"/>
      </w:pPr>
      <w:r>
        <w:rPr>
          <w:rFonts w:ascii="Times New Roman" w:hAnsi="Times New Roman" w:cs="Times New Roman" w:eastAsia="Times New Roman" w:hint="default"/>
          <w:spacing w:val="-2"/>
        </w:rPr>
        <w:t>2014</w:t>
      </w:r>
      <w:r>
        <w:rPr>
          <w:spacing w:val="-2"/>
        </w:rPr>
        <w:t>年，在公司经营管理班子和全体员工的共同努力下，公司继续推进软件</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经营布局，持续</w:t>
      </w:r>
      <w:r>
        <w:rPr/>
        <w:t> </w:t>
      </w:r>
      <w:r>
        <w:rPr>
          <w:spacing w:val="-2"/>
        </w:rPr>
        <w:t>加大产品研发的投入和力度，巩固了电子政务、信息安全、质检三电工程和协同管理四大业务领域优势，积极培育以移动通</w:t>
      </w:r>
      <w:r>
        <w:rPr>
          <w:spacing w:val="-64"/>
        </w:rPr>
        <w:t> </w:t>
      </w:r>
      <w:r>
        <w:rPr>
          <w:spacing w:val="-64"/>
        </w:rPr>
      </w:r>
      <w:r>
        <w:rPr>
          <w:spacing w:val="-2"/>
        </w:rPr>
        <w:t>讯技术、互联网技术为基础的新业务，致力于传统和创新两大运营服务体系建设，开拓了新的业务增长点，提升了公司的竞</w:t>
      </w:r>
      <w:r>
        <w:rPr>
          <w:spacing w:val="-65"/>
        </w:rPr>
        <w:t> </w:t>
      </w:r>
      <w:r>
        <w:rPr>
          <w:spacing w:val="-65"/>
        </w:rPr>
      </w:r>
      <w:r>
        <w:rPr/>
        <w:t>争力。</w:t>
      </w:r>
    </w:p>
    <w:p>
      <w:pPr>
        <w:pStyle w:val="BodyText"/>
        <w:spacing w:line="240" w:lineRule="auto" w:before="63"/>
        <w:ind w:left="572" w:right="18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年公司重要经营管理事项回顾</w:t>
      </w:r>
    </w:p>
    <w:p>
      <w:pPr>
        <w:pStyle w:val="BodyText"/>
        <w:spacing w:line="300" w:lineRule="auto" w:before="101"/>
        <w:ind w:left="153" w:right="190"/>
        <w:jc w:val="both"/>
      </w:pPr>
      <w:r>
        <w:rPr/>
        <w:t>（</w:t>
      </w:r>
      <w:r>
        <w:rPr>
          <w:rFonts w:ascii="Times New Roman" w:hAnsi="Times New Roman" w:cs="Times New Roman" w:eastAsia="Times New Roman" w:hint="default"/>
        </w:rPr>
        <w:t>1</w:t>
      </w:r>
      <w:r>
        <w:rPr/>
        <w:t>）公司积极回馈股东，维护广大投资者利益，树立良好形象。报告期公司根据《公司章程》及《公司分红政策及未来三</w:t>
      </w:r>
      <w:r>
        <w:rPr>
          <w:spacing w:val="-84"/>
        </w:rPr>
        <w:t> </w:t>
      </w:r>
      <w:r>
        <w:rPr>
          <w:spacing w:val="-84"/>
        </w:rPr>
      </w:r>
      <w:r>
        <w:rPr>
          <w:spacing w:val="-3"/>
        </w:rPr>
        <w:t>年股东回报规划（</w:t>
      </w:r>
      <w:r>
        <w:rPr>
          <w:rFonts w:ascii="Times New Roman" w:hAnsi="Times New Roman" w:cs="Times New Roman" w:eastAsia="Times New Roman" w:hint="default"/>
          <w:spacing w:val="-3"/>
        </w:rPr>
        <w:t>2012-2014</w:t>
      </w:r>
      <w:r>
        <w:rPr>
          <w:spacing w:val="-3"/>
        </w:rPr>
        <w:t>）》关于利润分配的相关条款，顺利完成了</w:t>
      </w:r>
      <w:r>
        <w:rPr>
          <w:rFonts w:ascii="Times New Roman" w:hAnsi="Times New Roman" w:cs="Times New Roman" w:eastAsia="Times New Roman" w:hint="default"/>
          <w:spacing w:val="-3"/>
        </w:rPr>
        <w:t>2013</w:t>
      </w:r>
      <w:r>
        <w:rPr>
          <w:spacing w:val="-3"/>
        </w:rPr>
        <w:t>年年度权益分配方案：以现有总股本</w:t>
      </w:r>
      <w:r>
        <w:rPr>
          <w:rFonts w:ascii="Times New Roman" w:hAnsi="Times New Roman" w:cs="Times New Roman" w:eastAsia="Times New Roman" w:hint="default"/>
          <w:spacing w:val="-3"/>
        </w:rPr>
        <w:t>311,100,000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1"/>
        </w:rPr>
        <w:t>股为基数，向全体股东按每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0.5</w:t>
      </w:r>
      <w:r>
        <w:rPr>
          <w:spacing w:val="-1"/>
        </w:rPr>
        <w:t>元人民币现金（含税），共派发股利</w:t>
      </w:r>
      <w:r>
        <w:rPr>
          <w:rFonts w:ascii="Times New Roman" w:hAnsi="Times New Roman" w:cs="Times New Roman" w:eastAsia="Times New Roman" w:hint="default"/>
          <w:spacing w:val="-1"/>
        </w:rPr>
        <w:t>15,555,000</w:t>
      </w:r>
      <w:r>
        <w:rPr>
          <w:spacing w:val="-1"/>
        </w:rPr>
        <w:t>元；同时以资本公积金向全体股东</w:t>
      </w:r>
      <w:r>
        <w:rPr>
          <w:spacing w:val="-75"/>
        </w:rPr>
        <w:t> </w:t>
      </w:r>
      <w:r>
        <w:rPr>
          <w:spacing w:val="-75"/>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5</w:t>
      </w:r>
      <w:r>
        <w:rPr/>
        <w:t>月，公司</w:t>
      </w:r>
      <w:r>
        <w:rPr>
          <w:rFonts w:ascii="Times New Roman" w:hAnsi="Times New Roman" w:cs="Times New Roman" w:eastAsia="Times New Roman" w:hint="default"/>
        </w:rPr>
        <w:t>2013</w:t>
      </w:r>
      <w:r>
        <w:rPr/>
        <w:t>年年度权益分配方案实施完毕，并办理工商注册变更。</w:t>
      </w:r>
    </w:p>
    <w:p>
      <w:pPr>
        <w:pStyle w:val="BodyText"/>
        <w:spacing w:line="240" w:lineRule="auto" w:before="13"/>
        <w:ind w:left="153"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t>月，公司荣获</w:t>
      </w:r>
      <w:r>
        <w:rPr>
          <w:rFonts w:ascii="Times New Roman" w:hAnsi="Times New Roman" w:cs="Times New Roman" w:eastAsia="Times New Roman" w:hint="default"/>
        </w:rPr>
        <w:t>“2013</w:t>
      </w:r>
      <w:r>
        <w:rPr/>
        <w:t>年度省级工商信用优异经营户（</w:t>
      </w:r>
      <w:r>
        <w:rPr>
          <w:rFonts w:ascii="Times New Roman" w:hAnsi="Times New Roman" w:cs="Times New Roman" w:eastAsia="Times New Roman" w:hint="default"/>
        </w:rPr>
        <w:t>AAA</w:t>
      </w:r>
      <w:r>
        <w:rPr/>
        <w:t>级）</w:t>
      </w:r>
      <w:r>
        <w:rPr>
          <w:rFonts w:ascii="Times New Roman" w:hAnsi="Times New Roman" w:cs="Times New Roman" w:eastAsia="Times New Roman" w:hint="default"/>
        </w:rPr>
        <w:t>”</w:t>
      </w:r>
      <w:r>
        <w:rPr/>
        <w:t>。</w:t>
      </w:r>
    </w:p>
    <w:p>
      <w:pPr>
        <w:pStyle w:val="BodyText"/>
        <w:spacing w:line="300" w:lineRule="auto" w:before="62"/>
        <w:ind w:right="19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3</w:t>
      </w:r>
      <w:r>
        <w:rPr/>
        <w:t>月，榕基工程完成增资工商注册，注册资本变更为</w:t>
      </w:r>
      <w:r>
        <w:rPr>
          <w:rFonts w:ascii="Times New Roman" w:hAnsi="Times New Roman" w:cs="Times New Roman" w:eastAsia="Times New Roman" w:hint="default"/>
        </w:rPr>
        <w:t>10,500</w:t>
      </w:r>
      <w:r>
        <w:rPr/>
        <w:t>万元；五一公司完成增资工商注册，注册资本变更为</w:t>
      </w:r>
      <w:r>
        <w:rPr>
          <w:rFonts w:ascii="Times New Roman" w:hAnsi="Times New Roman" w:cs="Times New Roman" w:eastAsia="Times New Roman" w:hint="default"/>
        </w:rPr>
        <w:t>5,100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万元；榕基国际增资由香港公司注册处核准通过，注册资本变更为</w:t>
      </w:r>
      <w:r>
        <w:rPr>
          <w:rFonts w:ascii="Times New Roman" w:hAnsi="Times New Roman" w:cs="Times New Roman" w:eastAsia="Times New Roman" w:hint="default"/>
        </w:rPr>
        <w:t>10,000</w:t>
      </w:r>
      <w:r>
        <w:rPr/>
        <w:t>万元港币。</w:t>
      </w:r>
    </w:p>
    <w:p>
      <w:pPr>
        <w:pStyle w:val="BodyText"/>
        <w:spacing w:line="300" w:lineRule="auto" w:before="13"/>
        <w:ind w:left="153" w:right="188" w:hanging="1"/>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4</w:t>
      </w:r>
      <w:r>
        <w:rPr/>
        <w:t>月，公司产品</w:t>
      </w:r>
      <w:r>
        <w:rPr>
          <w:rFonts w:ascii="Times New Roman" w:hAnsi="Times New Roman" w:cs="Times New Roman" w:eastAsia="Times New Roman" w:hint="default"/>
        </w:rPr>
        <w:t>RJ-iTop</w:t>
      </w:r>
      <w:r>
        <w:rPr/>
        <w:t>榕基网络隐患扫描系统被授予</w:t>
      </w:r>
      <w:r>
        <w:rPr>
          <w:rFonts w:ascii="Times New Roman" w:hAnsi="Times New Roman" w:cs="Times New Roman" w:eastAsia="Times New Roman" w:hint="default"/>
        </w:rPr>
        <w:t>“2013</w:t>
      </w:r>
      <w:r>
        <w:rPr/>
        <w:t>年福建省用户满意产品</w:t>
      </w:r>
      <w:r>
        <w:rPr>
          <w:rFonts w:ascii="Times New Roman" w:hAnsi="Times New Roman" w:cs="Times New Roman" w:eastAsia="Times New Roman" w:hint="default"/>
        </w:rPr>
        <w:t>”</w:t>
      </w:r>
      <w:r>
        <w:rPr/>
        <w:t>称号，并通过中国国家强制性产品</w:t>
      </w:r>
      <w:r>
        <w:rPr>
          <w:spacing w:val="-36"/>
        </w:rPr>
        <w:t> </w:t>
      </w:r>
      <w:r>
        <w:rPr>
          <w:spacing w:val="-36"/>
        </w:rPr>
      </w:r>
      <w:r>
        <w:rPr/>
        <w:t>认证。</w:t>
      </w:r>
    </w:p>
    <w:p>
      <w:pPr>
        <w:pStyle w:val="BodyText"/>
        <w:spacing w:line="240" w:lineRule="auto" w:before="31"/>
        <w:ind w:left="153" w:right="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5</w:t>
      </w:r>
      <w:r>
        <w:rPr/>
        <w:t>月，沈阳榕基信息技术有限公司完成工商注册。</w:t>
      </w:r>
    </w:p>
    <w:p>
      <w:pPr>
        <w:pStyle w:val="BodyText"/>
        <w:spacing w:line="309" w:lineRule="auto" w:before="62"/>
        <w:ind w:left="153" w:right="192"/>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5</w:t>
      </w:r>
      <w:r>
        <w:rPr>
          <w:spacing w:val="-2"/>
        </w:rPr>
        <w:t>月，公司与国家质检总局签订了建设中国电子检验检疫主干系统服务总线开发集成项目的合同，公司承建该项目充分</w:t>
      </w:r>
      <w:r>
        <w:rPr>
          <w:spacing w:val="-65"/>
        </w:rPr>
        <w:t> </w:t>
      </w:r>
      <w:r>
        <w:rPr>
          <w:spacing w:val="-65"/>
        </w:rPr>
      </w:r>
      <w:r>
        <w:rPr>
          <w:spacing w:val="-2"/>
        </w:rPr>
        <w:t>体现了榕基软件在质检信息化领域的研发、创新实力。后续该项目的顺利实施，将有利于巩固与提升榕基软件在质检信息化</w:t>
      </w:r>
      <w:r>
        <w:rPr>
          <w:spacing w:val="-66"/>
        </w:rPr>
        <w:t> </w:t>
      </w:r>
      <w:r>
        <w:rPr>
          <w:spacing w:val="-66"/>
        </w:rPr>
      </w:r>
      <w:r>
        <w:rPr/>
        <w:t>领域的影响力，并推动公司在该战略领域的进一步拓展。</w:t>
      </w:r>
    </w:p>
    <w:p>
      <w:pPr>
        <w:pStyle w:val="BodyText"/>
        <w:spacing w:line="240" w:lineRule="auto" w:before="24"/>
        <w:ind w:left="153" w:right="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5</w:t>
      </w:r>
      <w:r>
        <w:rPr/>
        <w:t>月，公司获得武器装备质量体系认证委员会颁发的</w:t>
      </w:r>
      <w:r>
        <w:rPr>
          <w:rFonts w:ascii="Times New Roman" w:hAnsi="Times New Roman" w:cs="Times New Roman" w:eastAsia="Times New Roman" w:hint="default"/>
        </w:rPr>
        <w:t>“</w:t>
      </w:r>
      <w:r>
        <w:rPr/>
        <w:t>武器装备质量体系认证证书</w:t>
      </w:r>
      <w:r>
        <w:rPr>
          <w:rFonts w:ascii="Times New Roman" w:hAnsi="Times New Roman" w:cs="Times New Roman" w:eastAsia="Times New Roman" w:hint="default"/>
        </w:rPr>
        <w:t>”</w:t>
      </w:r>
      <w:r>
        <w:rPr/>
        <w:t>。</w:t>
      </w:r>
    </w:p>
    <w:p>
      <w:pPr>
        <w:pStyle w:val="BodyText"/>
        <w:spacing w:line="300" w:lineRule="auto" w:before="62"/>
        <w:ind w:left="153" w:right="106" w:hanging="1"/>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6</w:t>
      </w:r>
      <w:r>
        <w:rPr/>
        <w:t>月，公司以人民币</w:t>
      </w:r>
      <w:r>
        <w:rPr>
          <w:rFonts w:ascii="Times New Roman" w:hAnsi="Times New Roman" w:cs="Times New Roman" w:eastAsia="Times New Roman" w:hint="default"/>
        </w:rPr>
        <w:t>4,340</w:t>
      </w:r>
      <w:r>
        <w:rPr/>
        <w:t>万元认购厦门国际银行股份有限公司新发行股份</w:t>
      </w:r>
      <w:r>
        <w:rPr>
          <w:rFonts w:ascii="Times New Roman" w:hAnsi="Times New Roman" w:cs="Times New Roman" w:eastAsia="Times New Roman" w:hint="default"/>
        </w:rPr>
        <w:t>700</w:t>
      </w:r>
      <w:r>
        <w:rPr/>
        <w:t>万股（每股价格人民币</w:t>
      </w:r>
      <w:r>
        <w:rPr>
          <w:rFonts w:ascii="Times New Roman" w:hAnsi="Times New Roman" w:cs="Times New Roman" w:eastAsia="Times New Roman" w:hint="default"/>
        </w:rPr>
        <w:t>6.2</w:t>
      </w:r>
      <w:r>
        <w:rPr/>
        <w:t>元</w:t>
      </w:r>
      <w:r>
        <w:rPr>
          <w:rFonts w:ascii="Times New Roman" w:hAnsi="Times New Roman" w:cs="Times New Roman" w:eastAsia="Times New Roman" w:hint="default"/>
        </w:rPr>
        <w:t>/</w:t>
      </w:r>
      <w:r>
        <w:rPr/>
        <w:t>股）。本次</w:t>
      </w:r>
      <w:r>
        <w:rPr>
          <w:spacing w:val="-53"/>
        </w:rPr>
        <w:t> </w:t>
      </w:r>
      <w:r>
        <w:rPr>
          <w:spacing w:val="-53"/>
        </w:rPr>
      </w:r>
      <w:r>
        <w:rPr/>
        <w:t>投资将有利于公司建立良好的银企合作关系，进一步优化公司的对外投资结构，提高公司资金利用效率及未来的投资收益。</w:t>
      </w:r>
    </w:p>
    <w:p>
      <w:pPr>
        <w:pStyle w:val="BodyText"/>
        <w:spacing w:line="300" w:lineRule="auto" w:before="72"/>
        <w:ind w:left="153" w:right="249" w:hanging="1"/>
        <w:jc w:val="both"/>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9</w:t>
      </w:r>
      <w:r>
        <w:rPr/>
        <w:t>月，公司九款信息安全产品入围</w:t>
      </w:r>
      <w:r>
        <w:rPr>
          <w:rFonts w:ascii="Times New Roman" w:hAnsi="Times New Roman" w:cs="Times New Roman" w:eastAsia="Times New Roman" w:hint="default"/>
        </w:rPr>
        <w:t>2014</w:t>
      </w:r>
      <w:r>
        <w:rPr/>
        <w:t>年中央政府采购，产品涵盖漏洞扫描、终端安全管理设备、</w:t>
      </w:r>
      <w:r>
        <w:rPr>
          <w:rFonts w:ascii="Times New Roman" w:hAnsi="Times New Roman" w:cs="Times New Roman" w:eastAsia="Times New Roman" w:hint="default"/>
        </w:rPr>
        <w:t>WEB</w:t>
      </w:r>
      <w:r>
        <w:rPr/>
        <w:t>应用安全防护 系统、运维安全审计、文档加密系统等五类。</w:t>
      </w:r>
    </w:p>
    <w:p>
      <w:pPr>
        <w:pStyle w:val="BodyText"/>
        <w:spacing w:line="309" w:lineRule="auto" w:before="70"/>
        <w:ind w:left="153" w:right="192"/>
        <w:jc w:val="both"/>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9</w:t>
      </w:r>
      <w:r>
        <w:rPr/>
        <w:t>月，由公司开发的中国电子检验检疫主干系统通过在天津通过国家质检总局组织开展的用户测试，测试的通过，预 </w:t>
      </w:r>
      <w:r>
        <w:rPr>
          <w:spacing w:val="-2"/>
        </w:rPr>
        <w:t>示着国家质检总局出入境检验检疫业务信息化进程向前迈出了一大步，对检验检疫改革，提高检验检疫通关效率，降低企业</w:t>
      </w:r>
      <w:r>
        <w:rPr>
          <w:spacing w:val="-65"/>
        </w:rPr>
        <w:t> </w:t>
      </w:r>
      <w:r>
        <w:rPr>
          <w:spacing w:val="-65"/>
        </w:rPr>
      </w:r>
      <w:r>
        <w:rPr/>
        <w:t>负担，避免执法风险具有重大的历史意义。</w:t>
      </w:r>
    </w:p>
    <w:p>
      <w:pPr>
        <w:pStyle w:val="BodyText"/>
        <w:spacing w:line="300" w:lineRule="auto" w:before="65"/>
        <w:ind w:left="153" w:right="244"/>
        <w:jc w:val="both"/>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9</w:t>
      </w:r>
      <w:r>
        <w:rPr/>
        <w:t>月，榕基国际增资由香港公司注册处核准通过，注册资本变更为</w:t>
      </w:r>
      <w:r>
        <w:rPr>
          <w:rFonts w:ascii="Times New Roman" w:hAnsi="Times New Roman" w:cs="Times New Roman" w:eastAsia="Times New Roman" w:hint="default"/>
        </w:rPr>
        <w:t>20,000</w:t>
      </w:r>
      <w:r>
        <w:rPr/>
        <w:t>万元港币；上海榕基完成增资工商注册，注 册资本变更为</w:t>
      </w:r>
      <w:r>
        <w:rPr>
          <w:rFonts w:ascii="Times New Roman" w:hAnsi="Times New Roman" w:cs="Times New Roman" w:eastAsia="Times New Roman" w:hint="default"/>
        </w:rPr>
        <w:t>10,000</w:t>
      </w:r>
      <w:r>
        <w:rPr/>
        <w:t>万元。</w:t>
      </w:r>
    </w:p>
    <w:p>
      <w:pPr>
        <w:pStyle w:val="BodyText"/>
        <w:spacing w:line="240" w:lineRule="auto" w:before="53"/>
        <w:ind w:left="153" w:right="0"/>
        <w:jc w:val="both"/>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9</w:t>
      </w:r>
      <w:r>
        <w:rPr/>
        <w:t>月，榕基工程参与竞买闽侯县国土资源局宗地编号为宗地</w:t>
      </w:r>
      <w:r>
        <w:rPr>
          <w:rFonts w:ascii="Times New Roman" w:hAnsi="Times New Roman" w:cs="Times New Roman" w:eastAsia="Times New Roman" w:hint="default"/>
        </w:rPr>
        <w:t>2014</w:t>
      </w:r>
      <w:r>
        <w:rPr/>
        <w:t>挂（工业）</w:t>
      </w:r>
      <w:r>
        <w:rPr>
          <w:rFonts w:ascii="Times New Roman" w:hAnsi="Times New Roman" w:cs="Times New Roman" w:eastAsia="Times New Roman" w:hint="default"/>
        </w:rPr>
        <w:t>16</w:t>
      </w:r>
      <w:r>
        <w:rPr/>
        <w:t>号国有建设用地使用权，以总价人民币</w:t>
      </w:r>
    </w:p>
    <w:p>
      <w:pPr>
        <w:pStyle w:val="BodyText"/>
        <w:spacing w:line="240" w:lineRule="auto" w:before="62"/>
        <w:ind w:left="153" w:right="0"/>
        <w:jc w:val="both"/>
      </w:pPr>
      <w:r>
        <w:rPr>
          <w:rFonts w:ascii="Times New Roman" w:hAnsi="Times New Roman" w:cs="Times New Roman" w:eastAsia="Times New Roman" w:hint="default"/>
        </w:rPr>
        <w:t>8,789,000</w:t>
      </w:r>
      <w:r>
        <w:rPr/>
        <w:t>元竞得该地块国有建设用地使用权；</w:t>
      </w:r>
      <w:r>
        <w:rPr>
          <w:rFonts w:ascii="Times New Roman" w:hAnsi="Times New Roman" w:cs="Times New Roman" w:eastAsia="Times New Roman" w:hint="default"/>
        </w:rPr>
        <w:t>10</w:t>
      </w:r>
      <w:r>
        <w:rPr/>
        <w:t>月，榕基工程与闽侯县国土资源局签订《国有建设用地使用权出让合同》。</w:t>
      </w:r>
    </w:p>
    <w:p>
      <w:pPr>
        <w:pStyle w:val="BodyText"/>
        <w:spacing w:line="300" w:lineRule="auto" w:before="103"/>
        <w:ind w:left="153" w:right="192"/>
        <w:jc w:val="both"/>
      </w:pPr>
      <w:r>
        <w:rPr>
          <w:spacing w:val="-2"/>
        </w:rPr>
        <w:t>（</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9</w:t>
      </w:r>
      <w:r>
        <w:rPr>
          <w:spacing w:val="-2"/>
        </w:rPr>
        <w:t>月，公司中标河南省中小企业公共服务平台网络软件开发项目。本项目遵循</w:t>
      </w:r>
      <w:r>
        <w:rPr>
          <w:rFonts w:ascii="Times New Roman" w:hAnsi="Times New Roman" w:cs="Times New Roman" w:eastAsia="Times New Roman" w:hint="default"/>
          <w:spacing w:val="-2"/>
        </w:rPr>
        <w:t>“</w:t>
      </w:r>
      <w:r>
        <w:rPr>
          <w:spacing w:val="-2"/>
        </w:rPr>
        <w:t>打造平台、整合资源、分布实施、市场</w:t>
      </w:r>
      <w:r>
        <w:rPr>
          <w:spacing w:val="-57"/>
        </w:rPr>
        <w:t> </w:t>
      </w:r>
      <w:r>
        <w:rPr>
          <w:spacing w:val="-57"/>
        </w:rPr>
      </w:r>
      <w:r>
        <w:rPr/>
        <w:t>运营</w:t>
      </w:r>
      <w:r>
        <w:rPr>
          <w:rFonts w:ascii="Times New Roman" w:hAnsi="Times New Roman" w:cs="Times New Roman" w:eastAsia="Times New Roman" w:hint="default"/>
        </w:rPr>
        <w:t>”</w:t>
      </w:r>
      <w:r>
        <w:rPr/>
        <w:t>的建设思路，统筹规划，分步建设河南省中小企业公共服务平台。该平台坚持公益性服务和市场化运作相结合，遵循 政府引导、社会服务参与、市场化运作、机构协同发展的原则，实现服务平台的健康可持续发展。</w:t>
      </w:r>
    </w:p>
    <w:p>
      <w:pPr>
        <w:pStyle w:val="BodyText"/>
        <w:spacing w:line="300" w:lineRule="auto" w:before="72"/>
        <w:ind w:left="153" w:right="215"/>
        <w:jc w:val="both"/>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25"/>
        </w:rPr>
        <w:t> </w:t>
      </w:r>
      <w:r>
        <w:rPr/>
        <w:t>月，公司获得中央财政</w:t>
      </w:r>
      <w:r>
        <w:rPr>
          <w:rFonts w:ascii="宋体" w:hAnsi="宋体" w:cs="宋体" w:eastAsia="宋体" w:hint="default"/>
        </w:rPr>
        <w:t>2014</w:t>
      </w:r>
      <w:r>
        <w:rPr/>
        <w:t>年度国家物联网发展补助资金</w:t>
      </w:r>
      <w:r>
        <w:rPr>
          <w:rFonts w:ascii="宋体" w:hAnsi="宋体" w:cs="宋体" w:eastAsia="宋体" w:hint="default"/>
        </w:rPr>
        <w:t>550</w:t>
      </w:r>
      <w:r>
        <w:rPr/>
        <w:t>万元用于基于物联网的西北区域空气质量监测及分析 系统研制及应用示范项目的专项建设。</w:t>
      </w:r>
    </w:p>
    <w:p>
      <w:pPr>
        <w:pStyle w:val="BodyText"/>
        <w:spacing w:line="240" w:lineRule="auto" w:before="72"/>
        <w:ind w:left="153" w:right="0"/>
        <w:jc w:val="both"/>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10</w:t>
      </w:r>
      <w:r>
        <w:rPr/>
        <w:t>月，公司荣获福建省工商行政管理局颁发的</w:t>
      </w:r>
      <w:r>
        <w:rPr>
          <w:rFonts w:ascii="Times New Roman" w:hAnsi="Times New Roman" w:cs="Times New Roman" w:eastAsia="Times New Roman" w:hint="default"/>
        </w:rPr>
        <w:t>“2012—2013</w:t>
      </w:r>
      <w:r>
        <w:rPr/>
        <w:t>年度福建省守合同重信用企业</w:t>
      </w:r>
      <w:r>
        <w:rPr>
          <w:rFonts w:ascii="Times New Roman" w:hAnsi="Times New Roman" w:cs="Times New Roman" w:eastAsia="Times New Roman" w:hint="default"/>
        </w:rPr>
        <w:t>”</w:t>
      </w:r>
      <w:r>
        <w:rPr/>
        <w:t>荣誉称号。</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7"/>
        <w:jc w:val="both"/>
      </w:pPr>
      <w:r>
        <w:rPr>
          <w:spacing w:val="-1"/>
        </w:rPr>
        <w:t>（</w:t>
      </w:r>
      <w:r>
        <w:rPr>
          <w:rFonts w:ascii="Times New Roman" w:hAnsi="Times New Roman" w:cs="Times New Roman" w:eastAsia="Times New Roman" w:hint="default"/>
          <w:spacing w:val="-1"/>
        </w:rPr>
        <w:t>16</w:t>
      </w:r>
      <w:r>
        <w:rPr>
          <w:spacing w:val="-1"/>
        </w:rPr>
        <w:t>）</w:t>
      </w:r>
      <w:r>
        <w:rPr>
          <w:rFonts w:ascii="Times New Roman" w:hAnsi="Times New Roman" w:cs="Times New Roman" w:eastAsia="Times New Roman" w:hint="default"/>
          <w:spacing w:val="-1"/>
        </w:rPr>
        <w:t>10</w:t>
      </w:r>
      <w:r>
        <w:rPr>
          <w:spacing w:val="-1"/>
        </w:rPr>
        <w:t>月，信阳榕基参与竞买信阳市国土资源局宗地编号为</w:t>
      </w:r>
      <w:r>
        <w:rPr>
          <w:rFonts w:ascii="Times New Roman" w:hAnsi="Times New Roman" w:cs="Times New Roman" w:eastAsia="Times New Roman" w:hint="default"/>
          <w:spacing w:val="-1"/>
        </w:rPr>
        <w:t>P2014-2302</w:t>
      </w:r>
      <w:r>
        <w:rPr>
          <w:spacing w:val="-1"/>
        </w:rPr>
        <w:t>号国有建设用地使用权，以总价人民币</w:t>
      </w:r>
      <w:r>
        <w:rPr>
          <w:rFonts w:ascii="Times New Roman" w:hAnsi="Times New Roman" w:cs="Times New Roman" w:eastAsia="Times New Roman" w:hint="default"/>
          <w:spacing w:val="-1"/>
        </w:rPr>
        <w:t>157,648,946</w:t>
      </w:r>
      <w:r>
        <w:rPr>
          <w:rFonts w:ascii="Times New Roman" w:hAnsi="Times New Roman" w:cs="Times New Roman" w:eastAsia="Times New Roman" w:hint="default"/>
          <w:spacing w:val="1"/>
        </w:rPr>
        <w:t> </w:t>
      </w:r>
      <w:r>
        <w:rPr/>
        <w:t>元竞得该地块国有建设用地使用权；</w:t>
      </w:r>
      <w:r>
        <w:rPr>
          <w:rFonts w:ascii="Times New Roman" w:hAnsi="Times New Roman" w:cs="Times New Roman" w:eastAsia="Times New Roman" w:hint="default"/>
        </w:rPr>
        <w:t>11</w:t>
      </w:r>
      <w:r>
        <w:rPr/>
        <w:t>月，信阳榕基与信阳市国土资源局签订《国有建设用地使用权出让合同》。</w:t>
      </w:r>
    </w:p>
    <w:p>
      <w:pPr>
        <w:pStyle w:val="BodyText"/>
        <w:spacing w:line="300" w:lineRule="auto" w:before="13"/>
        <w:ind w:right="193"/>
        <w:jc w:val="both"/>
      </w:pPr>
      <w:r>
        <w:rPr/>
        <w:t>（</w:t>
      </w:r>
      <w:r>
        <w:rPr>
          <w:rFonts w:ascii="Times New Roman" w:hAnsi="Times New Roman" w:cs="Times New Roman" w:eastAsia="Times New Roman" w:hint="default"/>
        </w:rPr>
        <w:t>17</w:t>
      </w:r>
      <w:r>
        <w:rPr/>
        <w:t>）</w:t>
      </w:r>
      <w:r>
        <w:rPr>
          <w:rFonts w:ascii="Times New Roman" w:hAnsi="Times New Roman" w:cs="Times New Roman" w:eastAsia="Times New Roman" w:hint="default"/>
        </w:rPr>
        <w:t>12</w:t>
      </w:r>
      <w:r>
        <w:rPr/>
        <w:t>月，公司再次通过计算机信息系统集成一级资质审核，这是公司自</w:t>
      </w:r>
      <w:r>
        <w:rPr>
          <w:rFonts w:ascii="Times New Roman" w:hAnsi="Times New Roman" w:cs="Times New Roman" w:eastAsia="Times New Roman" w:hint="default"/>
        </w:rPr>
        <w:t>2004</w:t>
      </w:r>
      <w:r>
        <w:rPr/>
        <w:t>年首次获得以来，连续第</w:t>
      </w:r>
      <w:r>
        <w:rPr>
          <w:rFonts w:ascii="Times New Roman" w:hAnsi="Times New Roman" w:cs="Times New Roman" w:eastAsia="Times New Roman" w:hint="default"/>
        </w:rPr>
        <w:t>4</w:t>
      </w:r>
      <w:r>
        <w:rPr/>
        <w:t>次通过该资质审</w:t>
      </w:r>
      <w:r>
        <w:rPr>
          <w:spacing w:val="-86"/>
        </w:rPr>
        <w:t> </w:t>
      </w:r>
      <w:r>
        <w:rPr/>
        <w:t>核。</w:t>
      </w:r>
    </w:p>
    <w:p>
      <w:pPr>
        <w:pStyle w:val="BodyText"/>
        <w:spacing w:line="300" w:lineRule="auto" w:before="31"/>
        <w:ind w:right="183"/>
        <w:jc w:val="both"/>
      </w:pPr>
      <w:r>
        <w:rPr>
          <w:spacing w:val="4"/>
        </w:rPr>
        <w:t>（</w:t>
      </w:r>
      <w:r>
        <w:rPr>
          <w:rFonts w:ascii="Times New Roman" w:hAnsi="Times New Roman" w:cs="Times New Roman" w:eastAsia="Times New Roman" w:hint="default"/>
          <w:spacing w:val="4"/>
        </w:rPr>
        <w:t>18</w:t>
      </w:r>
      <w:r>
        <w:rPr>
          <w:spacing w:val="4"/>
        </w:rPr>
        <w:t>）</w:t>
      </w:r>
      <w:r>
        <w:rPr>
          <w:rFonts w:ascii="Times New Roman" w:hAnsi="Times New Roman" w:cs="Times New Roman" w:eastAsia="Times New Roman" w:hint="default"/>
          <w:spacing w:val="4"/>
        </w:rPr>
        <w:t>12</w:t>
      </w:r>
      <w:r>
        <w:rPr>
          <w:spacing w:val="4"/>
        </w:rPr>
        <w:t>月，上海榕基参与竞买宗地编号为上海市松江工业区西区</w:t>
      </w:r>
      <w:r>
        <w:rPr>
          <w:rFonts w:ascii="Times New Roman" w:hAnsi="Times New Roman" w:cs="Times New Roman" w:eastAsia="Times New Roman" w:hint="default"/>
          <w:spacing w:val="4"/>
        </w:rPr>
        <w:t>V-48-1</w:t>
      </w:r>
      <w:r>
        <w:rPr>
          <w:spacing w:val="4"/>
        </w:rPr>
        <w:t>号地块的国有建设用地使用权，以总价人民币</w:t>
      </w:r>
      <w:r>
        <w:rPr>
          <w:spacing w:val="-39"/>
        </w:rPr>
        <w:t> </w:t>
      </w:r>
      <w:r>
        <w:rPr>
          <w:spacing w:val="-39"/>
        </w:rPr>
      </w:r>
      <w:r>
        <w:rPr>
          <w:rFonts w:ascii="Times New Roman" w:hAnsi="Times New Roman" w:cs="Times New Roman" w:eastAsia="Times New Roman" w:hint="default"/>
        </w:rPr>
        <w:t>81,000,000</w:t>
      </w:r>
      <w:r>
        <w:rPr/>
        <w:t>元竞得该地块国有建设用地使用权；同月，上海榕基与上海市松江区规划和土地管理局签订《国有建设用地使用</w:t>
      </w:r>
      <w:r>
        <w:rPr>
          <w:spacing w:val="-88"/>
        </w:rPr>
        <w:t> </w:t>
      </w:r>
      <w:r>
        <w:rPr>
          <w:spacing w:val="-88"/>
        </w:rPr>
      </w:r>
      <w:r>
        <w:rPr/>
        <w:t>权出让合同》。</w:t>
      </w:r>
    </w:p>
    <w:p>
      <w:pPr>
        <w:pStyle w:val="BodyText"/>
        <w:spacing w:line="240" w:lineRule="auto" w:before="31"/>
        <w:ind w:right="0"/>
        <w:jc w:val="both"/>
      </w:pPr>
      <w:r>
        <w:rPr/>
        <w:t>（</w:t>
      </w:r>
      <w:r>
        <w:rPr>
          <w:rFonts w:ascii="Times New Roman" w:hAnsi="Times New Roman" w:cs="Times New Roman" w:eastAsia="Times New Roman" w:hint="default"/>
        </w:rPr>
        <w:t>19</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月，榕基软件被国家科技部火炬高技术产业开发中心认定为</w:t>
      </w:r>
      <w:r>
        <w:rPr>
          <w:rFonts w:ascii="Times New Roman" w:hAnsi="Times New Roman" w:cs="Times New Roman" w:eastAsia="Times New Roman" w:hint="default"/>
        </w:rPr>
        <w:t>“</w:t>
      </w:r>
      <w:r>
        <w:rPr/>
        <w:t>国家火炬计划软件产业基地骨干企业</w:t>
      </w:r>
      <w:r>
        <w:rPr>
          <w:rFonts w:ascii="Times New Roman" w:hAnsi="Times New Roman" w:cs="Times New Roman" w:eastAsia="Times New Roman" w:hint="default"/>
        </w:rPr>
        <w:t>”</w:t>
      </w:r>
      <w:r>
        <w:rPr/>
        <w:t>。</w:t>
      </w:r>
    </w:p>
    <w:p>
      <w:pPr>
        <w:pStyle w:val="BodyText"/>
        <w:spacing w:line="340" w:lineRule="auto" w:before="62"/>
        <w:ind w:left="440" w:right="186" w:hanging="288"/>
        <w:jc w:val="left"/>
      </w:pP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2014</w:t>
      </w:r>
      <w:r>
        <w:rPr/>
        <w:t>年度新获得</w:t>
      </w:r>
      <w:r>
        <w:rPr>
          <w:rFonts w:ascii="Times New Roman" w:hAnsi="Times New Roman" w:cs="Times New Roman" w:eastAsia="Times New Roman" w:hint="default"/>
        </w:rPr>
        <w:t>2</w:t>
      </w:r>
      <w:r>
        <w:rPr/>
        <w:t>项专利、</w:t>
      </w:r>
      <w:r>
        <w:rPr>
          <w:rFonts w:ascii="Times New Roman" w:hAnsi="Times New Roman" w:cs="Times New Roman" w:eastAsia="Times New Roman" w:hint="default"/>
        </w:rPr>
        <w:t>9</w:t>
      </w:r>
      <w:r>
        <w:rPr/>
        <w:t>项计算机软件著作权、</w:t>
      </w:r>
      <w:r>
        <w:rPr>
          <w:rFonts w:ascii="Times New Roman" w:hAnsi="Times New Roman" w:cs="Times New Roman" w:eastAsia="Times New Roman" w:hint="default"/>
        </w:rPr>
        <w:t>12</w:t>
      </w:r>
      <w:r>
        <w:rPr/>
        <w:t>项软件产品登记。 公司目前拥有</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w:t>
      </w:r>
      <w:r>
        <w:rPr/>
        <w:t>品牌的自主知识产权包括已拥有专利</w:t>
      </w:r>
      <w:r>
        <w:rPr>
          <w:rFonts w:ascii="Times New Roman" w:hAnsi="Times New Roman" w:cs="Times New Roman" w:eastAsia="Times New Roman" w:hint="default"/>
        </w:rPr>
        <w:t>14</w:t>
      </w:r>
      <w:r>
        <w:rPr/>
        <w:t>项（发明专利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8</w:t>
      </w:r>
      <w:r>
        <w:rPr/>
        <w:t>项）、在申请专利</w:t>
      </w:r>
      <w:r>
        <w:rPr>
          <w:rFonts w:ascii="Times New Roman" w:hAnsi="Times New Roman" w:cs="Times New Roman" w:eastAsia="Times New Roman" w:hint="default"/>
        </w:rPr>
        <w:t>18</w:t>
      </w:r>
      <w:r>
        <w:rPr/>
        <w:t>项，</w:t>
      </w:r>
    </w:p>
    <w:p>
      <w:pPr>
        <w:pStyle w:val="BodyText"/>
        <w:spacing w:line="228" w:lineRule="exact"/>
        <w:ind w:right="0"/>
        <w:jc w:val="both"/>
      </w:pPr>
      <w:r>
        <w:rPr>
          <w:rFonts w:ascii="Times New Roman" w:hAnsi="Times New Roman" w:cs="Times New Roman" w:eastAsia="Times New Roman" w:hint="default"/>
        </w:rPr>
        <w:t>108</w:t>
      </w:r>
      <w:r>
        <w:rPr/>
        <w:t>项计算机软件著作权及</w:t>
      </w:r>
      <w:r>
        <w:rPr>
          <w:rFonts w:ascii="Times New Roman" w:hAnsi="Times New Roman" w:cs="Times New Roman" w:eastAsia="Times New Roman" w:hint="default"/>
        </w:rPr>
        <w:t>98</w:t>
      </w:r>
      <w:r>
        <w:rPr/>
        <w:t>项软件产品登记证书。</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6" w:firstLine="360"/>
        <w:jc w:val="left"/>
      </w:pPr>
      <w:r>
        <w:rPr>
          <w:rFonts w:ascii="Times New Roman" w:hAnsi="Times New Roman" w:cs="Times New Roman" w:eastAsia="Times New Roman" w:hint="default"/>
        </w:rPr>
        <w:t>2014</w:t>
      </w:r>
      <w:r>
        <w:rPr/>
        <w:t>年公司共实现营业收入</w:t>
      </w:r>
      <w:r>
        <w:rPr>
          <w:rFonts w:ascii="Times New Roman" w:hAnsi="Times New Roman" w:cs="Times New Roman" w:eastAsia="Times New Roman" w:hint="default"/>
        </w:rPr>
        <w:t>59,830.52</w:t>
      </w:r>
      <w:bookmarkStart w:name="二、主营业务分析" w:id="20"/>
      <w:bookmarkEnd w:id="20"/>
      <w:r>
        <w:rPr>
          <w:rFonts w:ascii="Times New Roman" w:hAnsi="Times New Roman" w:cs="Times New Roman" w:eastAsia="Times New Roman" w:hint="default"/>
        </w:rPr>
      </w:r>
      <w:bookmarkStart w:name="1、概述" w:id="21"/>
      <w:bookmarkEnd w:id="21"/>
      <w:r>
        <w:rPr>
          <w:rFonts w:ascii="Times New Roman" w:hAnsi="Times New Roman" w:cs="Times New Roman" w:eastAsia="Times New Roman" w:hint="default"/>
        </w:rPr>
      </w:r>
      <w:r>
        <w:rPr/>
        <w:t>万元，比上年同期减少</w:t>
      </w:r>
      <w:r>
        <w:rPr>
          <w:rFonts w:ascii="Times New Roman" w:hAnsi="Times New Roman" w:cs="Times New Roman" w:eastAsia="Times New Roman" w:hint="default"/>
        </w:rPr>
        <w:t>0.80%</w:t>
      </w:r>
      <w:r>
        <w:rPr/>
        <w:t>；营业成本比上年同期增长</w:t>
      </w:r>
      <w:r>
        <w:rPr>
          <w:rFonts w:ascii="Times New Roman" w:hAnsi="Times New Roman" w:cs="Times New Roman" w:eastAsia="Times New Roman" w:hint="default"/>
        </w:rPr>
        <w:t>3.38%</w:t>
      </w:r>
      <w:r>
        <w:rPr/>
        <w:t>，主要是报告期对 毛利贡献较低的集成收入较上年同期增长，成本略有波动；销售费用比上年同期增长</w:t>
      </w:r>
      <w:r>
        <w:rPr>
          <w:rFonts w:ascii="Times New Roman" w:hAnsi="Times New Roman" w:cs="Times New Roman" w:eastAsia="Times New Roman" w:hint="default"/>
        </w:rPr>
        <w:t>11.05%</w:t>
      </w:r>
      <w:r>
        <w:rPr/>
        <w:t>，管理费用比上年同期增长 </w:t>
      </w:r>
      <w:r>
        <w:rPr>
          <w:rFonts w:ascii="Times New Roman" w:hAnsi="Times New Roman" w:cs="Times New Roman" w:eastAsia="Times New Roman" w:hint="default"/>
        </w:rPr>
        <w:t>17.11%</w:t>
      </w:r>
      <w:r>
        <w:rPr/>
        <w:t>，主要是报告期职工薪酬、研发支出、无形资产摊销费用等增加；财务费用比上年同期增加</w:t>
      </w:r>
      <w:r>
        <w:rPr>
          <w:rFonts w:ascii="Times New Roman" w:hAnsi="Times New Roman" w:cs="Times New Roman" w:eastAsia="Times New Roman" w:hint="default"/>
        </w:rPr>
        <w:t>65.10%</w:t>
      </w:r>
      <w:r>
        <w:rPr/>
        <w:t>，主要是报告期 </w:t>
      </w:r>
      <w:r>
        <w:rPr>
          <w:spacing w:val="-4"/>
        </w:rPr>
        <w:t>定期存款利息减少；经营活动产生的现金流量净额较上年同期减少</w:t>
      </w:r>
      <w:r>
        <w:rPr>
          <w:rFonts w:ascii="Times New Roman" w:hAnsi="Times New Roman" w:cs="Times New Roman" w:eastAsia="Times New Roman" w:hint="default"/>
          <w:spacing w:val="-4"/>
        </w:rPr>
        <w:t>175.53%</w:t>
      </w:r>
      <w:r>
        <w:rPr>
          <w:spacing w:val="-4"/>
        </w:rPr>
        <w:t>，主要是报告期购买商品、接受劳务支付的现金、</w:t>
      </w:r>
      <w:r>
        <w:rPr>
          <w:spacing w:val="-50"/>
        </w:rPr>
        <w:t> </w:t>
      </w:r>
      <w:r>
        <w:rPr>
          <w:spacing w:val="-50"/>
        </w:rPr>
      </w:r>
      <w:r>
        <w:rPr/>
        <w:t>费用付现支出及受限资金增加；投资活动产生的现金流量净额较上年同期增长</w:t>
      </w:r>
      <w:r>
        <w:rPr>
          <w:rFonts w:ascii="Times New Roman" w:hAnsi="Times New Roman" w:cs="Times New Roman" w:eastAsia="Times New Roman" w:hint="default"/>
        </w:rPr>
        <w:t>94.80%</w:t>
      </w:r>
      <w:r>
        <w:rPr/>
        <w:t>，主要是期末投资购买的理财产品减 少。其他情况如下：</w:t>
      </w:r>
    </w:p>
    <w:p>
      <w:pPr>
        <w:pStyle w:val="BodyText"/>
        <w:spacing w:line="300" w:lineRule="auto" w:before="31"/>
        <w:ind w:left="604" w:right="7022" w:hanging="92"/>
        <w:jc w:val="left"/>
      </w:pPr>
      <w:r>
        <w:rPr/>
        <w:t>（</w:t>
      </w:r>
      <w:r>
        <w:rPr>
          <w:rFonts w:ascii="Times New Roman" w:hAnsi="Times New Roman" w:cs="Times New Roman" w:eastAsia="Times New Roman" w:hint="default"/>
        </w:rPr>
        <w:t>1</w:t>
      </w:r>
      <w:r>
        <w:rPr/>
        <w:t>）毛利率变动情况。 公司的整体毛利率保持平稳。</w:t>
      </w:r>
    </w:p>
    <w:p>
      <w:pPr>
        <w:pStyle w:val="BodyText"/>
        <w:spacing w:line="300" w:lineRule="auto" w:before="31"/>
        <w:ind w:left="604" w:right="182" w:hanging="92"/>
        <w:jc w:val="left"/>
      </w:pPr>
      <w:r>
        <w:rPr/>
        <w:t>（</w:t>
      </w:r>
      <w:r>
        <w:rPr>
          <w:rFonts w:ascii="Times New Roman" w:hAnsi="Times New Roman" w:cs="Times New Roman" w:eastAsia="Times New Roman" w:hint="default"/>
        </w:rPr>
        <w:t>2</w:t>
      </w:r>
      <w:r>
        <w:rPr/>
        <w:t>）产品的销售和积压情况。 公司的软件产品以销定产，系统集成业务以投标方式进行，服务业务按客户需要提供，公司产品和服务的产销率基本</w:t>
      </w:r>
    </w:p>
    <w:p>
      <w:pPr>
        <w:pStyle w:val="BodyText"/>
        <w:spacing w:line="240" w:lineRule="auto" w:before="31"/>
        <w:ind w:right="0"/>
        <w:jc w:val="both"/>
      </w:pPr>
      <w:r>
        <w:rPr/>
        <w:t>为</w:t>
      </w:r>
      <w:r>
        <w:rPr>
          <w:rFonts w:ascii="Times New Roman" w:hAnsi="Times New Roman" w:cs="Times New Roman" w:eastAsia="Times New Roman" w:hint="default"/>
        </w:rPr>
        <w:t>100%</w:t>
      </w:r>
      <w:r>
        <w:rPr/>
        <w:t>。</w:t>
      </w:r>
    </w:p>
    <w:p>
      <w:pPr>
        <w:pStyle w:val="BodyText"/>
        <w:spacing w:line="316" w:lineRule="auto" w:before="62"/>
        <w:ind w:right="190" w:firstLine="360"/>
        <w:jc w:val="both"/>
      </w:pPr>
      <w:r>
        <w:rPr>
          <w:spacing w:val="-2"/>
        </w:rPr>
        <w:t>公司产品和服务的定价总体上遵循市场导向定价原则。同时，根据各细分市场的特点，采取差异化的定价方式：电子政</w:t>
      </w:r>
      <w:r>
        <w:rPr/>
        <w:t> </w:t>
      </w:r>
      <w:r>
        <w:rPr>
          <w:spacing w:val="-2"/>
        </w:rPr>
        <w:t>务、信息安全和协同管理等产品和服务，按照软件行业的特点，通常由公司的研发投入、投资回收期、市场竞争情况、采购</w:t>
      </w:r>
      <w:r>
        <w:rPr>
          <w:spacing w:val="-68"/>
        </w:rPr>
        <w:t> </w:t>
      </w:r>
      <w:r>
        <w:rPr>
          <w:spacing w:val="-68"/>
        </w:rPr>
      </w:r>
      <w:r>
        <w:rPr>
          <w:spacing w:val="-5"/>
        </w:rPr>
        <w:t>成本等因素综合决定；质检三电工程运维服务，根据国家质检总局的有关价格要求，结合三家获得授权许可企业的有关情况，</w:t>
      </w:r>
      <w:r>
        <w:rPr>
          <w:spacing w:val="-76"/>
        </w:rPr>
        <w:t> </w:t>
      </w:r>
      <w:r>
        <w:rPr>
          <w:spacing w:val="-76"/>
        </w:rPr>
      </w:r>
      <w:r>
        <w:rPr/>
        <w:t>综合考虑实际投入的工作量，采取市场导向定价方式确定服务价格。</w:t>
      </w:r>
    </w:p>
    <w:p>
      <w:pPr>
        <w:pStyle w:val="BodyText"/>
        <w:spacing w:line="300" w:lineRule="auto" w:before="18"/>
        <w:ind w:left="512" w:right="1354"/>
        <w:jc w:val="left"/>
      </w:pPr>
      <w:r>
        <w:rPr/>
        <w:t>（</w:t>
      </w:r>
      <w:r>
        <w:rPr>
          <w:rFonts w:ascii="Times New Roman" w:hAnsi="Times New Roman" w:cs="Times New Roman" w:eastAsia="Times New Roman" w:hint="default"/>
        </w:rPr>
        <w:t>3</w:t>
      </w:r>
      <w:r>
        <w:rPr/>
        <w:t>）主要供应商、客户情况。 公司单一供应商或者客户采购、销售的比例未超过</w:t>
      </w:r>
      <w:r>
        <w:rPr>
          <w:rFonts w:ascii="Times New Roman" w:hAnsi="Times New Roman" w:cs="Times New Roman" w:eastAsia="Times New Roman" w:hint="default"/>
        </w:rPr>
        <w:t>30</w:t>
      </w:r>
      <w:r>
        <w:rPr/>
        <w:t>％。不存在过度依赖单一供应商或者客户的风险。</w:t>
      </w:r>
    </w:p>
    <w:p>
      <w:pPr>
        <w:pStyle w:val="BodyText"/>
        <w:spacing w:line="300" w:lineRule="auto" w:before="13"/>
        <w:ind w:left="512" w:right="186"/>
        <w:jc w:val="left"/>
      </w:pPr>
      <w:r>
        <w:rPr/>
        <w:t>（</w:t>
      </w:r>
      <w:r>
        <w:rPr>
          <w:rFonts w:ascii="Times New Roman" w:hAnsi="Times New Roman" w:cs="Times New Roman" w:eastAsia="Times New Roman" w:hint="default"/>
        </w:rPr>
        <w:t>4</w:t>
      </w:r>
      <w:r>
        <w:rPr/>
        <w:t>）主要设备盈利能力、使用情况及减值情况。 </w:t>
      </w:r>
      <w:r>
        <w:rPr>
          <w:spacing w:val="-2"/>
        </w:rPr>
        <w:t>报告期内公司核心资产盈利能力较强，资产使用状况良好，不存在替代资产或资产升级换代导致公司主要资产盈利能力</w:t>
      </w:r>
    </w:p>
    <w:p>
      <w:pPr>
        <w:pStyle w:val="BodyText"/>
        <w:spacing w:line="240" w:lineRule="auto" w:before="31"/>
        <w:ind w:right="0"/>
        <w:jc w:val="both"/>
      </w:pPr>
      <w:r>
        <w:rPr/>
        <w:t>降低情况。</w:t>
      </w:r>
    </w:p>
    <w:p>
      <w:pPr>
        <w:pStyle w:val="BodyText"/>
        <w:spacing w:line="309" w:lineRule="auto" w:before="76"/>
        <w:ind w:left="512" w:right="186"/>
        <w:jc w:val="left"/>
      </w:pPr>
      <w:r>
        <w:rPr/>
        <w:t>（</w:t>
      </w:r>
      <w:r>
        <w:rPr>
          <w:rFonts w:ascii="Times New Roman" w:hAnsi="Times New Roman" w:cs="Times New Roman" w:eastAsia="Times New Roman" w:hint="default"/>
        </w:rPr>
        <w:t>5</w:t>
      </w:r>
      <w:r>
        <w:rPr/>
        <w:t>）主要经营模式的变化情况。 报告期内公司主营经营模式（包括业务模式、采购模式和销售模式）未发生重大变化。 </w:t>
      </w:r>
      <w:r>
        <w:rPr>
          <w:spacing w:val="-2"/>
        </w:rPr>
        <w:t>业务模式包括软件开发业务模式、计算机系统集成业务模式和技术支持与服务业务模式。公司将生产经营所需的软硬件</w:t>
      </w:r>
    </w:p>
    <w:p>
      <w:pPr>
        <w:pStyle w:val="BodyText"/>
        <w:spacing w:line="309" w:lineRule="auto" w:before="24"/>
        <w:ind w:right="192"/>
        <w:jc w:val="both"/>
      </w:pPr>
      <w:r>
        <w:rPr>
          <w:spacing w:val="-2"/>
        </w:rPr>
        <w:t>设备、原材料、物品、外包项目均列入公司统一采购范畴。采购的产品由物流部和采购申请部门进行验收，并实行采购负责</w:t>
      </w:r>
      <w:r>
        <w:rPr>
          <w:spacing w:val="-65"/>
        </w:rPr>
        <w:t> </w:t>
      </w:r>
      <w:r>
        <w:rPr>
          <w:spacing w:val="-65"/>
        </w:rPr>
      </w:r>
      <w:r>
        <w:rPr>
          <w:spacing w:val="-2"/>
        </w:rPr>
        <w:t>制度。销售模式上，根据公司业务特点，主要采用直销、渠道代销或两者相结合的方式。部分产品销售采用</w:t>
      </w:r>
      <w:r>
        <w:rPr>
          <w:rFonts w:ascii="Times New Roman" w:hAnsi="Times New Roman" w:cs="Times New Roman" w:eastAsia="Times New Roman" w:hint="default"/>
          <w:spacing w:val="-2"/>
        </w:rPr>
        <w:t>SaaS</w:t>
      </w:r>
      <w:r>
        <w:rPr>
          <w:spacing w:val="-2"/>
        </w:rPr>
        <w:t>模式，通过</w:t>
      </w:r>
      <w:r>
        <w:rPr>
          <w:spacing w:val="-67"/>
        </w:rPr>
        <w:t> </w:t>
      </w:r>
      <w:r>
        <w:rPr>
          <w:spacing w:val="-67"/>
        </w:rPr>
      </w:r>
      <w:r>
        <w:rPr/>
        <w:t>互联网向用户提供软件产品和服务，用户不再购买软件产品，而以租用方式来使用软件。</w:t>
      </w:r>
    </w:p>
    <w:p>
      <w:pPr>
        <w:pStyle w:val="BodyText"/>
        <w:spacing w:line="340" w:lineRule="auto" w:before="24"/>
        <w:ind w:left="512" w:right="106"/>
        <w:jc w:val="left"/>
      </w:pPr>
      <w:r>
        <w:rPr/>
        <w:t>（</w:t>
      </w:r>
      <w:r>
        <w:rPr>
          <w:rFonts w:ascii="Times New Roman" w:hAnsi="Times New Roman" w:cs="Times New Roman" w:eastAsia="Times New Roman" w:hint="default"/>
        </w:rPr>
        <w:t>6</w:t>
      </w:r>
      <w:r>
        <w:rPr/>
        <w:t>）主要境外资产情况。 公司境外资产为在香港的榕基国际控股有限公司，占公司净资产</w:t>
      </w:r>
      <w:r>
        <w:rPr>
          <w:rFonts w:ascii="Times New Roman" w:hAnsi="Times New Roman" w:cs="Times New Roman" w:eastAsia="Times New Roman" w:hint="default"/>
        </w:rPr>
        <w:t>5.85%</w:t>
      </w:r>
      <w:r>
        <w:rPr/>
        <w:t>。榕基国际处于初创期，货币资金以定存为主，</w:t>
      </w:r>
    </w:p>
    <w:p>
      <w:pPr>
        <w:spacing w:after="0" w:line="3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60" w:lineRule="auto" w:before="44"/>
        <w:ind w:right="4414"/>
        <w:jc w:val="left"/>
      </w:pPr>
      <w:r>
        <w:rPr/>
        <w:t>同时借助企业内控流程及网络银行管理等方式确保资金收益及安全。 公司回顾总结前期披露的发展战略和经营计划在报告期内的进展情况</w:t>
      </w:r>
    </w:p>
    <w:p>
      <w:pPr>
        <w:pStyle w:val="BodyText"/>
        <w:spacing w:line="316" w:lineRule="auto" w:before="25"/>
        <w:ind w:left="512" w:right="194"/>
        <w:jc w:val="left"/>
      </w:pPr>
      <w:r>
        <w:rPr/>
        <w:t>（一）加强顶层设计，确定战略布局 报告期内，公司依据企业中长期发展战略并结合近期发展需要，继续实施经营战略创新和技术创新，推行公司软件</w:t>
      </w:r>
      <w:r>
        <w:rPr>
          <w:rFonts w:ascii="Times New Roman" w:hAnsi="Times New Roman" w:cs="Times New Roman" w:eastAsia="Times New Roman" w:hint="default"/>
        </w:rPr>
        <w:t>“</w:t>
      </w:r>
      <w:r>
        <w:rPr/>
        <w:t>行</w:t>
      </w:r>
    </w:p>
    <w:p>
      <w:pPr>
        <w:pStyle w:val="BodyText"/>
        <w:spacing w:line="300" w:lineRule="auto"/>
        <w:ind w:left="512" w:right="179" w:hanging="360"/>
        <w:jc w:val="left"/>
      </w:pPr>
      <w:r>
        <w:rPr/>
        <w:t>业化、产品化、服务化</w:t>
      </w:r>
      <w:r>
        <w:rPr>
          <w:rFonts w:ascii="Times New Roman" w:hAnsi="Times New Roman" w:cs="Times New Roman" w:eastAsia="Times New Roman" w:hint="default"/>
        </w:rPr>
        <w:t>”</w:t>
      </w:r>
      <w:r>
        <w:rPr/>
        <w:t>发展战略以实现公司的规模化发展，实现公司的持续经营。 </w:t>
      </w:r>
      <w:r>
        <w:rPr>
          <w:spacing w:val="-5"/>
        </w:rPr>
        <w:t>在公司传统四大主营业务（电子政务、质检三电工程、协同管理和信息安全）的基础上，结合自身条件和外部市场环境，</w:t>
      </w:r>
    </w:p>
    <w:p>
      <w:pPr>
        <w:pStyle w:val="BodyText"/>
        <w:spacing w:line="316" w:lineRule="auto" w:before="31"/>
        <w:ind w:right="191"/>
        <w:jc w:val="both"/>
      </w:pPr>
      <w:r>
        <w:rPr>
          <w:spacing w:val="-2"/>
        </w:rPr>
        <w:t>选择和公司当前业务、技术背景较为接近且市场潜力较大的移动办公云平台、智慧城市、中小企业信息化、智能电网等作为</w:t>
      </w:r>
      <w:r>
        <w:rPr>
          <w:spacing w:val="-64"/>
        </w:rPr>
        <w:t> </w:t>
      </w:r>
      <w:r>
        <w:rPr>
          <w:spacing w:val="-64"/>
        </w:rPr>
      </w:r>
      <w:r>
        <w:rPr/>
        <w:t>新的突破方向，并已初步取得成效。</w:t>
      </w:r>
    </w:p>
    <w:p>
      <w:pPr>
        <w:pStyle w:val="BodyText"/>
        <w:spacing w:line="316" w:lineRule="auto" w:before="18"/>
        <w:ind w:left="512" w:right="186"/>
        <w:jc w:val="left"/>
      </w:pPr>
      <w:r>
        <w:rPr/>
        <w:t>（二）完善市场经营，创新商业模式 </w:t>
      </w:r>
      <w:r>
        <w:rPr>
          <w:spacing w:val="-2"/>
        </w:rPr>
        <w:t>报告期内公司积极完善市场经营团队，坚持贯彻</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发展战略，商业模式创新战略和产业链延伸</w:t>
      </w:r>
    </w:p>
    <w:p>
      <w:pPr>
        <w:pStyle w:val="BodyText"/>
        <w:spacing w:line="316" w:lineRule="auto"/>
        <w:ind w:left="512" w:right="186" w:hanging="360"/>
        <w:jc w:val="left"/>
      </w:pPr>
      <w:r>
        <w:rPr/>
        <w:t>战略得到了落实和推进。 </w:t>
      </w:r>
      <w:r>
        <w:rPr>
          <w:spacing w:val="-2"/>
        </w:rPr>
        <w:t>公司一直推进环保信息化研究及业务拓展，自主研发的智慧环保解决方案在全国范围内得到有效应用，先后承建了中国</w:t>
      </w:r>
    </w:p>
    <w:p>
      <w:pPr>
        <w:pStyle w:val="BodyText"/>
        <w:spacing w:line="300" w:lineRule="auto" w:before="18"/>
        <w:ind w:right="212"/>
        <w:jc w:val="both"/>
      </w:pPr>
      <w:r>
        <w:rPr/>
        <w:t>环境监测总站</w:t>
      </w:r>
      <w:r>
        <w:rPr>
          <w:rFonts w:ascii="Times New Roman" w:hAnsi="Times New Roman" w:cs="Times New Roman" w:eastAsia="Times New Roman" w:hint="default"/>
        </w:rPr>
        <w:t>“</w:t>
      </w:r>
      <w:r>
        <w:rPr/>
        <w:t>全国沙尘暴监测网</w:t>
      </w:r>
      <w:r>
        <w:rPr>
          <w:rFonts w:ascii="Times New Roman" w:hAnsi="Times New Roman" w:cs="Times New Roman" w:eastAsia="Times New Roman" w:hint="default"/>
        </w:rPr>
        <w:t>”</w:t>
      </w:r>
      <w:r>
        <w:rPr/>
        <w:t>一期和二期、</w:t>
      </w:r>
      <w:r>
        <w:rPr>
          <w:rFonts w:ascii="Times New Roman" w:hAnsi="Times New Roman" w:cs="Times New Roman" w:eastAsia="Times New Roman" w:hint="default"/>
        </w:rPr>
        <w:t>113</w:t>
      </w:r>
      <w:r>
        <w:rPr/>
        <w:t>个环保重点城市空气质量实时发布系统，国家环保部</w:t>
      </w:r>
      <w:r>
        <w:rPr>
          <w:spacing w:val="-3"/>
        </w:rPr>
        <w:t> </w:t>
      </w:r>
      <w:r>
        <w:rPr>
          <w:rFonts w:ascii="Times New Roman" w:hAnsi="Times New Roman" w:cs="Times New Roman" w:eastAsia="Times New Roman" w:hint="default"/>
        </w:rPr>
        <w:t>“</w:t>
      </w:r>
      <w:r>
        <w:rPr/>
        <w:t>核与辐射事故应 急技术中心改造</w:t>
      </w:r>
      <w:r>
        <w:rPr>
          <w:rFonts w:ascii="Times New Roman" w:hAnsi="Times New Roman" w:cs="Times New Roman" w:eastAsia="Times New Roman" w:hint="default"/>
        </w:rPr>
        <w:t>”</w:t>
      </w:r>
      <w:r>
        <w:rPr/>
        <w:t>、西安超级站数据分析平台等项目。该等项目的顺利实施有助于增强公司环保业务实施经验与技术积累， 对更好的服务国家环保战略具有积极的意义。</w:t>
      </w:r>
    </w:p>
    <w:p>
      <w:pPr>
        <w:pStyle w:val="BodyText"/>
        <w:spacing w:line="314" w:lineRule="auto" w:before="31"/>
        <w:ind w:right="190"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月，公司中标河南省中小企业公共服务平台网络软件开发服务项目，公司将依托质检核心主干平台、数十万家</w:t>
      </w:r>
      <w:r>
        <w:rPr/>
        <w:t> </w:t>
      </w:r>
      <w:r>
        <w:rPr>
          <w:spacing w:val="-5"/>
        </w:rPr>
        <w:t>中小企业企业客户资源、行业应用产品和技术等资源，应用互联网、云计算等核心技术，并整合河南全省企业的大数据资源，</w:t>
      </w:r>
      <w:r>
        <w:rPr>
          <w:spacing w:val="-78"/>
        </w:rPr>
        <w:t> </w:t>
      </w:r>
      <w:r>
        <w:rPr>
          <w:spacing w:val="-78"/>
        </w:rPr>
      </w:r>
      <w:r>
        <w:rPr>
          <w:spacing w:val="-5"/>
        </w:rPr>
        <w:t>打造国内一流的互联网开放平台，建设政策法规、融资、政务、培训、人力资源、法律、市场开拓、管理咨询、企业信息化、</w:t>
      </w:r>
      <w:r>
        <w:rPr>
          <w:spacing w:val="-76"/>
        </w:rPr>
        <w:t> </w:t>
      </w:r>
      <w:r>
        <w:rPr>
          <w:spacing w:val="-76"/>
        </w:rPr>
      </w:r>
      <w:r>
        <w:rPr>
          <w:spacing w:val="-2"/>
        </w:rPr>
        <w:t>创业辅导、企业诚信评价等子系统，为河南全省中小企业提供多方面的信息服务；公司将积极参与市场化运营，推动公司商</w:t>
      </w:r>
      <w:r>
        <w:rPr>
          <w:spacing w:val="-65"/>
        </w:rPr>
        <w:t> </w:t>
      </w:r>
      <w:r>
        <w:rPr>
          <w:spacing w:val="-65"/>
        </w:rPr>
      </w:r>
      <w:r>
        <w:rPr/>
        <w:t>业模式创新，将对公司业务产生积极的影响。</w:t>
      </w:r>
    </w:p>
    <w:p>
      <w:pPr>
        <w:pStyle w:val="BodyText"/>
        <w:spacing w:line="300" w:lineRule="auto" w:before="20"/>
        <w:ind w:right="200"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月，公司作为唯一中标方承建中国电子检验检疫主干系统，建设全流程、全业务、全覆盖的中国电子检验检疫 核心业务系统，实现数据和应用全国质检系统大集中管理。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月通过了由国家质检总局通关司组织的设计方案（概要 设计和详细设计）评审。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月，该项目通过国家质检总局用户测试，预示着国家质检总局出入境检验检疫业务信息化 进程向前迈出了一大步，对检验检疫改革，提高检验检疫通关效率，降低企业负担，避免执法风险具有重大的历史意义。</w:t>
      </w:r>
    </w:p>
    <w:p>
      <w:pPr>
        <w:pStyle w:val="BodyText"/>
        <w:spacing w:line="307" w:lineRule="auto" w:before="31"/>
        <w:ind w:right="190"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月，公司与康普国际签订经销合作协议，以产品运作和渠道拓展为基础，积极发展分销产品业务，致力于成为</w:t>
      </w:r>
      <w:r>
        <w:rPr/>
        <w:t> 厂商和用户之间具有核心价值的信息交换桥梁。经过</w:t>
      </w:r>
      <w:r>
        <w:rPr>
          <w:rFonts w:ascii="Times New Roman" w:hAnsi="Times New Roman" w:cs="Times New Roman" w:eastAsia="Times New Roman" w:hint="default"/>
        </w:rPr>
        <w:t>2</w:t>
      </w:r>
      <w:r>
        <w:rPr/>
        <w:t>年发展，公司分销业务已覆盖全国北区、东区、华南区、西区四个大 </w:t>
      </w:r>
      <w:r>
        <w:rPr>
          <w:spacing w:val="-2"/>
        </w:rPr>
        <w:t>区。在北京、上海、广州、南京、武汉、成都、长沙、西安等城市设立了办事处，同时在北京、上海、广州三地设有产品库</w:t>
      </w:r>
      <w:r>
        <w:rPr>
          <w:spacing w:val="-70"/>
        </w:rPr>
        <w:t> </w:t>
      </w:r>
      <w:r>
        <w:rPr>
          <w:spacing w:val="-70"/>
        </w:rPr>
      </w:r>
      <w:r>
        <w:rPr/>
        <w:t>房。</w:t>
      </w:r>
    </w:p>
    <w:p>
      <w:pPr>
        <w:pStyle w:val="BodyText"/>
        <w:spacing w:line="309" w:lineRule="auto" w:before="26"/>
        <w:ind w:left="512" w:right="179"/>
        <w:jc w:val="left"/>
      </w:pPr>
      <w:r>
        <w:rPr/>
        <w:t>（三）落实募投项目，进一步提升公司核心竞争力 </w:t>
      </w:r>
      <w:r>
        <w:rPr>
          <w:rFonts w:ascii="Times New Roman" w:hAnsi="Times New Roman" w:cs="Times New Roman" w:eastAsia="Times New Roman" w:hint="default"/>
        </w:rPr>
        <w:t>2010</w:t>
      </w:r>
      <w:r>
        <w:rPr/>
        <w:t>年公司上市之初，选择与公司主营业务和长期发展目标一致的五个项目作为募集资金投资项目。 </w:t>
      </w:r>
      <w:r>
        <w:rPr>
          <w:spacing w:val="-5"/>
        </w:rPr>
        <w:t>新一代电子政务应用平台项目：电子政务是公司专注的业务领域，公司通过优秀的自主知识产权产品、解决方案和服务，</w:t>
      </w:r>
    </w:p>
    <w:p>
      <w:pPr>
        <w:pStyle w:val="BodyText"/>
        <w:spacing w:line="316" w:lineRule="auto" w:before="24"/>
        <w:ind w:right="193"/>
        <w:jc w:val="both"/>
      </w:pPr>
      <w:r>
        <w:rPr>
          <w:spacing w:val="-2"/>
        </w:rPr>
        <w:t>现已成为北京、福建、浙江、河南以及上海等区域通用电子政务应用软件领域最具竞争力的服务商之一。在政务信息化、金</w:t>
      </w:r>
      <w:r>
        <w:rPr>
          <w:spacing w:val="-65"/>
        </w:rPr>
        <w:t> </w:t>
      </w:r>
      <w:r>
        <w:rPr>
          <w:spacing w:val="-65"/>
        </w:rPr>
      </w:r>
      <w:r>
        <w:rPr/>
        <w:t>质工程、金环工程、天平工程等细分领域建立了领先地位和竞争优势。</w:t>
      </w:r>
    </w:p>
    <w:p>
      <w:pPr>
        <w:pStyle w:val="BodyText"/>
        <w:spacing w:line="307" w:lineRule="auto" w:before="18"/>
        <w:ind w:right="106" w:firstLine="360"/>
        <w:jc w:val="left"/>
      </w:pPr>
      <w:r>
        <w:rPr>
          <w:spacing w:val="-2"/>
        </w:rPr>
        <w:t>在电子政务领域，公司拥有</w:t>
      </w:r>
      <w:r>
        <w:rPr>
          <w:rFonts w:ascii="Times New Roman" w:hAnsi="Times New Roman" w:cs="Times New Roman" w:eastAsia="Times New Roman" w:hint="default"/>
          <w:spacing w:val="-2"/>
        </w:rPr>
        <w:t>16</w:t>
      </w:r>
      <w:r>
        <w:rPr>
          <w:spacing w:val="-2"/>
        </w:rPr>
        <w:t>年行业经验，熟悉国家电子政务相关政策、标准和业务需求及发展趋势。公司采用</w:t>
      </w:r>
      <w:r>
        <w:rPr>
          <w:rFonts w:ascii="Times New Roman" w:hAnsi="Times New Roman" w:cs="Times New Roman" w:eastAsia="Times New Roman" w:hint="default"/>
          <w:spacing w:val="-2"/>
        </w:rPr>
        <w:t>J2EE</w:t>
      </w:r>
      <w:r>
        <w:rPr>
          <w:spacing w:val="-2"/>
        </w:rPr>
        <w:t>、</w:t>
      </w:r>
      <w:r>
        <w:rPr/>
        <w:t> </w:t>
      </w:r>
      <w:r>
        <w:rPr>
          <w:rFonts w:ascii="Times New Roman" w:hAnsi="Times New Roman" w:cs="Times New Roman" w:eastAsia="Times New Roman" w:hint="default"/>
          <w:spacing w:val="-2"/>
        </w:rPr>
        <w:t>SOA</w:t>
      </w:r>
      <w:r>
        <w:rPr>
          <w:spacing w:val="-2"/>
        </w:rPr>
        <w:t>、非结构化数据管理、云计算和移动互联网等先进技术，自主研发了完整的电子政务产品线，形成以具有自主知识产权</w:t>
      </w:r>
      <w:r>
        <w:rPr>
          <w:spacing w:val="-65"/>
        </w:rPr>
        <w:t> </w:t>
      </w:r>
      <w:r>
        <w:rPr>
          <w:spacing w:val="-65"/>
        </w:rPr>
      </w:r>
      <w:r>
        <w:rPr>
          <w:spacing w:val="-5"/>
          <w:w w:val="99"/>
        </w:rPr>
        <w:t>的</w:t>
      </w:r>
      <w:r>
        <w:rPr>
          <w:rFonts w:ascii="Times New Roman" w:hAnsi="Times New Roman" w:cs="Times New Roman" w:eastAsia="Times New Roman" w:hint="default"/>
          <w:spacing w:val="-5"/>
          <w:w w:val="99"/>
        </w:rPr>
        <w:t>RJ-eGap</w:t>
      </w:r>
      <w:r>
        <w:rPr>
          <w:spacing w:val="-5"/>
          <w:w w:val="99"/>
        </w:rPr>
        <w:t>新一代政务应用平台、</w:t>
      </w:r>
      <w:r>
        <w:rPr>
          <w:rFonts w:ascii="Times New Roman" w:hAnsi="Times New Roman" w:cs="Times New Roman" w:eastAsia="Times New Roman" w:hint="default"/>
          <w:spacing w:val="-5"/>
          <w:w w:val="99"/>
        </w:rPr>
        <w:t>RJ-CMS</w:t>
      </w:r>
      <w:r>
        <w:rPr>
          <w:spacing w:val="-5"/>
          <w:w w:val="99"/>
        </w:rPr>
        <w:t>内容管理系统、</w:t>
      </w:r>
      <w:r>
        <w:rPr>
          <w:rFonts w:ascii="Times New Roman" w:hAnsi="Times New Roman" w:cs="Times New Roman" w:eastAsia="Times New Roman" w:hint="default"/>
          <w:spacing w:val="-5"/>
          <w:w w:val="99"/>
        </w:rPr>
        <w:t>RJ-WISP</w:t>
      </w:r>
      <w:r>
        <w:rPr>
          <w:spacing w:val="-5"/>
          <w:w w:val="99"/>
        </w:rPr>
        <w:t>无线信息服务平台、</w:t>
      </w:r>
      <w:r>
        <w:rPr>
          <w:rFonts w:ascii="Times New Roman" w:hAnsi="Times New Roman" w:cs="Times New Roman" w:eastAsia="Times New Roman" w:hint="default"/>
          <w:spacing w:val="-5"/>
          <w:w w:val="99"/>
        </w:rPr>
        <w:t>RJ-eGov</w:t>
      </w:r>
      <w:r>
        <w:rPr>
          <w:spacing w:val="-5"/>
          <w:w w:val="99"/>
        </w:rPr>
        <w:t>政务信息化系统、</w:t>
      </w:r>
      <w:r>
        <w:rPr>
          <w:rFonts w:ascii="Times New Roman" w:hAnsi="Times New Roman" w:cs="Times New Roman" w:eastAsia="Times New Roman" w:hint="default"/>
          <w:spacing w:val="-5"/>
          <w:w w:val="99"/>
        </w:rPr>
        <w:t>RJ-eGovOLSP</w:t>
      </w:r>
      <w:r>
        <w:rPr>
          <w:rFonts w:ascii="Times New Roman" w:hAnsi="Times New Roman" w:cs="Times New Roman" w:eastAsia="Times New Roman" w:hint="default"/>
          <w:spacing w:val="-15"/>
          <w:w w:val="99"/>
        </w:rPr>
        <w:t> </w:t>
      </w:r>
      <w:r>
        <w:rPr>
          <w:rFonts w:ascii="Times New Roman" w:hAnsi="Times New Roman" w:cs="Times New Roman" w:eastAsia="Times New Roman" w:hint="default"/>
          <w:spacing w:val="-15"/>
          <w:w w:val="99"/>
        </w:rPr>
      </w:r>
      <w:r>
        <w:rPr/>
        <w:t>电子政务在线服务平台、</w:t>
      </w:r>
      <w:r>
        <w:rPr>
          <w:rFonts w:ascii="Times New Roman" w:hAnsi="Times New Roman" w:cs="Times New Roman" w:eastAsia="Times New Roman" w:hint="default"/>
        </w:rPr>
        <w:t>RJ-GovInfo</w:t>
      </w:r>
      <w:r>
        <w:rPr/>
        <w:t>政务公开服务平台、</w:t>
      </w:r>
      <w:r>
        <w:rPr>
          <w:rFonts w:ascii="Times New Roman" w:hAnsi="Times New Roman" w:cs="Times New Roman" w:eastAsia="Times New Roman" w:hint="default"/>
        </w:rPr>
        <w:t>RJ-DIS</w:t>
      </w:r>
      <w:r>
        <w:rPr/>
        <w:t>数字档案全文信息管理系统、办公自动化系统、工作流管理 </w:t>
      </w:r>
      <w:r>
        <w:rPr>
          <w:spacing w:val="-2"/>
        </w:rPr>
        <w:t>系统和全文检索系统等优秀产品，能够提供一体化电子政务应用平台和整体解决方案，具有很强的适应性、实用性、灵活性</w:t>
      </w:r>
      <w:r>
        <w:rPr>
          <w:spacing w:val="-64"/>
        </w:rPr>
        <w:t> </w:t>
      </w:r>
      <w:r>
        <w:rPr>
          <w:spacing w:val="-64"/>
        </w:rPr>
      </w:r>
      <w:r>
        <w:rPr>
          <w:spacing w:val="-4"/>
        </w:rPr>
        <w:t>和可扩展性，竞争优势明显。在质检领域，公司作为唯一中标方承建中国电子检验检疫主干系统</w:t>
      </w:r>
      <w:r>
        <w:rPr>
          <w:rFonts w:ascii="Times New Roman" w:hAnsi="Times New Roman" w:cs="Times New Roman" w:eastAsia="Times New Roman" w:hint="default"/>
          <w:spacing w:val="-4"/>
        </w:rPr>
        <w:t>”</w:t>
      </w:r>
      <w:r>
        <w:rPr>
          <w:spacing w:val="-4"/>
        </w:rPr>
        <w:t>，将建设全流程、全业务、</w:t>
      </w:r>
      <w:r>
        <w:rPr>
          <w:spacing w:val="-37"/>
        </w:rPr>
        <w:t> </w:t>
      </w:r>
      <w:r>
        <w:rPr>
          <w:spacing w:val="-37"/>
        </w:rPr>
      </w:r>
      <w:r>
        <w:rPr>
          <w:spacing w:val="-2"/>
        </w:rPr>
        <w:t>全覆盖的中国电子检验检疫核心业务系统，实现数据和应用全国质检系统大集中管理。在环保领域，公司是国家</w:t>
      </w:r>
      <w:r>
        <w:rPr>
          <w:rFonts w:ascii="Times New Roman" w:hAnsi="Times New Roman" w:cs="Times New Roman" w:eastAsia="Times New Roman" w:hint="default"/>
          <w:spacing w:val="-2"/>
        </w:rPr>
        <w:t>“</w:t>
      </w:r>
      <w:r>
        <w:rPr>
          <w:spacing w:val="-2"/>
        </w:rPr>
        <w:t>金环工程</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的重要合作伙伴，采用物联网、云计算、商业智能等先进技术，自主开发了榕基环境保护监测业务管理系统、榕基环保数据</w:t>
      </w:r>
      <w:r>
        <w:rPr>
          <w:spacing w:val="-67"/>
        </w:rPr>
        <w:t> </w:t>
      </w:r>
      <w:r>
        <w:rPr>
          <w:spacing w:val="-67"/>
        </w:rPr>
      </w:r>
      <w:r>
        <w:rPr/>
        <w:t>采集系统、榕基环保数据分析平台，实现环境数据采集、数据分析、数据调度服务、业务系统管理及综合数据平台的集成，</w:t>
      </w:r>
      <w:r>
        <w:rPr>
          <w:spacing w:val="-86"/>
        </w:rPr>
        <w:t> </w:t>
      </w:r>
      <w:r>
        <w:rPr>
          <w:spacing w:val="-86"/>
        </w:rPr>
      </w:r>
      <w:r>
        <w:rPr>
          <w:spacing w:val="-2"/>
        </w:rPr>
        <w:t>在全国环保系统广泛应用。在法院领域，公司是全国通过最高人民法院测评的七家法院系统核心业务软件开发和服务厂商之</w:t>
      </w:r>
      <w:r>
        <w:rPr>
          <w:spacing w:val="-64"/>
        </w:rPr>
        <w:t> </w:t>
      </w:r>
      <w:r>
        <w:rPr>
          <w:spacing w:val="-64"/>
        </w:rPr>
      </w:r>
      <w:r>
        <w:rPr/>
        <w:t>一，围绕</w:t>
      </w:r>
      <w:r>
        <w:rPr>
          <w:rFonts w:ascii="Times New Roman" w:hAnsi="Times New Roman" w:cs="Times New Roman" w:eastAsia="Times New Roman" w:hint="default"/>
        </w:rPr>
        <w:t>“</w:t>
      </w:r>
      <w:r>
        <w:rPr/>
        <w:t>天平工程</w:t>
      </w:r>
      <w:r>
        <w:rPr>
          <w:rFonts w:ascii="Times New Roman" w:hAnsi="Times New Roman" w:cs="Times New Roman" w:eastAsia="Times New Roman" w:hint="default"/>
        </w:rPr>
        <w:t>”</w:t>
      </w:r>
      <w:r>
        <w:rPr/>
        <w:t>，开发了榕基司法审判管理信息系统、榕基审判质效评估管理系统、榕基法官干警绩效考评管理系统等</w:t>
      </w:r>
    </w:p>
    <w:p>
      <w:pPr>
        <w:spacing w:after="0" w:line="307"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186" w:hanging="360"/>
        <w:jc w:val="left"/>
      </w:pPr>
      <w:bookmarkStart w:name="2、收入" w:id="22"/>
      <w:bookmarkEnd w:id="22"/>
      <w:r>
        <w:rPr/>
      </w:r>
      <w:r>
        <w:rPr/>
        <w:t>成熟先进的软件产品。 </w:t>
      </w:r>
      <w:r>
        <w:rPr>
          <w:spacing w:val="-2"/>
        </w:rPr>
        <w:t>信息安全风险综合管理系统项目：在信息安全领域，公司已有</w:t>
      </w:r>
      <w:r>
        <w:rPr>
          <w:rFonts w:ascii="Times New Roman" w:hAnsi="Times New Roman" w:cs="Times New Roman" w:eastAsia="Times New Roman" w:hint="default"/>
          <w:spacing w:val="-2"/>
        </w:rPr>
        <w:t>14</w:t>
      </w:r>
      <w:r>
        <w:rPr>
          <w:spacing w:val="-2"/>
        </w:rPr>
        <w:t>年历史。</w:t>
      </w:r>
      <w:r>
        <w:rPr>
          <w:rFonts w:ascii="Times New Roman" w:hAnsi="Times New Roman" w:cs="Times New Roman" w:eastAsia="Times New Roman" w:hint="default"/>
          <w:spacing w:val="-2"/>
        </w:rPr>
        <w:t>2014</w:t>
      </w:r>
      <w:r>
        <w:rPr>
          <w:spacing w:val="-2"/>
        </w:rPr>
        <w:t>年，公司九款信息安全产品入围</w:t>
      </w:r>
      <w:r>
        <w:rPr>
          <w:rFonts w:ascii="Times New Roman" w:hAnsi="Times New Roman" w:cs="Times New Roman" w:eastAsia="Times New Roman" w:hint="default"/>
          <w:spacing w:val="-2"/>
        </w:rPr>
        <w:t>2014</w:t>
      </w:r>
      <w:r>
        <w:rPr>
          <w:spacing w:val="-2"/>
        </w:rPr>
        <w:t>年中</w:t>
      </w:r>
    </w:p>
    <w:p>
      <w:pPr>
        <w:pStyle w:val="BodyText"/>
        <w:spacing w:line="300" w:lineRule="auto"/>
        <w:ind w:right="234"/>
        <w:jc w:val="left"/>
      </w:pPr>
      <w:r>
        <w:rPr/>
        <w:t>央政府采购，产品涵盖漏洞扫描、终端安全管理设备、</w:t>
      </w:r>
      <w:r>
        <w:rPr>
          <w:rFonts w:ascii="Times New Roman" w:hAnsi="Times New Roman" w:cs="Times New Roman" w:eastAsia="Times New Roman" w:hint="default"/>
        </w:rPr>
        <w:t>WEB</w:t>
      </w:r>
      <w:r>
        <w:rPr/>
        <w:t>应用安全防护系统、运维安全审计、文档加密系统等五类。同 时，公司依托现有产品成果，开发建设互联网安全服务平台，发展信息安全服务化业务。</w:t>
      </w:r>
    </w:p>
    <w:p>
      <w:pPr>
        <w:pStyle w:val="BodyText"/>
        <w:spacing w:line="304" w:lineRule="auto" w:before="31"/>
        <w:ind w:right="193" w:firstLine="360"/>
        <w:jc w:val="both"/>
      </w:pPr>
      <w:r>
        <w:rPr>
          <w:spacing w:val="-2"/>
        </w:rPr>
        <w:t>质检三电工程企业端软件运维服务平台项目：在质检领域，公司已超过</w:t>
      </w:r>
      <w:r>
        <w:rPr>
          <w:rFonts w:ascii="Times New Roman" w:hAnsi="Times New Roman" w:cs="Times New Roman" w:eastAsia="Times New Roman" w:hint="default"/>
          <w:spacing w:val="-2"/>
        </w:rPr>
        <w:t>14</w:t>
      </w:r>
      <w:r>
        <w:rPr>
          <w:spacing w:val="-2"/>
        </w:rPr>
        <w:t>年历史，拥有丰富的三电工程企业端软件开发</w:t>
      </w:r>
      <w:r>
        <w:rPr/>
        <w:t> </w:t>
      </w:r>
      <w:r>
        <w:rPr>
          <w:spacing w:val="-2"/>
        </w:rPr>
        <w:t>和服务经验以及检验检疫信息化建设经验，是国家</w:t>
      </w:r>
      <w:r>
        <w:rPr>
          <w:rFonts w:ascii="Times New Roman" w:hAnsi="Times New Roman" w:cs="Times New Roman" w:eastAsia="Times New Roman" w:hint="default"/>
          <w:spacing w:val="-2"/>
        </w:rPr>
        <w:t>“</w:t>
      </w:r>
      <w:r>
        <w:rPr>
          <w:spacing w:val="-2"/>
        </w:rPr>
        <w:t>金质工程</w:t>
      </w:r>
      <w:r>
        <w:rPr>
          <w:rFonts w:ascii="Times New Roman" w:hAnsi="Times New Roman" w:cs="Times New Roman" w:eastAsia="Times New Roman" w:hint="default"/>
          <w:spacing w:val="-2"/>
        </w:rPr>
        <w:t>”</w:t>
      </w:r>
      <w:r>
        <w:rPr>
          <w:spacing w:val="-2"/>
        </w:rPr>
        <w:t>的领先服务厂商。公司将围绕三电工程企业端客户建立检企云</w:t>
      </w:r>
      <w:r>
        <w:rPr>
          <w:spacing w:val="-46"/>
        </w:rPr>
        <w:t> </w:t>
      </w:r>
      <w:r>
        <w:rPr>
          <w:spacing w:val="-46"/>
        </w:rPr>
      </w:r>
      <w:r>
        <w:rPr/>
        <w:t>服务平台，依托规模客户拓展增值服务</w:t>
      </w:r>
      <w:r>
        <w:rPr>
          <w:rFonts w:ascii="Times New Roman" w:hAnsi="Times New Roman" w:cs="Times New Roman" w:eastAsia="Times New Roman" w:hint="default"/>
        </w:rPr>
        <w:t>,</w:t>
      </w:r>
      <w:r>
        <w:rPr/>
        <w:t>如电子缴费、电子易表、电子易查等。在为三电工程客户提供服务的同时，公司将 </w:t>
      </w:r>
      <w:r>
        <w:rPr>
          <w:spacing w:val="-2"/>
        </w:rPr>
        <w:t>该平台逐步发展为为公司其他领域的客户提供服务的综合平台，实现客户服务中心和服务网络资源复用，提高服务效率和服</w:t>
      </w:r>
      <w:r>
        <w:rPr>
          <w:spacing w:val="-64"/>
        </w:rPr>
        <w:t> </w:t>
      </w:r>
      <w:r>
        <w:rPr>
          <w:spacing w:val="-64"/>
        </w:rPr>
      </w:r>
      <w:r>
        <w:rPr/>
        <w:t>务质量。</w:t>
      </w:r>
    </w:p>
    <w:p>
      <w:pPr>
        <w:pStyle w:val="BodyText"/>
        <w:spacing w:line="307" w:lineRule="auto" w:before="27"/>
        <w:ind w:right="190" w:firstLine="360"/>
        <w:jc w:val="both"/>
      </w:pPr>
      <w:r>
        <w:rPr>
          <w:spacing w:val="-2"/>
        </w:rPr>
        <w:t>协同管理软件平台项目：公司专注于企事业单位的任务管理、过程化管理和协同办公领域，应用领域广泛。公司依托产</w:t>
      </w:r>
      <w:r>
        <w:rPr/>
        <w:t> </w:t>
      </w:r>
      <w:r>
        <w:rPr>
          <w:spacing w:val="-1"/>
        </w:rPr>
        <w:t>品技术优势参与国家电网公司</w:t>
      </w:r>
      <w:r>
        <w:rPr>
          <w:rFonts w:ascii="Times New Roman" w:hAnsi="Times New Roman" w:cs="Times New Roman" w:eastAsia="Times New Roman" w:hint="default"/>
          <w:spacing w:val="-1"/>
        </w:rPr>
        <w:t>“SG186”</w:t>
      </w:r>
      <w:r>
        <w:rPr>
          <w:spacing w:val="-1"/>
        </w:rPr>
        <w:t>工程协同办公系统的研发及全国推广工作，也成为该系统任务协作平台全国唯一供应</w:t>
      </w:r>
      <w:r>
        <w:rPr>
          <w:spacing w:val="-58"/>
        </w:rPr>
        <w:t> </w:t>
      </w:r>
      <w:r>
        <w:rPr>
          <w:spacing w:val="-58"/>
        </w:rPr>
      </w:r>
      <w:r>
        <w:rPr>
          <w:spacing w:val="-2"/>
        </w:rPr>
        <w:t>商，截至</w:t>
      </w:r>
      <w:r>
        <w:rPr>
          <w:rFonts w:ascii="Times New Roman" w:hAnsi="Times New Roman" w:cs="Times New Roman" w:eastAsia="Times New Roman" w:hint="default"/>
          <w:spacing w:val="-2"/>
        </w:rPr>
        <w:t>2014</w:t>
      </w:r>
      <w:r>
        <w:rPr>
          <w:spacing w:val="-2"/>
        </w:rPr>
        <w:t>年底已全部完成国家电网公司的推广工作。除此之外，公司在能源领域还承建了福建省电力有限公司地市供电</w:t>
      </w:r>
      <w:r>
        <w:rPr>
          <w:spacing w:val="-61"/>
        </w:rPr>
        <w:t> </w:t>
      </w:r>
      <w:r>
        <w:rPr>
          <w:spacing w:val="-61"/>
        </w:rPr>
      </w:r>
      <w:r>
        <w:rPr>
          <w:spacing w:val="-2"/>
        </w:rPr>
        <w:t>公司运营监测（控）中心监测大厅项目、国家电网公司应急指挥中心二期建设福建公司省内延伸应用集成项目、福建省电力</w:t>
      </w:r>
      <w:r>
        <w:rPr>
          <w:spacing w:val="-64"/>
        </w:rPr>
        <w:t> </w:t>
      </w:r>
      <w:r>
        <w:rPr>
          <w:spacing w:val="-64"/>
        </w:rPr>
      </w:r>
      <w:r>
        <w:rPr/>
        <w:t>有限公司</w:t>
      </w:r>
      <w:r>
        <w:rPr>
          <w:rFonts w:ascii="Times New Roman" w:hAnsi="Times New Roman" w:cs="Times New Roman" w:eastAsia="Times New Roman" w:hint="default"/>
        </w:rPr>
        <w:t>95598</w:t>
      </w:r>
      <w:r>
        <w:rPr/>
        <w:t>呼叫平台系统项目、河南省电力公司非结构化数据管理平台实施委托服务项目、电子文件管理系统试点项目 </w:t>
      </w:r>
      <w:r>
        <w:rPr>
          <w:spacing w:val="-2"/>
        </w:rPr>
        <w:t>等。同时，公司以此为契机，研发金融、电信等行业化高端版本，继续开拓这些重点行业客户。同时，面向中小企业建立了</w:t>
      </w:r>
      <w:r>
        <w:rPr>
          <w:spacing w:val="-73"/>
        </w:rPr>
        <w:t> </w:t>
      </w:r>
      <w:r>
        <w:rPr>
          <w:spacing w:val="-73"/>
        </w:rPr>
      </w:r>
      <w:r>
        <w:rPr>
          <w:rFonts w:ascii="Times New Roman" w:hAnsi="Times New Roman" w:cs="Times New Roman" w:eastAsia="Times New Roman" w:hint="default"/>
        </w:rPr>
        <w:t>SaaS</w:t>
      </w:r>
      <w:r>
        <w:rPr/>
        <w:t>协同管理软件服务平台，发展通过互联网提供协同管理软件在线租赁服务的商业模式，目前已积累了近</w:t>
      </w:r>
      <w:r>
        <w:rPr>
          <w:rFonts w:ascii="Times New Roman" w:hAnsi="Times New Roman" w:cs="Times New Roman" w:eastAsia="Times New Roman" w:hint="default"/>
        </w:rPr>
        <w:t>2,500</w:t>
      </w:r>
      <w:r>
        <w:rPr/>
        <w:t>家中小企 业客户。</w:t>
      </w:r>
    </w:p>
    <w:p>
      <w:pPr>
        <w:pStyle w:val="BodyText"/>
        <w:spacing w:line="309" w:lineRule="auto" w:before="26"/>
        <w:ind w:right="191" w:firstLine="360"/>
        <w:jc w:val="both"/>
      </w:pPr>
      <w:r>
        <w:rPr>
          <w:spacing w:val="-2"/>
        </w:rPr>
        <w:t>技术研发与创新中心项目：</w:t>
      </w:r>
      <w:r>
        <w:rPr>
          <w:rFonts w:ascii="Times New Roman" w:hAnsi="Times New Roman" w:cs="Times New Roman" w:eastAsia="Times New Roman" w:hint="default"/>
          <w:spacing w:val="-2"/>
        </w:rPr>
        <w:t>2014</w:t>
      </w:r>
      <w:r>
        <w:rPr>
          <w:spacing w:val="-2"/>
        </w:rPr>
        <w:t>年，公司紧跟软件技术的最新发展水平，以长期的实践经验积累和对行业业务模型的深</w:t>
      </w:r>
      <w:r>
        <w:rPr/>
        <w:t> </w:t>
      </w:r>
      <w:r>
        <w:rPr>
          <w:spacing w:val="-2"/>
        </w:rPr>
        <w:t>刻理解为基础，加强对所在行业细分领域业务和技术发展趋势的研究、储备，以巩固和提高公司的技术竞争力。围绕专注的</w:t>
      </w:r>
      <w:r>
        <w:rPr>
          <w:spacing w:val="-64"/>
        </w:rPr>
        <w:t> </w:t>
      </w:r>
      <w:r>
        <w:rPr>
          <w:spacing w:val="-64"/>
        </w:rPr>
      </w:r>
      <w:r>
        <w:rPr>
          <w:spacing w:val="-2"/>
        </w:rPr>
        <w:t>行业领域，进行共性基础平台和关键核心技术研发和创新，积极承担国家和地方支持的移动信息化平台技术、业务架构支撑</w:t>
      </w:r>
      <w:r>
        <w:rPr>
          <w:spacing w:val="-63"/>
        </w:rPr>
        <w:t> </w:t>
      </w:r>
      <w:r>
        <w:rPr>
          <w:spacing w:val="-63"/>
        </w:rPr>
      </w:r>
      <w:r>
        <w:rPr>
          <w:spacing w:val="-2"/>
        </w:rPr>
        <w:t>平台技术等关键技术和专项研究。</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月，榕基软件被国家科技部火炬高技术产业开发中心认定为</w:t>
      </w:r>
      <w:r>
        <w:rPr>
          <w:rFonts w:ascii="Times New Roman" w:hAnsi="Times New Roman" w:cs="Times New Roman" w:eastAsia="Times New Roman" w:hint="default"/>
          <w:spacing w:val="-2"/>
        </w:rPr>
        <w:t>“</w:t>
      </w:r>
      <w:r>
        <w:rPr>
          <w:spacing w:val="-2"/>
        </w:rPr>
        <w:t>国家火炬计划软件产</w:t>
      </w:r>
      <w:r>
        <w:rPr>
          <w:spacing w:val="-50"/>
        </w:rPr>
        <w:t> </w:t>
      </w:r>
      <w:r>
        <w:rPr/>
        <w:t>业基地骨干企业</w:t>
      </w:r>
      <w:r>
        <w:rPr>
          <w:rFonts w:ascii="Times New Roman" w:hAnsi="Times New Roman" w:cs="Times New Roman" w:eastAsia="Times New Roman" w:hint="default"/>
        </w:rPr>
        <w:t>”</w:t>
      </w:r>
      <w:r>
        <w:rPr/>
        <w:t>。</w:t>
      </w:r>
    </w:p>
    <w:p>
      <w:pPr>
        <w:pStyle w:val="BodyText"/>
        <w:spacing w:line="240" w:lineRule="auto" w:before="5"/>
        <w:ind w:left="512" w:right="94"/>
        <w:jc w:val="left"/>
      </w:pPr>
      <w:r>
        <w:rPr/>
        <w:t>截至目前，公司拥有</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w:t>
      </w:r>
      <w:r>
        <w:rPr/>
        <w:t>品牌的自主知识产权包括已拥有专利</w:t>
      </w:r>
      <w:r>
        <w:rPr>
          <w:rFonts w:ascii="Times New Roman" w:hAnsi="Times New Roman" w:cs="Times New Roman" w:eastAsia="Times New Roman" w:hint="default"/>
        </w:rPr>
        <w:t>14</w:t>
      </w:r>
      <w:r>
        <w:rPr/>
        <w:t>项（发明专利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8</w:t>
      </w:r>
      <w:r>
        <w:rPr/>
        <w:t>项）、在申请专利</w:t>
      </w:r>
    </w:p>
    <w:p>
      <w:pPr>
        <w:pStyle w:val="BodyText"/>
        <w:spacing w:line="240" w:lineRule="auto" w:before="62"/>
        <w:ind w:right="186"/>
        <w:jc w:val="left"/>
      </w:pPr>
      <w:r>
        <w:rPr>
          <w:rFonts w:ascii="Times New Roman" w:hAnsi="Times New Roman" w:cs="Times New Roman" w:eastAsia="Times New Roman" w:hint="default"/>
        </w:rPr>
        <w:t>18</w:t>
      </w:r>
      <w:r>
        <w:rPr/>
        <w:t>项，</w:t>
      </w:r>
      <w:r>
        <w:rPr>
          <w:rFonts w:ascii="Times New Roman" w:hAnsi="Times New Roman" w:cs="Times New Roman" w:eastAsia="Times New Roman" w:hint="default"/>
        </w:rPr>
        <w:t>108</w:t>
      </w:r>
      <w:r>
        <w:rPr/>
        <w:t>项计算机软件著作权及</w:t>
      </w:r>
      <w:r>
        <w:rPr>
          <w:rFonts w:ascii="Times New Roman" w:hAnsi="Times New Roman" w:cs="Times New Roman" w:eastAsia="Times New Roman" w:hint="default"/>
        </w:rPr>
        <w:t>98</w:t>
      </w:r>
      <w:r>
        <w:rPr/>
        <w:t>项软件产品登记证书。</w:t>
      </w:r>
    </w:p>
    <w:p>
      <w:pPr>
        <w:pStyle w:val="BodyText"/>
        <w:spacing w:line="316" w:lineRule="auto" w:before="62"/>
        <w:ind w:left="512" w:right="184"/>
        <w:jc w:val="left"/>
        <w:rPr>
          <w:rFonts w:ascii="Times New Roman" w:hAnsi="Times New Roman" w:cs="Times New Roman" w:eastAsia="Times New Roman" w:hint="default"/>
        </w:rPr>
      </w:pPr>
      <w:r>
        <w:rPr/>
        <w:t>（四）募投项目建设进度情况说明 根据公司</w:t>
      </w:r>
      <w:r>
        <w:rPr>
          <w:rFonts w:ascii="Times New Roman" w:hAnsi="Times New Roman" w:cs="Times New Roman" w:eastAsia="Times New Roman" w:hint="default"/>
        </w:rPr>
        <w:t>5</w:t>
      </w:r>
      <w:r>
        <w:rPr/>
        <w:t>个募投项目计划，募集资金中软硬件投入</w:t>
      </w:r>
      <w:r>
        <w:rPr>
          <w:rFonts w:ascii="Times New Roman" w:hAnsi="Times New Roman" w:cs="Times New Roman" w:eastAsia="Times New Roman" w:hint="default"/>
        </w:rPr>
        <w:t>11,596.59</w:t>
      </w:r>
      <w:r>
        <w:rPr/>
        <w:t>万元，实施费用投入</w:t>
      </w:r>
      <w:r>
        <w:rPr>
          <w:rFonts w:ascii="Times New Roman" w:hAnsi="Times New Roman" w:cs="Times New Roman" w:eastAsia="Times New Roman" w:hint="default"/>
        </w:rPr>
        <w:t>10,471.49</w:t>
      </w:r>
      <w:r>
        <w:rPr/>
        <w:t>万元，两项合计共</w:t>
      </w:r>
      <w:r>
        <w:rPr>
          <w:rFonts w:ascii="Times New Roman" w:hAnsi="Times New Roman" w:cs="Times New Roman" w:eastAsia="Times New Roman" w:hint="default"/>
        </w:rPr>
        <w:t>22,068.08</w:t>
      </w:r>
    </w:p>
    <w:p>
      <w:pPr>
        <w:pStyle w:val="BodyText"/>
        <w:spacing w:line="304" w:lineRule="auto"/>
        <w:ind w:right="94"/>
        <w:jc w:val="left"/>
      </w:pPr>
      <w:r>
        <w:rPr/>
        <w:t>万元。场地投入</w:t>
      </w:r>
      <w:r>
        <w:rPr>
          <w:rFonts w:ascii="Times New Roman" w:hAnsi="Times New Roman" w:cs="Times New Roman" w:eastAsia="Times New Roman" w:hint="default"/>
        </w:rPr>
        <w:t>5,828.75</w:t>
      </w:r>
      <w:r>
        <w:rPr/>
        <w:t>万元，计划需要购置</w:t>
      </w:r>
      <w:r>
        <w:rPr>
          <w:rFonts w:ascii="Times New Roman" w:hAnsi="Times New Roman" w:cs="Times New Roman" w:eastAsia="Times New Roman" w:hint="default"/>
        </w:rPr>
        <w:t>7,600</w:t>
      </w:r>
      <w:r>
        <w:rPr/>
        <w:t>平方米用房，用于项目研发、测试、运营、办公和机房环境建设。</w:t>
      </w:r>
      <w:r>
        <w:rPr>
          <w:rFonts w:ascii="Times New Roman" w:hAnsi="Times New Roman" w:cs="Times New Roman" w:eastAsia="Times New Roman" w:hint="default"/>
        </w:rPr>
        <w:t>2014</w:t>
      </w:r>
      <w:r>
        <w:rPr/>
        <w:t>年 </w:t>
      </w:r>
      <w:r>
        <w:rPr>
          <w:rFonts w:ascii="Times New Roman" w:hAnsi="Times New Roman" w:cs="Times New Roman" w:eastAsia="Times New Roman" w:hint="default"/>
        </w:rPr>
        <w:t>9</w:t>
      </w:r>
      <w:r>
        <w:rPr/>
        <w:t>月，榕基工程和福州高新技术产业开发区管理委员会就榕基工程在福州高新技术产业开发区海西高新技术产业园内投资建</w:t>
      </w:r>
      <w:r>
        <w:rPr>
          <w:spacing w:val="-84"/>
        </w:rPr>
        <w:t> </w:t>
      </w:r>
      <w:r>
        <w:rPr>
          <w:spacing w:val="-84"/>
        </w:rPr>
      </w:r>
      <w:r>
        <w:rPr/>
        <w:t>设软件及服务外包产业基地项目事宜进行协商，签署了《福州高新技术产业开发区海西高新技术产业园投资建设协议书》，</w:t>
      </w:r>
      <w:r>
        <w:rPr>
          <w:spacing w:val="-83"/>
        </w:rPr>
        <w:t> </w:t>
      </w:r>
      <w:r>
        <w:rPr>
          <w:spacing w:val="-83"/>
        </w:rPr>
      </w:r>
      <w:r>
        <w:rPr>
          <w:spacing w:val="-2"/>
        </w:rPr>
        <w:t>并竞得闽侯县国土资源局宗地编号为宗地</w:t>
      </w:r>
      <w:r>
        <w:rPr>
          <w:rFonts w:ascii="Times New Roman" w:hAnsi="Times New Roman" w:cs="Times New Roman" w:eastAsia="Times New Roman" w:hint="default"/>
          <w:spacing w:val="-2"/>
        </w:rPr>
        <w:t>2014</w:t>
      </w:r>
      <w:r>
        <w:rPr>
          <w:spacing w:val="-2"/>
        </w:rPr>
        <w:t>挂（工业）</w:t>
      </w:r>
      <w:r>
        <w:rPr>
          <w:rFonts w:ascii="Times New Roman" w:hAnsi="Times New Roman" w:cs="Times New Roman" w:eastAsia="Times New Roman" w:hint="default"/>
          <w:spacing w:val="-2"/>
        </w:rPr>
        <w:t>16</w:t>
      </w:r>
      <w:r>
        <w:rPr>
          <w:spacing w:val="-2"/>
        </w:rPr>
        <w:t>号国有建设用地使用权，待交付土地之后公司将尽快开展办公场</w:t>
      </w:r>
      <w:r>
        <w:rPr>
          <w:spacing w:val="-63"/>
        </w:rPr>
        <w:t> </w:t>
      </w:r>
      <w:r>
        <w:rPr>
          <w:spacing w:val="-63"/>
        </w:rPr>
      </w:r>
      <w:r>
        <w:rPr>
          <w:spacing w:val="-2"/>
        </w:rPr>
        <w:t>所建设。根据公司的发展规划，为了更好地利用全资子公司自有土地，实现资源的有效整合，公司于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日召开第</w:t>
      </w:r>
      <w:r>
        <w:rPr>
          <w:spacing w:val="-63"/>
        </w:rPr>
        <w:t> </w:t>
      </w:r>
      <w:r>
        <w:rPr>
          <w:spacing w:val="-63"/>
        </w:rPr>
      </w:r>
      <w:r>
        <w:rPr>
          <w:spacing w:val="-2"/>
        </w:rPr>
        <w:t>三届董事会第十三次会议，审议通过将变更募投项目实施地点至上述地块，变更募投项目实施方式，并追加投资，拟使用募</w:t>
      </w:r>
      <w:r>
        <w:rPr>
          <w:spacing w:val="-64"/>
        </w:rPr>
        <w:t> </w:t>
      </w:r>
      <w:r>
        <w:rPr>
          <w:spacing w:val="-64"/>
        </w:rPr>
      </w:r>
      <w:r>
        <w:rPr/>
        <w:t>集资金不超过</w:t>
      </w:r>
      <w:r>
        <w:rPr>
          <w:rFonts w:ascii="Times New Roman" w:hAnsi="Times New Roman" w:cs="Times New Roman" w:eastAsia="Times New Roman" w:hint="default"/>
        </w:rPr>
        <w:t>13,300</w:t>
      </w:r>
      <w:r>
        <w:rPr/>
        <w:t>万元（实际金额以</w:t>
      </w:r>
      <w:r>
        <w:rPr>
          <w:rFonts w:ascii="Times New Roman" w:hAnsi="Times New Roman" w:cs="Times New Roman" w:eastAsia="Times New Roman" w:hint="default"/>
        </w:rPr>
        <w:t>2014</w:t>
      </w:r>
      <w:r>
        <w:rPr/>
        <w:t>年度审计报告为准）与榕基工程合作在该地块上建设公司研发大楼，项目建设期 </w:t>
      </w:r>
      <w:r>
        <w:rPr>
          <w:rFonts w:ascii="Times New Roman" w:hAnsi="Times New Roman" w:cs="Times New Roman" w:eastAsia="Times New Roman" w:hint="default"/>
        </w:rPr>
        <w:t>2</w:t>
      </w:r>
      <w:r>
        <w:rPr/>
        <w:t>年分批投入，并根据公司募集资金的投入总额取得相应投入比例的研发大楼产权使用权，用于募投项目目前实际所需研发</w:t>
      </w:r>
      <w:r>
        <w:rPr>
          <w:spacing w:val="-84"/>
        </w:rPr>
        <w:t> </w:t>
      </w:r>
      <w:r>
        <w:rPr>
          <w:spacing w:val="-84"/>
        </w:rPr>
      </w:r>
      <w:r>
        <w:rPr/>
        <w:t>用房。公司将严格按照募集资金管理和使用的监管要求，使得募集资金规划中的场地投入费用发挥效益。</w:t>
      </w:r>
    </w:p>
    <w:p>
      <w:pPr>
        <w:pStyle w:val="BodyText"/>
        <w:spacing w:line="338" w:lineRule="auto" w:before="68"/>
        <w:ind w:right="1875" w:firstLine="379"/>
        <w:jc w:val="left"/>
      </w:pPr>
      <w:r>
        <w:rPr/>
        <w:t>截至报告期末，本公司募集资金累计直接投入募投项目</w:t>
      </w:r>
      <w:r>
        <w:rPr>
          <w:rFonts w:ascii="Times New Roman" w:hAnsi="Times New Roman" w:cs="Times New Roman" w:eastAsia="Times New Roman" w:hint="default"/>
        </w:rPr>
        <w:t>27,531.15</w:t>
      </w:r>
      <w:r>
        <w:rPr/>
        <w:t>万元，募投项目建设基本完成。 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22"/>
        <w:ind w:right="1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6"/>
          <w:szCs w:val="26"/>
        </w:rPr>
      </w:pPr>
    </w:p>
    <w:p>
      <w:pPr>
        <w:pStyle w:val="Heading3"/>
        <w:spacing w:line="240" w:lineRule="auto"/>
        <w:ind w:right="186"/>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6"/>
        <w:jc w:val="left"/>
      </w:pPr>
      <w:r>
        <w:rPr/>
        <w:t>说明</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77"/>
        <w:gridCol w:w="708"/>
        <w:gridCol w:w="2834"/>
        <w:gridCol w:w="2978"/>
        <w:gridCol w:w="1416"/>
      </w:tblGrid>
      <w:tr>
        <w:trPr>
          <w:trHeight w:val="427" w:hRule="exact"/>
        </w:trPr>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30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7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1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9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41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77"/>
        <w:gridCol w:w="708"/>
        <w:gridCol w:w="1843"/>
        <w:gridCol w:w="991"/>
        <w:gridCol w:w="1985"/>
        <w:gridCol w:w="994"/>
        <w:gridCol w:w="1416"/>
      </w:tblGrid>
      <w:tr>
        <w:trPr>
          <w:trHeight w:val="739" w:hRule="exact"/>
        </w:trPr>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8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9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5" w:right="35" w:hanging="15"/>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535"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99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58"/>
              <w:ind w:left="55" w:right="36" w:hanging="15"/>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6"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0"/>
              <w:jc w:val="center"/>
              <w:rPr>
                <w:rFonts w:ascii="宋体" w:hAnsi="宋体" w:cs="宋体" w:eastAsia="宋体" w:hint="default"/>
                <w:sz w:val="18"/>
                <w:szCs w:val="18"/>
              </w:rPr>
            </w:pPr>
            <w:r>
              <w:rPr>
                <w:rFonts w:ascii="宋体" w:hAnsi="宋体" w:cs="宋体" w:eastAsia="宋体" w:hint="default"/>
                <w:sz w:val="18"/>
                <w:szCs w:val="18"/>
              </w:rPr>
              <w:t>系统集成收入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439,527,856.11</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
              <w:jc w:val="right"/>
              <w:rPr>
                <w:rFonts w:ascii="Times New Roman" w:hAnsi="Times New Roman" w:cs="Times New Roman" w:eastAsia="Times New Roman" w:hint="default"/>
                <w:sz w:val="18"/>
                <w:szCs w:val="18"/>
              </w:rPr>
            </w:pPr>
            <w:r>
              <w:rPr>
                <w:rFonts w:ascii="Times New Roman"/>
                <w:sz w:val="18"/>
              </w:rPr>
              <w:t>73.46%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430,685,275.05</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71.43%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2.05%</w:t>
            </w:r>
          </w:p>
        </w:tc>
      </w:tr>
      <w:tr>
        <w:trPr>
          <w:trHeight w:val="73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75"/>
              <w:jc w:val="left"/>
              <w:rPr>
                <w:rFonts w:ascii="宋体" w:hAnsi="宋体" w:cs="宋体" w:eastAsia="宋体" w:hint="default"/>
                <w:sz w:val="18"/>
                <w:szCs w:val="18"/>
              </w:rPr>
            </w:pPr>
            <w:r>
              <w:rPr>
                <w:rFonts w:ascii="宋体" w:hAnsi="宋体" w:cs="宋体" w:eastAsia="宋体" w:hint="default"/>
                <w:sz w:val="18"/>
                <w:szCs w:val="18"/>
              </w:rPr>
              <w:t>软件产品及服 务收入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158,777,309.17</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
              <w:jc w:val="right"/>
              <w:rPr>
                <w:rFonts w:ascii="Times New Roman" w:hAnsi="Times New Roman" w:cs="Times New Roman" w:eastAsia="Times New Roman" w:hint="default"/>
                <w:sz w:val="18"/>
                <w:szCs w:val="18"/>
              </w:rPr>
            </w:pPr>
            <w:r>
              <w:rPr>
                <w:rFonts w:ascii="Times New Roman"/>
                <w:sz w:val="18"/>
              </w:rPr>
              <w:t>26.54%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172,252,519.69</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28.57%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-7.82%</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84"/>
              <w:jc w:val="center"/>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598,305,165.28</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602,937,794.74</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-0.77%</w:t>
            </w:r>
          </w:p>
        </w:tc>
      </w:tr>
    </w:tbl>
    <w:p>
      <w:pPr>
        <w:pStyle w:val="BodyText"/>
        <w:spacing w:line="300" w:lineRule="auto" w:before="49"/>
        <w:ind w:right="146" w:firstLine="343"/>
        <w:jc w:val="left"/>
      </w:pPr>
      <w:bookmarkStart w:name="3、成本" w:id="23"/>
      <w:bookmarkEnd w:id="23"/>
      <w:r>
        <w:rPr/>
      </w:r>
      <w:r>
        <w:rPr/>
        <w:t>主营业务收入为系统集成收入和软件产品及服务收入，报告期主营业务收入同比减少</w:t>
      </w:r>
      <w:r>
        <w:rPr>
          <w:rFonts w:ascii="Times New Roman" w:hAnsi="Times New Roman" w:cs="Times New Roman" w:eastAsia="Times New Roman" w:hint="default"/>
        </w:rPr>
        <w:t>0.77%</w:t>
      </w:r>
      <w:r>
        <w:rPr/>
        <w:t>，主要系系统集成收入同比 增加</w:t>
      </w:r>
      <w:r>
        <w:rPr>
          <w:rFonts w:ascii="Times New Roman" w:hAnsi="Times New Roman" w:cs="Times New Roman" w:eastAsia="Times New Roman" w:hint="default"/>
        </w:rPr>
        <w:t>2.05%</w:t>
      </w:r>
      <w:r>
        <w:rPr/>
        <w:t>以及软件产品及服务收入减少</w:t>
      </w:r>
      <w:r>
        <w:rPr>
          <w:rFonts w:ascii="Times New Roman" w:hAnsi="Times New Roman" w:cs="Times New Roman" w:eastAsia="Times New Roman" w:hint="default"/>
        </w:rPr>
        <w:t>7.82%</w:t>
      </w:r>
      <w:r>
        <w:rPr/>
        <w:t>所致。</w:t>
      </w:r>
    </w:p>
    <w:p>
      <w:pPr>
        <w:pStyle w:val="BodyText"/>
        <w:spacing w:line="240" w:lineRule="auto" w:before="51"/>
        <w:ind w:left="153" w:right="791"/>
        <w:jc w:val="left"/>
      </w:pPr>
      <w:r>
        <w:rPr/>
        <w:t>公司实物销售收入是否大于劳务收入</w:t>
      </w:r>
    </w:p>
    <w:p>
      <w:pPr>
        <w:pStyle w:val="BodyText"/>
        <w:spacing w:line="240" w:lineRule="auto" w:before="117"/>
        <w:ind w:left="153" w:right="7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439,527,856.11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430,685,275.05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w:t>
            </w:r>
          </w:p>
        </w:tc>
      </w:tr>
      <w:tr>
        <w:trPr>
          <w:trHeight w:val="401"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108,037,178.57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109,748,074.12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w:t>
            </w:r>
          </w:p>
        </w:tc>
      </w:tr>
    </w:tbl>
    <w:p>
      <w:pPr>
        <w:pStyle w:val="BodyText"/>
        <w:spacing w:line="240" w:lineRule="auto" w:before="49"/>
        <w:ind w:right="791"/>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38" w:lineRule="auto" w:before="103"/>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公司重大的在手订单情况</w:t>
      </w:r>
    </w:p>
    <w:p>
      <w:pPr>
        <w:pStyle w:val="BodyText"/>
        <w:spacing w:line="340" w:lineRule="auto" w:before="43"/>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40" w:lineRule="auto" w:before="39"/>
        <w:ind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111,345,575.31</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18.61%</w:t>
            </w:r>
          </w:p>
        </w:tc>
      </w:tr>
    </w:tbl>
    <w:p>
      <w:pPr>
        <w:pStyle w:val="BodyText"/>
        <w:spacing w:line="240" w:lineRule="auto" w:before="49"/>
        <w:ind w:right="791"/>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31,053,829.01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24,094,435.70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19,559,752.14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18,577,729.40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w:t>
            </w:r>
            <w:r>
              <w:rPr>
                <w:rFonts w:ascii="Times New Roman"/>
                <w:sz w:val="18"/>
              </w:rPr>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18,059,829.06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111,345,575.31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18.61%</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t>行业分类</w:t>
      </w:r>
    </w:p>
    <w:p>
      <w:pPr>
        <w:pStyle w:val="BodyText"/>
        <w:spacing w:line="240" w:lineRule="auto" w:before="117"/>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2734"/>
        <w:gridCol w:w="2734"/>
        <w:gridCol w:w="135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424,922,378.38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6" w:right="0"/>
              <w:jc w:val="left"/>
              <w:rPr>
                <w:rFonts w:ascii="Times New Roman" w:hAnsi="Times New Roman" w:cs="Times New Roman" w:eastAsia="Times New Roman" w:hint="default"/>
                <w:sz w:val="18"/>
                <w:szCs w:val="18"/>
              </w:rPr>
            </w:pPr>
            <w:r>
              <w:rPr>
                <w:rFonts w:ascii="Times New Roman"/>
                <w:sz w:val="18"/>
              </w:rPr>
              <w:t>411,036,613.83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8" w:right="0"/>
              <w:jc w:val="left"/>
              <w:rPr>
                <w:rFonts w:ascii="Times New Roman" w:hAnsi="Times New Roman" w:cs="Times New Roman" w:eastAsia="Times New Roman" w:hint="default"/>
                <w:sz w:val="18"/>
                <w:szCs w:val="18"/>
              </w:rPr>
            </w:pPr>
            <w:r>
              <w:rPr>
                <w:rFonts w:ascii="Times New Roman"/>
                <w:sz w:val="18"/>
              </w:rPr>
              <w:t>3.38%</w:t>
            </w:r>
          </w:p>
        </w:tc>
      </w:tr>
    </w:tbl>
    <w:p>
      <w:pPr>
        <w:pStyle w:val="BodyText"/>
        <w:spacing w:line="240" w:lineRule="auto" w:before="49"/>
        <w:ind w:right="791"/>
        <w:jc w:val="left"/>
      </w:pPr>
      <w:bookmarkStart w:name="4、费用" w:id="24"/>
      <w:bookmarkEnd w:id="24"/>
      <w:r>
        <w:rPr/>
      </w:r>
      <w:r>
        <w:rPr/>
        <w:t>产品分类</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381,388,227.68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380,460,266.22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43,534,150.70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30,576,347.61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42.38%</w:t>
            </w:r>
          </w:p>
        </w:tc>
      </w:tr>
    </w:tbl>
    <w:p>
      <w:pPr>
        <w:pStyle w:val="BodyText"/>
        <w:spacing w:line="338" w:lineRule="auto" w:before="49"/>
        <w:ind w:right="147"/>
        <w:jc w:val="left"/>
      </w:pPr>
      <w:r>
        <w:rPr/>
        <w:t>说明 </w:t>
      </w:r>
      <w:r>
        <w:rPr>
          <w:spacing w:val="-3"/>
        </w:rPr>
        <w:t>系统集成业务是根据客户的要求采购相应软、硬件产品后再销售给客户的业务，其成本主要为外购的软、硬件产品的成本。</w:t>
      </w:r>
      <w:r>
        <w:rPr>
          <w:spacing w:val="-81"/>
        </w:rPr>
        <w:t> </w:t>
      </w:r>
      <w:r>
        <w:rPr>
          <w:spacing w:val="-81"/>
        </w:rPr>
      </w:r>
      <w:r>
        <w:rPr/>
        <w:t>软件产品与服务业务的成本主要为对应的原材料、人工费用等支出。</w:t>
      </w:r>
    </w:p>
    <w:p>
      <w:pPr>
        <w:spacing w:line="240" w:lineRule="auto" w:before="0"/>
        <w:rPr>
          <w:rFonts w:ascii="宋体" w:hAnsi="宋体" w:cs="宋体" w:eastAsia="宋体" w:hint="default"/>
          <w:sz w:val="18"/>
          <w:szCs w:val="18"/>
        </w:rPr>
      </w:pPr>
    </w:p>
    <w:p>
      <w:pPr>
        <w:pStyle w:val="BodyText"/>
        <w:spacing w:line="240" w:lineRule="auto" w:before="158"/>
        <w:ind w:right="791"/>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206,586,670.10</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44.32%</w:t>
            </w:r>
          </w:p>
        </w:tc>
      </w:tr>
    </w:tbl>
    <w:p>
      <w:pPr>
        <w:pStyle w:val="BodyText"/>
        <w:spacing w:line="240" w:lineRule="auto" w:before="49"/>
        <w:ind w:right="791"/>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90,637,190.10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52,171,660.00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11.19%</w:t>
            </w:r>
            <w:r>
              <w:rPr>
                <w:rFonts w:ascii="Times New Roman"/>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25,397,980.00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24,695,400.00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13,684,440.00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206,586,670.10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44.32%</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390"/>
        <w:gridCol w:w="2390"/>
        <w:gridCol w:w="2393"/>
        <w:gridCol w:w="2393"/>
      </w:tblGrid>
      <w:tr>
        <w:trPr>
          <w:trHeight w:val="415"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27"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47,129,006.27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42,438,766.40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11.05%</w:t>
            </w:r>
          </w:p>
        </w:tc>
      </w:tr>
      <w:tr>
        <w:trPr>
          <w:trHeight w:val="427"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149,368,927.43</w:t>
            </w:r>
            <w:r>
              <w:rPr>
                <w:rFonts w:ascii="Times New Roman"/>
                <w:sz w:val="18"/>
              </w:rPr>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127,545,691.62</w:t>
            </w:r>
            <w:r>
              <w:rPr>
                <w:rFonts w:ascii="Times New Roman"/>
                <w:sz w:val="18"/>
              </w:rPr>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17.11%</w:t>
            </w:r>
          </w:p>
        </w:tc>
      </w:tr>
      <w:tr>
        <w:trPr>
          <w:trHeight w:val="427"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-6,442,453.27</w:t>
            </w:r>
            <w:r>
              <w:rPr>
                <w:rFonts w:ascii="Times New Roman"/>
                <w:sz w:val="18"/>
              </w:rPr>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-18,459,725.14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65.10%</w:t>
            </w:r>
          </w:p>
        </w:tc>
      </w:tr>
      <w:tr>
        <w:trPr>
          <w:trHeight w:val="427"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2,097,182.6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7,628,893.73</w:t>
            </w:r>
            <w:r>
              <w:rPr>
                <w:rFonts w:ascii="Times New Roman"/>
                <w:sz w:val="18"/>
              </w:rPr>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-72.51%</w:t>
            </w:r>
          </w:p>
        </w:tc>
      </w:tr>
    </w:tbl>
    <w:p>
      <w:pPr>
        <w:pStyle w:val="BodyText"/>
        <w:spacing w:line="300" w:lineRule="auto" w:before="8"/>
        <w:ind w:right="204"/>
        <w:jc w:val="left"/>
      </w:pPr>
      <w:r>
        <w:rPr/>
        <w:t>说明：财务费用较上年同期增长</w:t>
      </w:r>
      <w:r>
        <w:rPr>
          <w:rFonts w:ascii="Times New Roman" w:hAnsi="Times New Roman" w:cs="Times New Roman" w:eastAsia="Times New Roman" w:hint="default"/>
        </w:rPr>
        <w:t>65.10%</w:t>
      </w:r>
      <w:r>
        <w:rPr/>
        <w:t>，主要是报告期利息收入减少。所得税费用较上年同期减少</w:t>
      </w:r>
      <w:r>
        <w:rPr>
          <w:rFonts w:ascii="Times New Roman" w:hAnsi="Times New Roman" w:cs="Times New Roman" w:eastAsia="Times New Roman" w:hint="default"/>
        </w:rPr>
        <w:t>72.51%</w:t>
      </w:r>
      <w:r>
        <w:rPr/>
        <w:t>，主要是本年利 润减少，相应计提所得税费用减少。</w:t>
      </w:r>
    </w:p>
    <w:p>
      <w:pPr>
        <w:spacing w:after="0" w:line="30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86"/>
        <w:jc w:val="left"/>
        <w:rPr>
          <w:b w:val="0"/>
          <w:bCs w:val="0"/>
        </w:rPr>
      </w:pPr>
      <w:bookmarkStart w:name="三、主营业务构成情况"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15" w:firstLine="419"/>
        <w:jc w:val="left"/>
      </w:pPr>
      <w:bookmarkStart w:name="5、研发支出" w:id="26"/>
      <w:bookmarkEnd w:id="26"/>
      <w:r>
        <w:rPr/>
      </w:r>
      <w:r>
        <w:rPr/>
        <w:t>报告期内研发支出主要用于新一代电子政务应用平台、信息安全风险综合管理系统、质检三电工程企业端软件运维服 务平台、协同管理软件平台和技术研发与创新中心五个项目的研发，研发进展等情况详见募集资金使用报告。 本年度研发支出总额为</w:t>
      </w:r>
      <w:r>
        <w:rPr>
          <w:rFonts w:ascii="Times New Roman" w:hAnsi="Times New Roman" w:cs="Times New Roman" w:eastAsia="Times New Roman" w:hint="default"/>
        </w:rPr>
        <w:t>6,633.00</w:t>
      </w:r>
      <w:r>
        <w:rPr/>
        <w:t>万元，分别占公司最近一期经审计净资产、营业收入的</w:t>
      </w:r>
      <w:r>
        <w:rPr>
          <w:rFonts w:ascii="Times New Roman" w:hAnsi="Times New Roman" w:cs="Times New Roman" w:eastAsia="Times New Roman" w:hint="default"/>
        </w:rPr>
        <w:t>4.89%</w:t>
      </w:r>
      <w:r>
        <w:rPr/>
        <w:t>、</w:t>
      </w:r>
      <w:r>
        <w:rPr>
          <w:rFonts w:ascii="Times New Roman" w:hAnsi="Times New Roman" w:cs="Times New Roman" w:eastAsia="Times New Roman" w:hint="default"/>
        </w:rPr>
        <w:t>11.09%</w:t>
      </w:r>
      <w:r>
        <w:rPr/>
        <w:t>。</w:t>
      </w:r>
    </w:p>
    <w:p>
      <w:pPr>
        <w:spacing w:line="240" w:lineRule="auto" w:before="12"/>
        <w:rPr>
          <w:rFonts w:ascii="宋体" w:hAnsi="宋体" w:cs="宋体" w:eastAsia="宋体" w:hint="default"/>
          <w:sz w:val="19"/>
          <w:szCs w:val="19"/>
        </w:rPr>
      </w:pPr>
    </w:p>
    <w:p>
      <w:pPr>
        <w:pStyle w:val="Heading3"/>
        <w:spacing w:line="240" w:lineRule="auto"/>
        <w:ind w:right="186"/>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bookmarkStart w:name="6、现金流" w:id="27"/>
      <w:bookmarkEnd w:id="27"/>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703,561,248.88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685,466,702.08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746,717,389.05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628,326,146.01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18.84%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-43,156,140.17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57,140,556.07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-175.53%</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3,800,893,468.96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933,316,203.45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307.25%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3,862,307,998.92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1,345,208,522.07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-61,414,529.96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-411,892,318.62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5,233.33%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15,555,000.00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64,445,000.00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317.65%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-41,131,701.61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-384,893,694.39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89.31%</w:t>
            </w:r>
          </w:p>
        </w:tc>
      </w:tr>
    </w:tbl>
    <w:p>
      <w:pPr>
        <w:pStyle w:val="BodyText"/>
        <w:spacing w:line="240" w:lineRule="auto" w:before="49"/>
        <w:ind w:right="186"/>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19" w:lineRule="auto" w:before="101"/>
        <w:ind w:right="1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年度，公司经营活动产生的现金流量净额较上年同期减少</w:t>
      </w:r>
      <w:r>
        <w:rPr>
          <w:rFonts w:ascii="Times New Roman" w:hAnsi="Times New Roman" w:cs="Times New Roman" w:eastAsia="Times New Roman" w:hint="default"/>
          <w:spacing w:val="-2"/>
        </w:rPr>
        <w:t>175.53%</w:t>
      </w:r>
      <w:r>
        <w:rPr>
          <w:spacing w:val="-2"/>
        </w:rPr>
        <w:t>，主要是报告期购买商品、接受劳务支付的现金、</w:t>
      </w:r>
      <w:r>
        <w:rPr>
          <w:spacing w:val="-73"/>
        </w:rPr>
        <w:t> </w:t>
      </w:r>
      <w:r>
        <w:rPr>
          <w:spacing w:val="-73"/>
        </w:rPr>
      </w:r>
      <w:r>
        <w:rPr/>
        <w:t>费用付现支出及受限资金增加。</w:t>
      </w:r>
    </w:p>
    <w:p>
      <w:pPr>
        <w:pStyle w:val="BodyText"/>
        <w:spacing w:line="240" w:lineRule="auto" w:before="58"/>
        <w:ind w:right="18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年度，投资活动现金流量净额较上年同期增加</w:t>
      </w:r>
      <w:r>
        <w:rPr>
          <w:rFonts w:ascii="Times New Roman" w:hAnsi="Times New Roman" w:cs="Times New Roman" w:eastAsia="Times New Roman" w:hint="default"/>
        </w:rPr>
        <w:t>85.09%</w:t>
      </w:r>
      <w:r>
        <w:rPr/>
        <w:t>，主要是期末投资购买的理财产品减少。</w:t>
      </w:r>
    </w:p>
    <w:p>
      <w:pPr>
        <w:pStyle w:val="BodyText"/>
        <w:spacing w:line="340" w:lineRule="auto" w:before="101"/>
        <w:ind w:left="153" w:right="2599"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年度，筹资活动现金流量净额较上年同期增加</w:t>
      </w:r>
      <w:r>
        <w:rPr>
          <w:rFonts w:ascii="Times New Roman" w:hAnsi="Times New Roman" w:cs="Times New Roman" w:eastAsia="Times New Roman" w:hint="default"/>
        </w:rPr>
        <w:t>317.65%</w:t>
      </w:r>
      <w:r>
        <w:rPr/>
        <w:t>，主要是期末短期借款增加。 报告期内公司经营活动的现金流量与本年度净利润存在重大差异的原因说明</w:t>
      </w:r>
    </w:p>
    <w:p>
      <w:pPr>
        <w:pStyle w:val="BodyText"/>
        <w:spacing w:line="319" w:lineRule="auto" w:before="41"/>
        <w:ind w:left="153"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2014</w:t>
      </w:r>
      <w:r>
        <w:rPr/>
        <w:t>年度，公司经营活动产生的现金流量净额较上年同期减少</w:t>
      </w:r>
      <w:r>
        <w:rPr>
          <w:rFonts w:ascii="Times New Roman" w:hAnsi="Times New Roman" w:cs="Times New Roman" w:eastAsia="Times New Roman" w:hint="default"/>
        </w:rPr>
        <w:t>175.53%</w:t>
      </w:r>
      <w:r>
        <w:rPr/>
        <w:t>，同期净利润减少</w:t>
      </w:r>
      <w:r>
        <w:rPr>
          <w:rFonts w:ascii="Times New Roman" w:hAnsi="Times New Roman" w:cs="Times New Roman" w:eastAsia="Times New Roman" w:hint="default"/>
        </w:rPr>
        <w:t>64.97%</w:t>
      </w:r>
      <w:r>
        <w:rPr/>
        <w:t>，主要是报告期购买商品、</w:t>
      </w:r>
      <w:r>
        <w:rPr>
          <w:spacing w:val="-37"/>
        </w:rPr>
        <w:t> </w:t>
      </w:r>
      <w:r>
        <w:rPr/>
        <w:t>接受劳务支付的现金、费用付现支出及受限资金增加较多。</w:t>
      </w:r>
    </w:p>
    <w:p>
      <w:pPr>
        <w:spacing w:line="240" w:lineRule="auto" w:before="9"/>
        <w:rPr>
          <w:rFonts w:ascii="宋体" w:hAnsi="宋体" w:cs="宋体" w:eastAsia="宋体" w:hint="default"/>
          <w:sz w:val="20"/>
          <w:szCs w:val="20"/>
        </w:rPr>
      </w:pPr>
    </w:p>
    <w:p>
      <w:pPr>
        <w:pStyle w:val="Heading2"/>
        <w:spacing w:line="240" w:lineRule="auto"/>
        <w:ind w:right="186"/>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6"/>
        <w:gridCol w:w="1366"/>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0" w:right="45"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4"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6"/>
        <w:gridCol w:w="1366"/>
        <w:gridCol w:w="1370"/>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598,305,165.28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424,922,378.38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-2.85%</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439,527,856.11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381,388,227.68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158,777,309.17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43,534,150.70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97,802,885.50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64,056,231.66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133,602,527.34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85,691,722.79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-11.86%</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236,886,254.40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175,279,788.44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56,518,071.78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42,000,023.40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73,495,426.25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57,894,612.08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bl>
    <w:p>
      <w:pPr>
        <w:pStyle w:val="BodyText"/>
        <w:spacing w:line="240" w:lineRule="auto" w:before="49"/>
        <w:ind w:right="791"/>
        <w:jc w:val="left"/>
      </w:pPr>
      <w:bookmarkStart w:name="2、负债项目重大变动情况" w:id="28"/>
      <w:bookmarkEnd w:id="28"/>
      <w:r>
        <w:rPr/>
      </w: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791"/>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四、资产、负债状况分析" w:id="29"/>
      <w:bookmarkEnd w:id="29"/>
      <w:r>
        <w:rPr/>
      </w:r>
      <w:bookmarkStart w:name="1、资产项目重大变动情况" w:id="30"/>
      <w:bookmarkEnd w:id="30"/>
      <w:r>
        <w:rPr/>
      </w: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931"/>
        <w:gridCol w:w="2784"/>
      </w:tblGrid>
      <w:tr>
        <w:trPr>
          <w:trHeight w:val="379" w:hRule="exact"/>
        </w:trPr>
        <w:tc>
          <w:tcPr>
            <w:tcW w:w="1368"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1"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784" w:type="dxa"/>
            <w:tcBorders>
              <w:top w:val="single" w:sz="4" w:space="0" w:color="000000"/>
              <w:left w:val="single" w:sz="4" w:space="0" w:color="000000"/>
              <w:bottom w:val="single" w:sz="13" w:space="0" w:color="FFFFFF"/>
              <w:right w:val="single" w:sz="4" w:space="0" w:color="000000"/>
            </w:tcBorders>
            <w:shd w:val="clear" w:color="auto" w:fill="D4D4D4"/>
          </w:tcPr>
          <w:p>
            <w:pPr/>
          </w:p>
        </w:tc>
      </w:tr>
      <w:tr>
        <w:trPr>
          <w:trHeight w:val="182" w:hRule="exact"/>
        </w:trPr>
        <w:tc>
          <w:tcPr>
            <w:tcW w:w="1368" w:type="dxa"/>
            <w:vMerge w:val="restart"/>
            <w:tcBorders>
              <w:top w:val="single" w:sz="13" w:space="0" w:color="FFFFFF"/>
              <w:left w:val="single" w:sz="4" w:space="0" w:color="000000"/>
              <w:right w:val="single" w:sz="4" w:space="0" w:color="000000"/>
            </w:tcBorders>
            <w:shd w:val="clear" w:color="auto" w:fill="D4D4D4"/>
          </w:tcPr>
          <w:p>
            <w:pPr/>
          </w:p>
        </w:tc>
        <w:tc>
          <w:tcPr>
            <w:tcW w:w="1164"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1"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4"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8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c>
          <w:tcPr>
            <w:tcW w:w="2784"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c>
          <w:tcPr>
            <w:tcW w:w="2784"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c>
          <w:tcPr>
            <w:tcW w:w="2784"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388,260,449.9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23.03%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399,619,093.57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25.28%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-2.25%</w:t>
            </w:r>
          </w:p>
        </w:tc>
        <w:tc>
          <w:tcPr>
            <w:tcW w:w="2784"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4"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4"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74,951,370.16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58,639,308.73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0.74%</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236,519,029.2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14.03%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195,336,490.51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12.36%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1.67%</w:t>
            </w:r>
          </w:p>
        </w:tc>
        <w:tc>
          <w:tcPr>
            <w:tcW w:w="2784"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4"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4"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4D4D4"/>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72,289,929.28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60,037,076.57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0.49%</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44,479,098.04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40,790,619.27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27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3"/>
        <w:gridCol w:w="1195"/>
        <w:gridCol w:w="1063"/>
        <w:gridCol w:w="797"/>
        <w:gridCol w:w="291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70"/>
        <w:gridCol w:w="1164"/>
        <w:gridCol w:w="1063"/>
        <w:gridCol w:w="1195"/>
        <w:gridCol w:w="1063"/>
        <w:gridCol w:w="797"/>
        <w:gridCol w:w="2918"/>
      </w:tblGrid>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4.74%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4.74%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3</w:t>
      </w:r>
      <w:bookmarkStart w:name="3、以公允价值计量的资产和负债" w:id="31"/>
      <w:bookmarkEnd w:id="31"/>
      <w:r>
        <w:rPr>
          <w:rFonts w:ascii="Times New Roman" w:hAnsi="Times New Roman" w:cs="Times New Roman" w:eastAsia="Times New Roman" w:hint="default"/>
        </w:rPr>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五、核心竞争力分</w:t>
      </w:r>
      <w:bookmarkStart w:name="五、核心竞争力分析" w:id="32"/>
      <w:bookmarkEnd w:id="32"/>
      <w:r>
        <w:rPr/>
        <w:t>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公司自成立以来专注于软件产品的开发与销售、计算机系统集成及技术支持与服务，经过多年的不懈努力，已在客户资</w:t>
      </w:r>
      <w:r>
        <w:rPr/>
        <w:t> </w:t>
      </w:r>
      <w:r>
        <w:rPr>
          <w:spacing w:val="-2"/>
        </w:rPr>
        <w:t>源、技术创新、行业经验、企业管理与人力资源、销售和服务网络等方面形成了公司的核心竞争力，成为国内知名的软件产</w:t>
      </w:r>
      <w:r>
        <w:rPr>
          <w:spacing w:val="-65"/>
        </w:rPr>
        <w:t> </w:t>
      </w:r>
      <w:r>
        <w:rPr>
          <w:spacing w:val="-65"/>
        </w:rPr>
      </w:r>
      <w:r>
        <w:rPr/>
        <w:t>品和服务提供商。</w:t>
      </w:r>
    </w:p>
    <w:p>
      <w:pPr>
        <w:pStyle w:val="BodyText"/>
        <w:spacing w:line="340" w:lineRule="auto" w:before="57"/>
        <w:ind w:left="512" w:right="186"/>
        <w:jc w:val="left"/>
      </w:pPr>
      <w:r>
        <w:rPr>
          <w:rFonts w:ascii="Times New Roman" w:hAnsi="Times New Roman" w:cs="Times New Roman" w:eastAsia="Times New Roman" w:hint="default"/>
        </w:rPr>
        <w:t>1</w:t>
      </w:r>
      <w:r>
        <w:rPr/>
        <w:t>、客户资源 </w:t>
      </w:r>
      <w:r>
        <w:rPr>
          <w:spacing w:val="-2"/>
        </w:rPr>
        <w:t>公司经过</w:t>
      </w:r>
      <w:r>
        <w:rPr>
          <w:rFonts w:ascii="Times New Roman" w:hAnsi="Times New Roman" w:cs="Times New Roman" w:eastAsia="Times New Roman" w:hint="default"/>
          <w:spacing w:val="-2"/>
        </w:rPr>
        <w:t>22</w:t>
      </w:r>
      <w:r>
        <w:rPr>
          <w:spacing w:val="-2"/>
        </w:rPr>
        <w:t>年的发展和积累，客户涵盖了政府、军事机关、质检、能源和电信等重要机关和行业，拥有了广泛、优质的</w:t>
      </w:r>
    </w:p>
    <w:p>
      <w:pPr>
        <w:pStyle w:val="BodyText"/>
        <w:spacing w:line="215" w:lineRule="exact"/>
        <w:ind w:right="0"/>
        <w:jc w:val="both"/>
      </w:pPr>
      <w:r>
        <w:rPr/>
        <w:t>客户资源，公司客户群整体质量突出。公司始终强调品牌建设，重视客户需求，技术支持和服务到位，客户满意度和忠诚度</w:t>
      </w:r>
    </w:p>
    <w:p>
      <w:pPr>
        <w:pStyle w:val="BodyText"/>
        <w:spacing w:line="240" w:lineRule="auto" w:before="76"/>
        <w:ind w:right="0"/>
        <w:jc w:val="both"/>
      </w:pPr>
      <w:r>
        <w:rPr/>
        <w:t>较高，客户对公司各类产品形成了较强的粘性，稳定客户的保有率不断提高。</w:t>
      </w:r>
    </w:p>
    <w:p>
      <w:pPr>
        <w:pStyle w:val="BodyText"/>
        <w:spacing w:line="338" w:lineRule="auto" w:before="117"/>
        <w:ind w:left="512" w:right="184"/>
        <w:jc w:val="left"/>
      </w:pPr>
      <w:r>
        <w:rPr>
          <w:rFonts w:ascii="Times New Roman" w:hAnsi="Times New Roman" w:cs="Times New Roman" w:eastAsia="Times New Roman" w:hint="default"/>
        </w:rPr>
        <w:t>2</w:t>
      </w:r>
      <w:r>
        <w:rPr/>
        <w:t>、技术领先性和创新性 公司作为中国软件产品开发与销售的先行者之一，建立了以企业技术中心为核心的创新体系，多次承担国家</w:t>
      </w:r>
      <w:r>
        <w:rPr>
          <w:rFonts w:ascii="Times New Roman" w:hAnsi="Times New Roman" w:cs="Times New Roman" w:eastAsia="Times New Roman" w:hint="default"/>
        </w:rPr>
        <w:t>863</w:t>
      </w:r>
      <w:r>
        <w:rPr/>
        <w:t>项目、</w:t>
      </w:r>
    </w:p>
    <w:p>
      <w:pPr>
        <w:pStyle w:val="BodyText"/>
        <w:spacing w:line="217" w:lineRule="exact"/>
        <w:ind w:right="0"/>
        <w:jc w:val="both"/>
      </w:pPr>
      <w:r>
        <w:rPr/>
        <w:t>电子信息产业发展基金、创新基金以及高科技产业化专项基金项目课题，在所处领域中拥有多项国内领先的创新技术，已形</w:t>
      </w:r>
    </w:p>
    <w:p>
      <w:pPr>
        <w:pStyle w:val="BodyText"/>
        <w:spacing w:line="300" w:lineRule="auto" w:before="76"/>
        <w:ind w:right="190"/>
        <w:jc w:val="both"/>
      </w:pPr>
      <w:r>
        <w:rPr>
          <w:spacing w:val="-1"/>
        </w:rPr>
        <w:t>成较强的核心技术竞争力。公司连续</w:t>
      </w:r>
      <w:r>
        <w:rPr>
          <w:rFonts w:ascii="Times New Roman" w:hAnsi="Times New Roman" w:cs="Times New Roman" w:eastAsia="Times New Roman" w:hint="default"/>
          <w:spacing w:val="-1"/>
        </w:rPr>
        <w:t>15</w:t>
      </w:r>
      <w:r>
        <w:rPr>
          <w:spacing w:val="-1"/>
        </w:rPr>
        <w:t>年被评为</w:t>
      </w:r>
      <w:r>
        <w:rPr>
          <w:rFonts w:ascii="Times New Roman" w:hAnsi="Times New Roman" w:cs="Times New Roman" w:eastAsia="Times New Roman" w:hint="default"/>
          <w:spacing w:val="-1"/>
        </w:rPr>
        <w:t>“</w:t>
      </w:r>
      <w:r>
        <w:rPr>
          <w:spacing w:val="-1"/>
        </w:rPr>
        <w:t>国家规划布局内重点软件企业</w:t>
      </w:r>
      <w:r>
        <w:rPr>
          <w:rFonts w:ascii="Times New Roman" w:hAnsi="Times New Roman" w:cs="Times New Roman" w:eastAsia="Times New Roman" w:hint="default"/>
          <w:spacing w:val="-1"/>
        </w:rPr>
        <w:t>”</w:t>
      </w:r>
      <w:r>
        <w:rPr>
          <w:spacing w:val="-1"/>
        </w:rPr>
        <w:t>、是</w:t>
      </w:r>
      <w:r>
        <w:rPr>
          <w:rFonts w:ascii="Times New Roman" w:hAnsi="Times New Roman" w:cs="Times New Roman" w:eastAsia="Times New Roman" w:hint="default"/>
          <w:spacing w:val="-1"/>
        </w:rPr>
        <w:t>“</w:t>
      </w:r>
      <w:r>
        <w:rPr>
          <w:spacing w:val="-1"/>
        </w:rPr>
        <w:t>国家</w:t>
      </w:r>
      <w:r>
        <w:rPr>
          <w:rFonts w:ascii="Times New Roman" w:hAnsi="Times New Roman" w:cs="Times New Roman" w:eastAsia="Times New Roman" w:hint="default"/>
          <w:spacing w:val="-1"/>
        </w:rPr>
        <w:t>863</w:t>
      </w:r>
      <w:r>
        <w:rPr>
          <w:spacing w:val="-1"/>
        </w:rPr>
        <w:t>计划成果产业化基地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国家</w:t>
      </w:r>
      <w:r>
        <w:rPr>
          <w:spacing w:val="-64"/>
        </w:rPr>
        <w:t> </w:t>
      </w:r>
      <w:r>
        <w:rPr>
          <w:spacing w:val="-1"/>
        </w:rPr>
        <w:t>火炬计划重点高新技术企业</w:t>
      </w:r>
      <w:r>
        <w:rPr>
          <w:rFonts w:ascii="Times New Roman" w:hAnsi="Times New Roman" w:cs="Times New Roman" w:eastAsia="Times New Roman" w:hint="default"/>
          <w:spacing w:val="-1"/>
        </w:rPr>
        <w:t>”</w:t>
      </w:r>
      <w:r>
        <w:rPr>
          <w:spacing w:val="-1"/>
        </w:rPr>
        <w:t>，被认定为</w:t>
      </w:r>
      <w:r>
        <w:rPr>
          <w:rFonts w:ascii="Times New Roman" w:hAnsi="Times New Roman" w:cs="Times New Roman" w:eastAsia="Times New Roman" w:hint="default"/>
          <w:spacing w:val="-1"/>
        </w:rPr>
        <w:t>“</w:t>
      </w:r>
      <w:r>
        <w:rPr>
          <w:spacing w:val="-1"/>
        </w:rPr>
        <w:t>福建省省级企业技术中心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福建省软件技术研发中心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福州软件园博士后工作</w:t>
      </w:r>
      <w:r>
        <w:rPr>
          <w:spacing w:val="-59"/>
        </w:rPr>
        <w:t> </w:t>
      </w:r>
      <w:r>
        <w:rPr>
          <w:spacing w:val="-59"/>
        </w:rPr>
      </w:r>
      <w:r>
        <w:rPr/>
        <w:t>站榕基分站</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福建省创新型企业</w:t>
      </w:r>
      <w:r>
        <w:rPr>
          <w:rFonts w:ascii="Times New Roman" w:hAnsi="Times New Roman" w:cs="Times New Roman" w:eastAsia="Times New Roman" w:hint="default"/>
        </w:rPr>
        <w:t>”</w:t>
      </w:r>
      <w:r>
        <w:rPr/>
        <w:t>，曾荣获</w:t>
      </w:r>
      <w:r>
        <w:rPr>
          <w:rFonts w:ascii="Times New Roman" w:hAnsi="Times New Roman" w:cs="Times New Roman" w:eastAsia="Times New Roman" w:hint="default"/>
        </w:rPr>
        <w:t>“</w:t>
      </w:r>
      <w:r>
        <w:rPr/>
        <w:t>中国十大创新软件企业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福建省知识产权优势企业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福建省战略性新兴产 业骨干企业</w:t>
      </w:r>
      <w:r>
        <w:rPr>
          <w:rFonts w:ascii="Times New Roman" w:hAnsi="Times New Roman" w:cs="Times New Roman" w:eastAsia="Times New Roman" w:hint="default"/>
        </w:rPr>
        <w:t>”</w:t>
      </w:r>
      <w:r>
        <w:rPr/>
        <w:t>。</w:t>
      </w:r>
    </w:p>
    <w:p>
      <w:pPr>
        <w:pStyle w:val="BodyText"/>
        <w:spacing w:line="309" w:lineRule="auto" w:before="53"/>
        <w:ind w:right="106" w:firstLine="360"/>
        <w:jc w:val="left"/>
      </w:pPr>
      <w:r>
        <w:rPr>
          <w:spacing w:val="-2"/>
        </w:rPr>
        <w:t>公司结合自身条件和外部市场环境，在移动办公云平台、智慧城市、中小企业信息化、智能电网等新业务方向上取得了</w:t>
      </w:r>
      <w:r>
        <w:rPr/>
        <w:t> 许多先进技术的创新。公司目前拥有</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w:t>
      </w:r>
      <w:r>
        <w:rPr/>
        <w:t>品牌的自主知识产权包括已拥有专利</w:t>
      </w:r>
      <w:r>
        <w:rPr>
          <w:rFonts w:ascii="Times New Roman" w:hAnsi="Times New Roman" w:cs="Times New Roman" w:eastAsia="Times New Roman" w:hint="default"/>
        </w:rPr>
        <w:t>14</w:t>
      </w:r>
      <w:r>
        <w:rPr/>
        <w:t>项（发明专利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8</w:t>
      </w:r>
      <w:r>
        <w:rPr/>
        <w:t>项）、</w:t>
      </w:r>
      <w:r>
        <w:rPr>
          <w:spacing w:val="-72"/>
        </w:rPr>
        <w:t> </w:t>
      </w:r>
      <w:r>
        <w:rPr>
          <w:spacing w:val="-72"/>
        </w:rPr>
      </w:r>
      <w:r>
        <w:rPr/>
        <w:t>在申请专利</w:t>
      </w:r>
      <w:r>
        <w:rPr>
          <w:rFonts w:ascii="Times New Roman" w:hAnsi="Times New Roman" w:cs="Times New Roman" w:eastAsia="Times New Roman" w:hint="default"/>
        </w:rPr>
        <w:t>18</w:t>
      </w:r>
      <w:r>
        <w:rPr/>
        <w:t>项，</w:t>
      </w:r>
      <w:r>
        <w:rPr>
          <w:rFonts w:ascii="Times New Roman" w:hAnsi="Times New Roman" w:cs="Times New Roman" w:eastAsia="Times New Roman" w:hint="default"/>
        </w:rPr>
        <w:t>108</w:t>
      </w:r>
      <w:r>
        <w:rPr/>
        <w:t>项计算机软件著作权及</w:t>
      </w:r>
      <w:r>
        <w:rPr>
          <w:rFonts w:ascii="Times New Roman" w:hAnsi="Times New Roman" w:cs="Times New Roman" w:eastAsia="Times New Roman" w:hint="default"/>
        </w:rPr>
        <w:t>98</w:t>
      </w:r>
      <w:r>
        <w:rPr/>
        <w:t>项软件产品登记证书。公司多个自主知识产权的软件产品和技术达到国内领 </w:t>
      </w:r>
      <w:r>
        <w:rPr>
          <w:spacing w:val="-2"/>
        </w:rPr>
        <w:t>先水平和国际先进水平，近年来有多个自主产品被列入国家和省部级创新产品，获得多项国家、省、市科技进步奖和优秀产</w:t>
      </w:r>
      <w:r>
        <w:rPr>
          <w:spacing w:val="-64"/>
        </w:rPr>
        <w:t> </w:t>
      </w:r>
      <w:r>
        <w:rPr>
          <w:spacing w:val="-64"/>
        </w:rPr>
      </w:r>
      <w:r>
        <w:rPr/>
        <w:t>品等荣誉。</w:t>
      </w:r>
    </w:p>
    <w:p>
      <w:pPr>
        <w:pStyle w:val="BodyText"/>
        <w:spacing w:line="338" w:lineRule="auto" w:before="65"/>
        <w:ind w:left="512" w:right="188"/>
        <w:jc w:val="left"/>
      </w:pPr>
      <w:r>
        <w:rPr>
          <w:rFonts w:ascii="Times New Roman" w:hAnsi="Times New Roman" w:cs="Times New Roman" w:eastAsia="Times New Roman" w:hint="default"/>
        </w:rPr>
        <w:t>3</w:t>
      </w:r>
      <w:r>
        <w:rPr/>
        <w:t>、行业经验 </w:t>
      </w:r>
      <w:r>
        <w:rPr>
          <w:spacing w:val="-1"/>
        </w:rPr>
        <w:t>公司作为四大主营业务领域的龙头企业和骨干企业，承担了金质工程、金环工程、天平工程、</w:t>
      </w:r>
      <w:r>
        <w:rPr>
          <w:rFonts w:ascii="Times New Roman" w:hAnsi="Times New Roman" w:cs="Times New Roman" w:eastAsia="Times New Roman" w:hint="default"/>
          <w:spacing w:val="-1"/>
        </w:rPr>
        <w:t>SG186</w:t>
      </w:r>
      <w:r>
        <w:rPr>
          <w:spacing w:val="-1"/>
        </w:rPr>
        <w:t>工程、信息安全内</w:t>
      </w:r>
    </w:p>
    <w:p>
      <w:pPr>
        <w:pStyle w:val="BodyText"/>
        <w:spacing w:line="217" w:lineRule="exact"/>
        <w:ind w:right="0"/>
        <w:jc w:val="both"/>
      </w:pPr>
      <w:r>
        <w:rPr/>
        <w:t>控运维、政府政务云计算平台等国家重大信息化项目以及多个行业核心业务支撑系统和关键共性技术平台，具有典型示范和</w:t>
      </w:r>
    </w:p>
    <w:p>
      <w:pPr>
        <w:pStyle w:val="BodyText"/>
        <w:spacing w:line="240" w:lineRule="auto" w:before="76"/>
        <w:ind w:right="0"/>
        <w:jc w:val="both"/>
      </w:pPr>
      <w:r>
        <w:rPr/>
        <w:t>辐射带动作用。</w:t>
      </w:r>
    </w:p>
    <w:p>
      <w:pPr>
        <w:pStyle w:val="BodyText"/>
        <w:spacing w:line="340" w:lineRule="auto" w:before="117"/>
        <w:ind w:left="512" w:right="186"/>
        <w:jc w:val="left"/>
      </w:pPr>
      <w:r>
        <w:rPr>
          <w:rFonts w:ascii="Times New Roman" w:hAnsi="Times New Roman" w:cs="Times New Roman" w:eastAsia="Times New Roman" w:hint="default"/>
        </w:rPr>
        <w:t>4</w:t>
      </w:r>
      <w:r>
        <w:rPr/>
        <w:t>、企业管理与人力资源 </w:t>
      </w:r>
      <w:r>
        <w:rPr>
          <w:spacing w:val="-2"/>
        </w:rPr>
        <w:t>报告期内，公司通过了信息安全与</w:t>
      </w:r>
      <w:r>
        <w:rPr>
          <w:rFonts w:ascii="Times New Roman" w:hAnsi="Times New Roman" w:cs="Times New Roman" w:eastAsia="Times New Roman" w:hint="default"/>
          <w:spacing w:val="-2"/>
        </w:rPr>
        <w:t>IT</w:t>
      </w:r>
      <w:r>
        <w:rPr>
          <w:spacing w:val="-2"/>
        </w:rPr>
        <w:t>服务两大管理体系认证，提高了识别信息风险能力，保障了企业信息安全，提高了</w:t>
      </w:r>
    </w:p>
    <w:p>
      <w:pPr>
        <w:pStyle w:val="BodyText"/>
        <w:spacing w:line="215" w:lineRule="exact"/>
        <w:ind w:right="0"/>
        <w:jc w:val="both"/>
      </w:pPr>
      <w:r>
        <w:rPr/>
        <w:t>服务质量，降低了服务成本。通过这些管理能力的提高，公司能更加有效地交付管理服务以满足业务和客户的需求，更具备</w:t>
      </w:r>
    </w:p>
    <w:p>
      <w:pPr>
        <w:pStyle w:val="BodyText"/>
        <w:spacing w:line="300" w:lineRule="auto" w:before="76"/>
        <w:ind w:right="186"/>
        <w:jc w:val="left"/>
      </w:pPr>
      <w:r>
        <w:rPr>
          <w:spacing w:val="-2"/>
        </w:rPr>
        <w:t>持续控制和改善</w:t>
      </w:r>
      <w:r>
        <w:rPr>
          <w:rFonts w:ascii="Times New Roman" w:hAnsi="Times New Roman" w:cs="Times New Roman" w:eastAsia="Times New Roman" w:hint="default"/>
          <w:spacing w:val="-2"/>
        </w:rPr>
        <w:t>IT</w:t>
      </w:r>
      <w:r>
        <w:rPr>
          <w:spacing w:val="-2"/>
        </w:rPr>
        <w:t>服务的能力以此，强化了榕基软件在体系管理方面的能力，进一步提高了经营管理和市场认可度，增强了</w:t>
      </w:r>
      <w:r>
        <w:rPr>
          <w:spacing w:val="-52"/>
        </w:rPr>
        <w:t> </w:t>
      </w:r>
      <w:r>
        <w:rPr>
          <w:spacing w:val="-52"/>
        </w:rPr>
      </w:r>
      <w:r>
        <w:rPr/>
        <w:t>市场竞争力。</w:t>
      </w:r>
    </w:p>
    <w:p>
      <w:pPr>
        <w:pStyle w:val="BodyText"/>
        <w:spacing w:line="316" w:lineRule="auto" w:before="70"/>
        <w:ind w:right="190" w:firstLine="360"/>
        <w:jc w:val="both"/>
      </w:pPr>
      <w:r>
        <w:rPr>
          <w:spacing w:val="-2"/>
        </w:rPr>
        <w:t>公司在多年的经营实践中形成了稳定的、受过良好教育又具有行业经验的核心管理团队和优秀的、富有经验的研发技术</w:t>
      </w:r>
      <w:r>
        <w:rPr/>
        <w:t> </w:t>
      </w:r>
      <w:r>
        <w:rPr>
          <w:spacing w:val="-5"/>
        </w:rPr>
        <w:t>团队。公司建立了人员招聘体系、职务职责体系、薪酬福利体系、绩效考核体系、研发和创新激励体系等一系列机制，吸引、</w:t>
      </w:r>
      <w:r>
        <w:rPr>
          <w:spacing w:val="-79"/>
        </w:rPr>
        <w:t> </w:t>
      </w:r>
      <w:r>
        <w:rPr>
          <w:spacing w:val="-79"/>
        </w:rPr>
      </w:r>
      <w:r>
        <w:rPr>
          <w:spacing w:val="-2"/>
        </w:rPr>
        <w:t>培养了一支技术水平高、经验丰富、富有团队协作精神，且对公司的企业文化有较高的认同感的研发技术团队，为公司规模</w:t>
      </w:r>
      <w:r>
        <w:rPr>
          <w:spacing w:val="-64"/>
        </w:rPr>
        <w:t> </w:t>
      </w:r>
      <w:r>
        <w:rPr>
          <w:spacing w:val="-64"/>
        </w:rPr>
      </w:r>
      <w:r>
        <w:rPr/>
        <w:t>化发展提供了有力的保障。</w:t>
      </w:r>
    </w:p>
    <w:p>
      <w:pPr>
        <w:pStyle w:val="BodyText"/>
        <w:spacing w:line="340" w:lineRule="auto" w:before="59"/>
        <w:ind w:left="512" w:right="106"/>
        <w:jc w:val="left"/>
      </w:pPr>
      <w:r>
        <w:rPr>
          <w:rFonts w:ascii="Times New Roman" w:hAnsi="Times New Roman" w:cs="Times New Roman" w:eastAsia="Times New Roman" w:hint="default"/>
        </w:rPr>
        <w:t>5</w:t>
      </w:r>
      <w:r>
        <w:rPr/>
        <w:t>、销售和服务网络 </w:t>
      </w:r>
      <w:r>
        <w:rPr>
          <w:spacing w:val="-4"/>
        </w:rPr>
        <w:t>公司以产品运作和渠道拓展为基础，积极发展分销产品业务，致力于成为厂商和用户之间具有核心价值的信息交换桥梁。</w:t>
      </w:r>
    </w:p>
    <w:p>
      <w:pPr>
        <w:pStyle w:val="BodyText"/>
        <w:spacing w:line="240" w:lineRule="auto"/>
        <w:ind w:right="0"/>
        <w:jc w:val="both"/>
      </w:pPr>
      <w:r>
        <w:rPr/>
        <w:t>报告期内，公司通过双方的区域战略、行业战略等多方面产业链整合，分销业务取得了较好的销售规模，与国内众多的渠道</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60" w:lineRule="auto" w:before="44"/>
        <w:ind w:left="512" w:right="144" w:hanging="360"/>
        <w:jc w:val="left"/>
      </w:pPr>
      <w:bookmarkStart w:name="（3）证券投资情况" w:id="33"/>
      <w:bookmarkEnd w:id="33"/>
      <w:r>
        <w:rPr/>
      </w:r>
      <w:bookmarkStart w:name="（4）持有其他上市公司股权情况的说明" w:id="34"/>
      <w:bookmarkEnd w:id="34"/>
      <w:r>
        <w:rPr/>
      </w:r>
      <w:r>
        <w:rPr/>
        <w:t>商建立了业务联系，并通过渠道商对公司自主软件产品的积极影响力扩大了公司软件产品的销售规模。 截至报告期末，公司新建、扩建运维服务网点共</w:t>
      </w:r>
      <w:r>
        <w:rPr>
          <w:rFonts w:ascii="Times New Roman" w:hAnsi="Times New Roman" w:cs="Times New Roman" w:eastAsia="Times New Roman" w:hint="default"/>
        </w:rPr>
        <w:t>130</w:t>
      </w:r>
      <w:r>
        <w:rPr/>
        <w:t>多个，提高了运维服务网络的覆盖率，完善了包括客户服务支持系</w:t>
      </w:r>
    </w:p>
    <w:p>
      <w:pPr>
        <w:pStyle w:val="BodyText"/>
        <w:spacing w:line="199" w:lineRule="exact"/>
        <w:ind w:right="0"/>
        <w:jc w:val="left"/>
      </w:pPr>
      <w:r>
        <w:rPr>
          <w:spacing w:val="-5"/>
        </w:rPr>
        <w:t>统、客户服务中心、服务管理体系在内的运维服务体系，提高了公司的运维服务能力和服务质量，进一步提高了市场占有率。</w:t>
      </w:r>
    </w:p>
    <w:p>
      <w:pPr>
        <w:spacing w:line="240" w:lineRule="auto" w:before="1"/>
        <w:rPr>
          <w:rFonts w:ascii="宋体" w:hAnsi="宋体" w:cs="宋体" w:eastAsia="宋体" w:hint="default"/>
          <w:sz w:val="25"/>
          <w:szCs w:val="25"/>
        </w:rPr>
      </w:pPr>
    </w:p>
    <w:p>
      <w:pPr>
        <w:pStyle w:val="Heading2"/>
        <w:spacing w:line="240" w:lineRule="auto"/>
        <w:ind w:right="791"/>
        <w:jc w:val="left"/>
        <w:rPr>
          <w:b w:val="0"/>
          <w:bCs w:val="0"/>
        </w:rPr>
      </w:pPr>
      <w:r>
        <w:rPr/>
        <w:t>六、投</w:t>
      </w:r>
      <w:bookmarkStart w:name="六、投资状况分析" w:id="35"/>
      <w:bookmarkEnd w:id="35"/>
      <w:r>
        <w:rPr/>
        <w:t>资状</w:t>
      </w:r>
      <w:r>
        <w:rPr/>
        <w:t>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1、对外股权投资情况" w:id="36"/>
            <w:bookmarkEnd w:id="36"/>
            <w:r>
              <w:rPr/>
            </w:r>
            <w:bookmarkStart w:name="（1）对外投资情况" w:id="37"/>
            <w:bookmarkEnd w:id="37"/>
            <w:r>
              <w:rPr/>
            </w:r>
            <w:r>
              <w:rPr>
                <w:rFonts w:ascii="宋体" w:hAnsi="宋体" w:cs="宋体" w:eastAsia="宋体" w:hint="default"/>
                <w:sz w:val="18"/>
                <w:szCs w:val="18"/>
              </w:rPr>
              <w:t>对外投资情况</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98,004,591.40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89,575,600.00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对外投资，国际市场合作开发，进出口 贸易，计算机软硬件销售服务</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电子计算机软硬件领域内的技术开发， 技术转让，技术咨询，技术服务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1"/>
        <w:gridCol w:w="869"/>
        <w:gridCol w:w="869"/>
        <w:gridCol w:w="869"/>
        <w:gridCol w:w="869"/>
        <w:gridCol w:w="869"/>
        <w:gridCol w:w="869"/>
        <w:gridCol w:w="854"/>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1" w:firstLine="4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67"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left"/>
              <w:rPr>
                <w:rFonts w:ascii="宋体" w:hAnsi="宋体" w:cs="宋体" w:eastAsia="宋体" w:hint="default"/>
                <w:sz w:val="18"/>
                <w:szCs w:val="18"/>
              </w:rPr>
            </w:pPr>
            <w:bookmarkStart w:name="（2）持有金融企业股权情况" w:id="38"/>
            <w:bookmarkEnd w:id="38"/>
            <w:r>
              <w:rPr/>
            </w: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7"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7,000,000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认购</w:t>
            </w:r>
          </w:p>
        </w:tc>
      </w:tr>
      <w:tr>
        <w:trPr>
          <w:trHeight w:val="71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7,000,000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公司报告期不存在证券投资。</w:t>
      </w:r>
    </w:p>
    <w:p>
      <w:pPr>
        <w:spacing w:line="240" w:lineRule="auto" w:before="3"/>
        <w:rPr>
          <w:rFonts w:ascii="宋体" w:hAnsi="宋体" w:cs="宋体" w:eastAsia="宋体" w:hint="default"/>
          <w:sz w:val="21"/>
          <w:szCs w:val="21"/>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公司报告期未持有其他上市公司股权。</w:t>
      </w:r>
    </w:p>
    <w:p>
      <w:pPr>
        <w:spacing w:after="0" w:line="340" w:lineRule="auto"/>
        <w:jc w:val="left"/>
        <w:sectPr>
          <w:footerReference w:type="default" r:id="rId15"/>
          <w:pgSz w:w="11910" w:h="16840"/>
          <w:pgMar w:footer="982" w:header="745" w:top="1060" w:bottom="1180" w:left="980" w:right="980"/>
          <w:pgNumType w:start="2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rFonts w:ascii="Times New Roman" w:hAnsi="Times New Roman" w:cs="Times New Roman" w:eastAsia="Times New Roman" w:hint="default"/>
        </w:rPr>
        <w:t>2</w:t>
      </w:r>
      <w:bookmarkStart w:name="2、委托理财、衍生品投资和委托贷款情况" w:id="39"/>
      <w:bookmarkEnd w:id="39"/>
      <w:r>
        <w:rPr>
          <w:rFonts w:ascii="Times New Roman" w:hAnsi="Times New Roman" w:cs="Times New Roman" w:eastAsia="Times New Roman" w:hint="default"/>
        </w:rPr>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1）委托理财情况" w:id="40"/>
      <w:bookmarkEnd w:id="40"/>
      <w:r>
        <w:rPr>
          <w:rFonts w:ascii="Times New Roman" w:hAnsi="Times New Roman" w:cs="Times New Roman" w:eastAsia="Times New Roman" w:hint="default"/>
        </w:rPr>
      </w:r>
      <w:r>
        <w:rPr/>
        <w:t>）委托理财情况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1026"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4" w:right="31" w:hanging="269"/>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6" w:right="29"/>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9"/>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6" w:right="2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29.17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29.17</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鼓楼支行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17.83</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农业银行 福州冶山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21.92</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交通银行 福州三山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浮动收益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18.58</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中国农业 银行福州 梅峰支行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21.29</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福州五一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14.79</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建设银行 福建省分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10.74</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民生银行 福州东街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18.59</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光大银行 福州铜盘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w:t>
            </w:r>
          </w:p>
        </w:tc>
      </w:tr>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农业银行 福州冶山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3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16.55</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交通银行 福州三山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浮动收益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鼓楼支行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29.64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29.64</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交通银行 福州三山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浮动收益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23.42</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交通银行 福州三山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浮动收益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民生银行 福州东街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18.33</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鼓楼支行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14.44</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农业银行 福州冶山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8.64</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农业银行 福州冶山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交通银行 福州三山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以实际到 期为准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浮动收益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银行鼓楼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农业银行 福州冶山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17.68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17.68</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15.78</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华夏银行 福州金融 街支行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农业银行 福州冶山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9.02</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民生银行 福州东街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12.58</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银行鼓楼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12.37</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福州东街 支行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华夏银行 金融街支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0.29</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0.29</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22.36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银行鼓楼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8.13</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11.23</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8.98</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银行鼓楼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浦发福州 分行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农业福州 冶山支行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以实际到 期为准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3"/>
              <w:jc w:val="left"/>
              <w:rPr>
                <w:rFonts w:ascii="宋体" w:hAnsi="宋体" w:cs="宋体" w:eastAsia="宋体" w:hint="default"/>
                <w:sz w:val="18"/>
                <w:szCs w:val="18"/>
              </w:rPr>
            </w:pPr>
            <w:r>
              <w:rPr>
                <w:rFonts w:ascii="宋体" w:hAnsi="宋体" w:cs="宋体" w:eastAsia="宋体" w:hint="default"/>
                <w:sz w:val="18"/>
                <w:szCs w:val="18"/>
              </w:rPr>
              <w:t>厦门国际 银行北京</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128.92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中关村支 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226.87</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226.87</w:t>
            </w:r>
            <w:r>
              <w:rPr>
                <w:rFonts w:ascii="Times New Roman"/>
                <w:sz w:val="18"/>
              </w:rPr>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43.06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43.06</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104.71</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104.71</w:t>
            </w:r>
            <w:r>
              <w:rPr>
                <w:rFonts w:ascii="Times New Roman"/>
                <w:sz w:val="18"/>
              </w:rPr>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2"/>
                <w:sz w:val="18"/>
              </w:rPr>
              <w:t>61.11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2"/>
                <w:sz w:val="18"/>
              </w:rPr>
              <w:t>61.11</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122.22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122.22</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民生银行 北京和平 里支行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43.06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43.06</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民生银行 北京和平 里支行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民生银行 北京和平 里支行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22.22</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45.83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45.83</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58.89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58.89</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3"/>
              <w:jc w:val="left"/>
              <w:rPr>
                <w:rFonts w:ascii="宋体" w:hAnsi="宋体" w:cs="宋体" w:eastAsia="宋体" w:hint="default"/>
                <w:sz w:val="18"/>
                <w:szCs w:val="18"/>
              </w:rPr>
            </w:pPr>
            <w:r>
              <w:rPr>
                <w:rFonts w:ascii="宋体" w:hAnsi="宋体" w:cs="宋体" w:eastAsia="宋体" w:hint="default"/>
                <w:sz w:val="18"/>
                <w:szCs w:val="18"/>
              </w:rPr>
              <w:t>厦门国际 银行北京</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114.44</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114.44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中关村支 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42.92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42.92</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56.67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56.67</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113.33</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113.33</w:t>
            </w:r>
            <w:r>
              <w:rPr>
                <w:rFonts w:ascii="Times New Roman"/>
                <w:sz w:val="18"/>
              </w:rPr>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42.5</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56.67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56.67</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113.33</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113.33</w:t>
            </w:r>
            <w:r>
              <w:rPr>
                <w:rFonts w:ascii="Times New Roman"/>
                <w:sz w:val="18"/>
              </w:rPr>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42.5</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97.22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43"/>
              <w:jc w:val="both"/>
              <w:rPr>
                <w:rFonts w:ascii="宋体" w:hAnsi="宋体" w:cs="宋体" w:eastAsia="宋体" w:hint="default"/>
                <w:sz w:val="18"/>
                <w:szCs w:val="18"/>
              </w:rPr>
            </w:pPr>
            <w:r>
              <w:rPr>
                <w:rFonts w:ascii="宋体" w:hAnsi="宋体" w:cs="宋体" w:eastAsia="宋体" w:hint="default"/>
                <w:sz w:val="18"/>
                <w:szCs w:val="18"/>
              </w:rPr>
              <w:t>厦门国际 银行北京 中关村支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3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浦发银行 郑州陇海 路支行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浦东发展 银行陇海 路支行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22.08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22.08</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浦发银行 郑州陇海 路支行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45.76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23.28</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20.85</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13.57</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13.81</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建设银行 福建省分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福州屏山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谨慎型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福州屏山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建设银行 福建省分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7"/>
        <w:gridCol w:w="814"/>
        <w:gridCol w:w="797"/>
        <w:gridCol w:w="797"/>
        <w:gridCol w:w="797"/>
        <w:gridCol w:w="797"/>
        <w:gridCol w:w="797"/>
        <w:gridCol w:w="799"/>
        <w:gridCol w:w="794"/>
        <w:gridCol w:w="785"/>
      </w:tblGrid>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福州屏山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谨慎型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招商银行 郑州东风 路支行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马鞍山分 行营业部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0.92</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招商银行 马鞍山分 行营业部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马鞍山分 行营业部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招商银行 马鞍山分 行营业部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w:t>
            </w:r>
            <w:r>
              <w:rPr>
                <w:rFonts w:ascii="Times New Roman"/>
                <w:sz w:val="18"/>
              </w:rPr>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马鞍山分 行营业部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w:t>
            </w:r>
            <w:r>
              <w:rPr>
                <w:rFonts w:ascii="Times New Roman"/>
                <w:sz w:val="18"/>
              </w:rPr>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招商银行 杭州高新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14.56</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招商银行 杭州高新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w:t>
            </w:r>
            <w:r>
              <w:rPr>
                <w:rFonts w:ascii="Times New Roman"/>
                <w:sz w:val="18"/>
              </w:rPr>
            </w:r>
          </w:p>
        </w:tc>
      </w:tr>
      <w:tr>
        <w:trPr>
          <w:trHeight w:val="403"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415,050</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415,050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2,622.99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2,429.35</w:t>
            </w:r>
          </w:p>
        </w:tc>
      </w:tr>
      <w:tr>
        <w:trPr>
          <w:trHeight w:val="401"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公司或控股子公司闲置自有资金及募集资金。</w:t>
            </w:r>
          </w:p>
        </w:tc>
      </w:tr>
      <w:tr>
        <w:trPr>
          <w:trHeight w:val="403"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791"/>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after="0" w:line="3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bookmarkStart w:name="（3）委托贷款情况" w:id="42"/>
      <w:bookmarkEnd w:id="42"/>
      <w:r>
        <w:rPr>
          <w:rFonts w:ascii="Times New Roman" w:hAnsi="Times New Roman" w:cs="Times New Roman" w:eastAsia="Times New Roman" w:hint="default"/>
        </w:rPr>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3</w:t>
      </w:r>
      <w:bookmarkStart w:name="3、募集资金使用情况" w:id="43"/>
      <w:bookmarkEnd w:id="43"/>
      <w:r>
        <w:rPr>
          <w:rFonts w:ascii="Times New Roman" w:hAnsi="Times New Roman" w:cs="Times New Roman" w:eastAsia="Times New Roman" w:hint="default"/>
        </w:rPr>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bookmarkStart w:name="（1）募集资金总体使用情况" w:id="44"/>
      <w:bookmarkEnd w:id="44"/>
      <w:r>
        <w:rPr/>
      </w: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8"/>
        <w:gridCol w:w="5480"/>
      </w:tblGrid>
      <w:tr>
        <w:trPr>
          <w:trHeight w:val="401"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90,566.32</w:t>
            </w:r>
          </w:p>
        </w:tc>
      </w:tr>
      <w:tr>
        <w:trPr>
          <w:trHeight w:val="403"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10,407.95</w:t>
            </w:r>
          </w:p>
        </w:tc>
      </w:tr>
      <w:tr>
        <w:trPr>
          <w:trHeight w:val="406"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47,235.42</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本公司实际募集资金净额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90,566.32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3,885.65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9,734.67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15,939.63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8,300.97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10,407.95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万元，募集资金累计投入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47,235.42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万元，尚未使用的金额为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51,622.98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包含利息及理财收益净收入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8,292.07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3"/>
        <w:jc w:val="right"/>
      </w:pPr>
      <w:bookmarkStart w:name="（2）募集资金承诺项目情况" w:id="45"/>
      <w:bookmarkEnd w:id="45"/>
      <w:r>
        <w:rPr/>
      </w: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4"/>
        <w:gridCol w:w="775"/>
        <w:gridCol w:w="775"/>
        <w:gridCol w:w="778"/>
        <w:gridCol w:w="780"/>
        <w:gridCol w:w="782"/>
        <w:gridCol w:w="782"/>
        <w:gridCol w:w="780"/>
        <w:gridCol w:w="782"/>
        <w:gridCol w:w="782"/>
        <w:gridCol w:w="787"/>
      </w:tblGrid>
      <w:tr>
        <w:trPr>
          <w:trHeight w:val="1339" w:hRule="exact"/>
        </w:trPr>
        <w:tc>
          <w:tcPr>
            <w:tcW w:w="1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8"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84" w:right="7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6" w:lineRule="auto" w:before="49"/>
              <w:ind w:left="26"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新一代电子政务应用 平台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6,764.68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2,270.72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6,074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89.79%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信息安全风险综合管 理系统</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6,339.33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1,604.39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5,092.74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80.34%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803.93</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质检三电工程企业端 软件运维服务平台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9,024.31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9,024.31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3,212.69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9,102.31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765.97</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协同管理软件平台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7,450.14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2,156.8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5,505.62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73.90%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1,342.53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7pt;margin-top:71.999985pt;width:478.6pt;height:696.4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2"/>
                    <w:gridCol w:w="196"/>
                    <w:gridCol w:w="580"/>
                    <w:gridCol w:w="775"/>
                    <w:gridCol w:w="778"/>
                    <w:gridCol w:w="780"/>
                    <w:gridCol w:w="782"/>
                    <w:gridCol w:w="782"/>
                    <w:gridCol w:w="780"/>
                    <w:gridCol w:w="782"/>
                    <w:gridCol w:w="782"/>
                    <w:gridCol w:w="787"/>
                  </w:tblGrid>
                  <w:tr>
                    <w:trPr>
                      <w:trHeight w:val="674" w:hRule="exact"/>
                    </w:trPr>
                    <w:tc>
                      <w:tcPr>
                        <w:tcW w:w="1752" w:type="dxa"/>
                        <w:tcBorders>
                          <w:top w:val="single" w:sz="4" w:space="0" w:color="000000"/>
                          <w:left w:val="single" w:sz="4" w:space="0" w:color="000000"/>
                          <w:bottom w:val="single" w:sz="4" w:space="0" w:color="000000"/>
                          <w:right w:val="single" w:sz="4" w:space="0" w:color="000000"/>
                        </w:tcBorders>
                      </w:tcPr>
                      <w:p>
                        <w:pPr/>
                      </w:p>
                    </w:tc>
                    <w:tc>
                      <w:tcPr>
                        <w:tcW w:w="775" w:type="dxa"/>
                        <w:gridSpan w:val="2"/>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技术研发与创新中心</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3,104.37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63.35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1,756.48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56.58%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32,682.83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9,307.95</w:t>
                        </w:r>
                      </w:p>
                    </w:tc>
                    <w:tc>
                      <w:tcPr>
                        <w:tcW w:w="78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27,531.15</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4,606.93</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57"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投资设立子公司</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6,704.27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5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5"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775"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13,000</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13,000</w:t>
                        </w:r>
                      </w:p>
                    </w:tc>
                    <w:tc>
                      <w:tcPr>
                        <w:tcW w:w="780"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13,000</w:t>
                        </w:r>
                      </w:p>
                    </w:tc>
                    <w:tc>
                      <w:tcPr>
                        <w:tcW w:w="782" w:type="dxa"/>
                        <w:vMerge w:val="restart"/>
                        <w:tcBorders>
                          <w:top w:val="single" w:sz="4" w:space="0" w:color="000000"/>
                          <w:left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nil" w:sz="6" w:space="0" w:color="auto"/>
                          <w:right w:val="single" w:sz="4" w:space="0" w:color="000000"/>
                        </w:tcBorders>
                        <w:shd w:val="clear" w:color="auto" w:fill="D4D4D4"/>
                      </w:tcPr>
                      <w:p>
                        <w:pPr/>
                      </w:p>
                    </w:tc>
                    <w:tc>
                      <w:tcPr>
                        <w:tcW w:w="7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75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6" w:type="dxa"/>
                        <w:tcBorders>
                          <w:top w:val="nil" w:sz="6" w:space="0" w:color="auto"/>
                          <w:left w:val="single" w:sz="4" w:space="0" w:color="000000"/>
                          <w:bottom w:val="nil" w:sz="6" w:space="0" w:color="auto"/>
                          <w:right w:val="nil" w:sz="6" w:space="0" w:color="auto"/>
                        </w:tcBorders>
                        <w:shd w:val="clear" w:color="auto" w:fill="D4D4D4"/>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80" w:type="dxa"/>
                        <w:tcBorders>
                          <w:top w:val="nil" w:sz="6" w:space="0" w:color="auto"/>
                          <w:left w:val="nil" w:sz="6" w:space="0" w:color="auto"/>
                          <w:bottom w:val="nil" w:sz="6" w:space="0" w:color="auto"/>
                          <w:right w:val="single" w:sz="4" w:space="0" w:color="000000"/>
                        </w:tcBorders>
                        <w:shd w:val="clear" w:color="auto" w:fill="D4D4D4"/>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w:t>
                        </w:r>
                      </w:p>
                    </w:tc>
                    <w:tc>
                      <w:tcPr>
                        <w:tcW w:w="775" w:type="dxa"/>
                        <w:vMerge/>
                        <w:tcBorders>
                          <w:left w:val="single" w:sz="9" w:space="0" w:color="D4D4D4"/>
                          <w:right w:val="single" w:sz="4" w:space="0" w:color="000000"/>
                        </w:tcBorders>
                      </w:tcPr>
                      <w:p>
                        <w:pPr/>
                      </w:p>
                    </w:tc>
                    <w:tc>
                      <w:tcPr>
                        <w:tcW w:w="778"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10" w:space="0" w:color="D4D4D4"/>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5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vMerge/>
                        <w:tcBorders>
                          <w:left w:val="single" w:sz="9" w:space="0" w:color="D4D4D4"/>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10" w:space="0" w:color="D4D4D4"/>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4D4D4"/>
                      </w:tcPr>
                      <w:p>
                        <w:pPr/>
                      </w:p>
                    </w:tc>
                    <w:tc>
                      <w:tcPr>
                        <w:tcW w:w="782" w:type="dxa"/>
                        <w:tcBorders>
                          <w:top w:val="nil" w:sz="6" w:space="0" w:color="auto"/>
                          <w:left w:val="single" w:sz="4" w:space="0" w:color="000000"/>
                          <w:bottom w:val="single" w:sz="4" w:space="0" w:color="000000"/>
                          <w:right w:val="single" w:sz="4" w:space="0" w:color="000000"/>
                        </w:tcBorders>
                        <w:shd w:val="clear" w:color="auto" w:fill="D4D4D4"/>
                      </w:tcPr>
                      <w:p>
                        <w:pPr/>
                      </w:p>
                    </w:tc>
                    <w:tc>
                      <w:tcPr>
                        <w:tcW w:w="782" w:type="dxa"/>
                        <w:tcBorders>
                          <w:top w:val="nil" w:sz="6" w:space="0" w:color="auto"/>
                          <w:left w:val="single" w:sz="4" w:space="0" w:color="000000"/>
                          <w:bottom w:val="single" w:sz="4" w:space="0" w:color="000000"/>
                          <w:right w:val="single" w:sz="4" w:space="0" w:color="000000"/>
                        </w:tcBorders>
                        <w:shd w:val="clear" w:color="auto" w:fill="D4D4D4"/>
                      </w:tcPr>
                      <w:p>
                        <w:pPr/>
                      </w:p>
                    </w:tc>
                    <w:tc>
                      <w:tcPr>
                        <w:tcW w:w="78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1,100</w:t>
                        </w:r>
                      </w:p>
                    </w:tc>
                    <w:tc>
                      <w:tcPr>
                        <w:tcW w:w="78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19,704.27</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0" w:space="0" w:color="D4D4D4"/>
                          <w:bottom w:val="single" w:sz="4" w:space="0" w:color="000000"/>
                          <w:right w:val="single" w:sz="10" w:space="0" w:color="D4D4D4"/>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88,682.83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10,407.95</w:t>
                        </w:r>
                      </w:p>
                    </w:tc>
                    <w:tc>
                      <w:tcPr>
                        <w:tcW w:w="78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47,235.42</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4,606.93</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1752" w:type="dxa"/>
                        <w:tcBorders>
                          <w:top w:val="single" w:sz="4" w:space="0" w:color="000000"/>
                          <w:left w:val="single" w:sz="4" w:space="0" w:color="000000"/>
                          <w:bottom w:val="nil" w:sz="6" w:space="0" w:color="auto"/>
                          <w:right w:val="single" w:sz="4" w:space="0" w:color="000000"/>
                        </w:tcBorders>
                        <w:shd w:val="clear" w:color="auto" w:fill="D4D4D4"/>
                      </w:tcPr>
                      <w:p>
                        <w:pPr/>
                      </w:p>
                    </w:tc>
                    <w:tc>
                      <w:tcPr>
                        <w:tcW w:w="7805" w:type="dxa"/>
                        <w:gridSpan w:val="11"/>
                        <w:vMerge w:val="restart"/>
                        <w:tcBorders>
                          <w:top w:val="single" w:sz="4" w:space="0" w:color="000000"/>
                          <w:left w:val="single" w:sz="9" w:space="0" w:color="D4D4D4"/>
                          <w:right w:val="single" w:sz="4" w:space="0" w:color="000000"/>
                        </w:tcBorders>
                      </w:tcPr>
                      <w:p>
                        <w:pPr>
                          <w:pStyle w:val="TableParagraph"/>
                          <w:spacing w:line="314" w:lineRule="auto" w:before="49"/>
                          <w:ind w:left="18" w:right="19"/>
                          <w:jc w:val="both"/>
                          <w:rPr>
                            <w:rFonts w:ascii="宋体" w:hAnsi="宋体" w:cs="宋体" w:eastAsia="宋体" w:hint="default"/>
                            <w:sz w:val="18"/>
                            <w:szCs w:val="18"/>
                          </w:rPr>
                        </w:pPr>
                        <w:r>
                          <w:rPr>
                            <w:rFonts w:ascii="宋体" w:hAnsi="宋体" w:cs="宋体" w:eastAsia="宋体" w:hint="default"/>
                            <w:sz w:val="18"/>
                            <w:szCs w:val="18"/>
                          </w:rPr>
                          <w:t>受到全球经济的影响，一方面由于周边市场环境发生变化，研发环境建设投入放缓；另一方面为了 应对市场需求发生变化和技术发展需要，为了满足客户需求，公司继续加大研发投入促进产品升级 换代，适当延长研发进度；同时募集资金投资项目尚未整体达产，其规模效应还未充分发挥，虽然 销售出现了一定程度增长，却未完全达到预期。基于上述原因，</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年度募集资金投资项目形成的 现有效益未能完全达到招股说明书承诺的项目整体完成后的预期收益。</w:t>
                        </w:r>
                      </w:p>
                    </w:tc>
                  </w:tr>
                  <w:tr>
                    <w:trPr>
                      <w:trHeight w:val="1018" w:hRule="exact"/>
                    </w:trPr>
                    <w:tc>
                      <w:tcPr>
                        <w:tcW w:w="175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5" w:type="dxa"/>
                        <w:gridSpan w:val="11"/>
                        <w:vMerge/>
                        <w:tcBorders>
                          <w:left w:val="single" w:sz="9" w:space="0" w:color="D4D4D4"/>
                          <w:right w:val="single" w:sz="4" w:space="0" w:color="000000"/>
                        </w:tcBorders>
                      </w:tcPr>
                      <w:p>
                        <w:pPr/>
                      </w:p>
                    </w:tc>
                  </w:tr>
                  <w:tr>
                    <w:trPr>
                      <w:trHeight w:val="317" w:hRule="exact"/>
                    </w:trPr>
                    <w:tc>
                      <w:tcPr>
                        <w:tcW w:w="1752"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5" w:type="dxa"/>
                        <w:gridSpan w:val="11"/>
                        <w:vMerge/>
                        <w:tcBorders>
                          <w:left w:val="single" w:sz="9" w:space="0" w:color="D4D4D4"/>
                          <w:bottom w:val="single" w:sz="4" w:space="0" w:color="000000"/>
                          <w:right w:val="single" w:sz="4" w:space="0" w:color="000000"/>
                        </w:tcBorders>
                      </w:tcPr>
                      <w:p>
                        <w:pPr/>
                      </w:p>
                    </w:tc>
                  </w:tr>
                  <w:tr>
                    <w:trPr>
                      <w:trHeight w:val="713" w:hRule="exact"/>
                    </w:trPr>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5" w:type="dxa"/>
                        <w:gridSpan w:val="11"/>
                        <w:tcBorders>
                          <w:top w:val="single" w:sz="4" w:space="0" w:color="000000"/>
                          <w:left w:val="single" w:sz="9"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52" w:type="dxa"/>
                        <w:vMerge w:val="restart"/>
                        <w:tcBorders>
                          <w:top w:val="single" w:sz="4" w:space="0" w:color="000000"/>
                          <w:left w:val="single" w:sz="4" w:space="0" w:color="000000"/>
                          <w:right w:val="single" w:sz="4" w:space="0" w:color="000000"/>
                        </w:tcBorders>
                        <w:shd w:val="clear" w:color="auto" w:fill="D4D4D4"/>
                      </w:tcPr>
                      <w:p>
                        <w:pPr/>
                      </w:p>
                    </w:tc>
                    <w:tc>
                      <w:tcPr>
                        <w:tcW w:w="78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48" w:hRule="exact"/>
                    </w:trPr>
                    <w:tc>
                      <w:tcPr>
                        <w:tcW w:w="1752" w:type="dxa"/>
                        <w:vMerge/>
                        <w:tcBorders>
                          <w:left w:val="single" w:sz="4" w:space="0" w:color="000000"/>
                          <w:bottom w:val="nil" w:sz="6" w:space="0" w:color="auto"/>
                          <w:right w:val="single" w:sz="4" w:space="0" w:color="000000"/>
                        </w:tcBorders>
                        <w:shd w:val="clear" w:color="auto" w:fill="D4D4D4"/>
                      </w:tcPr>
                      <w:p>
                        <w:pPr/>
                      </w:p>
                    </w:tc>
                    <w:tc>
                      <w:tcPr>
                        <w:tcW w:w="7805" w:type="dxa"/>
                        <w:gridSpan w:val="11"/>
                        <w:vMerge w:val="restart"/>
                        <w:tcBorders>
                          <w:top w:val="single" w:sz="4" w:space="0" w:color="000000"/>
                          <w:left w:val="single" w:sz="9" w:space="0" w:color="D4D4D4"/>
                          <w:right w:val="single" w:sz="4" w:space="0" w:color="000000"/>
                        </w:tcBorders>
                      </w:tcPr>
                      <w:p>
                        <w:pPr>
                          <w:pStyle w:val="TableParagraph"/>
                          <w:spacing w:line="240" w:lineRule="auto" w:before="49"/>
                          <w:ind w:left="1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年，公司以超募资金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万元投资设立子公司榕基五一（北京）信息技术有限公司；以超</w:t>
                        </w:r>
                      </w:p>
                      <w:p>
                        <w:pPr>
                          <w:pStyle w:val="TableParagraph"/>
                          <w:spacing w:line="300" w:lineRule="auto" w:before="62"/>
                          <w:ind w:left="18" w:right="21"/>
                          <w:jc w:val="both"/>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万元投资设立子公司河南榕基信息技术有限公司；以超募资金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 设立北京中榕基信息技术有限公司。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年河南榕基信息技术有限公司使用超募资金支付子公司开 办期间的费用</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年河南榕基信息技术有限公司支付超募资金购买土地款</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4,500.00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p>
                      <w:p>
                        <w:pPr>
                          <w:pStyle w:val="TableParagraph"/>
                          <w:spacing w:line="300" w:lineRule="auto" w:before="13"/>
                          <w:ind w:left="17"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年北京中榕基信息技术有限公司使用超募资金支付费用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 </w:t>
                        </w:r>
                        <w:r>
                          <w:rPr>
                            <w:rFonts w:ascii="宋体" w:hAnsi="宋体" w:cs="宋体" w:eastAsia="宋体" w:hint="default"/>
                            <w:sz w:val="18"/>
                            <w:szCs w:val="18"/>
                          </w:rPr>
                          <w:t>万元。公司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日第 二届董事会第二次会议决定使用超募资金人民币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 司使用超募资金永久补充流动资金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6,300.00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年度，公司使用超募资金永久补充流动资金 </w:t>
                        </w:r>
                        <w:r>
                          <w:rPr>
                            <w:rFonts w:ascii="Times New Roman" w:hAnsi="Times New Roman" w:cs="Times New Roman" w:eastAsia="Times New Roman" w:hint="default"/>
                            <w:sz w:val="18"/>
                            <w:szCs w:val="18"/>
                          </w:rPr>
                          <w:t>6,700.00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万元。公司以超募资金永久补充流动资金已经实施完成。</w:t>
                        </w:r>
                      </w:p>
                      <w:p>
                        <w:pPr>
                          <w:pStyle w:val="TableParagraph"/>
                          <w:spacing w:line="240" w:lineRule="auto" w:before="51"/>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年度，北京五一使用超募资金用于日常生产经营 </w:t>
                        </w:r>
                        <w:r>
                          <w:rPr>
                            <w:rFonts w:ascii="Times New Roman" w:hAnsi="Times New Roman" w:cs="Times New Roman" w:eastAsia="Times New Roman" w:hint="default"/>
                            <w:sz w:val="18"/>
                            <w:szCs w:val="18"/>
                          </w:rPr>
                          <w:t>1,091.77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300" w:lineRule="auto" w:before="103"/>
                          <w:ind w:left="17" w:right="22" w:hanging="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年度，北京五一使用超募资金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万，其中</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万元用于设立子公司，</w:t>
                        </w:r>
                        <w:r>
                          <w:rPr>
                            <w:rFonts w:ascii="Times New Roman" w:hAnsi="Times New Roman" w:cs="Times New Roman" w:eastAsia="Times New Roman" w:hint="default"/>
                            <w:spacing w:val="-3"/>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万用于日常生产经 营。</w:t>
                        </w:r>
                      </w:p>
                    </w:tc>
                  </w:tr>
                  <w:tr>
                    <w:trPr>
                      <w:trHeight w:val="703" w:hRule="exact"/>
                    </w:trPr>
                    <w:tc>
                      <w:tcPr>
                        <w:tcW w:w="175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5" w:type="dxa"/>
                        <w:gridSpan w:val="11"/>
                        <w:vMerge/>
                        <w:tcBorders>
                          <w:left w:val="single" w:sz="9" w:space="0" w:color="D4D4D4"/>
                          <w:right w:val="single" w:sz="4" w:space="0" w:color="000000"/>
                        </w:tcBorders>
                      </w:tcPr>
                      <w:p>
                        <w:pPr/>
                      </w:p>
                    </w:tc>
                  </w:tr>
                  <w:tr>
                    <w:trPr>
                      <w:trHeight w:val="1651" w:hRule="exact"/>
                    </w:trPr>
                    <w:tc>
                      <w:tcPr>
                        <w:tcW w:w="1752"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5" w:type="dxa"/>
                        <w:gridSpan w:val="11"/>
                        <w:vMerge/>
                        <w:tcBorders>
                          <w:left w:val="single" w:sz="9" w:space="0" w:color="D4D4D4"/>
                          <w:bottom w:val="single" w:sz="4" w:space="0" w:color="000000"/>
                          <w:right w:val="single" w:sz="4" w:space="0" w:color="000000"/>
                        </w:tcBorders>
                      </w:tcPr>
                      <w:p>
                        <w:pPr/>
                      </w:p>
                    </w:tc>
                  </w:tr>
                  <w:tr>
                    <w:trPr>
                      <w:trHeight w:val="401" w:hRule="exact"/>
                    </w:trPr>
                    <w:tc>
                      <w:tcPr>
                        <w:tcW w:w="1752" w:type="dxa"/>
                        <w:tcBorders>
                          <w:top w:val="single" w:sz="4" w:space="0" w:color="000000"/>
                          <w:left w:val="single" w:sz="4" w:space="0" w:color="000000"/>
                          <w:bottom w:val="nil" w:sz="6" w:space="0" w:color="auto"/>
                          <w:right w:val="single" w:sz="4" w:space="0" w:color="000000"/>
                        </w:tcBorders>
                        <w:shd w:val="clear" w:color="auto" w:fill="D4D4D4"/>
                      </w:tcPr>
                      <w:p>
                        <w:pPr/>
                      </w:p>
                    </w:tc>
                    <w:tc>
                      <w:tcPr>
                        <w:tcW w:w="78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5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1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5" w:type="dxa"/>
                        <w:gridSpan w:val="11"/>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307" w:hRule="exact"/>
                    </w:trPr>
                    <w:tc>
                      <w:tcPr>
                        <w:tcW w:w="1752" w:type="dxa"/>
                        <w:vMerge/>
                        <w:tcBorders>
                          <w:left w:val="single" w:sz="4" w:space="0" w:color="000000"/>
                          <w:bottom w:val="nil" w:sz="6" w:space="0" w:color="auto"/>
                          <w:right w:val="single" w:sz="4" w:space="0" w:color="000000"/>
                        </w:tcBorders>
                        <w:shd w:val="clear" w:color="auto" w:fill="D4D4D4"/>
                      </w:tcPr>
                      <w:p>
                        <w:pPr/>
                      </w:p>
                    </w:tc>
                    <w:tc>
                      <w:tcPr>
                        <w:tcW w:w="7805" w:type="dxa"/>
                        <w:gridSpan w:val="11"/>
                        <w:vMerge w:val="restart"/>
                        <w:tcBorders>
                          <w:top w:val="single" w:sz="4" w:space="0" w:color="000000"/>
                          <w:left w:val="single" w:sz="9" w:space="0" w:color="D4D4D4"/>
                          <w:right w:val="single" w:sz="4" w:space="0" w:color="000000"/>
                        </w:tcBorders>
                      </w:tcPr>
                      <w:p>
                        <w:pPr>
                          <w:pStyle w:val="TableParagraph"/>
                          <w:spacing w:line="297" w:lineRule="auto" w:before="49"/>
                          <w:ind w:left="18"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日召开的第三届董事会第十三次会议，会议决定变更募集资金投资项目实施</w:t>
                        </w:r>
                        <w:r>
                          <w:rPr>
                            <w:rFonts w:ascii="宋体" w:hAnsi="宋体" w:cs="宋体" w:eastAsia="宋体" w:hint="default"/>
                            <w:sz w:val="18"/>
                            <w:szCs w:val="18"/>
                          </w:rPr>
                          <w:t> 地点，实施地点由原来的福州软件园变更为福州高新区海西园。</w:t>
                        </w:r>
                      </w:p>
                    </w:tc>
                  </w:tr>
                  <w:tr>
                    <w:trPr>
                      <w:trHeight w:val="406" w:hRule="exact"/>
                    </w:trPr>
                    <w:tc>
                      <w:tcPr>
                        <w:tcW w:w="1752"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5" w:type="dxa"/>
                        <w:gridSpan w:val="11"/>
                        <w:vMerge/>
                        <w:tcBorders>
                          <w:left w:val="single" w:sz="9" w:space="0" w:color="D4D4D4"/>
                          <w:bottom w:val="single" w:sz="4" w:space="0" w:color="000000"/>
                          <w:right w:val="single" w:sz="4" w:space="0" w:color="000000"/>
                        </w:tcBorders>
                      </w:tcPr>
                      <w:p>
                        <w:pPr/>
                      </w:p>
                    </w:tc>
                  </w:tr>
                  <w:tr>
                    <w:trPr>
                      <w:trHeight w:val="403" w:hRule="exact"/>
                    </w:trPr>
                    <w:tc>
                      <w:tcPr>
                        <w:tcW w:w="1752" w:type="dxa"/>
                        <w:vMerge w:val="restart"/>
                        <w:tcBorders>
                          <w:top w:val="single" w:sz="4" w:space="0" w:color="000000"/>
                          <w:left w:val="single" w:sz="4" w:space="0" w:color="000000"/>
                          <w:right w:val="single" w:sz="4" w:space="0" w:color="000000"/>
                        </w:tcBorders>
                        <w:shd w:val="clear" w:color="auto" w:fill="D4D4D4"/>
                      </w:tcPr>
                      <w:p>
                        <w:pPr/>
                      </w:p>
                    </w:tc>
                    <w:tc>
                      <w:tcPr>
                        <w:tcW w:w="78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 w:hRule="exact"/>
                    </w:trPr>
                    <w:tc>
                      <w:tcPr>
                        <w:tcW w:w="1752" w:type="dxa"/>
                        <w:vMerge/>
                        <w:tcBorders>
                          <w:left w:val="single" w:sz="4" w:space="0" w:color="000000"/>
                          <w:bottom w:val="nil" w:sz="6" w:space="0" w:color="auto"/>
                          <w:right w:val="single" w:sz="4" w:space="0" w:color="000000"/>
                        </w:tcBorders>
                        <w:shd w:val="clear" w:color="auto" w:fill="D4D4D4"/>
                      </w:tcPr>
                      <w:p>
                        <w:pPr/>
                      </w:p>
                    </w:tc>
                    <w:tc>
                      <w:tcPr>
                        <w:tcW w:w="7805" w:type="dxa"/>
                        <w:gridSpan w:val="11"/>
                        <w:vMerge w:val="restart"/>
                        <w:tcBorders>
                          <w:top w:val="single" w:sz="4" w:space="0" w:color="000000"/>
                          <w:left w:val="single" w:sz="9" w:space="0" w:color="D4D4D4"/>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40" w:hRule="exact"/>
                    </w:trPr>
                    <w:tc>
                      <w:tcPr>
                        <w:tcW w:w="1752"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5" w:type="dxa"/>
                        <w:gridSpan w:val="11"/>
                        <w:vMerge/>
                        <w:tcBorders>
                          <w:left w:val="single" w:sz="9" w:space="0" w:color="D4D4D4"/>
                          <w:bottom w:val="single" w:sz="4" w:space="0" w:color="000000"/>
                          <w:right w:val="single" w:sz="4" w:space="0" w:color="000000"/>
                        </w:tcBorders>
                      </w:tcPr>
                      <w:p>
                        <w:pPr/>
                      </w:p>
                    </w:tc>
                  </w:tr>
                  <w:tr>
                    <w:trPr>
                      <w:trHeight w:val="463" w:hRule="exact"/>
                    </w:trPr>
                    <w:tc>
                      <w:tcPr>
                        <w:tcW w:w="1752" w:type="dxa"/>
                        <w:vMerge/>
                        <w:tcBorders>
                          <w:left w:val="single" w:sz="4" w:space="0" w:color="000000"/>
                          <w:bottom w:val="nil" w:sz="6" w:space="0" w:color="auto"/>
                          <w:right w:val="single" w:sz="4" w:space="0" w:color="000000"/>
                        </w:tcBorders>
                        <w:shd w:val="clear" w:color="auto" w:fill="D4D4D4"/>
                      </w:tcPr>
                      <w:p>
                        <w:pPr/>
                      </w:p>
                    </w:tc>
                    <w:tc>
                      <w:tcPr>
                        <w:tcW w:w="7805" w:type="dxa"/>
                        <w:gridSpan w:val="11"/>
                        <w:vMerge w:val="restart"/>
                        <w:tcBorders>
                          <w:top w:val="single" w:sz="4" w:space="0" w:color="000000"/>
                          <w:left w:val="single" w:sz="9" w:space="0" w:color="D4D4D4"/>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3"/>
                            <w:sz w:val="18"/>
                            <w:szCs w:val="18"/>
                          </w:rPr>
                          <w:t>开</w:t>
                        </w:r>
                        <w:r>
                          <w:rPr>
                            <w:rFonts w:ascii="宋体" w:hAnsi="宋体" w:cs="宋体" w:eastAsia="宋体" w:hint="default"/>
                            <w:sz w:val="18"/>
                            <w:szCs w:val="18"/>
                          </w:rPr>
                          <w:t>的第三届董事会第十三次会议</w:t>
                        </w:r>
                        <w:r>
                          <w:rPr>
                            <w:rFonts w:ascii="宋体" w:hAnsi="宋体" w:cs="宋体" w:eastAsia="宋体" w:hint="default"/>
                            <w:spacing w:val="-82"/>
                            <w:sz w:val="18"/>
                            <w:szCs w:val="18"/>
                          </w:rPr>
                          <w:t>，</w:t>
                        </w:r>
                        <w:r>
                          <w:rPr>
                            <w:rFonts w:ascii="宋体" w:hAnsi="宋体" w:cs="宋体" w:eastAsia="宋体" w:hint="default"/>
                            <w:sz w:val="18"/>
                            <w:szCs w:val="18"/>
                          </w:rPr>
                          <w:t>会议决定变更募集资金投资项目实施</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方式，实施方式由原来的在福州软件园购置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平方米的用房变更为与全资子公司合作建房，面</w:t>
                        </w:r>
                      </w:p>
                      <w:p>
                        <w:pPr>
                          <w:pStyle w:val="TableParagraph"/>
                          <w:spacing w:line="240" w:lineRule="auto" w:before="62"/>
                          <w:ind w:left="18" w:right="0"/>
                          <w:jc w:val="left"/>
                          <w:rPr>
                            <w:rFonts w:ascii="宋体" w:hAnsi="宋体" w:cs="宋体" w:eastAsia="宋体" w:hint="default"/>
                            <w:sz w:val="18"/>
                            <w:szCs w:val="18"/>
                          </w:rPr>
                        </w:pPr>
                        <w:r>
                          <w:rPr>
                            <w:rFonts w:ascii="宋体" w:hAnsi="宋体" w:cs="宋体" w:eastAsia="宋体" w:hint="default"/>
                            <w:sz w:val="18"/>
                            <w:szCs w:val="18"/>
                          </w:rPr>
                          <w:t>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12,300 </w:t>
                        </w:r>
                        <w:r>
                          <w:rPr>
                            <w:rFonts w:ascii="宋体" w:hAnsi="宋体" w:cs="宋体" w:eastAsia="宋体" w:hint="default"/>
                            <w:sz w:val="18"/>
                            <w:szCs w:val="18"/>
                          </w:rPr>
                          <w:t>平方米。</w:t>
                        </w:r>
                      </w:p>
                    </w:tc>
                  </w:tr>
                  <w:tr>
                    <w:trPr>
                      <w:trHeight w:val="564" w:hRule="exact"/>
                    </w:trPr>
                    <w:tc>
                      <w:tcPr>
                        <w:tcW w:w="1752"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5" w:type="dxa"/>
                        <w:gridSpan w:val="11"/>
                        <w:vMerge/>
                        <w:tcBorders>
                          <w:left w:val="single" w:sz="9" w:space="0" w:color="D4D4D4"/>
                          <w:bottom w:val="single" w:sz="4" w:space="0" w:color="000000"/>
                          <w:right w:val="single" w:sz="4" w:space="0" w:color="000000"/>
                        </w:tcBorders>
                      </w:tcPr>
                      <w:p>
                        <w:pPr/>
                      </w:p>
                    </w:tc>
                  </w:tr>
                  <w:tr>
                    <w:trPr>
                      <w:trHeight w:val="401" w:hRule="exact"/>
                    </w:trPr>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805" w:type="dxa"/>
                        <w:gridSpan w:val="11"/>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155"/>
        <w:jc w:val="right"/>
      </w:pP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3"/>
        <w:gridCol w:w="7805"/>
      </w:tblGrid>
      <w:tr>
        <w:trPr>
          <w:trHeight w:val="401" w:hRule="exact"/>
        </w:trPr>
        <w:tc>
          <w:tcPr>
            <w:tcW w:w="1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63" w:type="dxa"/>
            <w:vMerge/>
            <w:tcBorders>
              <w:left w:val="single" w:sz="4" w:space="0" w:color="000000"/>
              <w:bottom w:val="single" w:sz="4" w:space="0" w:color="FFFFFF"/>
              <w:right w:val="single" w:sz="4" w:space="0" w:color="000000"/>
            </w:tcBorders>
            <w:shd w:val="clear" w:color="auto" w:fill="D4D4D4"/>
          </w:tcPr>
          <w:p>
            <w:pPr/>
          </w:p>
        </w:tc>
        <w:tc>
          <w:tcPr>
            <w:tcW w:w="7805"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月，经天健正信会计师事务所有限公司专项审核，并经公司董事会决议通过，公司独立 董事、监事会、保荐机构同意，本公司用募集资金置换了预先已投入募集资金项目的自筹资金 </w:t>
            </w:r>
            <w:r>
              <w:rPr>
                <w:rFonts w:ascii="Times New Roman" w:hAnsi="Times New Roman" w:cs="Times New Roman" w:eastAsia="Times New Roman" w:hint="default"/>
                <w:sz w:val="18"/>
                <w:szCs w:val="18"/>
              </w:rPr>
              <w:t>38,856,547.62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403" w:hRule="exact"/>
        </w:trPr>
        <w:tc>
          <w:tcPr>
            <w:tcW w:w="1763"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22" w:right="108"/>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3" w:type="dxa"/>
            <w:vMerge/>
            <w:tcBorders>
              <w:left w:val="single" w:sz="4" w:space="0" w:color="000000"/>
              <w:bottom w:val="single" w:sz="4" w:space="0" w:color="000000"/>
              <w:right w:val="single" w:sz="4" w:space="0" w:color="000000"/>
            </w:tcBorders>
            <w:shd w:val="clear" w:color="auto" w:fill="D4D4D4"/>
          </w:tcPr>
          <w:p>
            <w:pPr/>
          </w:p>
        </w:tc>
        <w:tc>
          <w:tcPr>
            <w:tcW w:w="78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按规定用于募集资金项目，存放于募集资金专户及转作定期存款、购买银行理财产品。</w:t>
            </w:r>
          </w:p>
        </w:tc>
      </w:tr>
      <w:tr>
        <w:trPr>
          <w:trHeight w:val="1027" w:hRule="exact"/>
        </w:trPr>
        <w:tc>
          <w:tcPr>
            <w:tcW w:w="1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年，福建榕基软件股份有限公司使用闲置募集资金购买银行理财产品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万元；子公司北</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京中榕基信息技术有限公司使用闲置募集资金购买银行理财产品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子公司</w:t>
            </w:r>
            <w:r>
              <w:rPr>
                <w:rFonts w:ascii="宋体" w:hAnsi="宋体" w:cs="宋体" w:eastAsia="宋体" w:hint="default"/>
                <w:spacing w:val="-3"/>
                <w:sz w:val="18"/>
                <w:szCs w:val="18"/>
              </w:rPr>
              <w:t>河</w:t>
            </w:r>
            <w:r>
              <w:rPr>
                <w:rFonts w:ascii="宋体" w:hAnsi="宋体" w:cs="宋体" w:eastAsia="宋体" w:hint="default"/>
                <w:sz w:val="18"/>
                <w:szCs w:val="18"/>
              </w:rPr>
              <w:t>南榕基信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息技术有限公司使用闲置募集资金购买银行理财产品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bookmarkStart w:name="（3）募集资金变更项目情况" w:id="46"/>
      <w:bookmarkEnd w:id="46"/>
      <w:r>
        <w:rPr/>
      </w:r>
      <w:bookmarkStart w:name="4、主要子公司、参股公司分析" w:id="47"/>
      <w:bookmarkEnd w:id="47"/>
      <w:r>
        <w:rPr/>
      </w:r>
      <w:r>
        <w:rPr/>
        <w:t>单位：元</w:t>
      </w:r>
    </w:p>
    <w:p>
      <w:pPr>
        <w:spacing w:after="0" w:line="240" w:lineRule="auto"/>
        <w:jc w:val="left"/>
        <w:sectPr>
          <w:type w:val="continuous"/>
          <w:pgSz w:w="11910" w:h="16840"/>
          <w:pgMar w:top="1060" w:bottom="1180" w:left="980" w:right="980"/>
          <w:cols w:num="2" w:equalWidth="0">
            <w:col w:w="2313" w:space="6605"/>
            <w:col w:w="103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92" w:right="23"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96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福州创华电 气自动化系 统有限公司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电气自动化 控制系统服 务、计算机 软件销售， 计算机网络 安装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53,307,345.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52,284,551.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11,653,375.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11,725,511.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28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浙江榕基信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技术开发、 技术服务、 技术咨询、 成果转让， 计算机数据 处理、计算 机数据库、 计算机维护 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25,905,249.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5,428,424.7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14,119,131.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-3,183,897.</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-2,830,187.</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上海榕基软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电子计算机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100,000,000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 w:right="0"/>
              <w:jc w:val="center"/>
              <w:rPr>
                <w:rFonts w:ascii="Times New Roman" w:hAnsi="Times New Roman" w:cs="Times New Roman" w:eastAsia="Times New Roman" w:hint="default"/>
                <w:sz w:val="18"/>
                <w:szCs w:val="18"/>
              </w:rPr>
            </w:pPr>
            <w:r>
              <w:rPr>
                <w:rFonts w:ascii="Times New Roman"/>
                <w:sz w:val="18"/>
              </w:rPr>
              <w:t>44,147,800.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7" w:right="0"/>
              <w:jc w:val="center"/>
              <w:rPr>
                <w:rFonts w:ascii="Times New Roman" w:hAnsi="Times New Roman" w:cs="Times New Roman" w:eastAsia="Times New Roman" w:hint="default"/>
                <w:sz w:val="18"/>
                <w:szCs w:val="18"/>
              </w:rPr>
            </w:pPr>
            <w:r>
              <w:rPr>
                <w:rFonts w:ascii="Times New Roman"/>
                <w:sz w:val="18"/>
              </w:rPr>
              <w:t>37,514,427.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208,398.01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-3,628,104.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7" w:right="0"/>
              <w:jc w:val="center"/>
              <w:rPr>
                <w:rFonts w:ascii="Times New Roman" w:hAnsi="Times New Roman" w:cs="Times New Roman" w:eastAsia="Times New Roman" w:hint="default"/>
                <w:sz w:val="18"/>
                <w:szCs w:val="18"/>
              </w:rPr>
            </w:pPr>
            <w:r>
              <w:rPr>
                <w:rFonts w:ascii="Times New Roman"/>
                <w:sz w:val="18"/>
              </w:rPr>
              <w:t>-3,564,978.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19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4"/>
              <w:jc w:val="left"/>
              <w:rPr>
                <w:rFonts w:ascii="宋体" w:hAnsi="宋体" w:cs="宋体" w:eastAsia="宋体" w:hint="default"/>
                <w:sz w:val="18"/>
                <w:szCs w:val="18"/>
              </w:rPr>
            </w:pPr>
            <w:r>
              <w:rPr>
                <w:rFonts w:ascii="宋体" w:hAnsi="宋体" w:cs="宋体" w:eastAsia="宋体" w:hint="default"/>
                <w:sz w:val="18"/>
                <w:szCs w:val="18"/>
              </w:rPr>
              <w:t>件开发有限 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both"/>
              <w:rPr>
                <w:rFonts w:ascii="宋体" w:hAnsi="宋体" w:cs="宋体" w:eastAsia="宋体" w:hint="default"/>
                <w:sz w:val="18"/>
                <w:szCs w:val="18"/>
              </w:rPr>
            </w:pPr>
            <w:r>
              <w:rPr>
                <w:rFonts w:ascii="宋体" w:hAnsi="宋体" w:cs="宋体" w:eastAsia="宋体" w:hint="default"/>
                <w:sz w:val="18"/>
                <w:szCs w:val="18"/>
              </w:rPr>
              <w:t>软硬件领域 内的技术开 发，技术转 让，技术咨 询，技术服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w:t>
            </w:r>
          </w:p>
        </w:tc>
      </w:tr>
      <w:tr>
        <w:trPr>
          <w:trHeight w:val="289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榕基五一</w:t>
            </w:r>
          </w:p>
          <w:p>
            <w:pPr>
              <w:pStyle w:val="TableParagraph"/>
              <w:spacing w:line="316" w:lineRule="auto" w:before="76"/>
              <w:ind w:left="24" w:right="24"/>
              <w:jc w:val="both"/>
              <w:rPr>
                <w:rFonts w:ascii="宋体" w:hAnsi="宋体" w:cs="宋体" w:eastAsia="宋体" w:hint="default"/>
                <w:sz w:val="18"/>
                <w:szCs w:val="18"/>
              </w:rPr>
            </w:pPr>
            <w:r>
              <w:rPr>
                <w:rFonts w:ascii="宋体" w:hAnsi="宋体" w:cs="宋体" w:eastAsia="宋体" w:hint="default"/>
                <w:sz w:val="18"/>
                <w:szCs w:val="18"/>
              </w:rPr>
              <w:t>（北京）信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技术推广， 销售计算 机、软件及 辅助设备、 机械设备、 电子产品、 器件和元 件、仪器仪 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51,000,000.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2"/>
                <w:sz w:val="18"/>
              </w:rPr>
              <w:t>115,116,733</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28,808,463.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127,867,018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-15,800,233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-15,393,419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r>
      <w:tr>
        <w:trPr>
          <w:trHeight w:val="414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24"/>
              <w:jc w:val="both"/>
              <w:rPr>
                <w:rFonts w:ascii="宋体" w:hAnsi="宋体" w:cs="宋体" w:eastAsia="宋体" w:hint="default"/>
                <w:sz w:val="18"/>
                <w:szCs w:val="18"/>
              </w:rPr>
            </w:pPr>
            <w:r>
              <w:rPr>
                <w:rFonts w:ascii="宋体" w:hAnsi="宋体" w:cs="宋体" w:eastAsia="宋体" w:hint="default"/>
                <w:sz w:val="18"/>
                <w:szCs w:val="18"/>
              </w:rPr>
              <w:t>河南榕基信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信息技术服 务，软件开 发、销售及 平面设计， 系统集成， 硬件及耗 材、办公设 备租赁、销 售，网络技 术咨询服 务，办公自 动化产品销 售及服务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116,412,064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82,973,548.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3,638,387.3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-8,100,653.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-7,376,474.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r>
      <w:tr>
        <w:trPr>
          <w:trHeight w:val="352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马鞍山榕基 软件信息科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计算机及网 络软件开发 项目，计算 机硬件技术 服务，电子 计算机及配 件的批发， 自营或代理 各类商品和 技术的进出 口业务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117,095,392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45,460,282.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-1,401,169.</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-1,263,249.</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r>
      <w:tr>
        <w:trPr>
          <w:trHeight w:val="129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北京中榕基 信息技术有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技术开发、 技术服务、 技术推广， 计算机维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338,128,215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297,089,168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-1,635,165.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-568,746.13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3170"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修，计算机 系统服务， 销售计算 机、软件及 辅助设备、 机械设备， 技术进出 口、货物进 出口、代理 进出口</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26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福建榕基软 件工程有限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计算机网络 软件研发与 设计服务， 计算机硬件 技术服务， 信息系统集 成服务，电 子计算机及 配件的批发 零售，建筑 智能化的设 计与施工服 务，安防工 程的设计与 施工服务， 自营和代理 各类商品和 技术的进出 口，国家限 定公司经营 或禁止进出 口的商品和 技术除外</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105,000,000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66,691,235.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59,480,964.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30,773,669.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-36,369.81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-69,187.16</w:t>
            </w:r>
          </w:p>
        </w:tc>
      </w:tr>
      <w:tr>
        <w:trPr>
          <w:trHeight w:val="28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24"/>
              <w:jc w:val="left"/>
              <w:rPr>
                <w:rFonts w:ascii="宋体" w:hAnsi="宋体" w:cs="宋体" w:eastAsia="宋体" w:hint="default"/>
                <w:sz w:val="18"/>
                <w:szCs w:val="18"/>
              </w:rPr>
            </w:pPr>
            <w:r>
              <w:rPr>
                <w:rFonts w:ascii="宋体" w:hAnsi="宋体" w:cs="宋体" w:eastAsia="宋体" w:hint="default"/>
                <w:sz w:val="18"/>
                <w:szCs w:val="18"/>
              </w:rPr>
              <w:t>福建榕基投 资有限公司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对信息传 输、计算机 服务和软件 </w:t>
            </w:r>
            <w:r>
              <w:rPr>
                <w:rFonts w:ascii="宋体" w:hAnsi="宋体" w:cs="宋体" w:eastAsia="宋体" w:hint="default"/>
                <w:spacing w:val="-18"/>
                <w:sz w:val="18"/>
                <w:szCs w:val="18"/>
              </w:rPr>
              <w:t>业、制造业</w:t>
            </w:r>
            <w:r>
              <w:rPr>
                <w:rFonts w:ascii="宋体" w:hAnsi="宋体" w:cs="宋体" w:eastAsia="宋体" w:hint="default"/>
                <w:sz w:val="18"/>
                <w:szCs w:val="18"/>
              </w:rPr>
              <w:t> 服务业、教 </w:t>
            </w:r>
            <w:r>
              <w:rPr>
                <w:rFonts w:ascii="宋体" w:hAnsi="宋体" w:cs="宋体" w:eastAsia="宋体" w:hint="default"/>
                <w:spacing w:val="-18"/>
                <w:sz w:val="18"/>
                <w:szCs w:val="18"/>
              </w:rPr>
              <w:t>育业，农业</w:t>
            </w:r>
            <w:r>
              <w:rPr>
                <w:rFonts w:ascii="宋体" w:hAnsi="宋体" w:cs="宋体" w:eastAsia="宋体" w:hint="default"/>
                <w:sz w:val="18"/>
                <w:szCs w:val="18"/>
              </w:rPr>
              <w:t> 工业、交通 运输业的投 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17" w:lineRule="exact" w:before="157"/>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4"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160" w:lineRule="exact" w:before="105"/>
              <w:ind w:left="24"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18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889" w:lineRule="exact"/>
              <w:ind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7"/>
                <w:sz w:val="20"/>
                <w:szCs w:val="20"/>
              </w:rPr>
              <w:pict>
                <v:group style="width:47.4pt;height:144.5pt;mso-position-horizontal-relative:char;mso-position-vertical-relative:line" coordorigin="0,0" coordsize="948,2890">
                  <v:group style="position:absolute;left:0;top:0;width:948;height:1092" coordorigin="0,0" coordsize="948,1092">
                    <v:shape style="position:absolute;left:0;top:0;width:948;height:1092" coordorigin="0,0" coordsize="948,1092" path="m0,1092l948,1092,948,0,0,0,0,1092xe" filled="true" fillcolor="#ffffff" stroked="false">
                      <v:path arrowok="t"/>
                      <v:fill type="solid"/>
                    </v:shape>
                  </v:group>
                  <v:group style="position:absolute;left:12;top:1092;width:2;height:706" coordorigin="12,1092" coordsize="2,706">
                    <v:shape style="position:absolute;left:12;top:1092;width:2;height:706" coordorigin="12,1092" coordsize="0,706" path="m12,1092l12,1798e" filled="false" stroked="true" strokeweight="1.2pt" strokecolor="#ffffff">
                      <v:path arrowok="t"/>
                    </v:shape>
                  </v:group>
                  <v:group style="position:absolute;left:0;top:1798;width:948;height:1092" coordorigin="0,1798" coordsize="948,1092">
                    <v:shape style="position:absolute;left:0;top:1798;width:948;height:1092" coordorigin="0,1798" coordsize="948,1092" path="m0,2890l948,2890,948,1798,0,1798,0,2890xe" filled="true" fillcolor="#ffffff" stroked="false">
                      <v:path arrowok="t"/>
                      <v:fill type="solid"/>
                    </v:shape>
                  </v:group>
                  <v:group style="position:absolute;left:24;top:1092;width:900;height:353" coordorigin="24,1092" coordsize="900,353">
                    <v:shape style="position:absolute;left:24;top:1092;width:900;height:353" coordorigin="24,1092" coordsize="900,353" path="m24,1445l924,1445,924,1092,24,1092,24,1445xe" filled="true" fillcolor="#ffffff" stroked="false">
                      <v:path arrowok="t"/>
                      <v:fill type="solid"/>
                    </v:shape>
                  </v:group>
                  <v:group style="position:absolute;left:24;top:1445;width:900;height:353" coordorigin="24,1445" coordsize="900,353">
                    <v:shape style="position:absolute;left:24;top:1445;width:900;height:353" coordorigin="24,1445" coordsize="900,353" path="m24,1798l924,1798,924,1445,24,1445,24,1798xe" filled="true" fillcolor="#ffffff" stroked="false">
                      <v:path arrowok="t"/>
                      <v:fill type="solid"/>
                    </v:shape>
                  </v:group>
                </v:group>
              </w:pict>
            </w:r>
            <w:r>
              <w:rPr>
                <w:rFonts w:ascii="Times New Roman" w:hAnsi="Times New Roman" w:cs="Times New Roman" w:eastAsia="Times New Roman" w:hint="default"/>
                <w:position w:val="-57"/>
                <w:sz w:val="20"/>
                <w:szCs w:val="20"/>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52,252,896.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51,913,871.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39,387.73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39,372.37</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榕基国际投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9" w:right="0"/>
              <w:jc w:val="left"/>
              <w:rPr>
                <w:rFonts w:ascii="Times New Roman" w:hAnsi="Times New Roman" w:cs="Times New Roman" w:eastAsia="Times New Roman" w:hint="default"/>
                <w:sz w:val="18"/>
                <w:szCs w:val="18"/>
              </w:rPr>
            </w:pPr>
            <w:r>
              <w:rPr>
                <w:rFonts w:ascii="Times New Roman"/>
                <w:sz w:val="18"/>
              </w:rPr>
              <w:t>79,319,126.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9" w:right="0"/>
              <w:jc w:val="left"/>
              <w:rPr>
                <w:rFonts w:ascii="Times New Roman" w:hAnsi="Times New Roman" w:cs="Times New Roman" w:eastAsia="Times New Roman" w:hint="default"/>
                <w:sz w:val="18"/>
                <w:szCs w:val="18"/>
              </w:rPr>
            </w:pPr>
            <w:r>
              <w:rPr>
                <w:rFonts w:ascii="Times New Roman"/>
                <w:sz w:val="18"/>
              </w:rPr>
              <w:t>79,312,737.</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376,432.25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376,432.25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16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both"/>
              <w:rPr>
                <w:rFonts w:ascii="宋体" w:hAnsi="宋体" w:cs="宋体" w:eastAsia="宋体" w:hint="default"/>
                <w:sz w:val="18"/>
                <w:szCs w:val="18"/>
              </w:rPr>
            </w:pPr>
            <w:r>
              <w:rPr>
                <w:rFonts w:ascii="宋体" w:hAnsi="宋体" w:cs="宋体" w:eastAsia="宋体" w:hint="default"/>
                <w:sz w:val="18"/>
                <w:szCs w:val="18"/>
              </w:rPr>
              <w:t>国际市场合 作开发，进 出口贸易， 计算机软硬 件销售服务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河南豫础置 业有限公司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科技园区建 设投资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房地产开发 与经营（凭 有效资质证 </w:t>
            </w:r>
            <w:r>
              <w:rPr>
                <w:rFonts w:ascii="宋体" w:hAnsi="宋体" w:cs="宋体" w:eastAsia="宋体" w:hint="default"/>
                <w:spacing w:val="-31"/>
                <w:sz w:val="18"/>
                <w:szCs w:val="18"/>
              </w:rPr>
              <w:t>经营）、房屋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租赁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31,000,000.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33,676,756.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29,163,578.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-2,122,767.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-1,763,191.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r>
        <w:trPr>
          <w:trHeight w:val="227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信阳榕基信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计算机软件 开发、计算 机硬件技术 服务、产品 销售、技术 服务、系统 集成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168,452,119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15,976,440.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-4,952,146.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-4,267,809.</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r>
      <w:tr>
        <w:trPr>
          <w:trHeight w:val="258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福建亿榕信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电力行业协 同办公系 统、电力仪 器仪表、电 能计量设备 和电力信息 化建设咨询 服务等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358,381,790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116,887,260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231,114,485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35,740,824.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34,264,262.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5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福建文鑫莲 业食品有限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种值及农产 品初加工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莲子种植及 初级农产品 的初加工、 销售和产品 研发；预包 装食品和散 装食品的批 发零售；莲 子剥壳机、 脱模机的生 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30,247,100.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149,220,767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75,455,645.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127,474,302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2,650,981.3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3,373,406.6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49"/>
        <w:ind w:right="7074"/>
        <w:jc w:val="left"/>
      </w:pPr>
      <w:r>
        <w:rPr/>
        <w:t>主要子公司、参股公司情况说明 无。 报告期内取得和处置子公司的情况</w:t>
      </w:r>
    </w:p>
    <w:p>
      <w:pPr>
        <w:pStyle w:val="BodyText"/>
        <w:spacing w:line="240" w:lineRule="auto" w:before="29"/>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沈阳榕基信息技术有限公司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东北区域市场开拓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进一步提高公司整体实力</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河南裕德信置业公司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促进公司延伸发展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进一步提高公司整体实力</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建宁县日升投资有限公司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left"/>
              <w:rPr>
                <w:rFonts w:ascii="宋体" w:hAnsi="宋体" w:cs="宋体" w:eastAsia="宋体" w:hint="default"/>
                <w:sz w:val="18"/>
                <w:szCs w:val="18"/>
              </w:rPr>
            </w:pPr>
            <w:r>
              <w:rPr>
                <w:rFonts w:ascii="宋体" w:hAnsi="宋体" w:cs="宋体" w:eastAsia="宋体" w:hint="default"/>
                <w:sz w:val="18"/>
                <w:szCs w:val="18"/>
              </w:rPr>
              <w:t>参股公司文鑫莲业派生分立 的公司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进一步提高公司整体实力</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福建文鑫莲业股份有限公司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促进公司延伸发展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进一步提高公司整体实力</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5</w:t>
      </w:r>
      <w:r>
        <w:rPr/>
        <w:t>、非募集资金投资</w:t>
      </w:r>
      <w:bookmarkStart w:name="5、非募集资金投资的重大项目情况" w:id="48"/>
      <w:bookmarkEnd w:id="48"/>
      <w:r>
        <w:rPr/>
        <w:t>的重</w:t>
      </w:r>
      <w:r>
        <w:rPr/>
        <w:t>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96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83"/>
              <w:jc w:val="both"/>
              <w:rPr>
                <w:rFonts w:ascii="宋体" w:hAnsi="宋体" w:cs="宋体" w:eastAsia="宋体" w:hint="default"/>
                <w:sz w:val="18"/>
                <w:szCs w:val="18"/>
              </w:rPr>
            </w:pPr>
            <w:r>
              <w:rPr>
                <w:rFonts w:ascii="宋体" w:hAnsi="宋体" w:cs="宋体" w:eastAsia="宋体" w:hint="default"/>
                <w:sz w:val="18"/>
                <w:szCs w:val="18"/>
              </w:rPr>
              <w:t>投资设立马鞍 山榕基软件信 息科技有限公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3" w:right="79"/>
              <w:jc w:val="left"/>
              <w:rPr>
                <w:rFonts w:ascii="宋体" w:hAnsi="宋体" w:cs="宋体" w:eastAsia="宋体" w:hint="default"/>
                <w:sz w:val="18"/>
                <w:szCs w:val="18"/>
              </w:rPr>
            </w:pPr>
            <w:r>
              <w:rPr>
                <w:rFonts w:ascii="宋体" w:hAnsi="宋体" w:cs="宋体" w:eastAsia="宋体" w:hint="default"/>
                <w:sz w:val="18"/>
                <w:szCs w:val="18"/>
              </w:rPr>
              <w:t>项目建设期， 未产生效益。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22"/>
              <w:jc w:val="left"/>
              <w:rPr>
                <w:rFonts w:ascii="Times New Roman" w:hAnsi="Times New Roman" w:cs="Times New Roman" w:eastAsia="Times New Roman" w:hint="default"/>
                <w:sz w:val="18"/>
                <w:szCs w:val="18"/>
              </w:rPr>
            </w:pPr>
            <w:r>
              <w:rPr>
                <w:rFonts w:ascii="Times New Roman"/>
                <w:sz w:val="18"/>
              </w:rPr>
              <w:t>http://www.cni nfo.com.cn/fina</w:t>
            </w:r>
            <w:r>
              <w:rPr>
                <w:rFonts w:ascii="Times New Roman"/>
                <w:spacing w:val="1"/>
                <w:sz w:val="18"/>
              </w:rPr>
              <w:t> </w:t>
            </w:r>
            <w:r>
              <w:rPr>
                <w:rFonts w:ascii="Times New Roman"/>
                <w:sz w:val="18"/>
              </w:rPr>
              <w:t>lpage/2011-03-</w:t>
            </w:r>
            <w:r>
              <w:rPr>
                <w:rFonts w:ascii="Times New Roman"/>
                <w:sz w:val="18"/>
              </w:rPr>
              <w:t> 12/59111762.P</w:t>
            </w:r>
          </w:p>
          <w:p>
            <w:pPr>
              <w:pStyle w:val="TableParagraph"/>
              <w:spacing w:line="362" w:lineRule="auto" w:before="5"/>
              <w:ind w:left="23" w:right="58"/>
              <w:jc w:val="left"/>
              <w:rPr>
                <w:rFonts w:ascii="Times New Roman" w:hAnsi="Times New Roman" w:cs="Times New Roman" w:eastAsia="Times New Roman" w:hint="default"/>
                <w:sz w:val="18"/>
                <w:szCs w:val="18"/>
              </w:rPr>
            </w:pPr>
            <w:r>
              <w:rPr>
                <w:rFonts w:ascii="Times New Roman"/>
                <w:spacing w:val="-2"/>
                <w:sz w:val="18"/>
              </w:rPr>
              <w:t>DF?www.cninf</w:t>
            </w:r>
            <w:r>
              <w:rPr>
                <w:rFonts w:ascii="Times New Roman"/>
                <w:spacing w:val="-38"/>
                <w:sz w:val="18"/>
              </w:rPr>
              <w:t> </w:t>
            </w:r>
            <w:r>
              <w:rPr>
                <w:rFonts w:ascii="Times New Roman"/>
                <w:spacing w:val="-38"/>
                <w:sz w:val="18"/>
              </w:rPr>
            </w:r>
            <w:r>
              <w:rPr>
                <w:rFonts w:ascii="Times New Roman"/>
                <w:sz w:val="18"/>
              </w:rPr>
              <w:t>o.com.cn</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791"/>
        <w:jc w:val="left"/>
        <w:rPr>
          <w:b w:val="0"/>
          <w:bCs w:val="0"/>
        </w:rPr>
      </w:pPr>
      <w:r>
        <w:rPr/>
        <w:t>七、公司控制的特殊目的主体情况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791"/>
        <w:jc w:val="left"/>
        <w:rPr>
          <w:b w:val="0"/>
          <w:bCs w:val="0"/>
        </w:rPr>
      </w:pPr>
      <w:r>
        <w:rPr/>
        <w:t>八、公司未来发展的展望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50" w:firstLine="360"/>
        <w:jc w:val="both"/>
      </w:pPr>
      <w:r>
        <w:rPr>
          <w:spacing w:val="-1"/>
        </w:rPr>
        <w:t>随着国家</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规划以及重大民生工程的持续推进，国内软件和信息技术服务业作为</w:t>
      </w:r>
      <w:r>
        <w:rPr>
          <w:rFonts w:ascii="Times New Roman" w:hAnsi="Times New Roman" w:cs="Times New Roman" w:eastAsia="Times New Roman" w:hint="default"/>
          <w:spacing w:val="-1"/>
        </w:rPr>
        <w:t>“</w:t>
      </w:r>
      <w:bookmarkStart w:name="七、公司控制的特殊目的主体情况" w:id="49"/>
      <w:bookmarkEnd w:id="49"/>
      <w:r>
        <w:rPr>
          <w:rFonts w:ascii="Times New Roman" w:hAnsi="Times New Roman" w:cs="Times New Roman" w:eastAsia="Times New Roman" w:hint="default"/>
          <w:spacing w:val="-1"/>
        </w:rPr>
      </w:r>
      <w:r>
        <w:rPr>
          <w:spacing w:val="-1"/>
        </w:rPr>
        <w:t>战略性新兴产业</w:t>
      </w:r>
      <w:bookmarkStart w:name="八、公司未来发展的展望" w:id="50"/>
      <w:bookmarkEnd w:id="50"/>
      <w:r>
        <w:rPr>
          <w:spacing w:val="-1"/>
        </w:rPr>
      </w:r>
      <w:r>
        <w:rPr>
          <w:rFonts w:ascii="Times New Roman" w:hAnsi="Times New Roman" w:cs="Times New Roman" w:eastAsia="Times New Roman" w:hint="default"/>
          <w:spacing w:val="-1"/>
        </w:rPr>
        <w:t>”</w:t>
      </w:r>
      <w:r>
        <w:rPr>
          <w:spacing w:val="-1"/>
        </w:rPr>
        <w:t>，受益于国家</w:t>
      </w:r>
      <w:r>
        <w:rPr/>
        <w:t> </w:t>
      </w:r>
      <w:r>
        <w:rPr>
          <w:spacing w:val="-2"/>
        </w:rPr>
        <w:t>对新一代信息技术产业持续的政策和资金扶持，市场规模持续扩大。同时，国民经济的发展和社会信息化的建设，引导社会</w:t>
      </w:r>
      <w:r>
        <w:rPr>
          <w:spacing w:val="-64"/>
        </w:rPr>
        <w:t> </w:t>
      </w:r>
      <w:r>
        <w:rPr>
          <w:spacing w:val="-64"/>
        </w:rPr>
      </w:r>
      <w:r>
        <w:rPr>
          <w:spacing w:val="-2"/>
        </w:rPr>
        <w:t>各方面力量向软件产业领域持续投入，也将为软件产业的发展提供巨大的需求。未来，信息技术创新不断加快，信息领域新</w:t>
      </w:r>
      <w:r>
        <w:rPr>
          <w:spacing w:val="-64"/>
        </w:rPr>
        <w:t> </w:t>
      </w:r>
      <w:r>
        <w:rPr>
          <w:spacing w:val="-64"/>
        </w:rPr>
      </w:r>
      <w:r>
        <w:rPr>
          <w:spacing w:val="-2"/>
        </w:rPr>
        <w:t>产品、新服务、新业态大量涌现，在云计算、大数据、物联网、移动互联网等新一代信息技术驱动下，将进一步加快软件业</w:t>
      </w:r>
      <w:r>
        <w:rPr>
          <w:spacing w:val="-73"/>
        </w:rPr>
        <w:t> </w:t>
      </w:r>
      <w:r>
        <w:rPr>
          <w:spacing w:val="-73"/>
        </w:rPr>
      </w:r>
      <w:r>
        <w:rPr>
          <w:spacing w:val="-2"/>
        </w:rPr>
        <w:t>向服务化转型的步伐，使社会各领域信息化水平持续提升。围绕着智慧城市建设、信息惠民工程建设，民生服务应用、政府</w:t>
      </w:r>
      <w:r>
        <w:rPr>
          <w:spacing w:val="-67"/>
        </w:rPr>
        <w:t> </w:t>
      </w:r>
      <w:r>
        <w:rPr>
          <w:spacing w:val="-67"/>
        </w:rPr>
      </w:r>
      <w:r>
        <w:rPr/>
        <w:t>信息化、信息基础设施建设等新的市场需求将不断被激发，为中国</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企业带来新的市场机遇和发展活力。</w:t>
      </w:r>
    </w:p>
    <w:p>
      <w:pPr>
        <w:pStyle w:val="BodyText"/>
        <w:spacing w:line="300" w:lineRule="auto" w:before="1"/>
        <w:ind w:left="512" w:right="5094"/>
        <w:jc w:val="left"/>
      </w:pPr>
      <w:r>
        <w:rPr>
          <w:rFonts w:ascii="Times New Roman" w:hAnsi="Times New Roman" w:cs="Times New Roman" w:eastAsia="Times New Roman" w:hint="default"/>
        </w:rPr>
        <w:t>1</w:t>
      </w:r>
      <w:r>
        <w:rPr/>
        <w:t>、行业竞争格局和发展趋势 公司所属行业为信息产业中的软件和信息技术服务业。</w:t>
      </w:r>
    </w:p>
    <w:p>
      <w:pPr>
        <w:pStyle w:val="BodyText"/>
        <w:spacing w:line="312" w:lineRule="auto" w:before="31"/>
        <w:ind w:right="151" w:firstLine="360"/>
        <w:jc w:val="both"/>
      </w:pPr>
      <w:r>
        <w:rPr>
          <w:spacing w:val="-2"/>
        </w:rPr>
        <w:t>展望</w:t>
      </w:r>
      <w:r>
        <w:rPr>
          <w:rFonts w:ascii="Times New Roman" w:hAnsi="Times New Roman" w:cs="Times New Roman" w:eastAsia="Times New Roman" w:hint="default"/>
          <w:spacing w:val="-2"/>
        </w:rPr>
        <w:t>2015</w:t>
      </w:r>
      <w:r>
        <w:rPr>
          <w:spacing w:val="-2"/>
        </w:rPr>
        <w:t>年，在国家政策、社会需求和产业资金等多方面有力因素的驱动下，软件服务行业仍处于快速发展阶段，工信</w:t>
      </w:r>
      <w:r>
        <w:rPr/>
        <w:t> </w:t>
      </w:r>
      <w:r>
        <w:rPr>
          <w:spacing w:val="-2"/>
        </w:rPr>
        <w:t>部的预测数据为</w:t>
      </w:r>
      <w:r>
        <w:rPr>
          <w:rFonts w:ascii="Times New Roman" w:hAnsi="Times New Roman" w:cs="Times New Roman" w:eastAsia="Times New Roman" w:hint="default"/>
          <w:spacing w:val="-2"/>
        </w:rPr>
        <w:t>20%-25%</w:t>
      </w:r>
      <w:r>
        <w:rPr>
          <w:spacing w:val="-2"/>
        </w:rPr>
        <w:t>的增长率，同时，行业竞争会更加激烈。国内软件和信息技术服务业作为</w:t>
      </w:r>
      <w:r>
        <w:rPr>
          <w:rFonts w:ascii="Times New Roman" w:hAnsi="Times New Roman" w:cs="Times New Roman" w:eastAsia="Times New Roman" w:hint="default"/>
          <w:spacing w:val="-2"/>
        </w:rPr>
        <w:t>“</w:t>
      </w:r>
      <w:r>
        <w:rPr>
          <w:spacing w:val="-2"/>
        </w:rPr>
        <w:t>战略性新兴产业</w:t>
      </w:r>
      <w:r>
        <w:rPr>
          <w:rFonts w:ascii="Times New Roman" w:hAnsi="Times New Roman" w:cs="Times New Roman" w:eastAsia="Times New Roman" w:hint="default"/>
          <w:spacing w:val="-2"/>
        </w:rPr>
        <w:t>”</w:t>
      </w:r>
      <w:r>
        <w:rPr>
          <w:spacing w:val="-2"/>
        </w:rPr>
        <w:t>，受益</w:t>
      </w:r>
      <w:r>
        <w:rPr>
          <w:spacing w:val="-72"/>
        </w:rPr>
        <w:t> </w:t>
      </w:r>
      <w:r>
        <w:rPr>
          <w:spacing w:val="-2"/>
        </w:rPr>
        <w:t>于国家对新一代信息技术产业持续的政策和资金扶持，市场规模持续扩大。同时，国民经济的发展和社会信息化的建设，引</w:t>
      </w:r>
      <w:r>
        <w:rPr>
          <w:spacing w:val="-66"/>
        </w:rPr>
        <w:t> </w:t>
      </w:r>
      <w:r>
        <w:rPr>
          <w:spacing w:val="-66"/>
        </w:rPr>
      </w:r>
      <w:r>
        <w:rPr>
          <w:spacing w:val="-2"/>
        </w:rPr>
        <w:t>导社会各方面力量向软件产业领域持续投入，也将为软件产业的发展提供巨大的需求。未来，信息技术创新不断加快，信息</w:t>
      </w:r>
      <w:r>
        <w:rPr>
          <w:spacing w:val="-64"/>
        </w:rPr>
        <w:t> </w:t>
      </w:r>
      <w:r>
        <w:rPr>
          <w:spacing w:val="-64"/>
        </w:rPr>
      </w:r>
      <w:r>
        <w:rPr>
          <w:spacing w:val="-2"/>
        </w:rPr>
        <w:t>领域新产品、新服务、新业态大量涌现，在云计算、大数据、物联网、移动互联网等新一代信息技术驱动下，将进一步加快</w:t>
      </w:r>
      <w:r>
        <w:rPr>
          <w:spacing w:val="-73"/>
        </w:rPr>
        <w:t> </w:t>
      </w:r>
      <w:r>
        <w:rPr>
          <w:spacing w:val="-73"/>
        </w:rPr>
      </w:r>
      <w:r>
        <w:rPr>
          <w:spacing w:val="-5"/>
        </w:rPr>
        <w:t>软件业向服务化转型的步伐，使社会各领域信息化水平持续提升。围绕着智慧城市建设、信息惠民工程建设，民生服务应用、</w:t>
      </w:r>
      <w:r>
        <w:rPr>
          <w:spacing w:val="-78"/>
        </w:rPr>
        <w:t> </w:t>
      </w:r>
      <w:r>
        <w:rPr>
          <w:spacing w:val="-78"/>
        </w:rPr>
      </w:r>
      <w:r>
        <w:rPr/>
        <w:t>政府信息化、信息基础设施建设等新的市场需求将不断被激发，为中国</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企业带来新的市场机遇和发展活力。</w:t>
      </w:r>
    </w:p>
    <w:p>
      <w:pPr>
        <w:spacing w:after="0" w:line="312"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91" w:firstLine="360"/>
        <w:jc w:val="both"/>
      </w:pPr>
      <w:r>
        <w:rPr>
          <w:spacing w:val="-2"/>
        </w:rPr>
        <w:t>公司是国家高新技术企业、国家规划布局内重点软件企业，随着国家和部委文件的执行，公司将继续获得国家对于软件</w:t>
      </w:r>
      <w:r>
        <w:rPr/>
        <w:t> </w:t>
      </w:r>
      <w:r>
        <w:rPr>
          <w:spacing w:val="-2"/>
        </w:rPr>
        <w:t>企业的扶持和优惠政策支持，包括继续享受软件增值税优惠政策，进一步享受营业税优惠政策，继续享受企业所得税的优惠</w:t>
      </w:r>
      <w:r>
        <w:rPr>
          <w:spacing w:val="-63"/>
        </w:rPr>
        <w:t> </w:t>
      </w:r>
      <w:r>
        <w:rPr>
          <w:spacing w:val="-63"/>
        </w:rPr>
      </w:r>
      <w:r>
        <w:rPr>
          <w:spacing w:val="-2"/>
        </w:rPr>
        <w:t>税率，在国家鼓励、支持软件企业通过资源整合做大做强的政策环境下，更加顺利地实施重组并购，以及其他人才引进和知</w:t>
      </w:r>
      <w:r>
        <w:rPr>
          <w:spacing w:val="-64"/>
        </w:rPr>
        <w:t> </w:t>
      </w:r>
      <w:r>
        <w:rPr>
          <w:spacing w:val="-64"/>
        </w:rPr>
      </w:r>
      <w:r>
        <w:rPr/>
        <w:t>识产权保护等。这些政策的出台和执行，为公司创造了良好的经营环境，并将在较长时期内得到保持。</w:t>
      </w:r>
    </w:p>
    <w:p>
      <w:pPr>
        <w:pStyle w:val="BodyText"/>
        <w:spacing w:line="316" w:lineRule="auto" w:before="18"/>
        <w:ind w:left="512" w:right="186"/>
        <w:jc w:val="left"/>
      </w:pPr>
      <w:r>
        <w:rPr/>
        <w:t>公司专注于软件产品的开发与销售，其主要产品涉及电子政务、信息安全、质检三电工程和协同管理等四个领域。 </w:t>
      </w:r>
      <w:r>
        <w:rPr>
          <w:spacing w:val="-2"/>
        </w:rPr>
        <w:t>新一代信息技术已经成为引领各领域创新不可或缺的重要动力和支撑，成为实施创新驱动发展战略、建设创新型国家的</w:t>
      </w:r>
    </w:p>
    <w:p>
      <w:pPr>
        <w:pStyle w:val="BodyText"/>
        <w:spacing w:line="316" w:lineRule="auto" w:before="18"/>
        <w:ind w:left="512" w:right="186" w:hanging="360"/>
        <w:jc w:val="left"/>
      </w:pPr>
      <w:r>
        <w:rPr/>
        <w:t>关键所在，在深层次上改变交通、医疗、电信、能源、金融等基础领域的面貌。 </w:t>
      </w:r>
      <w:r>
        <w:rPr>
          <w:spacing w:val="-2"/>
        </w:rPr>
        <w:t>随着中国经济社会的不断发展，电子政务经过多年发展，在信息网络基础设施、信息网络技术服务、业务系统平台搭建</w:t>
      </w:r>
    </w:p>
    <w:p>
      <w:pPr>
        <w:pStyle w:val="BodyText"/>
        <w:spacing w:line="316" w:lineRule="auto" w:before="18"/>
        <w:ind w:right="186"/>
        <w:jc w:val="left"/>
      </w:pPr>
      <w:r>
        <w:rPr>
          <w:spacing w:val="-2"/>
        </w:rPr>
        <w:t>等发面都取得了长足的进步。社会公众的日常生活需求也在不断变化、不断增长，对电子政务服务提供产生了新的需求与期</w:t>
      </w:r>
      <w:r>
        <w:rPr>
          <w:spacing w:val="-66"/>
        </w:rPr>
        <w:t> </w:t>
      </w:r>
      <w:r>
        <w:rPr>
          <w:spacing w:val="-66"/>
        </w:rPr>
      </w:r>
      <w:r>
        <w:rPr/>
        <w:t>待。今后，面向公众的电子政务将成为共同趋势，信息公开、数据开放也将成为政务信息服务新业态。</w:t>
      </w:r>
    </w:p>
    <w:p>
      <w:pPr>
        <w:pStyle w:val="BodyText"/>
        <w:spacing w:line="312" w:lineRule="auto" w:before="18"/>
        <w:ind w:right="187" w:firstLine="360"/>
        <w:jc w:val="both"/>
      </w:pPr>
      <w:r>
        <w:rPr/>
        <w:t>质检三电工程是我国</w:t>
      </w: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的重要内容，</w:t>
      </w:r>
      <w:r>
        <w:rPr>
          <w:spacing w:val="29"/>
        </w:rPr>
        <w:t> </w:t>
      </w: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能促进各级质检机关向管理服务型转变，提高质量监督检验</w:t>
      </w:r>
      <w:r>
        <w:rPr>
          <w:spacing w:val="2"/>
        </w:rPr>
        <w:t> </w:t>
      </w:r>
      <w:r>
        <w:rPr>
          <w:spacing w:val="-2"/>
        </w:rPr>
        <w:t>检疫执法的透明度，形成全国统一的质检大网络，能促进质检系统执法电子化、信息化，为生产企业和外经贸企业带来更大</w:t>
      </w:r>
      <w:r>
        <w:rPr>
          <w:spacing w:val="-64"/>
        </w:rPr>
        <w:t> </w:t>
      </w:r>
      <w:r>
        <w:rPr>
          <w:spacing w:val="-64"/>
        </w:rPr>
      </w:r>
      <w:r>
        <w:rPr>
          <w:spacing w:val="-2"/>
        </w:rPr>
        <w:t>的方便与效益，加大打击假冒伪劣的力度，更有效地规范市场经济秩序，促进社会主义市场经济的发展。</w:t>
      </w:r>
      <w:r>
        <w:rPr>
          <w:rFonts w:ascii="Times New Roman" w:hAnsi="Times New Roman" w:cs="Times New Roman" w:eastAsia="Times New Roman" w:hint="default"/>
          <w:spacing w:val="-2"/>
        </w:rPr>
        <w:t>“</w:t>
      </w:r>
      <w:r>
        <w:rPr>
          <w:spacing w:val="-2"/>
        </w:rPr>
        <w:t>金质工程</w:t>
      </w:r>
      <w:r>
        <w:rPr>
          <w:rFonts w:ascii="Times New Roman" w:hAnsi="Times New Roman" w:cs="Times New Roman" w:eastAsia="Times New Roman" w:hint="default"/>
          <w:spacing w:val="-2"/>
        </w:rPr>
        <w:t>”</w:t>
      </w:r>
      <w:r>
        <w:rPr>
          <w:spacing w:val="-2"/>
        </w:rPr>
        <w:t>二期建</w:t>
      </w:r>
      <w:r>
        <w:rPr>
          <w:spacing w:val="-42"/>
        </w:rPr>
        <w:t> </w:t>
      </w:r>
      <w:r>
        <w:rPr>
          <w:spacing w:val="-2"/>
        </w:rPr>
        <w:t>设将在一期工程建设的基础上，重点深化的研究方向有：食品安全和质量诚信体系等方面应用系统的开发，信息网络的全覆</w:t>
      </w:r>
      <w:r>
        <w:rPr>
          <w:spacing w:val="-66"/>
        </w:rPr>
        <w:t> </w:t>
      </w:r>
      <w:r>
        <w:rPr>
          <w:spacing w:val="-66"/>
        </w:rPr>
      </w:r>
      <w:r>
        <w:rPr>
          <w:spacing w:val="-2"/>
        </w:rPr>
        <w:t>盖，运用物联网、云计算、虚拟技术等信息技术，依托物品编码和组织机构代码等国家基础信息资源，加强产品质量和质量</w:t>
      </w:r>
      <w:r>
        <w:rPr>
          <w:spacing w:val="-65"/>
        </w:rPr>
        <w:t> </w:t>
      </w:r>
      <w:r>
        <w:rPr>
          <w:spacing w:val="-65"/>
        </w:rPr>
      </w:r>
      <w:r>
        <w:rPr>
          <w:spacing w:val="-2"/>
        </w:rPr>
        <w:t>安全信息的采集、追踪、分析和处理，提高质量控制和质量管理的信息化水平，提升质量安全动态监管、质量风险预警、突</w:t>
      </w:r>
      <w:r>
        <w:rPr>
          <w:spacing w:val="-70"/>
        </w:rPr>
        <w:t> </w:t>
      </w:r>
      <w:r>
        <w:rPr>
          <w:spacing w:val="-70"/>
        </w:rPr>
      </w:r>
      <w:r>
        <w:rPr/>
        <w:t>发事件应对、质量信用管理的效能等方面。</w:t>
      </w:r>
    </w:p>
    <w:p>
      <w:pPr>
        <w:pStyle w:val="BodyText"/>
        <w:spacing w:line="309" w:lineRule="auto" w:before="22"/>
        <w:ind w:right="94" w:firstLine="360"/>
        <w:jc w:val="left"/>
      </w:pPr>
      <w:r>
        <w:rPr>
          <w:spacing w:val="-2"/>
        </w:rPr>
        <w:t>党的十八大以来，党和国家高度关注严峻的网络安全形势，尤其</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w:t>
      </w:r>
      <w:r>
        <w:rPr>
          <w:spacing w:val="-2"/>
        </w:rPr>
        <w:t>棱镜</w:t>
      </w:r>
      <w:r>
        <w:rPr>
          <w:rFonts w:ascii="Times New Roman" w:hAnsi="Times New Roman" w:cs="Times New Roman" w:eastAsia="Times New Roman" w:hint="default"/>
          <w:spacing w:val="-2"/>
        </w:rPr>
        <w:t>”</w:t>
      </w:r>
      <w:r>
        <w:rPr>
          <w:spacing w:val="-2"/>
        </w:rPr>
        <w:t>事件曝光后，国家相继成立安全委员会和</w:t>
      </w:r>
      <w:r>
        <w:rPr/>
        <w:t> 中央网络安全与信息化领导小组，并在两会期间政府工作报告提出维护网络安全，标志着信息安全已提高到国家战略高度，</w:t>
      </w:r>
      <w:r>
        <w:rPr>
          <w:spacing w:val="-86"/>
        </w:rPr>
        <w:t> </w:t>
      </w:r>
      <w:r>
        <w:rPr>
          <w:spacing w:val="-86"/>
        </w:rPr>
      </w:r>
      <w:r>
        <w:rPr/>
        <w:t>随着更多促进信息安全行业发展的政策推出，国内信息安全行业迎来了产业化发展的新机遇。</w:t>
      </w:r>
    </w:p>
    <w:p>
      <w:pPr>
        <w:pStyle w:val="BodyText"/>
        <w:spacing w:line="300" w:lineRule="auto" w:before="24"/>
        <w:ind w:left="512" w:right="186"/>
        <w:jc w:val="left"/>
      </w:pPr>
      <w:r>
        <w:rPr>
          <w:rFonts w:ascii="Times New Roman" w:hAnsi="Times New Roman" w:cs="Times New Roman" w:eastAsia="Times New Roman" w:hint="default"/>
        </w:rPr>
        <w:t>2</w:t>
      </w:r>
      <w:r>
        <w:rPr/>
        <w:t>、公司发展战略 </w:t>
      </w:r>
      <w:r>
        <w:rPr>
          <w:spacing w:val="-2"/>
        </w:rPr>
        <w:t>公司将紧抓软件服务行业云计算、物联网、移动互联网、大数据、智慧城市等新一代信息技术对传统行业信息化的升级</w:t>
      </w:r>
    </w:p>
    <w:p>
      <w:pPr>
        <w:pStyle w:val="BodyText"/>
        <w:spacing w:line="309" w:lineRule="auto" w:before="31"/>
        <w:ind w:right="94"/>
        <w:jc w:val="left"/>
      </w:pPr>
      <w:r>
        <w:rPr/>
        <w:t>改造和迁移的发展趋势，继续推动</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r>
        <w:rPr/>
        <w:t>发展战略，提升电子政务、信息安全、质检三电工程和协同管 理四个领域软件产品和服务的产业化速度，坚持技术创新，带动软件平台化和服务化商业模式创新，培育新的利润增长点，</w:t>
      </w:r>
      <w:r>
        <w:rPr>
          <w:spacing w:val="-86"/>
        </w:rPr>
        <w:t> </w:t>
      </w:r>
      <w:r>
        <w:rPr>
          <w:spacing w:val="-86"/>
        </w:rPr>
      </w:r>
      <w:r>
        <w:rPr/>
        <w:t>推动公司持续成长，实现规模化、跨越式发展。</w:t>
      </w:r>
    </w:p>
    <w:p>
      <w:pPr>
        <w:pStyle w:val="BodyText"/>
        <w:spacing w:line="316" w:lineRule="auto" w:before="24"/>
        <w:ind w:left="512" w:right="186"/>
        <w:jc w:val="left"/>
      </w:pPr>
      <w:r>
        <w:rPr/>
        <w:t>（一）由软件产品提供商向行业软件平台运营商转型 </w:t>
      </w:r>
      <w:r>
        <w:rPr>
          <w:spacing w:val="-2"/>
        </w:rPr>
        <w:t>公司将研发新一代电子政务应用平台、协同管理软件平台、信息安全等行业应用软件支撑平台，在直接为客户提供产品</w:t>
      </w:r>
    </w:p>
    <w:p>
      <w:pPr>
        <w:pStyle w:val="BodyText"/>
        <w:spacing w:line="316" w:lineRule="auto" w:before="18"/>
        <w:ind w:right="186"/>
        <w:jc w:val="left"/>
      </w:pPr>
      <w:r>
        <w:rPr>
          <w:spacing w:val="-2"/>
        </w:rPr>
        <w:t>的同时，可以依托已有的综合优势，向移动运营商、其他软件开发商提供统一的组件平台和实现方法，逐步推进公司向行业</w:t>
      </w:r>
      <w:r>
        <w:rPr>
          <w:spacing w:val="-64"/>
        </w:rPr>
        <w:t> </w:t>
      </w:r>
      <w:r>
        <w:rPr>
          <w:spacing w:val="-64"/>
        </w:rPr>
      </w:r>
      <w:r>
        <w:rPr/>
        <w:t>软件平台运营商转型。</w:t>
      </w:r>
    </w:p>
    <w:p>
      <w:pPr>
        <w:pStyle w:val="BodyText"/>
        <w:spacing w:line="316" w:lineRule="auto" w:before="18"/>
        <w:ind w:left="512" w:right="186"/>
        <w:jc w:val="left"/>
      </w:pPr>
      <w:r>
        <w:rPr/>
        <w:t>（二）由软件产品销售模式向软件服务模式的转变 公司积极发展软件服务化业务，采用云计算技术，通过互联网建立软件服务云平台，实现软件租用服务模式。 </w:t>
      </w:r>
      <w:r>
        <w:rPr>
          <w:spacing w:val="-2"/>
        </w:rPr>
        <w:t>公司研发的无线信息服务平台，积极与移动通信运营商合作，采用</w:t>
      </w:r>
      <w:r>
        <w:rPr>
          <w:rFonts w:ascii="Times New Roman" w:hAnsi="Times New Roman" w:cs="Times New Roman" w:eastAsia="Times New Roman" w:hint="default"/>
          <w:spacing w:val="-2"/>
        </w:rPr>
        <w:t>PaaS</w:t>
      </w:r>
      <w:r>
        <w:rPr>
          <w:spacing w:val="-2"/>
        </w:rPr>
        <w:t>方式和</w:t>
      </w:r>
      <w:r>
        <w:rPr>
          <w:rFonts w:ascii="Times New Roman" w:hAnsi="Times New Roman" w:cs="Times New Roman" w:eastAsia="Times New Roman" w:hint="default"/>
          <w:spacing w:val="-2"/>
        </w:rPr>
        <w:t>SaaS</w:t>
      </w:r>
      <w:r>
        <w:rPr>
          <w:spacing w:val="-2"/>
        </w:rPr>
        <w:t>进行推广，通过软件租用和运营商电</w:t>
      </w:r>
    </w:p>
    <w:p>
      <w:pPr>
        <w:pStyle w:val="BodyText"/>
        <w:spacing w:line="316" w:lineRule="auto"/>
        <w:ind w:left="512" w:right="186" w:hanging="360"/>
        <w:jc w:val="left"/>
      </w:pPr>
      <w:r>
        <w:rPr/>
        <w:t>信增值业务分成等方式进行模式创新。 </w:t>
      </w:r>
      <w:r>
        <w:rPr>
          <w:spacing w:val="-2"/>
        </w:rPr>
        <w:t>公司建立协同管理软件服务云平台，发展通过互联网提供协同管理软件在线租赁服务的</w:t>
      </w:r>
      <w:r>
        <w:rPr>
          <w:rFonts w:ascii="Times New Roman" w:hAnsi="Times New Roman" w:cs="Times New Roman" w:eastAsia="Times New Roman" w:hint="default"/>
          <w:spacing w:val="-2"/>
        </w:rPr>
        <w:t>SaaS</w:t>
      </w:r>
      <w:r>
        <w:rPr>
          <w:spacing w:val="-2"/>
        </w:rPr>
        <w:t>商业模式，拓展中小企业协</w:t>
      </w:r>
    </w:p>
    <w:p>
      <w:pPr>
        <w:pStyle w:val="BodyText"/>
        <w:spacing w:line="316" w:lineRule="auto"/>
        <w:ind w:left="512" w:right="186" w:hanging="360"/>
        <w:jc w:val="left"/>
      </w:pPr>
      <w:r>
        <w:rPr/>
        <w:t>同管理市场客户。 </w:t>
      </w:r>
      <w:r>
        <w:rPr>
          <w:spacing w:val="-2"/>
        </w:rPr>
        <w:t>公司为质检三电工程客户建立以</w:t>
      </w:r>
      <w:r>
        <w:rPr>
          <w:rFonts w:ascii="Times New Roman" w:hAnsi="Times New Roman" w:cs="Times New Roman" w:eastAsia="Times New Roman" w:hint="default"/>
          <w:spacing w:val="-2"/>
        </w:rPr>
        <w:t>“</w:t>
      </w:r>
      <w:r>
        <w:rPr>
          <w:spacing w:val="-2"/>
        </w:rPr>
        <w:t>电子单证、电子监管、电子放行</w:t>
      </w:r>
      <w:r>
        <w:rPr>
          <w:rFonts w:ascii="Times New Roman" w:hAnsi="Times New Roman" w:cs="Times New Roman" w:eastAsia="Times New Roman" w:hint="default"/>
          <w:spacing w:val="-2"/>
        </w:rPr>
        <w:t>”</w:t>
      </w:r>
      <w:r>
        <w:rPr>
          <w:spacing w:val="-2"/>
        </w:rPr>
        <w:t>为业务核心的</w:t>
      </w:r>
      <w:r>
        <w:rPr>
          <w:rFonts w:ascii="Times New Roman" w:hAnsi="Times New Roman" w:cs="Times New Roman" w:eastAsia="Times New Roman" w:hint="default"/>
          <w:spacing w:val="-2"/>
        </w:rPr>
        <w:t>SaaS</w:t>
      </w:r>
      <w:r>
        <w:rPr>
          <w:spacing w:val="-2"/>
        </w:rPr>
        <w:t>软件服务平台、客户服务管理支撑</w:t>
      </w:r>
    </w:p>
    <w:p>
      <w:pPr>
        <w:pStyle w:val="BodyText"/>
        <w:spacing w:line="248" w:lineRule="exact"/>
        <w:ind w:right="186"/>
        <w:jc w:val="left"/>
      </w:pPr>
      <w:r>
        <w:rPr/>
        <w:t>平台、软件增值服务超市、客户服务中心以及营销运营管理体系，形成覆盖全国、系统完整的三电工程</w:t>
      </w:r>
      <w:r>
        <w:rPr>
          <w:rFonts w:ascii="Times New Roman" w:hAnsi="Times New Roman" w:cs="Times New Roman" w:eastAsia="Times New Roman" w:hint="default"/>
        </w:rPr>
        <w:t>SaaS</w:t>
      </w:r>
      <w:r>
        <w:rPr/>
        <w:t>服务平台。</w:t>
      </w:r>
    </w:p>
    <w:p>
      <w:pPr>
        <w:pStyle w:val="BodyText"/>
        <w:spacing w:line="240" w:lineRule="auto" w:before="62"/>
        <w:ind w:left="512" w:right="18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年经营计划</w:t>
      </w:r>
    </w:p>
    <w:p>
      <w:pPr>
        <w:pStyle w:val="BodyText"/>
        <w:spacing w:line="300" w:lineRule="auto" w:before="62"/>
        <w:ind w:right="191" w:firstLine="360"/>
        <w:jc w:val="both"/>
      </w:pPr>
      <w:r>
        <w:rPr>
          <w:rFonts w:ascii="Times New Roman" w:hAnsi="Times New Roman" w:cs="Times New Roman" w:eastAsia="Times New Roman" w:hint="default"/>
          <w:spacing w:val="-2"/>
        </w:rPr>
        <w:t>2015</w:t>
      </w:r>
      <w:r>
        <w:rPr>
          <w:spacing w:val="-2"/>
        </w:rPr>
        <w:t>年是公司经营重启新一轮增长周期的关键时期，公司将努力扩大收入规模，提升细分业务领域的盈利水平。同时公</w:t>
      </w:r>
      <w:r>
        <w:rPr/>
        <w:t> 司将继续实施既定发展战略，优化产业链布局，保持对关键业务和技术的投入力度，为未来发展奠定坚实基础。</w:t>
      </w:r>
    </w:p>
    <w:p>
      <w:pPr>
        <w:pStyle w:val="BodyText"/>
        <w:spacing w:line="316" w:lineRule="auto" w:before="31"/>
        <w:ind w:right="195" w:firstLine="360"/>
        <w:jc w:val="both"/>
      </w:pPr>
      <w:r>
        <w:rPr>
          <w:spacing w:val="-2"/>
        </w:rPr>
        <w:t>（一）继续在重点发展行业巩固现有优势，加强顶层设计，以产品化和行业化思路强化行业布局；在持续跟进行业，以</w:t>
      </w:r>
      <w:r>
        <w:rPr/>
        <w:t> 持续创新的思路规划解决方案、产品和服务，逐步扩大核心业务比例。</w:t>
      </w:r>
    </w:p>
    <w:p>
      <w:pPr>
        <w:pStyle w:val="BodyText"/>
        <w:spacing w:line="300" w:lineRule="auto" w:before="18"/>
        <w:ind w:right="191" w:firstLine="360"/>
        <w:jc w:val="both"/>
      </w:pPr>
      <w:r>
        <w:rPr>
          <w:spacing w:val="-2"/>
        </w:rPr>
        <w:t>（二）公司将进一步贯彻</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的经营战略创新，继续坚持以市场为导向、以企业技术中心为核心</w:t>
      </w:r>
      <w:r>
        <w:rPr/>
        <w:t> </w:t>
      </w:r>
      <w:r>
        <w:rPr>
          <w:spacing w:val="-2"/>
        </w:rPr>
        <w:t>的自主创新体系，健全创新机制，加强人才队伍培养和引进，提升四大领域软件产品的研发和产业化速度，推动商业模式创</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86"/>
        <w:jc w:val="left"/>
      </w:pPr>
      <w:r>
        <w:rPr/>
        <w:t>新，推动逐步发展新的利润增长点。</w:t>
      </w:r>
    </w:p>
    <w:p>
      <w:pPr>
        <w:pStyle w:val="BodyText"/>
        <w:spacing w:line="300" w:lineRule="auto" w:before="76"/>
        <w:ind w:right="191" w:firstLine="360"/>
        <w:jc w:val="both"/>
      </w:pPr>
      <w:r>
        <w:rPr>
          <w:spacing w:val="-5"/>
        </w:rPr>
        <w:t>（三）公司坚持</w:t>
      </w:r>
      <w:r>
        <w:rPr>
          <w:rFonts w:ascii="Times New Roman" w:hAnsi="Times New Roman" w:cs="Times New Roman" w:eastAsia="Times New Roman" w:hint="default"/>
          <w:spacing w:val="-5"/>
        </w:rPr>
        <w:t>“</w:t>
      </w:r>
      <w:r>
        <w:rPr>
          <w:spacing w:val="-5"/>
        </w:rPr>
        <w:t>以人为本</w:t>
      </w:r>
      <w:r>
        <w:rPr>
          <w:rFonts w:ascii="Times New Roman" w:hAnsi="Times New Roman" w:cs="Times New Roman" w:eastAsia="Times New Roman" w:hint="default"/>
          <w:spacing w:val="-5"/>
        </w:rPr>
        <w:t>”</w:t>
      </w:r>
      <w:r>
        <w:rPr>
          <w:spacing w:val="-5"/>
        </w:rPr>
        <w:t>的基本管理思想，建立科学、快速的利益响应机制，稳定公司核心骨干，引进中高层次人才，</w:t>
      </w:r>
      <w:r>
        <w:rPr/>
        <w:t> 优化人才结构，建立适合公司的激励机制。</w:t>
      </w:r>
    </w:p>
    <w:p>
      <w:pPr>
        <w:pStyle w:val="BodyText"/>
        <w:spacing w:line="316" w:lineRule="auto" w:before="31"/>
        <w:ind w:right="193" w:firstLine="360"/>
        <w:jc w:val="both"/>
      </w:pPr>
      <w:r>
        <w:rPr>
          <w:spacing w:val="-2"/>
        </w:rPr>
        <w:t>（四）在技术创新方面，公司将加大在所处领域的核心产品和技术研发及产业化投入，不断增强技术实力，保持行业技</w:t>
      </w:r>
      <w:r>
        <w:rPr/>
        <w:t> 术领先水平，增强企业的核心竞争能力，为公司的成长提供产品和技术优势。</w:t>
      </w:r>
    </w:p>
    <w:p>
      <w:pPr>
        <w:pStyle w:val="BodyText"/>
        <w:spacing w:line="316" w:lineRule="auto" w:before="18"/>
        <w:ind w:right="193" w:firstLine="360"/>
        <w:jc w:val="both"/>
      </w:pPr>
      <w:r>
        <w:rPr>
          <w:spacing w:val="-2"/>
        </w:rPr>
        <w:t>（五）在市场营销与服务体系建设方面，公司已初步建立以北京为指挥中心、遍布全国的营销和服务网络体系，公司将</w:t>
      </w:r>
      <w:r>
        <w:rPr/>
        <w:t> </w:t>
      </w:r>
      <w:r>
        <w:rPr>
          <w:spacing w:val="-2"/>
        </w:rPr>
        <w:t>继续完善河南、上海、马鞍山等区域中心体系建设，增强运维服务网点营销服务能力，继续完善产品代理体系，加大品牌宣</w:t>
      </w:r>
      <w:r>
        <w:rPr>
          <w:spacing w:val="-67"/>
        </w:rPr>
        <w:t> </w:t>
      </w:r>
      <w:r>
        <w:rPr>
          <w:spacing w:val="-67"/>
        </w:rPr>
      </w:r>
      <w:r>
        <w:rPr/>
        <w:t>传力度，促进公司规模化发展。</w:t>
      </w:r>
    </w:p>
    <w:p>
      <w:pPr>
        <w:pStyle w:val="BodyText"/>
        <w:spacing w:line="312" w:lineRule="auto" w:before="18"/>
        <w:ind w:right="191" w:firstLine="360"/>
        <w:jc w:val="both"/>
      </w:pPr>
      <w:r>
        <w:rPr>
          <w:spacing w:val="-5"/>
        </w:rPr>
        <w:t>（六）</w:t>
      </w:r>
      <w:r>
        <w:rPr>
          <w:rFonts w:ascii="Times New Roman" w:hAnsi="Times New Roman" w:cs="Times New Roman" w:eastAsia="Times New Roman" w:hint="default"/>
          <w:spacing w:val="-5"/>
        </w:rPr>
        <w:t>2015</w:t>
      </w:r>
      <w:r>
        <w:rPr>
          <w:spacing w:val="-5"/>
        </w:rPr>
        <w:t>年我们将严格按照上市公司的要求，规范运作，进一步完善公司的治理结构，建立和健全投资者沟通的平台，</w:t>
      </w:r>
      <w:r>
        <w:rPr/>
        <w:t> </w:t>
      </w:r>
      <w:r>
        <w:rPr>
          <w:spacing w:val="-2"/>
        </w:rPr>
        <w:t>规范公司与投资者关系的管理工作，加强公司与投资者和潜在投资者之间的沟通，加深投资者对公司的了解和认同，促进公</w:t>
      </w:r>
      <w:r>
        <w:rPr>
          <w:spacing w:val="-63"/>
        </w:rPr>
        <w:t> </w:t>
      </w:r>
      <w:r>
        <w:rPr>
          <w:spacing w:val="-63"/>
        </w:rPr>
      </w:r>
      <w:r>
        <w:rPr>
          <w:spacing w:val="-2"/>
        </w:rPr>
        <w:t>司与投资者之间长期、稳定的良好关系，提升公司的诚信度、核心竞争能力和持续发展能力，实现公司价值最大化和股东利</w:t>
      </w:r>
      <w:r>
        <w:rPr>
          <w:spacing w:val="-65"/>
        </w:rPr>
        <w:t> </w:t>
      </w:r>
      <w:r>
        <w:rPr>
          <w:spacing w:val="-65"/>
        </w:rPr>
      </w:r>
      <w:r>
        <w:rPr/>
        <w:t>益最大化。</w:t>
      </w:r>
    </w:p>
    <w:p>
      <w:pPr>
        <w:pStyle w:val="BodyText"/>
        <w:spacing w:line="240" w:lineRule="auto" w:before="22"/>
        <w:ind w:left="512" w:right="186"/>
        <w:jc w:val="left"/>
      </w:pPr>
      <w:r>
        <w:rPr>
          <w:rFonts w:ascii="Times New Roman" w:hAnsi="Times New Roman" w:cs="Times New Roman" w:eastAsia="Times New Roman" w:hint="default"/>
        </w:rPr>
        <w:t>4</w:t>
      </w:r>
      <w:r>
        <w:rPr/>
        <w:t>、未来面对的风险及应对措施</w:t>
      </w:r>
    </w:p>
    <w:p>
      <w:pPr>
        <w:pStyle w:val="BodyText"/>
        <w:spacing w:line="316" w:lineRule="auto" w:before="62"/>
        <w:ind w:left="512" w:right="186"/>
        <w:jc w:val="left"/>
      </w:pPr>
      <w:r>
        <w:rPr/>
        <w:t>（一）人力资源管理和人力成本上升的风险 </w:t>
      </w:r>
      <w:r>
        <w:rPr>
          <w:spacing w:val="-2"/>
        </w:rPr>
        <w:t>公司规模的迅速扩张带来人才上的瓶颈，高端人才比较紧缺仍然是公司目前存在的主要困难，特别是研发人员扩张速度</w:t>
      </w:r>
    </w:p>
    <w:p>
      <w:pPr>
        <w:pStyle w:val="BodyText"/>
        <w:spacing w:line="316" w:lineRule="auto" w:before="18"/>
        <w:ind w:right="94"/>
        <w:jc w:val="left"/>
      </w:pPr>
      <w:r>
        <w:rPr/>
        <w:t>跟不上公司业务规模的扩张，导致公司潜在的新用户的需求得不到很好的满足，这可能会使公司失去一些市场机会。同时，</w:t>
      </w:r>
      <w:r>
        <w:rPr>
          <w:spacing w:val="-83"/>
        </w:rPr>
        <w:t> </w:t>
      </w:r>
      <w:r>
        <w:rPr>
          <w:spacing w:val="-83"/>
        </w:rPr>
      </w:r>
      <w:r>
        <w:rPr>
          <w:spacing w:val="-2"/>
        </w:rPr>
        <w:t>中国经济快速发展，城市生活成本的上升，尤其是北上广深等一线大中城市，中高端人才工资薪酬呈上升趋势，公司面临人</w:t>
      </w:r>
      <w:r>
        <w:rPr>
          <w:spacing w:val="-65"/>
        </w:rPr>
        <w:t> </w:t>
      </w:r>
      <w:r>
        <w:rPr>
          <w:spacing w:val="-65"/>
        </w:rPr>
      </w:r>
      <w:r>
        <w:rPr/>
        <w:t>力成本上升导致利润水平下降的风险。</w:t>
      </w:r>
    </w:p>
    <w:p>
      <w:pPr>
        <w:pStyle w:val="BodyText"/>
        <w:spacing w:line="312" w:lineRule="auto" w:before="18"/>
        <w:ind w:right="191" w:firstLine="360"/>
        <w:jc w:val="both"/>
      </w:pPr>
      <w:r>
        <w:rPr>
          <w:spacing w:val="-2"/>
        </w:rPr>
        <w:t>公司将建立多层次培训体系、薪酬体系和有效的激励措施，满足研发技术类的人才需求；开展营销服务体系的建设，构</w:t>
      </w:r>
      <w:r>
        <w:rPr/>
        <w:t> 筑全国性的销售服务体系，实现客户的本地化服务。公司还积极加强企业文化建设，把</w:t>
      </w:r>
      <w:r>
        <w:rPr>
          <w:rFonts w:ascii="Times New Roman" w:hAnsi="Times New Roman" w:cs="Times New Roman" w:eastAsia="Times New Roman" w:hint="default"/>
        </w:rPr>
        <w:t>“</w:t>
      </w:r>
      <w:r>
        <w:rPr/>
        <w:t>服务于社会以促进企业发展，贡献</w:t>
      </w:r>
      <w:r>
        <w:rPr>
          <w:spacing w:val="-76"/>
        </w:rPr>
        <w:t> </w:t>
      </w:r>
      <w:r>
        <w:rPr>
          <w:spacing w:val="-76"/>
        </w:rPr>
      </w:r>
      <w:r>
        <w:rPr/>
        <w:t>于企业以追求个人进步</w:t>
      </w:r>
      <w:r>
        <w:rPr>
          <w:rFonts w:ascii="Times New Roman" w:hAnsi="Times New Roman" w:cs="Times New Roman" w:eastAsia="Times New Roman" w:hint="default"/>
        </w:rPr>
        <w:t>”</w:t>
      </w:r>
      <w:r>
        <w:rPr/>
        <w:t>作为核心价值观，努力培育团结、创新、开拓、务实的企业文化精神，争取广大员工的认可。公司</w:t>
      </w:r>
      <w:r>
        <w:rPr>
          <w:spacing w:val="-76"/>
        </w:rPr>
        <w:t> </w:t>
      </w:r>
      <w:r>
        <w:rPr>
          <w:spacing w:val="-76"/>
        </w:rPr>
      </w:r>
      <w:r>
        <w:rPr>
          <w:spacing w:val="-2"/>
        </w:rPr>
        <w:t>将投入更多资源改善工作环境和工作条件，增强公司对高素质人才的吸引力和归属感。公司将通过动态平衡人员结构，提高</w:t>
      </w:r>
      <w:r>
        <w:rPr>
          <w:spacing w:val="-63"/>
        </w:rPr>
        <w:t> </w:t>
      </w:r>
      <w:r>
        <w:rPr>
          <w:spacing w:val="-63"/>
        </w:rPr>
      </w:r>
      <w:r>
        <w:rPr>
          <w:spacing w:val="-2"/>
        </w:rPr>
        <w:t>项目管理能力，以及积极向二三线城市布局区域研发中心，降低人员成本上升的风险。公司将在河南、上海以及马鞍山设立</w:t>
      </w:r>
      <w:r>
        <w:rPr>
          <w:spacing w:val="-65"/>
        </w:rPr>
        <w:t> </w:t>
      </w:r>
      <w:r>
        <w:rPr>
          <w:spacing w:val="-65"/>
        </w:rPr>
      </w:r>
      <w:r>
        <w:rPr/>
        <w:t>区域研发中心，未来还将根据发展需要在其他地区设立区域研发中心。</w:t>
      </w:r>
    </w:p>
    <w:p>
      <w:pPr>
        <w:pStyle w:val="BodyText"/>
        <w:spacing w:line="316" w:lineRule="auto" w:before="22"/>
        <w:ind w:left="512" w:right="186"/>
        <w:jc w:val="left"/>
      </w:pPr>
      <w:r>
        <w:rPr/>
        <w:t>（二）行业技术风险 </w:t>
      </w:r>
      <w:r>
        <w:rPr>
          <w:spacing w:val="-2"/>
        </w:rPr>
        <w:t>软件行业技术进步快、产品更新快、市场需求变化快的特点以及公司规模化扩张对公司保持持续的技术领先提出了更高</w:t>
      </w:r>
    </w:p>
    <w:p>
      <w:pPr>
        <w:pStyle w:val="BodyText"/>
        <w:spacing w:line="316" w:lineRule="auto" w:before="18"/>
        <w:ind w:left="512" w:right="94" w:hanging="360"/>
        <w:jc w:val="left"/>
      </w:pPr>
      <w:r>
        <w:rPr/>
        <w:t>的要求，如何在研发技术、研发管理方面保持有效创新，如何保证产品快速满足市场，均给公司带来较大的挑战。 公司将继续跟踪、学习和应用新的技术，准确把握国际信息技术发展趋势，继续积极开发具有自有知识产权的新产品，</w:t>
      </w:r>
    </w:p>
    <w:p>
      <w:pPr>
        <w:pStyle w:val="BodyText"/>
        <w:spacing w:line="240" w:lineRule="auto" w:before="18"/>
        <w:ind w:right="186"/>
        <w:jc w:val="left"/>
      </w:pPr>
      <w:r>
        <w:rPr/>
        <w:t>开发出功能和性能更加完善的新产品，以满足客户更加多样化、个性化的需求。</w:t>
      </w:r>
    </w:p>
    <w:p>
      <w:pPr>
        <w:pStyle w:val="BodyText"/>
        <w:spacing w:line="316" w:lineRule="auto" w:before="76"/>
        <w:ind w:left="512" w:right="186"/>
        <w:jc w:val="left"/>
      </w:pPr>
      <w:r>
        <w:rPr/>
        <w:t>（三）公司管理能力风险 </w:t>
      </w:r>
      <w:r>
        <w:rPr>
          <w:spacing w:val="-2"/>
        </w:rPr>
        <w:t>随着公司业务规模的扩大，人员的增长，对运营管控能力提出更高的要求。如果公司管理能力不能跟上规模和人员发展</w:t>
      </w:r>
    </w:p>
    <w:p>
      <w:pPr>
        <w:pStyle w:val="BodyText"/>
        <w:spacing w:line="316" w:lineRule="auto" w:before="18"/>
        <w:ind w:left="512" w:right="186" w:hanging="360"/>
        <w:jc w:val="left"/>
      </w:pPr>
      <w:r>
        <w:rPr/>
        <w:t>的要求，将会对公司业绩产生影响。 </w:t>
      </w:r>
      <w:r>
        <w:rPr>
          <w:spacing w:val="-2"/>
        </w:rPr>
        <w:t>公司将通过进一步完善法人治理结构，建立健全的内部组织结构，细化内控的具体执行办法，完成对相关人员的业务和</w:t>
      </w:r>
    </w:p>
    <w:p>
      <w:pPr>
        <w:pStyle w:val="BodyText"/>
        <w:spacing w:line="240" w:lineRule="auto" w:before="18"/>
        <w:ind w:right="186"/>
        <w:jc w:val="left"/>
      </w:pPr>
      <w:r>
        <w:rPr/>
        <w:t>风险防范培训、考核、监督与评价工作等方式从而避免在公司管理能力出现的风险，积极应对公司规模扩张带来的挑战。</w:t>
      </w:r>
    </w:p>
    <w:p>
      <w:pPr>
        <w:pStyle w:val="BodyText"/>
        <w:spacing w:line="316" w:lineRule="auto" w:before="76"/>
        <w:ind w:left="512" w:right="94"/>
        <w:jc w:val="left"/>
      </w:pPr>
      <w:r>
        <w:rPr/>
        <w:t>（四）新业务投入风险 公司依照发展战略及面临的市场形势，</w:t>
      </w:r>
      <w:r>
        <w:rPr>
          <w:rFonts w:ascii="Times New Roman" w:hAnsi="Times New Roman" w:cs="Times New Roman" w:eastAsia="Times New Roman" w:hint="default"/>
        </w:rPr>
        <w:t>2014</w:t>
      </w:r>
      <w:r>
        <w:rPr/>
        <w:t>年将继续保持新业务的投入力度。新业务的投入会相应增加公司经营成本，</w:t>
      </w:r>
    </w:p>
    <w:p>
      <w:pPr>
        <w:pStyle w:val="BodyText"/>
        <w:spacing w:line="316" w:lineRule="auto"/>
        <w:ind w:left="512" w:right="106" w:hanging="360"/>
        <w:jc w:val="left"/>
      </w:pPr>
      <w:r>
        <w:rPr/>
        <w:t>如遭遇重大市场环境变化，有可能达不到预期的投资目标。 </w:t>
      </w:r>
      <w:r>
        <w:rPr>
          <w:spacing w:val="-4"/>
        </w:rPr>
        <w:t>公司将通过跟踪新业务市场发展趋势，定期进行新业务研讨、严格审核大额新业务投入等措施提高新业务开展的预见性，</w:t>
      </w:r>
    </w:p>
    <w:p>
      <w:pPr>
        <w:pStyle w:val="BodyText"/>
        <w:spacing w:line="240" w:lineRule="auto" w:before="18"/>
        <w:ind w:right="186"/>
        <w:jc w:val="left"/>
      </w:pPr>
      <w:r>
        <w:rPr/>
        <w:t>降低由此带来的经营风险。</w:t>
      </w:r>
    </w:p>
    <w:p>
      <w:pPr>
        <w:pStyle w:val="BodyText"/>
        <w:spacing w:line="316" w:lineRule="auto" w:before="76"/>
        <w:ind w:left="512" w:right="106"/>
        <w:jc w:val="left"/>
      </w:pPr>
      <w:r>
        <w:rPr/>
        <w:t>（五）企业并购整合风险 </w:t>
      </w:r>
      <w:r>
        <w:rPr>
          <w:spacing w:val="-4"/>
        </w:rPr>
        <w:t>公司会在今后继续实施积极稳妥地产业链整合和扩张战略。在完成并购企业的过程后，随之而来会出现相应的整合风险，</w:t>
      </w:r>
    </w:p>
    <w:p>
      <w:pPr>
        <w:pStyle w:val="BodyText"/>
        <w:spacing w:line="316" w:lineRule="auto" w:before="18"/>
        <w:ind w:right="191"/>
        <w:jc w:val="both"/>
      </w:pPr>
      <w:r>
        <w:rPr>
          <w:spacing w:val="-2"/>
        </w:rPr>
        <w:t>如不能做到资源与业务的有效整合，将会为公司经营和管理带来风险。公司将通过明确并购的战略目标，细致分析相关标的</w:t>
      </w:r>
      <w:r>
        <w:rPr>
          <w:spacing w:val="-63"/>
        </w:rPr>
        <w:t> </w:t>
      </w:r>
      <w:r>
        <w:rPr>
          <w:spacing w:val="-63"/>
        </w:rPr>
      </w:r>
      <w:r>
        <w:rPr>
          <w:spacing w:val="-2"/>
        </w:rPr>
        <w:t>公司，建立科学的收购风险管理机制，及时对完成并购的企业进行有效整合，改善其经营管理，以期达到效益最大化，规避</w:t>
      </w:r>
      <w:r>
        <w:rPr>
          <w:spacing w:val="-67"/>
        </w:rPr>
        <w:t> </w:t>
      </w:r>
      <w:r>
        <w:rPr>
          <w:spacing w:val="-67"/>
        </w:rPr>
      </w:r>
      <w:r>
        <w:rPr/>
        <w:t>整合风险。</w:t>
      </w:r>
    </w:p>
    <w:p>
      <w:pPr>
        <w:spacing w:after="0" w:line="316"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791"/>
        <w:jc w:val="left"/>
      </w:pPr>
      <w:r>
        <w:rPr>
          <w:rFonts w:ascii="Times New Roman" w:hAnsi="Times New Roman" w:cs="Times New Roman" w:eastAsia="Times New Roman" w:hint="default"/>
        </w:rPr>
        <w:t>□  </w:t>
      </w:r>
      <w:r>
        <w:rPr/>
        <w:t>适用 </w:t>
      </w:r>
      <w:bookmarkStart w:name="九、董事会、监事会对会计师事务所本报告期“非标准审计报告”的说明" w:id="51"/>
      <w:bookmarkEnd w:id="51"/>
      <w:r>
        <w:rPr/>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91"/>
        <w:jc w:val="left"/>
        <w:rPr>
          <w:b w:val="0"/>
          <w:bCs w:val="0"/>
        </w:rPr>
      </w:pPr>
      <w:r>
        <w:rPr/>
        <w:t>十、与</w:t>
      </w:r>
      <w:bookmarkStart w:name="十、与上年度财务报告相比，会计政策、会计估计和核算方法发生变化的情况说明" w:id="52"/>
      <w:bookmarkEnd w:id="52"/>
      <w:r>
        <w:rPr/>
        <w:t>上年</w:t>
      </w:r>
      <w:r>
        <w:rPr/>
        <w:t>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50" w:firstLine="359"/>
        <w:jc w:val="both"/>
      </w:pPr>
      <w:r>
        <w:rPr/>
        <w:t>重要会计政策变更：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7</w:t>
      </w:r>
      <w:r>
        <w:rPr/>
        <w:t>月，财政部发布了《企业会计准则第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公允价值计量》（简称</w:t>
      </w:r>
      <w:r>
        <w:rPr>
          <w:spacing w:val="-3"/>
        </w:rPr>
        <w:t> </w:t>
      </w:r>
      <w:r>
        <w:rPr/>
        <w:t>企业会计准则</w:t>
      </w:r>
      <w:r>
        <w:rPr/>
        <w:t> 第</w:t>
      </w:r>
      <w:r>
        <w:rPr>
          <w:rFonts w:ascii="Times New Roman" w:hAnsi="Times New Roman" w:cs="Times New Roman" w:eastAsia="Times New Roman" w:hint="default"/>
        </w:rPr>
        <w:t>39</w:t>
      </w:r>
      <w:r>
        <w:rPr/>
        <w:t>号）、《企业会计准则第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合营安排》（简称 企业会计准则第</w:t>
      </w:r>
      <w:r>
        <w:rPr>
          <w:rFonts w:ascii="Times New Roman" w:hAnsi="Times New Roman" w:cs="Times New Roman" w:eastAsia="Times New Roman" w:hint="default"/>
        </w:rPr>
        <w:t>40</w:t>
      </w:r>
      <w:r>
        <w:rPr/>
        <w:t>号）和《企业会计准则第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w:t>
      </w:r>
      <w:r>
        <w:rPr>
          <w:spacing w:val="-87"/>
        </w:rPr>
        <w:t> </w:t>
      </w:r>
      <w:r>
        <w:rPr>
          <w:spacing w:val="-87"/>
        </w:rPr>
      </w:r>
      <w:r>
        <w:rPr/>
        <w:t>中权益的披露》（简称</w:t>
      </w:r>
      <w:r>
        <w:rPr>
          <w:spacing w:val="-41"/>
        </w:rPr>
        <w:t> </w:t>
      </w:r>
      <w:r>
        <w:rPr/>
        <w:t>企业会计准则第</w:t>
      </w:r>
      <w:r>
        <w:rPr>
          <w:rFonts w:ascii="Times New Roman" w:hAnsi="Times New Roman" w:cs="Times New Roman" w:eastAsia="Times New Roman" w:hint="default"/>
        </w:rPr>
        <w:t>41</w:t>
      </w:r>
      <w:r>
        <w:rPr/>
        <w:t>号），修订了《企业会计准则第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长期股权投资》（简称</w:t>
      </w:r>
      <w:r>
        <w:rPr>
          <w:spacing w:val="-41"/>
        </w:rPr>
        <w:t> </w:t>
      </w:r>
      <w:r>
        <w:rPr/>
        <w:t>企业会计准则第</w:t>
      </w:r>
      <w:r>
        <w:rPr>
          <w:rFonts w:ascii="Times New Roman" w:hAnsi="Times New Roman" w:cs="Times New Roman" w:eastAsia="Times New Roman" w:hint="default"/>
        </w:rPr>
        <w:t>2 </w:t>
      </w:r>
      <w:r>
        <w:rPr>
          <w:spacing w:val="-4"/>
        </w:rPr>
        <w:t>号）、《企业会计准则第</w:t>
      </w:r>
      <w:r>
        <w:rPr>
          <w:rFonts w:ascii="Times New Roman" w:hAnsi="Times New Roman" w:cs="Times New Roman" w:eastAsia="Times New Roman" w:hint="default"/>
          <w:spacing w:val="-4"/>
        </w:rPr>
        <w:t>9</w:t>
      </w:r>
      <w:r>
        <w:rPr>
          <w:spacing w:val="-4"/>
        </w:rPr>
        <w:t>号</w:t>
      </w:r>
      <w:r>
        <w:rPr>
          <w:rFonts w:ascii="Times New Roman" w:hAnsi="Times New Roman" w:cs="Times New Roman" w:eastAsia="Times New Roman" w:hint="default"/>
          <w:spacing w:val="-4"/>
        </w:rPr>
        <w:t>——</w:t>
      </w:r>
      <w:r>
        <w:rPr>
          <w:spacing w:val="-4"/>
        </w:rPr>
        <w:t>职工薪酬》（简称 </w:t>
      </w:r>
      <w:r>
        <w:rPr>
          <w:spacing w:val="-3"/>
        </w:rPr>
        <w:t>企业会计准则第</w:t>
      </w:r>
      <w:r>
        <w:rPr>
          <w:rFonts w:ascii="Times New Roman" w:hAnsi="Times New Roman" w:cs="Times New Roman" w:eastAsia="Times New Roman" w:hint="default"/>
          <w:spacing w:val="-3"/>
        </w:rPr>
        <w:t>9</w:t>
      </w:r>
      <w:r>
        <w:rPr>
          <w:spacing w:val="-3"/>
        </w:rPr>
        <w:t>号）、《企业会计准则第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财务报表列报》（简</w:t>
      </w:r>
      <w:r>
        <w:rPr>
          <w:spacing w:val="-76"/>
        </w:rPr>
        <w:t> </w:t>
      </w:r>
      <w:r>
        <w:rPr>
          <w:spacing w:val="-76"/>
        </w:rPr>
      </w:r>
      <w:r>
        <w:rPr/>
        <w:t>称</w:t>
      </w:r>
      <w:r>
        <w:rPr>
          <w:spacing w:val="-41"/>
        </w:rPr>
        <w:t> </w:t>
      </w:r>
      <w:r>
        <w:rPr/>
        <w:t>企业会计准则第</w:t>
      </w:r>
      <w:r>
        <w:rPr>
          <w:rFonts w:ascii="Times New Roman" w:hAnsi="Times New Roman" w:cs="Times New Roman" w:eastAsia="Times New Roman" w:hint="default"/>
        </w:rPr>
        <w:t>30</w:t>
      </w:r>
      <w:r>
        <w:rPr/>
        <w:t>号）、《企业会计准则第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合并财务报表》（简称</w:t>
      </w:r>
      <w:r>
        <w:rPr>
          <w:spacing w:val="-42"/>
        </w:rPr>
        <w:t> </w:t>
      </w:r>
      <w:r>
        <w:rPr/>
        <w:t>企业会计准则第</w:t>
      </w:r>
      <w:r>
        <w:rPr>
          <w:rFonts w:ascii="Times New Roman" w:hAnsi="Times New Roman" w:cs="Times New Roman" w:eastAsia="Times New Roman" w:hint="default"/>
        </w:rPr>
        <w:t>33</w:t>
      </w:r>
      <w:r>
        <w:rPr/>
        <w:t>号）和《企业会计准则第 </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金融工具列报》（简称 企业会计准则第</w:t>
      </w:r>
      <w:r>
        <w:rPr>
          <w:rFonts w:ascii="Times New Roman" w:hAnsi="Times New Roman" w:cs="Times New Roman" w:eastAsia="Times New Roman" w:hint="default"/>
        </w:rPr>
        <w:t>37</w:t>
      </w:r>
      <w:r>
        <w:rPr/>
        <w:t>号），除企业会计准则第</w:t>
      </w:r>
      <w:r>
        <w:rPr>
          <w:rFonts w:ascii="Times New Roman" w:hAnsi="Times New Roman" w:cs="Times New Roman" w:eastAsia="Times New Roman" w:hint="default"/>
        </w:rPr>
        <w:t>37</w:t>
      </w:r>
      <w:r>
        <w:rPr/>
        <w:t>号在</w:t>
      </w:r>
      <w:r>
        <w:rPr>
          <w:rFonts w:ascii="Times New Roman" w:hAnsi="Times New Roman" w:cs="Times New Roman" w:eastAsia="Times New Roman" w:hint="default"/>
        </w:rPr>
        <w:t>2014</w:t>
      </w:r>
      <w:r>
        <w:rPr/>
        <w:t>年年度及以后期间的财务报告中使</w:t>
      </w:r>
      <w:r>
        <w:rPr>
          <w:spacing w:val="-86"/>
        </w:rPr>
        <w:t> </w:t>
      </w:r>
      <w:r>
        <w:rPr>
          <w:spacing w:val="-86"/>
        </w:rPr>
      </w:r>
      <w:r>
        <w:rPr/>
        <w:t>用外，上述其他准则于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pStyle w:val="BodyText"/>
        <w:spacing w:line="240" w:lineRule="auto" w:before="13"/>
        <w:ind w:left="513" w:right="791"/>
        <w:jc w:val="left"/>
      </w:pPr>
      <w:r>
        <w:rPr/>
        <w:t>上述准则的变化对本报告期无影响。</w:t>
      </w:r>
    </w:p>
    <w:p>
      <w:pPr>
        <w:spacing w:line="240" w:lineRule="auto" w:before="4"/>
        <w:rPr>
          <w:rFonts w:ascii="宋体" w:hAnsi="宋体" w:cs="宋体" w:eastAsia="宋体" w:hint="default"/>
          <w:sz w:val="25"/>
          <w:szCs w:val="25"/>
        </w:rPr>
      </w:pPr>
    </w:p>
    <w:p>
      <w:pPr>
        <w:pStyle w:val="Heading2"/>
        <w:spacing w:line="240" w:lineRule="auto"/>
        <w:ind w:right="791"/>
        <w:jc w:val="left"/>
        <w:rPr>
          <w:b w:val="0"/>
          <w:bCs w:val="0"/>
        </w:rPr>
      </w:pPr>
      <w:r>
        <w:rPr/>
        <w:t>十一、报告期内发生重大会计差错更正需</w:t>
      </w:r>
      <w:bookmarkStart w:name="十一、报告期内发生重大会计差错更正需追溯重述的情况说明" w:id="53"/>
      <w:bookmarkEnd w:id="53"/>
      <w:r>
        <w:rPr/>
        <w:t>追溯</w:t>
      </w:r>
      <w:r>
        <w:rPr/>
        <w:t>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791"/>
        <w:jc w:val="left"/>
        <w:rPr>
          <w:b w:val="0"/>
          <w:bCs w:val="0"/>
        </w:rPr>
      </w:pPr>
      <w:r>
        <w:rPr/>
        <w:t>十二、与上年度财务报告相比，合并报表范围发生变化的情</w:t>
      </w:r>
      <w:bookmarkStart w:name="十二、与上年度财务报告相比，合并报表范围发生变化的情况说明" w:id="54"/>
      <w:bookmarkEnd w:id="54"/>
      <w:r>
        <w:rPr/>
        <w:t>况</w:t>
      </w:r>
      <w:r>
        <w:rPr/>
        <w:t>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985"/>
        <w:gridCol w:w="991"/>
        <w:gridCol w:w="1418"/>
        <w:gridCol w:w="1843"/>
        <w:gridCol w:w="850"/>
        <w:gridCol w:w="1560"/>
        <w:gridCol w:w="922"/>
      </w:tblGrid>
      <w:tr>
        <w:trPr>
          <w:trHeight w:val="774" w:hRule="exact"/>
        </w:trPr>
        <w:tc>
          <w:tcPr>
            <w:tcW w:w="19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57" w:lineRule="auto" w:before="55"/>
              <w:ind w:left="309" w:right="215" w:hanging="89"/>
              <w:jc w:val="left"/>
              <w:rPr>
                <w:rFonts w:ascii="宋体" w:hAnsi="宋体" w:cs="宋体" w:eastAsia="宋体" w:hint="default"/>
                <w:sz w:val="18"/>
                <w:szCs w:val="18"/>
              </w:rPr>
            </w:pPr>
            <w:r>
              <w:rPr>
                <w:rFonts w:ascii="宋体" w:hAnsi="宋体" w:cs="宋体" w:eastAsia="宋体" w:hint="default"/>
                <w:sz w:val="18"/>
                <w:szCs w:val="18"/>
              </w:rPr>
              <w:t>孙公司 类型</w:t>
            </w:r>
          </w:p>
        </w:tc>
        <w:tc>
          <w:tcPr>
            <w:tcW w:w="14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8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2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r>
      <w:tr>
        <w:trPr>
          <w:trHeight w:val="65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06" w:right="83" w:hanging="720"/>
              <w:jc w:val="left"/>
              <w:rPr>
                <w:rFonts w:ascii="宋体" w:hAnsi="宋体" w:cs="宋体" w:eastAsia="宋体" w:hint="default"/>
                <w:sz w:val="18"/>
                <w:szCs w:val="18"/>
              </w:rPr>
            </w:pPr>
            <w:r>
              <w:rPr>
                <w:rFonts w:ascii="宋体" w:hAnsi="宋体" w:cs="宋体" w:eastAsia="宋体" w:hint="default"/>
                <w:sz w:val="18"/>
                <w:szCs w:val="18"/>
              </w:rPr>
              <w:t>沈阳榕基信息技术有限 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5"/>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沈阳市东陵区创新路</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155-5</w:t>
            </w:r>
            <w:r>
              <w:rPr>
                <w:rFonts w:ascii="宋体" w:hAnsi="宋体" w:cs="宋体" w:eastAsia="宋体" w:hint="default"/>
                <w:sz w:val="18"/>
                <w:szCs w:val="18"/>
              </w:rPr>
              <w:t>号</w:t>
            </w:r>
            <w:r>
              <w:rPr>
                <w:rFonts w:ascii="Times New Roman" w:hAnsi="Times New Roman" w:cs="Times New Roman" w:eastAsia="Times New Roman" w:hint="default"/>
                <w:sz w:val="18"/>
                <w:szCs w:val="18"/>
              </w:rPr>
              <w:t>208</w:t>
            </w:r>
            <w:r>
              <w:rPr>
                <w:rFonts w:ascii="宋体" w:hAnsi="宋体" w:cs="宋体" w:eastAsia="宋体" w:hint="default"/>
                <w:sz w:val="18"/>
                <w:szCs w:val="18"/>
              </w:rPr>
              <w:t>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胡勇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32" w:right="50" w:hanging="180"/>
              <w:jc w:val="left"/>
              <w:rPr>
                <w:rFonts w:ascii="宋体" w:hAnsi="宋体" w:cs="宋体" w:eastAsia="宋体" w:hint="default"/>
                <w:sz w:val="18"/>
                <w:szCs w:val="18"/>
              </w:rPr>
            </w:pPr>
            <w:r>
              <w:rPr>
                <w:rFonts w:ascii="宋体" w:hAnsi="宋体" w:cs="宋体" w:eastAsia="宋体" w:hint="default"/>
                <w:sz w:val="18"/>
                <w:szCs w:val="18"/>
              </w:rPr>
              <w:t>技术服务，软件开 发，硬件销售</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万</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河南裕德信置业公司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5"/>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20" w:right="12" w:hanging="406"/>
              <w:jc w:val="left"/>
              <w:rPr>
                <w:rFonts w:ascii="宋体" w:hAnsi="宋体" w:cs="宋体" w:eastAsia="宋体" w:hint="default"/>
                <w:sz w:val="18"/>
                <w:szCs w:val="18"/>
              </w:rPr>
            </w:pPr>
            <w:r>
              <w:rPr>
                <w:rFonts w:ascii="宋体" w:hAnsi="宋体" w:cs="宋体" w:eastAsia="宋体" w:hint="default"/>
                <w:sz w:val="18"/>
                <w:szCs w:val="18"/>
              </w:rPr>
              <w:t>信阳市南湾湖风景区南 湖大街</w:t>
            </w:r>
            <w:r>
              <w:rPr>
                <w:rFonts w:ascii="Times New Roman" w:hAnsi="Times New Roman" w:cs="Times New Roman" w:eastAsia="Times New Roman" w:hint="default"/>
                <w:sz w:val="18"/>
                <w:szCs w:val="18"/>
              </w:rPr>
              <w:t>229</w:t>
            </w:r>
            <w:r>
              <w:rPr>
                <w:rFonts w:ascii="宋体" w:hAnsi="宋体" w:cs="宋体" w:eastAsia="宋体" w:hint="default"/>
                <w:sz w:val="18"/>
                <w:szCs w:val="18"/>
              </w:rPr>
              <w:t>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王铭</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万</w:t>
            </w:r>
          </w:p>
        </w:tc>
      </w:tr>
    </w:tbl>
    <w:p>
      <w:pPr>
        <w:pStyle w:val="BodyText"/>
        <w:spacing w:line="240" w:lineRule="auto" w:before="49"/>
        <w:ind w:right="791"/>
        <w:jc w:val="left"/>
      </w:pPr>
      <w:r>
        <w:rPr/>
        <w:pict>
          <v:shape style="position:absolute;margin-left:363.593994pt;margin-top:73.441734pt;width:47.2pt;height:94.1pt;mso-position-horizontal-relative:page;mso-position-vertical-relative:paragraph;z-index:-982672" type="#_x0000_t202" filled="false" stroked="false">
            <v:textbox inset="0,0,0,0">
              <w:txbxContent>
                <w:p>
                  <w:pPr>
                    <w:spacing w:line="240" w:lineRule="auto" w:before="5"/>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368.279999pt;margin-top:73.441734pt;width:43pt;height:94.1pt;mso-position-horizontal-relative:page;mso-position-vertical-relative:paragraph;z-index:-982648" coordorigin="7366,1469" coordsize="860,1882">
            <v:group style="position:absolute;left:7378;top:1469;width:838;height:1882" coordorigin="7378,1469" coordsize="838,1882">
              <v:shape style="position:absolute;left:7378;top:1469;width:838;height:1882" coordorigin="7378,1469" coordsize="838,1882" path="m7378,3350l8215,3350,8215,1469,7378,1469,7378,3350xe" filled="true" fillcolor="#ffffff" stroked="false">
                <v:path arrowok="t"/>
                <v:fill type="solid"/>
              </v:shape>
            </v:group>
            <v:group style="position:absolute;left:7370;top:3346;width:850;height:2" coordorigin="7370,3346" coordsize="850,2">
              <v:shape style="position:absolute;left:7370;top:3346;width:850;height:2" coordorigin="7370,3346" coordsize="850,0" path="m7370,3346l8220,3346e" filled="false" stroked="true" strokeweight=".48pt" strokecolor="#ffffff">
                <v:path arrowok="t"/>
              </v:shape>
            </v:group>
            <w10:wrap type="none"/>
          </v:group>
        </w:pict>
      </w:r>
      <w:r>
        <w:rPr/>
        <w:t>续</w:t>
      </w:r>
      <w:r>
        <w:rPr>
          <w:rFonts w:ascii="Times New Roman" w:hAnsi="Times New Roman" w:cs="Times New Roman" w:eastAsia="Times New Roman" w:hint="default"/>
        </w:rPr>
        <w:t>1</w:t>
      </w:r>
      <w:r>
        <w:rPr/>
        <w:t>：</w:t>
      </w:r>
    </w:p>
    <w:p>
      <w:pPr>
        <w:spacing w:line="240" w:lineRule="auto" w:before="7"/>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985"/>
        <w:gridCol w:w="991"/>
        <w:gridCol w:w="3262"/>
        <w:gridCol w:w="850"/>
        <w:gridCol w:w="1560"/>
        <w:gridCol w:w="922"/>
      </w:tblGrid>
      <w:tr>
        <w:trPr>
          <w:trHeight w:val="654" w:hRule="exact"/>
        </w:trPr>
        <w:tc>
          <w:tcPr>
            <w:tcW w:w="19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孙公司名称</w:t>
            </w:r>
          </w:p>
        </w:tc>
        <w:tc>
          <w:tcPr>
            <w:tcW w:w="9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4"/>
              <w:ind w:left="309" w:right="12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326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4"/>
              <w:ind w:left="1444" w:right="1440"/>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8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4"/>
              <w:ind w:left="237" w:right="2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4"/>
              <w:ind w:left="592" w:right="499"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2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4"/>
              <w:ind w:left="273" w:right="91"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229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06" w:right="83" w:hanging="720"/>
              <w:jc w:val="left"/>
              <w:rPr>
                <w:rFonts w:ascii="宋体" w:hAnsi="宋体" w:cs="宋体" w:eastAsia="宋体" w:hint="default"/>
                <w:sz w:val="18"/>
                <w:szCs w:val="18"/>
              </w:rPr>
            </w:pPr>
            <w:r>
              <w:rPr>
                <w:rFonts w:ascii="宋体" w:hAnsi="宋体" w:cs="宋体" w:eastAsia="宋体" w:hint="default"/>
                <w:sz w:val="18"/>
                <w:szCs w:val="18"/>
              </w:rPr>
              <w:t>沈阳榕基信息技术有限 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7"/>
              <w:jc w:val="right"/>
              <w:rPr>
                <w:rFonts w:ascii="Times New Roman" w:hAnsi="Times New Roman" w:cs="Times New Roman" w:eastAsia="Times New Roman" w:hint="default"/>
                <w:sz w:val="18"/>
                <w:szCs w:val="18"/>
              </w:rPr>
            </w:pPr>
            <w:r>
              <w:rPr>
                <w:rFonts w:ascii="Times New Roman"/>
                <w:spacing w:val="-1"/>
                <w:sz w:val="18"/>
              </w:rPr>
              <w:t>39924407-3</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网络信息技术服务，计算机软硬件技术开 发，技术转让及技术咨询服务，企业管理 </w:t>
            </w:r>
            <w:r>
              <w:rPr>
                <w:rFonts w:ascii="宋体" w:hAnsi="宋体" w:cs="宋体" w:eastAsia="宋体" w:hint="default"/>
                <w:spacing w:val="-5"/>
                <w:sz w:val="18"/>
                <w:szCs w:val="18"/>
              </w:rPr>
              <w:t>咨询，计算机软硬件及辅助设备批发零售</w:t>
            </w:r>
            <w:r>
              <w:rPr>
                <w:rFonts w:ascii="宋体" w:hAnsi="宋体" w:cs="宋体" w:eastAsia="宋体" w:hint="default"/>
                <w:sz w:val="18"/>
                <w:szCs w:val="18"/>
              </w:rPr>
              <w:t> 自营和代理各类商品和技术进口（国家限 定公司经营或禁止进出口的商品和技术除 外）。（依法须经批准的项目，经相关等 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9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河南裕德信置业公司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7"/>
              <w:jc w:val="right"/>
              <w:rPr>
                <w:rFonts w:ascii="Times New Roman" w:hAnsi="Times New Roman" w:cs="Times New Roman" w:eastAsia="Times New Roman" w:hint="default"/>
                <w:sz w:val="18"/>
                <w:szCs w:val="18"/>
              </w:rPr>
            </w:pPr>
            <w:r>
              <w:rPr>
                <w:rFonts w:ascii="Times New Roman"/>
                <w:spacing w:val="-1"/>
                <w:sz w:val="18"/>
              </w:rPr>
              <w:t>31731722-5</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对房地产业的投资；房地产开发、销售、 咨询；房地产中介服务；物业管理；室内</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85"/>
        <w:gridCol w:w="991"/>
        <w:gridCol w:w="3262"/>
        <w:gridCol w:w="850"/>
        <w:gridCol w:w="1560"/>
        <w:gridCol w:w="922"/>
      </w:tblGrid>
      <w:tr>
        <w:trPr>
          <w:trHeight w:val="698" w:hRule="exact"/>
        </w:trPr>
        <w:tc>
          <w:tcPr>
            <w:tcW w:w="198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24" w:right="0" w:hanging="720"/>
              <w:jc w:val="left"/>
              <w:rPr>
                <w:rFonts w:ascii="宋体" w:hAnsi="宋体" w:cs="宋体" w:eastAsia="宋体" w:hint="default"/>
                <w:sz w:val="18"/>
                <w:szCs w:val="18"/>
              </w:rPr>
            </w:pPr>
            <w:r>
              <w:rPr>
                <w:rFonts w:ascii="宋体" w:hAnsi="宋体" w:cs="宋体" w:eastAsia="宋体" w:hint="default"/>
                <w:sz w:val="18"/>
                <w:szCs w:val="18"/>
              </w:rPr>
              <w:t>外装修装饰工程；园林绿化工程；企业形 象策划；工程管理服务</w:t>
            </w:r>
          </w:p>
        </w:tc>
        <w:tc>
          <w:tcPr>
            <w:tcW w:w="85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791"/>
        <w:jc w:val="left"/>
      </w:pPr>
      <w:r>
        <w:rPr/>
        <w:t>续</w:t>
      </w:r>
      <w:r>
        <w:rPr>
          <w:rFonts w:ascii="Times New Roman" w:hAnsi="Times New Roman" w:cs="Times New Roman" w:eastAsia="Times New Roman" w:hint="default"/>
        </w:rPr>
        <w:t>2</w:t>
      </w:r>
      <w:r>
        <w:rPr/>
        <w:t>：</w:t>
      </w:r>
    </w:p>
    <w:p>
      <w:pPr>
        <w:spacing w:line="240" w:lineRule="auto" w:before="9"/>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985"/>
        <w:gridCol w:w="991"/>
        <w:gridCol w:w="3262"/>
        <w:gridCol w:w="850"/>
        <w:gridCol w:w="2482"/>
      </w:tblGrid>
      <w:tr>
        <w:trPr>
          <w:trHeight w:val="653" w:hRule="exact"/>
        </w:trPr>
        <w:tc>
          <w:tcPr>
            <w:tcW w:w="19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孙公司名称</w:t>
            </w:r>
          </w:p>
        </w:tc>
        <w:tc>
          <w:tcPr>
            <w:tcW w:w="99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3"/>
              <w:ind w:left="309" w:right="35" w:hanging="269"/>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326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3"/>
              <w:ind w:left="1533" w:right="0" w:hanging="1529"/>
              <w:jc w:val="left"/>
              <w:rPr>
                <w:rFonts w:ascii="宋体" w:hAnsi="宋体" w:cs="宋体" w:eastAsia="宋体" w:hint="default"/>
                <w:sz w:val="18"/>
                <w:szCs w:val="18"/>
              </w:rPr>
            </w:pPr>
            <w:r>
              <w:rPr>
                <w:rFonts w:ascii="宋体" w:hAnsi="宋体" w:cs="宋体" w:eastAsia="宋体" w:hint="default"/>
                <w:sz w:val="18"/>
                <w:szCs w:val="18"/>
              </w:rPr>
              <w:t>实质上构成对子公司净投资的其他项目余 额</w:t>
            </w:r>
          </w:p>
        </w:tc>
        <w:tc>
          <w:tcPr>
            <w:tcW w:w="8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3"/>
              <w:ind w:left="237" w:right="5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48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13"/>
              <w:ind w:left="604" w:right="60" w:hanging="540"/>
              <w:jc w:val="left"/>
              <w:rPr>
                <w:rFonts w:ascii="宋体" w:hAnsi="宋体" w:cs="宋体" w:eastAsia="宋体" w:hint="default"/>
                <w:sz w:val="18"/>
                <w:szCs w:val="18"/>
              </w:rPr>
            </w:pPr>
            <w:r>
              <w:rPr>
                <w:rFonts w:ascii="宋体" w:hAnsi="宋体" w:cs="宋体" w:eastAsia="宋体" w:hint="default"/>
                <w:sz w:val="18"/>
                <w:szCs w:val="18"/>
              </w:rPr>
              <w:t>少数股东权益中用于冲减少数 股东损益的金额</w:t>
            </w:r>
          </w:p>
        </w:tc>
      </w:tr>
      <w:tr>
        <w:trPr>
          <w:trHeight w:val="660"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06" w:right="83" w:hanging="720"/>
              <w:jc w:val="left"/>
              <w:rPr>
                <w:rFonts w:ascii="宋体" w:hAnsi="宋体" w:cs="宋体" w:eastAsia="宋体" w:hint="default"/>
                <w:sz w:val="18"/>
                <w:szCs w:val="18"/>
              </w:rPr>
            </w:pPr>
            <w:r>
              <w:rPr>
                <w:rFonts w:ascii="宋体" w:hAnsi="宋体" w:cs="宋体" w:eastAsia="宋体" w:hint="default"/>
                <w:sz w:val="18"/>
                <w:szCs w:val="18"/>
              </w:rPr>
              <w:t>沈阳榕基信息技术有限 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万</w:t>
            </w:r>
          </w:p>
        </w:tc>
        <w:tc>
          <w:tcPr>
            <w:tcW w:w="326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河南裕德信置业公司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w:t>
            </w:r>
          </w:p>
        </w:tc>
        <w:tc>
          <w:tcPr>
            <w:tcW w:w="326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both"/>
        <w:rPr>
          <w:b w:val="0"/>
          <w:bCs w:val="0"/>
        </w:rPr>
      </w:pPr>
      <w:r>
        <w:rPr/>
        <w:t>十三、公司利润分配及分红派</w:t>
      </w:r>
      <w:bookmarkStart w:name="十三、公司利润分配及分红派息情况" w:id="55"/>
      <w:bookmarkEnd w:id="55"/>
      <w:r>
        <w:rPr/>
        <w:t>息情况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报告期内利润分配政策的制定、执行或调整情况</w:t>
      </w:r>
    </w:p>
    <w:p>
      <w:pPr>
        <w:pStyle w:val="BodyText"/>
        <w:spacing w:line="340" w:lineRule="auto" w:before="117"/>
        <w:ind w:left="512" w:right="14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报告期内，公司实施了</w:t>
      </w:r>
      <w:r>
        <w:rPr>
          <w:rFonts w:ascii="Times New Roman" w:hAnsi="Times New Roman" w:cs="Times New Roman" w:eastAsia="Times New Roman" w:hint="default"/>
          <w:spacing w:val="-2"/>
        </w:rPr>
        <w:t>2013</w:t>
      </w:r>
      <w:r>
        <w:rPr>
          <w:spacing w:val="-2"/>
        </w:rPr>
        <w:t>年度利润分配方案，对利润分配相关政策的执行情况良好。</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日，公司</w:t>
      </w:r>
      <w:r>
        <w:rPr>
          <w:rFonts w:ascii="Times New Roman" w:hAnsi="Times New Roman" w:cs="Times New Roman" w:eastAsia="Times New Roman" w:hint="default"/>
          <w:spacing w:val="-2"/>
        </w:rPr>
        <w:t>2014</w:t>
      </w:r>
      <w:r>
        <w:rPr>
          <w:spacing w:val="-2"/>
        </w:rPr>
        <w:t>年第</w:t>
      </w:r>
    </w:p>
    <w:p>
      <w:pPr>
        <w:pStyle w:val="BodyText"/>
        <w:spacing w:line="228" w:lineRule="exact"/>
        <w:ind w:right="0"/>
        <w:jc w:val="both"/>
      </w:pPr>
      <w:r>
        <w:rPr/>
        <w:t>一次临时股东大会审议通过了《关于修订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的议案》，对《公司章程》中关于利润分配条款进行了修订，进一步</w:t>
      </w:r>
    </w:p>
    <w:p>
      <w:pPr>
        <w:pStyle w:val="BodyText"/>
        <w:spacing w:line="316" w:lineRule="auto" w:before="62"/>
        <w:ind w:right="150"/>
        <w:jc w:val="both"/>
      </w:pPr>
      <w:r>
        <w:rPr>
          <w:spacing w:val="-2"/>
        </w:rPr>
        <w:t>完善现金分红政策，重点提出差异化的现金分红政策，明确了公司在不同发展阶段的现金分红标准和分红比例，并由独立董</w:t>
      </w:r>
      <w:r>
        <w:rPr>
          <w:spacing w:val="-63"/>
        </w:rPr>
        <w:t> </w:t>
      </w:r>
      <w:r>
        <w:rPr>
          <w:spacing w:val="-63"/>
        </w:rPr>
      </w:r>
      <w:r>
        <w:rPr>
          <w:spacing w:val="-2"/>
        </w:rPr>
        <w:t>事发表了独立意见，为公司制定更为科学合理的股东回报规划提供了指导，进一步推动公司建立科学、持续、稳定的分红决</w:t>
      </w:r>
      <w:r>
        <w:rPr>
          <w:spacing w:val="-64"/>
        </w:rPr>
        <w:t> </w:t>
      </w:r>
      <w:r>
        <w:rPr>
          <w:spacing w:val="-64"/>
        </w:rPr>
      </w:r>
      <w:r>
        <w:rPr/>
        <w:t>策和监督机制。</w:t>
      </w:r>
    </w:p>
    <w:p>
      <w:pPr>
        <w:spacing w:line="240" w:lineRule="auto" w:before="1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791"/>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40" w:lineRule="auto" w:before="101"/>
        <w:ind w:left="512" w:right="14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年度权益分派方案： </w:t>
      </w:r>
      <w:r>
        <w:rPr>
          <w:spacing w:val="-2"/>
        </w:rPr>
        <w:t>以</w:t>
      </w:r>
      <w:r>
        <w:rPr>
          <w:rFonts w:ascii="Times New Roman" w:hAnsi="Times New Roman" w:cs="Times New Roman" w:eastAsia="Times New Roman" w:hint="default"/>
          <w:spacing w:val="-2"/>
        </w:rPr>
        <w:t>2012</w:t>
      </w:r>
      <w:r>
        <w:rPr>
          <w:spacing w:val="-2"/>
        </w:rPr>
        <w:t>年年末总股本</w:t>
      </w:r>
      <w:r>
        <w:rPr>
          <w:rFonts w:ascii="Times New Roman" w:hAnsi="Times New Roman" w:cs="Times New Roman" w:eastAsia="Times New Roman" w:hint="default"/>
          <w:spacing w:val="-2"/>
        </w:rPr>
        <w:t>207,400,000</w:t>
      </w:r>
      <w:r>
        <w:rPr>
          <w:spacing w:val="-2"/>
        </w:rPr>
        <w:t>股为基数，向全体股东每</w:t>
      </w:r>
      <w:r>
        <w:rPr>
          <w:rFonts w:ascii="Times New Roman" w:hAnsi="Times New Roman" w:cs="Times New Roman" w:eastAsia="Times New Roman" w:hint="default"/>
          <w:spacing w:val="-2"/>
        </w:rPr>
        <w:t>10</w:t>
      </w:r>
      <w:r>
        <w:rPr>
          <w:spacing w:val="-2"/>
        </w:rPr>
        <w:t>股派现金</w:t>
      </w:r>
      <w:r>
        <w:rPr>
          <w:rFonts w:ascii="Times New Roman" w:hAnsi="Times New Roman" w:cs="Times New Roman" w:eastAsia="Times New Roman" w:hint="default"/>
          <w:spacing w:val="-2"/>
        </w:rPr>
        <w:t>1.5</w:t>
      </w:r>
      <w:r>
        <w:rPr>
          <w:spacing w:val="-2"/>
        </w:rPr>
        <w:t>元（含税），共派发股利</w:t>
      </w:r>
      <w:r>
        <w:rPr>
          <w:rFonts w:ascii="Times New Roman" w:hAnsi="Times New Roman" w:cs="Times New Roman" w:eastAsia="Times New Roman" w:hint="default"/>
          <w:spacing w:val="-2"/>
        </w:rPr>
        <w:t>31,110,000.00</w:t>
      </w:r>
      <w:r>
        <w:rPr>
          <w:spacing w:val="-2"/>
        </w:rPr>
        <w:t>元，剩余</w:t>
      </w:r>
    </w:p>
    <w:p>
      <w:pPr>
        <w:pStyle w:val="BodyText"/>
        <w:spacing w:line="228" w:lineRule="exact"/>
        <w:ind w:right="147"/>
        <w:jc w:val="left"/>
      </w:pPr>
      <w:r>
        <w:rPr/>
        <w:t>未分配利润</w:t>
      </w:r>
      <w:r>
        <w:rPr>
          <w:rFonts w:ascii="Times New Roman" w:hAnsi="Times New Roman" w:cs="Times New Roman" w:eastAsia="Times New Roman" w:hint="default"/>
        </w:rPr>
        <w:t>220,091,798.55</w:t>
      </w:r>
      <w:r>
        <w:rPr/>
        <w:t>元结转下一年度，同时，截止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8"/>
        </w:rPr>
        <w:t> </w:t>
      </w:r>
      <w:r>
        <w:rPr/>
        <w:t>日，公司资本公积金为</w:t>
      </w:r>
      <w:r>
        <w:rPr>
          <w:rFonts w:ascii="Times New Roman" w:hAnsi="Times New Roman" w:cs="Times New Roman" w:eastAsia="Times New Roman" w:hint="default"/>
        </w:rPr>
        <w:t>778,993,237.65</w:t>
      </w:r>
      <w:r>
        <w:rPr/>
        <w:t>元，以</w:t>
      </w:r>
      <w:r>
        <w:rPr>
          <w:rFonts w:ascii="Times New Roman" w:hAnsi="Times New Roman" w:cs="Times New Roman" w:eastAsia="Times New Roman" w:hint="default"/>
        </w:rPr>
        <w:t>2012</w:t>
      </w:r>
      <w:r>
        <w:rPr/>
        <w:t>年</w:t>
      </w:r>
    </w:p>
    <w:p>
      <w:pPr>
        <w:pStyle w:val="BodyText"/>
        <w:spacing w:line="240" w:lineRule="auto" w:before="62"/>
        <w:ind w:right="791"/>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207,400,000</w:t>
      </w:r>
      <w:r>
        <w:rPr/>
        <w:t>股为基数进行资本公积转增股本，每</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股转增</w:t>
      </w:r>
      <w:r>
        <w:rPr>
          <w:rFonts w:ascii="Times New Roman" w:hAnsi="Times New Roman" w:cs="Times New Roman" w:eastAsia="Times New Roman" w:hint="default"/>
        </w:rPr>
        <w:t>5</w:t>
      </w:r>
      <w:r>
        <w:rPr/>
        <w:t>股。</w:t>
      </w:r>
    </w:p>
    <w:p>
      <w:pPr>
        <w:pStyle w:val="BodyText"/>
        <w:spacing w:line="338" w:lineRule="auto" w:before="103"/>
        <w:ind w:left="603" w:right="147" w:hanging="9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年度权益分派方案： 以</w:t>
      </w:r>
      <w:r>
        <w:rPr>
          <w:rFonts w:ascii="Times New Roman" w:hAnsi="Times New Roman" w:cs="Times New Roman" w:eastAsia="Times New Roman" w:hint="default"/>
        </w:rPr>
        <w:t>2013</w:t>
      </w:r>
      <w:r>
        <w:rPr/>
        <w:t>年年末总股本</w:t>
      </w:r>
      <w:r>
        <w:rPr>
          <w:rFonts w:ascii="Times New Roman" w:hAnsi="Times New Roman" w:cs="Times New Roman" w:eastAsia="Times New Roman" w:hint="default"/>
        </w:rPr>
        <w:t>311,100,000</w:t>
      </w:r>
      <w:r>
        <w:rPr/>
        <w:t>股为基数，向全体股东每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0.5</w:t>
      </w:r>
      <w:r>
        <w:rPr/>
        <w:t>元（含税），共派发股利</w:t>
      </w:r>
      <w:r>
        <w:rPr>
          <w:rFonts w:ascii="Times New Roman" w:hAnsi="Times New Roman" w:cs="Times New Roman" w:eastAsia="Times New Roman" w:hint="default"/>
        </w:rPr>
        <w:t>15,555,000</w:t>
      </w:r>
      <w:r>
        <w:rPr/>
        <w:t>元，剩余</w:t>
      </w:r>
    </w:p>
    <w:p>
      <w:pPr>
        <w:pStyle w:val="BodyText"/>
        <w:spacing w:line="230" w:lineRule="exact"/>
        <w:ind w:right="0"/>
        <w:jc w:val="left"/>
      </w:pPr>
      <w:r>
        <w:rPr/>
        <w:t>未分配利润</w:t>
      </w:r>
      <w:r>
        <w:rPr>
          <w:rFonts w:ascii="Times New Roman" w:hAnsi="Times New Roman" w:cs="Times New Roman" w:eastAsia="Times New Roman" w:hint="default"/>
        </w:rPr>
        <w:t>286,605,328.55</w:t>
      </w:r>
      <w:r>
        <w:rPr/>
        <w:t>元结转下一年度，同时，截止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日，公司资本公积金为</w:t>
      </w:r>
      <w:r>
        <w:rPr>
          <w:rFonts w:ascii="Times New Roman" w:hAnsi="Times New Roman" w:cs="Times New Roman" w:eastAsia="Times New Roman" w:hint="default"/>
        </w:rPr>
        <w:t>675,293,237.65</w:t>
      </w:r>
      <w:r>
        <w:rPr/>
        <w:t>元，拟以</w:t>
      </w:r>
      <w:r>
        <w:rPr>
          <w:rFonts w:ascii="Times New Roman" w:hAnsi="Times New Roman" w:cs="Times New Roman" w:eastAsia="Times New Roman" w:hint="default"/>
        </w:rPr>
        <w:t>2013</w:t>
      </w:r>
      <w:r>
        <w:rPr/>
        <w:t>年</w:t>
      </w:r>
    </w:p>
    <w:p>
      <w:pPr>
        <w:pStyle w:val="BodyText"/>
        <w:spacing w:line="240" w:lineRule="auto" w:before="62"/>
        <w:ind w:right="791"/>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311,100,000</w:t>
      </w:r>
      <w:r>
        <w:rPr/>
        <w:t>股为基数进行资本公积转增股本，每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40" w:lineRule="auto" w:before="103"/>
        <w:ind w:left="512" w:right="147"/>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年度权益分派预案： </w:t>
      </w:r>
      <w:r>
        <w:rPr>
          <w:spacing w:val="-1"/>
        </w:rPr>
        <w:t>拟以</w:t>
      </w:r>
      <w:r>
        <w:rPr>
          <w:rFonts w:ascii="Times New Roman" w:hAnsi="Times New Roman" w:cs="Times New Roman" w:eastAsia="Times New Roman" w:hint="default"/>
          <w:spacing w:val="-1"/>
        </w:rPr>
        <w:t>2014</w:t>
      </w:r>
      <w:r>
        <w:rPr>
          <w:spacing w:val="-1"/>
        </w:rPr>
        <w:t>年年末总股本</w:t>
      </w:r>
      <w:r>
        <w:rPr>
          <w:rFonts w:ascii="Times New Roman" w:hAnsi="Times New Roman" w:cs="Times New Roman" w:eastAsia="Times New Roman" w:hint="default"/>
          <w:spacing w:val="-1"/>
        </w:rPr>
        <w:t>622,200,000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0.15</w:t>
      </w:r>
      <w:r>
        <w:rPr>
          <w:spacing w:val="-1"/>
        </w:rPr>
        <w:t>元（含税），共派发股利</w:t>
      </w:r>
      <w:r>
        <w:rPr>
          <w:rFonts w:ascii="Times New Roman" w:hAnsi="Times New Roman" w:cs="Times New Roman" w:eastAsia="Times New Roman" w:hint="default"/>
          <w:spacing w:val="-1"/>
        </w:rPr>
        <w:t>9,333,000</w:t>
      </w:r>
      <w:r>
        <w:rPr>
          <w:spacing w:val="-1"/>
        </w:rPr>
        <w:t>元，剩余</w:t>
      </w:r>
    </w:p>
    <w:p>
      <w:pPr>
        <w:pStyle w:val="BodyText"/>
        <w:spacing w:line="228" w:lineRule="exact"/>
        <w:ind w:right="791"/>
        <w:jc w:val="left"/>
      </w:pPr>
      <w:r>
        <w:rPr/>
        <w:t>未分配利润</w:t>
      </w:r>
      <w:r>
        <w:rPr>
          <w:rFonts w:ascii="Times New Roman" w:hAnsi="Times New Roman" w:cs="Times New Roman" w:eastAsia="Times New Roman" w:hint="default"/>
        </w:rPr>
        <w:t>332,538,196.94</w:t>
      </w:r>
      <w:r>
        <w:rPr/>
        <w:t>元结转下一年度，</w:t>
      </w:r>
      <w:r>
        <w:rPr>
          <w:rFonts w:ascii="Times New Roman" w:hAnsi="Times New Roman" w:cs="Times New Roman" w:eastAsia="Times New Roman" w:hint="default"/>
        </w:rPr>
        <w:t>2014</w:t>
      </w:r>
      <w:r>
        <w:rPr/>
        <w:t>年度公司不进行资本公积金转增股本。</w:t>
      </w:r>
    </w:p>
    <w:p>
      <w:pPr>
        <w:spacing w:after="0" w:line="228" w:lineRule="exact"/>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十五、社会责任情况" w:id="56"/>
      <w:bookmarkEnd w:id="56"/>
      <w:r>
        <w:rPr/>
      </w:r>
      <w:r>
        <w:rPr/>
        <w:t>公司近三年现金分红情况表</w:t>
      </w:r>
    </w:p>
    <w:p>
      <w:pPr>
        <w:pStyle w:val="BodyText"/>
        <w:spacing w:line="240" w:lineRule="auto" w:before="117"/>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9,333,000.00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22,250,622.89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62,838,706.64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124,344,607.19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791"/>
        <w:jc w:val="left"/>
      </w:pPr>
      <w:r>
        <w:rPr/>
        <w:t>公司报告期内盈利且母公司未分配利润为正但未提出现金红利分配预案</w:t>
      </w:r>
    </w:p>
    <w:p>
      <w:pPr>
        <w:pStyle w:val="BodyText"/>
        <w:spacing w:line="240" w:lineRule="auto" w:before="117"/>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91"/>
        <w:jc w:val="left"/>
        <w:rPr>
          <w:b w:val="0"/>
          <w:bCs w:val="0"/>
        </w:rPr>
      </w:pPr>
      <w:r>
        <w:rPr/>
        <w:t>十四、本报告期利润分配及资本公积</w:t>
      </w:r>
      <w:bookmarkStart w:name="十四、本报告期利润分配及资本公积金转增股本预案" w:id="57"/>
      <w:bookmarkEnd w:id="57"/>
      <w:r>
        <w:rPr/>
        <w:t>金</w:t>
      </w:r>
      <w:r>
        <w:rPr/>
        <w:t>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0" w:right="160"/>
        <w:jc w:val="right"/>
      </w:pPr>
      <w:r>
        <w:rPr/>
        <w:pict>
          <v:shape style="position:absolute;margin-left:57pt;margin-top:-181.688278pt;width:478.6pt;height:217.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2"/>
                    <w:gridCol w:w="5864"/>
                  </w:tblGrid>
                  <w:tr>
                    <w:trPr>
                      <w:trHeight w:val="403" w:hRule="exact"/>
                    </w:trPr>
                    <w:tc>
                      <w:tcPr>
                        <w:tcW w:w="3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r>
                    <w:trPr>
                      <w:trHeight w:val="403" w:hRule="exact"/>
                    </w:trPr>
                    <w:tc>
                      <w:tcPr>
                        <w:tcW w:w="3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w:t>
                        </w:r>
                      </w:p>
                    </w:tc>
                  </w:tr>
                  <w:tr>
                    <w:trPr>
                      <w:trHeight w:val="401" w:hRule="exact"/>
                    </w:trPr>
                    <w:tc>
                      <w:tcPr>
                        <w:tcW w:w="3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9,333,000.00</w:t>
                        </w:r>
                        <w:r>
                          <w:rPr>
                            <w:rFonts w:ascii="Times New Roman"/>
                            <w:sz w:val="18"/>
                          </w:rPr>
                        </w:r>
                      </w:p>
                    </w:tc>
                  </w:tr>
                  <w:tr>
                    <w:trPr>
                      <w:trHeight w:val="403" w:hRule="exact"/>
                    </w:trPr>
                    <w:tc>
                      <w:tcPr>
                        <w:tcW w:w="3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341,871,196.94</w:t>
                        </w:r>
                        <w:r>
                          <w:rPr>
                            <w:rFonts w:ascii="Times New Roman"/>
                            <w:sz w:val="18"/>
                          </w:rPr>
                        </w:r>
                      </w:p>
                    </w:tc>
                  </w:tr>
                  <w:tr>
                    <w:trPr>
                      <w:trHeight w:val="401" w:hRule="exact"/>
                    </w:trPr>
                    <w:tc>
                      <w:tcPr>
                        <w:tcW w:w="3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年度权益分派预</w:t>
                        </w:r>
                        <w:r>
                          <w:rPr>
                            <w:rFonts w:ascii="宋体" w:hAnsi="宋体" w:cs="宋体" w:eastAsia="宋体" w:hint="default"/>
                            <w:spacing w:val="-3"/>
                            <w:sz w:val="18"/>
                            <w:szCs w:val="18"/>
                          </w:rPr>
                          <w:t>案</w:t>
                        </w:r>
                        <w:r>
                          <w:rPr>
                            <w:rFonts w:ascii="宋体" w:hAnsi="宋体" w:cs="宋体" w:eastAsia="宋体" w:hint="default"/>
                            <w:spacing w:val="-27"/>
                            <w:sz w:val="18"/>
                            <w:szCs w:val="18"/>
                          </w:rPr>
                          <w:t>：</w:t>
                        </w:r>
                        <w:r>
                          <w:rPr>
                            <w:rFonts w:ascii="宋体" w:hAnsi="宋体" w:cs="宋体" w:eastAsia="宋体" w:hint="default"/>
                            <w:sz w:val="18"/>
                            <w:szCs w:val="18"/>
                          </w:rPr>
                          <w:t>拟以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7"/>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共派发股利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9,333,000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332,538,196.94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元结转下一年度，</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年度公司不进行资本公积金转增股本</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791"/>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1"/>
        <w:ind w:right="2755" w:hanging="1"/>
        <w:jc w:val="left"/>
      </w:pPr>
      <w:r>
        <w:rPr/>
        <w:t>《福建榕基软件股份有限公司</w:t>
      </w:r>
      <w:r>
        <w:rPr>
          <w:rFonts w:ascii="Times New Roman" w:hAnsi="Times New Roman" w:cs="Times New Roman" w:eastAsia="Times New Roman" w:hint="default"/>
        </w:rPr>
        <w:t>2014</w:t>
      </w:r>
      <w:r>
        <w:rPr/>
        <w:t>年度社会责任报告》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日披露于巨潮资讯网。 上市公司及其子公司是否属于国家环境保护部门规定的重污染行业</w:t>
      </w:r>
    </w:p>
    <w:p>
      <w:pPr>
        <w:pStyle w:val="BodyText"/>
        <w:spacing w:line="338" w:lineRule="auto" w:before="41"/>
        <w:ind w:left="153" w:right="56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上市公司及其子公司是否存在其他重大社会安全问题</w:t>
      </w:r>
    </w:p>
    <w:p>
      <w:pPr>
        <w:pStyle w:val="BodyText"/>
        <w:spacing w:line="340" w:lineRule="auto" w:before="43"/>
        <w:ind w:left="153" w:right="779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报告期内是否被行政处罚</w:t>
      </w:r>
    </w:p>
    <w:p>
      <w:pPr>
        <w:pStyle w:val="BodyText"/>
        <w:spacing w:line="240" w:lineRule="auto" w:before="39"/>
        <w:ind w:left="153" w:right="7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r>
        <w:rPr/>
        <w:t>十</w:t>
      </w:r>
      <w:bookmarkStart w:name="十六、报告期内接待调研、沟通、采访等活动登记表" w:id="58"/>
      <w:bookmarkEnd w:id="58"/>
      <w:r>
        <w:rPr/>
        <w:t>六</w:t>
      </w:r>
      <w:r>
        <w:rPr/>
        <w:t>、报告期内接待调研、沟通、采访等活动登记表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汇丰晋信、宏源证 券、金鹰基金、国 海富兰克林基金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国金证券、华宝兴 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40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申银万国</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40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博时基金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 网上说明会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40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信达证券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国信证券、招商证 券、兴业证券、浦 银安盛、国泰君安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榕基软件会议室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华泰证券、招商证 券、中金公司、招 商证券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公司主营业务的具体情况</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620"/>
        <w:jc w:val="center"/>
        <w:rPr>
          <w:b w:val="0"/>
          <w:bCs w:val="0"/>
        </w:rPr>
      </w:pPr>
      <w:bookmarkStart w:name="四、破产重整相关事项" w:id="59"/>
      <w:bookmarkEnd w:id="59"/>
      <w:r>
        <w:rPr>
          <w:b w:val="0"/>
          <w:bCs w:val="0"/>
        </w:rPr>
      </w:r>
      <w:bookmarkStart w:name="五、资产交易事项" w:id="60"/>
      <w:bookmarkEnd w:id="60"/>
      <w:r>
        <w:rPr>
          <w:b w:val="0"/>
          <w:bCs w:val="0"/>
        </w:rPr>
      </w:r>
      <w:bookmarkStart w:name="1、收购资产情况" w:id="61"/>
      <w:bookmarkEnd w:id="61"/>
      <w:r>
        <w:rPr>
          <w:b w:val="0"/>
          <w:bCs w:val="0"/>
        </w:rPr>
      </w:r>
      <w:bookmarkStart w:name="2、出售资产情况" w:id="62"/>
      <w:bookmarkEnd w:id="62"/>
      <w:r>
        <w:rPr>
          <w:b w:val="0"/>
          <w:bCs w:val="0"/>
        </w:rPr>
      </w:r>
      <w:bookmarkStart w:name="3、企业合并情况" w:id="63"/>
      <w:bookmarkEnd w:id="63"/>
      <w:r>
        <w:rPr>
          <w:b w:val="0"/>
          <w:bCs w:val="0"/>
        </w:rPr>
      </w:r>
      <w:bookmarkStart w:name="六、公司股权激励的实施情况及其影响" w:id="64"/>
      <w:bookmarkEnd w:id="64"/>
      <w:r>
        <w:rPr>
          <w:b w:val="0"/>
          <w:bCs w:val="0"/>
        </w:rPr>
      </w:r>
      <w:bookmarkStart w:name="第五节 重要事项" w:id="65"/>
      <w:bookmarkEnd w:id="65"/>
      <w:r>
        <w:rPr>
          <w:b w:val="0"/>
          <w:bCs w:val="0"/>
        </w:rPr>
      </w:r>
      <w:bookmarkStart w:name="_bookmark4" w:id="66"/>
      <w:bookmarkEnd w:id="66"/>
      <w:r>
        <w:rPr>
          <w:b w:val="0"/>
          <w:bCs w:val="0"/>
        </w:rPr>
      </w:r>
      <w:r>
        <w:rPr/>
        <w:t>第五节</w:t>
      </w:r>
      <w:r>
        <w:rPr>
          <w:spacing w:val="-4"/>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791"/>
        <w:jc w:val="left"/>
        <w:rPr>
          <w:b w:val="0"/>
          <w:bCs w:val="0"/>
        </w:rPr>
      </w:pPr>
      <w:r>
        <w:rPr/>
        <w:t>一、重大诉讼</w:t>
      </w:r>
      <w:bookmarkStart w:name="一、重大诉讼仲裁事项" w:id="67"/>
      <w:bookmarkEnd w:id="67"/>
      <w:r>
        <w:rPr/>
        <w:t>仲</w:t>
      </w:r>
      <w:r>
        <w:rPr/>
        <w:t>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791"/>
        <w:jc w:val="left"/>
        <w:rPr>
          <w:b w:val="0"/>
          <w:bCs w:val="0"/>
        </w:rPr>
      </w:pPr>
      <w:r>
        <w:rPr/>
        <w:t>二、媒体质疑情况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本报告期公司无媒体普遍质疑事项。</w:t>
      </w:r>
    </w:p>
    <w:p>
      <w:pPr>
        <w:spacing w:line="240" w:lineRule="auto" w:before="6"/>
        <w:rPr>
          <w:rFonts w:ascii="宋体" w:hAnsi="宋体" w:cs="宋体" w:eastAsia="宋体" w:hint="default"/>
          <w:sz w:val="19"/>
          <w:szCs w:val="19"/>
        </w:rPr>
      </w:pPr>
    </w:p>
    <w:p>
      <w:pPr>
        <w:pStyle w:val="Heading2"/>
        <w:spacing w:line="240" w:lineRule="auto"/>
        <w:ind w:right="791"/>
        <w:jc w:val="left"/>
        <w:rPr>
          <w:b w:val="0"/>
          <w:bCs w:val="0"/>
        </w:rPr>
      </w:pPr>
      <w:r>
        <w:rPr/>
        <w:t>三、控股股东及其关联方</w:t>
      </w:r>
      <w:bookmarkStart w:name="二、媒体质疑情况" w:id="68"/>
      <w:bookmarkEnd w:id="68"/>
      <w:r>
        <w:rPr/>
        <w:t>对</w:t>
      </w:r>
      <w:r>
        <w:rPr/>
        <w:t>上市公司的非</w:t>
      </w:r>
      <w:bookmarkStart w:name="三、控股股东及其关联方对上市公司的非经营性占用资金情况" w:id="69"/>
      <w:bookmarkEnd w:id="69"/>
      <w:r>
        <w:rPr/>
        <w:t>经营</w:t>
      </w:r>
      <w:r>
        <w:rPr/>
        <w:t>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791"/>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791"/>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公司报告期未收购资产。</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791"/>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3、共同对外投资的关联交易" w:id="70"/>
      <w:bookmarkEnd w:id="70"/>
      <w:r>
        <w:rPr/>
      </w:r>
      <w:bookmarkStart w:name="4、关联债权债务往来" w:id="71"/>
      <w:bookmarkEnd w:id="71"/>
      <w:r>
        <w:rPr/>
      </w:r>
      <w:bookmarkStart w:name="5、其他关联交易" w:id="72"/>
      <w:bookmarkEnd w:id="72"/>
      <w:r>
        <w:rPr/>
      </w:r>
      <w:bookmarkStart w:name="八、重大合同及其履行情况" w:id="73"/>
      <w:bookmarkEnd w:id="73"/>
      <w:r>
        <w:rPr/>
      </w:r>
      <w:bookmarkStart w:name="1、托管、承包、租赁事项情况" w:id="74"/>
      <w:bookmarkEnd w:id="74"/>
      <w:r>
        <w:rPr/>
      </w:r>
      <w:bookmarkStart w:name="（1）托管情况" w:id="75"/>
      <w:bookmarkEnd w:id="75"/>
      <w:r>
        <w:rPr/>
      </w:r>
      <w:bookmarkStart w:name="（2）承包情况" w:id="76"/>
      <w:bookmarkEnd w:id="76"/>
      <w:r>
        <w:rPr/>
      </w:r>
      <w:r>
        <w:rPr/>
        <w:t>公司报告期无股权激励计划及其实施情况。</w:t>
      </w:r>
    </w:p>
    <w:p>
      <w:pPr>
        <w:spacing w:line="240" w:lineRule="auto" w:before="3"/>
        <w:rPr>
          <w:rFonts w:ascii="宋体" w:hAnsi="宋体" w:cs="宋体" w:eastAsia="宋体" w:hint="default"/>
          <w:sz w:val="25"/>
          <w:szCs w:val="25"/>
        </w:rPr>
      </w:pPr>
    </w:p>
    <w:p>
      <w:pPr>
        <w:pStyle w:val="Heading2"/>
        <w:spacing w:line="240" w:lineRule="auto"/>
        <w:ind w:right="791"/>
        <w:jc w:val="left"/>
        <w:rPr>
          <w:b w:val="0"/>
          <w:bCs w:val="0"/>
        </w:rPr>
      </w:pPr>
      <w:r>
        <w:rPr/>
        <w:t>七</w:t>
      </w:r>
      <w:bookmarkStart w:name="七、重大关联交易" w:id="77"/>
      <w:bookmarkEnd w:id="77"/>
      <w:r>
        <w:rPr/>
        <w:t>、</w:t>
      </w:r>
      <w:r>
        <w:rPr/>
        <w:t>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bookmarkStart w:name="1、与日常经营相关的关联交易" w:id="78"/>
      <w:bookmarkEnd w:id="78"/>
      <w:r>
        <w:rPr>
          <w:rFonts w:ascii="Times New Roman" w:hAnsi="Times New Roman" w:cs="Times New Roman" w:eastAsia="Times New Roman" w:hint="default"/>
        </w:rPr>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2</w:t>
      </w:r>
      <w:r>
        <w:rPr/>
        <w:t>、资产收购、出售发生的</w:t>
      </w:r>
      <w:bookmarkStart w:name="2、资产收购、出售发生的关联交易" w:id="79"/>
      <w:bookmarkEnd w:id="79"/>
      <w:r>
        <w:rPr/>
        <w:t>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公司报告期未发生资产收购、出售的关联交易。</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公司报告期无其他关联交易。</w:t>
      </w:r>
    </w:p>
    <w:p>
      <w:pPr>
        <w:spacing w:line="240" w:lineRule="auto" w:before="4"/>
        <w:rPr>
          <w:rFonts w:ascii="宋体" w:hAnsi="宋体" w:cs="宋体" w:eastAsia="宋体" w:hint="default"/>
          <w:sz w:val="19"/>
          <w:szCs w:val="19"/>
        </w:rPr>
      </w:pPr>
    </w:p>
    <w:p>
      <w:pPr>
        <w:pStyle w:val="Heading2"/>
        <w:spacing w:line="240" w:lineRule="auto"/>
        <w:ind w:right="791"/>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4、其他重大交易" w:id="80"/>
      <w:bookmarkEnd w:id="80"/>
      <w:r>
        <w:rPr>
          <w:b w:val="0"/>
          <w:bCs w:val="0"/>
        </w:rPr>
      </w:r>
      <w:r>
        <w:rPr/>
        <w:t>（</w:t>
      </w:r>
      <w:r>
        <w:rPr>
          <w:rFonts w:ascii="Times New Roman" w:hAnsi="Times New Roman" w:cs="Times New Roman" w:eastAsia="Times New Roman" w:hint="default"/>
        </w:rPr>
        <w:t>3</w:t>
      </w:r>
      <w:bookmarkStart w:name="（3）租赁情况" w:id="81"/>
      <w:bookmarkEnd w:id="81"/>
      <w:r>
        <w:rPr>
          <w:rFonts w:ascii="Times New Roman" w:hAnsi="Times New Roman" w:cs="Times New Roman" w:eastAsia="Times New Roman" w:hint="default"/>
        </w:rPr>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bookmarkStart w:name="2、担保情况" w:id="82"/>
      <w:bookmarkEnd w:id="82"/>
      <w:r>
        <w:rPr/>
        <w:t>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9"/>
        <w:gridCol w:w="797"/>
        <w:gridCol w:w="799"/>
        <w:gridCol w:w="797"/>
        <w:gridCol w:w="797"/>
        <w:gridCol w:w="797"/>
        <w:gridCol w:w="797"/>
        <w:gridCol w:w="797"/>
        <w:gridCol w:w="797"/>
        <w:gridCol w:w="797"/>
      </w:tblGrid>
      <w:tr>
        <w:trPr>
          <w:trHeight w:val="1649"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 w:right="31"/>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5" w:right="31"/>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bookmarkStart w:name="3、其他重大合同" w:id="83"/>
            <w:bookmarkEnd w:id="83"/>
            <w:r>
              <w:rPr/>
            </w:r>
            <w:r>
              <w:rPr>
                <w:rFonts w:ascii="宋体" w:hAnsi="宋体" w:cs="宋体" w:eastAsia="宋体" w:hint="default"/>
                <w:sz w:val="18"/>
                <w:szCs w:val="18"/>
              </w:rPr>
              <w:t>合同涉及 资产的评 估价值</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195"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福建榕基 软件股份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国家质量 监督检验 检疫总局 通关司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1"/>
              <w:jc w:val="left"/>
              <w:rPr>
                <w:rFonts w:ascii="宋体" w:hAnsi="宋体" w:cs="宋体" w:eastAsia="宋体" w:hint="default"/>
                <w:sz w:val="18"/>
                <w:szCs w:val="18"/>
              </w:rPr>
            </w:pPr>
            <w:r>
              <w:rPr>
                <w:rFonts w:ascii="宋体" w:hAnsi="宋体" w:cs="宋体" w:eastAsia="宋体" w:hint="default"/>
                <w:sz w:val="18"/>
                <w:szCs w:val="18"/>
              </w:rPr>
              <w:t>公开市场 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完成研 发，通过 测试。</w:t>
            </w:r>
          </w:p>
        </w:tc>
      </w:tr>
      <w:tr>
        <w:trPr>
          <w:trHeight w:val="164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3"/>
              <w:jc w:val="both"/>
              <w:rPr>
                <w:rFonts w:ascii="宋体" w:hAnsi="宋体" w:cs="宋体" w:eastAsia="宋体" w:hint="default"/>
                <w:sz w:val="18"/>
                <w:szCs w:val="18"/>
              </w:rPr>
            </w:pPr>
            <w:r>
              <w:rPr>
                <w:rFonts w:ascii="宋体" w:hAnsi="宋体" w:cs="宋体" w:eastAsia="宋体" w:hint="default"/>
                <w:sz w:val="18"/>
                <w:szCs w:val="18"/>
              </w:rPr>
              <w:t>福建榕基 软件股份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福州市</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数字福州 </w:t>
            </w:r>
            <w:r>
              <w:rPr>
                <w:rFonts w:ascii="Times New Roman" w:hAnsi="Times New Roman" w:cs="Times New Roman" w:eastAsia="Times New Roman" w:hint="default"/>
                <w:sz w:val="18"/>
                <w:szCs w:val="18"/>
              </w:rPr>
              <w:t>"</w:t>
            </w:r>
            <w:r>
              <w:rPr>
                <w:rFonts w:ascii="宋体" w:hAnsi="宋体" w:cs="宋体" w:eastAsia="宋体" w:hint="default"/>
                <w:sz w:val="18"/>
                <w:szCs w:val="18"/>
              </w:rPr>
              <w:t>建设领 导小组办 公室</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公开市场 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1,597.18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221"/>
              <w:jc w:val="left"/>
              <w:rPr>
                <w:rFonts w:ascii="宋体" w:hAnsi="宋体" w:cs="宋体" w:eastAsia="宋体" w:hint="default"/>
                <w:sz w:val="18"/>
                <w:szCs w:val="18"/>
              </w:rPr>
            </w:pPr>
            <w:r>
              <w:rPr>
                <w:rFonts w:ascii="宋体" w:hAnsi="宋体" w:cs="宋体" w:eastAsia="宋体" w:hint="default"/>
                <w:sz w:val="18"/>
                <w:szCs w:val="18"/>
              </w:rPr>
              <w:t>完成初 验。</w:t>
            </w:r>
          </w:p>
        </w:tc>
      </w:tr>
      <w:tr>
        <w:trPr>
          <w:trHeight w:val="165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3"/>
              <w:jc w:val="both"/>
              <w:rPr>
                <w:rFonts w:ascii="宋体" w:hAnsi="宋体" w:cs="宋体" w:eastAsia="宋体" w:hint="default"/>
                <w:sz w:val="18"/>
                <w:szCs w:val="18"/>
              </w:rPr>
            </w:pPr>
            <w:r>
              <w:rPr>
                <w:rFonts w:ascii="宋体" w:hAnsi="宋体" w:cs="宋体" w:eastAsia="宋体" w:hint="default"/>
                <w:sz w:val="18"/>
                <w:szCs w:val="18"/>
              </w:rPr>
              <w:t>福建榕基 软件股份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国家质量 监督检验 检疫总局 通关业务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公开市场 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1"/>
              <w:jc w:val="left"/>
              <w:rPr>
                <w:rFonts w:ascii="宋体" w:hAnsi="宋体" w:cs="宋体" w:eastAsia="宋体" w:hint="default"/>
                <w:sz w:val="18"/>
                <w:szCs w:val="18"/>
              </w:rPr>
            </w:pPr>
            <w:r>
              <w:rPr>
                <w:rFonts w:ascii="宋体" w:hAnsi="宋体" w:cs="宋体" w:eastAsia="宋体" w:hint="default"/>
                <w:sz w:val="18"/>
                <w:szCs w:val="18"/>
              </w:rPr>
              <w:t>完成研 发，通过 测试。</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福建榕基 软件股份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河南省中 小企业发 展服务中 心</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41"/>
              <w:jc w:val="left"/>
              <w:rPr>
                <w:rFonts w:ascii="宋体" w:hAnsi="宋体" w:cs="宋体" w:eastAsia="宋体" w:hint="default"/>
                <w:sz w:val="18"/>
                <w:szCs w:val="18"/>
              </w:rPr>
            </w:pPr>
            <w:r>
              <w:rPr>
                <w:rFonts w:ascii="宋体" w:hAnsi="宋体" w:cs="宋体" w:eastAsia="宋体" w:hint="default"/>
                <w:sz w:val="18"/>
                <w:szCs w:val="18"/>
              </w:rPr>
              <w:t>公开市场 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41"/>
              <w:jc w:val="left"/>
              <w:rPr>
                <w:rFonts w:ascii="宋体" w:hAnsi="宋体" w:cs="宋体" w:eastAsia="宋体" w:hint="default"/>
                <w:sz w:val="18"/>
                <w:szCs w:val="18"/>
              </w:rPr>
            </w:pPr>
            <w:r>
              <w:rPr>
                <w:rFonts w:ascii="宋体" w:hAnsi="宋体" w:cs="宋体" w:eastAsia="宋体" w:hint="default"/>
                <w:sz w:val="18"/>
                <w:szCs w:val="18"/>
              </w:rPr>
              <w:t>合同履行 中。</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公司报告期不存在其他重大交易。</w:t>
      </w:r>
    </w:p>
    <w:p>
      <w:pPr>
        <w:spacing w:after="0" w:line="338"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r>
        <w:rPr/>
        <w:t>九</w:t>
      </w:r>
      <w:bookmarkStart w:name="九、承诺事项履行情况" w:id="84"/>
      <w:bookmarkEnd w:id="84"/>
      <w:r>
        <w:rPr/>
        <w:t>、</w:t>
      </w:r>
      <w:r>
        <w:rPr/>
        <w:t>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bookmarkStart w:name="1、公司或持股5%以上股东在报告期内发生或以前期间发生但持续到报告期内的承诺事项" w:id="85"/>
      <w:bookmarkEnd w:id="85"/>
      <w:r>
        <w:rPr>
          <w:rFonts w:ascii="Times New Roman" w:hAnsi="Times New Roman" w:cs="Times New Roman" w:eastAsia="Times New Roman" w:hint="default"/>
        </w:rPr>
      </w:r>
      <w:r>
        <w:rPr/>
        <w:t>、公司或持股</w:t>
      </w:r>
      <w:r>
        <w:rPr>
          <w:spacing w:val="-56"/>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44"/>
        <w:ind w:left="0" w:right="177"/>
        <w:jc w:val="right"/>
      </w:pPr>
      <w:r>
        <w:rPr/>
        <w:pict>
          <v:shape style="position:absolute;margin-left:56.400002pt;margin-top:-280.568298pt;width:479.05pt;height:613.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852"/>
                    <w:gridCol w:w="2551"/>
                    <w:gridCol w:w="1274"/>
                    <w:gridCol w:w="994"/>
                    <w:gridCol w:w="1061"/>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3"/>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2" w:type="dxa"/>
                        <w:tcBorders>
                          <w:top w:val="single" w:sz="4" w:space="0" w:color="000000"/>
                          <w:left w:val="single" w:sz="10" w:space="0" w:color="D4D4D4"/>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852" w:type="dxa"/>
                        <w:tcBorders>
                          <w:top w:val="single" w:sz="4" w:space="0" w:color="000000"/>
                          <w:left w:val="single" w:sz="10" w:space="0" w:color="D4D4D4"/>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2" w:type="dxa"/>
                        <w:tcBorders>
                          <w:top w:val="single" w:sz="4" w:space="0" w:color="000000"/>
                          <w:left w:val="single" w:sz="10" w:space="0" w:color="D4D4D4"/>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2834" w:type="dxa"/>
                        <w:vMerge w:val="restart"/>
                        <w:tcBorders>
                          <w:top w:val="single" w:sz="4" w:space="0" w:color="000000"/>
                          <w:left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6"/>
                          <w:jc w:val="left"/>
                          <w:rPr>
                            <w:rFonts w:ascii="宋体" w:hAnsi="宋体" w:cs="宋体" w:eastAsia="宋体" w:hint="default"/>
                            <w:sz w:val="18"/>
                            <w:szCs w:val="18"/>
                          </w:rPr>
                        </w:pPr>
                        <w:r>
                          <w:rPr>
                            <w:rFonts w:ascii="宋体" w:hAnsi="宋体" w:cs="宋体" w:eastAsia="宋体" w:hint="default"/>
                            <w:sz w:val="18"/>
                            <w:szCs w:val="18"/>
                          </w:rPr>
                          <w:t>鲁峰、侯 伟</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在本公司任董事、高级管理人员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的股东鲁峰、侯伟承诺：在其任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职期间每年转让的股份不得超 过其所持有本公司股份总数的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 </w:t>
                        </w:r>
                        <w:r>
                          <w:rPr>
                            <w:rFonts w:ascii="宋体" w:hAnsi="宋体" w:cs="宋体" w:eastAsia="宋体" w:hint="default"/>
                            <w:spacing w:val="-2"/>
                            <w:sz w:val="18"/>
                            <w:szCs w:val="18"/>
                          </w:rPr>
                          <w:t>所持有的本公司股份；申报离职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个月内通过证券 交易所挂牌交易出售的发行人 股票数量占其所持有发行人股 票总数的比例不超过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55"/>
                          <w:jc w:val="both"/>
                          <w:rPr>
                            <w:rFonts w:ascii="宋体" w:hAnsi="宋体" w:cs="宋体" w:eastAsia="宋体" w:hint="default"/>
                            <w:sz w:val="18"/>
                            <w:szCs w:val="18"/>
                          </w:rPr>
                        </w:pPr>
                        <w:r>
                          <w:rPr>
                            <w:rFonts w:ascii="宋体" w:hAnsi="宋体" w:cs="宋体" w:eastAsia="宋体" w:hint="default"/>
                            <w:sz w:val="18"/>
                            <w:szCs w:val="18"/>
                          </w:rPr>
                          <w:t>在职期间以 及申报离职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p>
                      <w:p>
                        <w:pPr>
                          <w:pStyle w:val="TableParagraph"/>
                          <w:spacing w:line="248"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1339" w:hRule="exact"/>
                    </w:trPr>
                    <w:tc>
                      <w:tcPr>
                        <w:tcW w:w="2834" w:type="dxa"/>
                        <w:vMerge/>
                        <w:tcBorders>
                          <w:left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日，公司实际控</w:t>
                        </w:r>
                        <w:r>
                          <w:rPr>
                            <w:rFonts w:ascii="宋体" w:hAnsi="宋体" w:cs="宋体" w:eastAsia="宋体" w:hint="default"/>
                            <w:sz w:val="18"/>
                            <w:szCs w:val="18"/>
                          </w:rPr>
                          <w:t> </w:t>
                        </w:r>
                        <w:r>
                          <w:rPr>
                            <w:rFonts w:ascii="宋体" w:hAnsi="宋体" w:cs="宋体" w:eastAsia="宋体" w:hint="default"/>
                            <w:spacing w:val="-2"/>
                            <w:sz w:val="18"/>
                            <w:szCs w:val="18"/>
                          </w:rPr>
                          <w:t>制人鲁峰先生承诺，连续六个月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内通过证券交易系统出售的股 份低于公司股份总数的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六个月内</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27" w:hRule="exact"/>
                    </w:trPr>
                    <w:tc>
                      <w:tcPr>
                        <w:tcW w:w="2834" w:type="dxa"/>
                        <w:vMerge/>
                        <w:tcBorders>
                          <w:left w:val="single" w:sz="4" w:space="0" w:color="000000"/>
                          <w:bottom w:val="nil" w:sz="6" w:space="0" w:color="auto"/>
                          <w:right w:val="single" w:sz="4" w:space="0" w:color="000000"/>
                        </w:tcBorders>
                        <w:shd w:val="clear" w:color="auto" w:fill="D4D4D4"/>
                      </w:tcPr>
                      <w:p>
                        <w:pPr/>
                      </w:p>
                    </w:tc>
                    <w:tc>
                      <w:tcPr>
                        <w:tcW w:w="852"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16" w:right="96"/>
                          <w:jc w:val="left"/>
                          <w:rPr>
                            <w:rFonts w:ascii="宋体" w:hAnsi="宋体" w:cs="宋体" w:eastAsia="宋体" w:hint="default"/>
                            <w:sz w:val="18"/>
                            <w:szCs w:val="18"/>
                          </w:rPr>
                        </w:pPr>
                        <w:r>
                          <w:rPr>
                            <w:rFonts w:ascii="宋体" w:hAnsi="宋体" w:cs="宋体" w:eastAsia="宋体" w:hint="default"/>
                            <w:sz w:val="18"/>
                            <w:szCs w:val="18"/>
                          </w:rPr>
                          <w:t>鲁峰、侯 伟</w:t>
                        </w:r>
                      </w:p>
                    </w:tc>
                    <w:tc>
                      <w:tcPr>
                        <w:tcW w:w="2551"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为了避免将来发生同业竞争，公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司控股股东鲁峰和股东侯伟出 </w:t>
                        </w:r>
                        <w:r>
                          <w:rPr>
                            <w:rFonts w:ascii="宋体" w:hAnsi="宋体" w:cs="宋体" w:eastAsia="宋体" w:hint="default"/>
                            <w:spacing w:val="-2"/>
                            <w:sz w:val="18"/>
                            <w:szCs w:val="18"/>
                          </w:rPr>
                          <w:t>具了《放弃竞争与利益冲突承诺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函》，承诺不生产、开发任何与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股份公司及其下属子公司生产 的产品构成竞争或可能构成竞 </w:t>
                        </w:r>
                        <w:r>
                          <w:rPr>
                            <w:rFonts w:ascii="宋体" w:hAnsi="宋体" w:cs="宋体" w:eastAsia="宋体" w:hint="default"/>
                            <w:spacing w:val="-2"/>
                            <w:sz w:val="18"/>
                            <w:szCs w:val="18"/>
                          </w:rPr>
                          <w:t>争的产品，不直接或间接经营任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何与股份公司及其下属子公司 经营的业务构成竞争或可能构 </w:t>
                        </w:r>
                        <w:r>
                          <w:rPr>
                            <w:rFonts w:ascii="宋体" w:hAnsi="宋体" w:cs="宋体" w:eastAsia="宋体" w:hint="default"/>
                            <w:spacing w:val="-2"/>
                            <w:sz w:val="18"/>
                            <w:szCs w:val="18"/>
                          </w:rPr>
                          <w:t>成竞争的业务，也不参与投资任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何与股份公司及其下属子公司 生产的产品或经营的业务构成 竞争或可能构成竞争的其他企 </w:t>
                        </w:r>
                        <w:r>
                          <w:rPr>
                            <w:rFonts w:ascii="宋体" w:hAnsi="宋体" w:cs="宋体" w:eastAsia="宋体" w:hint="default"/>
                            <w:spacing w:val="-2"/>
                            <w:sz w:val="18"/>
                            <w:szCs w:val="18"/>
                          </w:rPr>
                          <w:t>业；从第三方获得的商业机会如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果属于股份公司主营业务范围 </w:t>
                        </w:r>
                        <w:r>
                          <w:rPr>
                            <w:rFonts w:ascii="宋体" w:hAnsi="宋体" w:cs="宋体" w:eastAsia="宋体" w:hint="default"/>
                            <w:spacing w:val="-2"/>
                            <w:sz w:val="18"/>
                            <w:szCs w:val="18"/>
                          </w:rPr>
                          <w:t>之内的，将尽可能地协助股份公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司取得该等商业机会。</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391" w:hRule="exact"/>
                    </w:trPr>
                    <w:tc>
                      <w:tcPr>
                        <w:tcW w:w="28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852" w:type="dxa"/>
                        <w:vMerge/>
                        <w:tcBorders>
                          <w:left w:val="single" w:sz="10" w:space="0" w:color="D4D4D4"/>
                          <w:right w:val="single" w:sz="4" w:space="0" w:color="000000"/>
                        </w:tcBorders>
                      </w:tcPr>
                      <w:p>
                        <w:pPr/>
                      </w:p>
                    </w:tc>
                    <w:tc>
                      <w:tcPr>
                        <w:tcW w:w="255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4574" w:hRule="exact"/>
                    </w:trPr>
                    <w:tc>
                      <w:tcPr>
                        <w:tcW w:w="2834" w:type="dxa"/>
                        <w:vMerge w:val="restart"/>
                        <w:tcBorders>
                          <w:top w:val="nil" w:sz="6" w:space="0" w:color="auto"/>
                          <w:left w:val="single" w:sz="4" w:space="0" w:color="000000"/>
                          <w:right w:val="single" w:sz="4" w:space="0" w:color="000000"/>
                        </w:tcBorders>
                        <w:shd w:val="clear" w:color="auto" w:fill="D4D4D4"/>
                      </w:tcPr>
                      <w:p>
                        <w:pPr/>
                      </w:p>
                    </w:tc>
                    <w:tc>
                      <w:tcPr>
                        <w:tcW w:w="852" w:type="dxa"/>
                        <w:vMerge/>
                        <w:tcBorders>
                          <w:left w:val="single" w:sz="10" w:space="0" w:color="D4D4D4"/>
                          <w:bottom w:val="single" w:sz="4" w:space="0" w:color="000000"/>
                          <w:right w:val="single" w:sz="4" w:space="0" w:color="000000"/>
                        </w:tcBorders>
                      </w:tcPr>
                      <w:p>
                        <w:pPr/>
                      </w:p>
                    </w:tc>
                    <w:tc>
                      <w:tcPr>
                        <w:tcW w:w="255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403" w:hRule="exact"/>
                    </w:trPr>
                    <w:tc>
                      <w:tcPr>
                        <w:tcW w:w="2834"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公司属于高新技术企业，行业内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5"/>
                          <w:jc w:val="right"/>
                          <w:rPr>
                            <w:rFonts w:ascii="宋体" w:hAnsi="宋体" w:cs="宋体" w:eastAsia="宋体" w:hint="default"/>
                            <w:sz w:val="18"/>
                            <w:szCs w:val="18"/>
                          </w:rPr>
                        </w:pPr>
                        <w:r>
                          <w:rPr>
                            <w:rFonts w:ascii="宋体" w:hAnsi="宋体" w:cs="宋体" w:eastAsia="宋体" w:hint="default"/>
                            <w:sz w:val="18"/>
                            <w:szCs w:val="18"/>
                          </w:rPr>
                          <w:t>在承诺期限</w:t>
                        </w: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pt;height:685.3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3"/>
                    <w:gridCol w:w="852"/>
                    <w:gridCol w:w="2551"/>
                    <w:gridCol w:w="1274"/>
                    <w:gridCol w:w="994"/>
                    <w:gridCol w:w="1061"/>
                  </w:tblGrid>
                  <w:tr>
                    <w:trPr>
                      <w:trHeight w:val="2234" w:hRule="exact"/>
                    </w:trPr>
                    <w:tc>
                      <w:tcPr>
                        <w:tcW w:w="2833" w:type="dxa"/>
                        <w:vMerge w:val="restart"/>
                        <w:tcBorders>
                          <w:top w:val="single" w:sz="4" w:space="0" w:color="000000"/>
                          <w:left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技术人员流动性较大，为了保护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公司的知识产权和保持核心人 </w:t>
                        </w:r>
                        <w:r>
                          <w:rPr>
                            <w:rFonts w:ascii="宋体" w:hAnsi="宋体" w:cs="宋体" w:eastAsia="宋体" w:hint="default"/>
                            <w:spacing w:val="-2"/>
                            <w:sz w:val="18"/>
                            <w:szCs w:val="18"/>
                          </w:rPr>
                          <w:t>员的稳定，公司已与高级管理人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员和核心技术人员签订劳动合 </w:t>
                        </w:r>
                        <w:r>
                          <w:rPr>
                            <w:rFonts w:ascii="宋体" w:hAnsi="宋体" w:cs="宋体" w:eastAsia="宋体" w:hint="default"/>
                            <w:spacing w:val="-2"/>
                            <w:sz w:val="18"/>
                            <w:szCs w:val="18"/>
                          </w:rPr>
                          <w:t>同，上述人员同时对公司出具了</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2"/>
                            <w:sz w:val="18"/>
                            <w:szCs w:val="18"/>
                          </w:rPr>
                          <w:t>《保密义务、技术成果归属承诺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2273" w:hRule="exact"/>
                    </w:trPr>
                    <w:tc>
                      <w:tcPr>
                        <w:tcW w:w="2833"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公司所有募集资金将存放于专 </w:t>
                        </w:r>
                        <w:r>
                          <w:rPr>
                            <w:rFonts w:ascii="宋体" w:hAnsi="宋体" w:cs="宋体" w:eastAsia="宋体" w:hint="default"/>
                            <w:spacing w:val="-2"/>
                            <w:sz w:val="18"/>
                            <w:szCs w:val="18"/>
                          </w:rPr>
                          <w:t>户管理，并用于公司新一代电子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政务应用平台、信息安全风险综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合管理系统、质检三电工程企业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端软件运维服务平台、协同管理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软件平台、技术研发与创新中心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等主营业务。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4147" w:hRule="exact"/>
                    </w:trPr>
                    <w:tc>
                      <w:tcPr>
                        <w:tcW w:w="28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召开会议，审议通过了《关于投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资设立河南榕基置业有限公司 </w:t>
                        </w:r>
                        <w:r>
                          <w:rPr>
                            <w:rFonts w:ascii="宋体" w:hAnsi="宋体" w:cs="宋体" w:eastAsia="宋体" w:hint="default"/>
                            <w:spacing w:val="-20"/>
                            <w:sz w:val="18"/>
                            <w:szCs w:val="18"/>
                          </w:rPr>
                          <w:t>的议案》，于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日召 </w:t>
                        </w:r>
                        <w:r>
                          <w:rPr>
                            <w:rFonts w:ascii="宋体" w:hAnsi="宋体" w:cs="宋体" w:eastAsia="宋体" w:hint="default"/>
                            <w:spacing w:val="-2"/>
                            <w:sz w:val="18"/>
                            <w:szCs w:val="18"/>
                          </w:rPr>
                          <w:t>开会议，审议通过了《关于使用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自有资金追加投资设立河南榕 </w:t>
                        </w:r>
                        <w:r>
                          <w:rPr>
                            <w:rFonts w:ascii="宋体" w:hAnsi="宋体" w:cs="宋体" w:eastAsia="宋体" w:hint="default"/>
                            <w:spacing w:val="-7"/>
                            <w:sz w:val="18"/>
                            <w:szCs w:val="18"/>
                          </w:rPr>
                          <w:t>基置业有限公司的议案》，并承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诺：在此项投资后的十二个月 </w:t>
                        </w:r>
                        <w:r>
                          <w:rPr>
                            <w:rFonts w:ascii="宋体" w:hAnsi="宋体" w:cs="宋体" w:eastAsia="宋体" w:hint="default"/>
                            <w:spacing w:val="-2"/>
                            <w:sz w:val="18"/>
                            <w:szCs w:val="18"/>
                          </w:rPr>
                          <w:t>内，公司不使用闲置募集资金暂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时补充流动资金、不将募集资金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投向变更为永久性补充流动资 </w:t>
                        </w:r>
                        <w:r>
                          <w:rPr>
                            <w:rFonts w:ascii="宋体" w:hAnsi="宋体" w:cs="宋体" w:eastAsia="宋体" w:hint="default"/>
                            <w:spacing w:val="-2"/>
                            <w:sz w:val="18"/>
                            <w:szCs w:val="18"/>
                          </w:rPr>
                          <w:t>金、也不将超募资金永久性用于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补充流动资金或归还银行贷款。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042" w:hRule="exact"/>
                    </w:trPr>
                    <w:tc>
                      <w:tcPr>
                        <w:tcW w:w="2833"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公司章程第一百六十五条规定：</w:t>
                        </w:r>
                      </w:p>
                      <w:p>
                        <w:pPr>
                          <w:pStyle w:val="TableParagraph"/>
                          <w:spacing w:line="316" w:lineRule="auto" w:before="76"/>
                          <w:ind w:left="24" w:right="-3"/>
                          <w:jc w:val="left"/>
                          <w:rPr>
                            <w:rFonts w:ascii="宋体" w:hAnsi="宋体" w:cs="宋体" w:eastAsia="宋体" w:hint="default"/>
                            <w:sz w:val="18"/>
                            <w:szCs w:val="18"/>
                          </w:rPr>
                        </w:pPr>
                        <w:r>
                          <w:rPr>
                            <w:rFonts w:ascii="宋体" w:hAnsi="宋体" w:cs="宋体" w:eastAsia="宋体" w:hint="default"/>
                            <w:spacing w:val="-2"/>
                            <w:sz w:val="18"/>
                            <w:szCs w:val="18"/>
                          </w:rPr>
                          <w:t>（一）公司董事会负责制定公司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的股利分配预案，股东大会负责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审批。在公司当年度盈利且提取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法定公积金及弥补以前年度亏 </w:t>
                        </w:r>
                        <w:r>
                          <w:rPr>
                            <w:rFonts w:ascii="宋体" w:hAnsi="宋体" w:cs="宋体" w:eastAsia="宋体" w:hint="default"/>
                            <w:spacing w:val="-2"/>
                            <w:sz w:val="18"/>
                            <w:szCs w:val="18"/>
                          </w:rPr>
                          <w:t>损后仍有剩余时，董事会应当作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出现金分红预案。公司董事会未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做出现金利润分配预案的，应当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在定期报告中披露原因，公司独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立董事应当对此发表独立意见。</w:t>
                        </w:r>
                      </w:p>
                      <w:p>
                        <w:pPr>
                          <w:pStyle w:val="TableParagraph"/>
                          <w:spacing w:line="314" w:lineRule="auto" w:before="19"/>
                          <w:ind w:left="24" w:right="19"/>
                          <w:jc w:val="left"/>
                          <w:rPr>
                            <w:rFonts w:ascii="宋体" w:hAnsi="宋体" w:cs="宋体" w:eastAsia="宋体" w:hint="default"/>
                            <w:sz w:val="18"/>
                            <w:szCs w:val="18"/>
                          </w:rPr>
                        </w:pPr>
                        <w:r>
                          <w:rPr>
                            <w:rFonts w:ascii="宋体" w:hAnsi="宋体" w:cs="宋体" w:eastAsia="宋体" w:hint="default"/>
                            <w:spacing w:val="-2"/>
                            <w:sz w:val="18"/>
                            <w:szCs w:val="18"/>
                          </w:rPr>
                          <w:t>（二）公司每年以现金方式分配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的利润应当不少于当年可分配 利润的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；公司上市后连续三</w:t>
                        </w:r>
                        <w:r>
                          <w:rPr>
                            <w:rFonts w:ascii="宋体" w:hAnsi="宋体" w:cs="宋体" w:eastAsia="宋体" w:hint="default"/>
                            <w:sz w:val="18"/>
                            <w:szCs w:val="18"/>
                          </w:rPr>
                          <w:t> 年以现金方式累计分配的利润 应不少于该连续三年实现的年 均可分配利润的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；在进行现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77"/>
        <w:jc w:val="right"/>
      </w:pP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3"/>
        <w:gridCol w:w="852"/>
        <w:gridCol w:w="2551"/>
        <w:gridCol w:w="1274"/>
        <w:gridCol w:w="994"/>
        <w:gridCol w:w="1061"/>
      </w:tblGrid>
      <w:tr>
        <w:trPr>
          <w:trHeight w:val="7226" w:hRule="exact"/>
        </w:trPr>
        <w:tc>
          <w:tcPr>
            <w:tcW w:w="2833" w:type="dxa"/>
            <w:vMerge w:val="restart"/>
            <w:tcBorders>
              <w:top w:val="single" w:sz="4" w:space="0" w:color="000000"/>
              <w:left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
              <w:jc w:val="left"/>
              <w:rPr>
                <w:rFonts w:ascii="宋体" w:hAnsi="宋体" w:cs="宋体" w:eastAsia="宋体" w:hint="default"/>
                <w:sz w:val="18"/>
                <w:szCs w:val="18"/>
              </w:rPr>
            </w:pPr>
            <w:r>
              <w:rPr>
                <w:rFonts w:ascii="宋体" w:hAnsi="宋体" w:cs="宋体" w:eastAsia="宋体" w:hint="default"/>
                <w:spacing w:val="-2"/>
                <w:sz w:val="18"/>
                <w:szCs w:val="18"/>
              </w:rPr>
              <w:t>金分配的同时，公司可以进行股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票股利的分配。（三）公司的利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润分配应重视对投资者的合理 投资回报；在有条件的情况下， </w:t>
            </w:r>
            <w:r>
              <w:rPr>
                <w:rFonts w:ascii="宋体" w:hAnsi="宋体" w:cs="宋体" w:eastAsia="宋体" w:hint="default"/>
                <w:spacing w:val="-7"/>
                <w:sz w:val="18"/>
                <w:szCs w:val="18"/>
              </w:rPr>
              <w:t>公司可以进行中期分配。（四）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存在股东违规占用公司资金情 </w:t>
            </w:r>
            <w:r>
              <w:rPr>
                <w:rFonts w:ascii="宋体" w:hAnsi="宋体" w:cs="宋体" w:eastAsia="宋体" w:hint="default"/>
                <w:spacing w:val="-2"/>
                <w:sz w:val="18"/>
                <w:szCs w:val="18"/>
              </w:rPr>
              <w:t>况的，公司应当扣减该股东所分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配的现金红利，以偿还其占用的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资金。（五）公司根据生产经营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情况、投资规划和长期发展的需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要，确需调整利润分配政策的， 调整后的利润分配政策不得违 反中国证监会和证券交易所的 </w:t>
            </w:r>
            <w:r>
              <w:rPr>
                <w:rFonts w:ascii="宋体" w:hAnsi="宋体" w:cs="宋体" w:eastAsia="宋体" w:hint="default"/>
                <w:spacing w:val="-2"/>
                <w:sz w:val="18"/>
                <w:szCs w:val="18"/>
              </w:rPr>
              <w:t>有关规定。在对有关调整利润分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配政策的议案进行表决时，由全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体独立董事同意及监事会审议 并经公司董事会审议后方可提 </w:t>
            </w:r>
            <w:r>
              <w:rPr>
                <w:rFonts w:ascii="宋体" w:hAnsi="宋体" w:cs="宋体" w:eastAsia="宋体" w:hint="default"/>
                <w:spacing w:val="-2"/>
                <w:sz w:val="18"/>
                <w:szCs w:val="18"/>
              </w:rPr>
              <w:t>交公司股东大会审议，公司控股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股东应回避表决，公司可以采取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提供网络投票等方式以方便股 </w:t>
            </w:r>
            <w:r>
              <w:rPr>
                <w:rFonts w:ascii="宋体" w:hAnsi="宋体" w:cs="宋体" w:eastAsia="宋体" w:hint="default"/>
                <w:spacing w:val="-7"/>
                <w:sz w:val="18"/>
                <w:szCs w:val="18"/>
              </w:rPr>
              <w:t>东参与股东大会表决。（六）公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司应以每三年为一个周期，制订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周期内股东分红回报规划。</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2833" w:type="dxa"/>
            <w:vMerge/>
            <w:tcBorders>
              <w:left w:val="single" w:sz="4" w:space="0" w:color="000000"/>
              <w:bottom w:val="single" w:sz="4" w:space="0" w:color="000000"/>
              <w:right w:val="single" w:sz="4" w:space="0" w:color="000000"/>
            </w:tcBorders>
            <w:shd w:val="clear" w:color="auto" w:fill="D4D4D4"/>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召开会议，审议通过了《关于签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订</w:t>
            </w:r>
            <w:r>
              <w:rPr>
                <w:rFonts w:ascii="Times New Roman" w:hAnsi="Times New Roman" w:cs="Times New Roman" w:eastAsia="Times New Roman" w:hint="default"/>
                <w:sz w:val="18"/>
                <w:szCs w:val="18"/>
              </w:rPr>
              <w:t>&lt;</w:t>
            </w:r>
            <w:r>
              <w:rPr>
                <w:rFonts w:ascii="宋体" w:hAnsi="宋体" w:cs="宋体" w:eastAsia="宋体" w:hint="default"/>
                <w:sz w:val="18"/>
                <w:szCs w:val="18"/>
              </w:rPr>
              <w:t>信阳榕基软件园项目投资合 </w:t>
            </w:r>
            <w:r>
              <w:rPr>
                <w:rFonts w:ascii="宋体" w:hAnsi="宋体" w:cs="宋体" w:eastAsia="宋体" w:hint="default"/>
                <w:spacing w:val="-9"/>
                <w:sz w:val="18"/>
                <w:szCs w:val="18"/>
              </w:rPr>
              <w:t>同书</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的议案》，并承诺：在本次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使用自有资金投资后十二个月 内不使用闲置募集资金暂时补 </w:t>
            </w:r>
            <w:r>
              <w:rPr>
                <w:rFonts w:ascii="宋体" w:hAnsi="宋体" w:cs="宋体" w:eastAsia="宋体" w:hint="default"/>
                <w:spacing w:val="-2"/>
                <w:sz w:val="18"/>
                <w:szCs w:val="18"/>
              </w:rPr>
              <w:t>充流动资金、将募集资金投向变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更为永久性补充流动资金、将超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募资金永久性用于补充流动资 金或者归还银行贷款。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403" w:hRule="exact"/>
        </w:trPr>
        <w:tc>
          <w:tcPr>
            <w:tcW w:w="28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7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3"/>
        <w:spacing w:line="259" w:lineRule="auto" w:before="36"/>
        <w:ind w:right="147"/>
        <w:jc w:val="left"/>
        <w:rPr>
          <w:b w:val="0"/>
          <w:bCs w:val="0"/>
        </w:rPr>
      </w:pPr>
      <w:bookmarkStart w:name="2、公司资产或项目存在盈利预测，且报告期仍处在盈利预测期间，公司就资产或项目达到" w:id="86"/>
      <w:bookmarkEnd w:id="86"/>
      <w:r>
        <w:rPr>
          <w:b w:val="0"/>
          <w:bCs w:val="0"/>
        </w:rPr>
      </w:r>
      <w:bookmarkStart w:name="十、聘任、解聘会计师事务所情况" w:id="87"/>
      <w:bookmarkEnd w:id="8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791"/>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t>现聘任的会计师事务所</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吴乐霖、曾徽</w:t>
            </w:r>
          </w:p>
        </w:tc>
      </w:tr>
    </w:tbl>
    <w:p>
      <w:pPr>
        <w:pStyle w:val="BodyText"/>
        <w:spacing w:line="240" w:lineRule="auto" w:before="49"/>
        <w:ind w:right="791"/>
        <w:jc w:val="left"/>
      </w:pPr>
      <w:bookmarkStart w:name="十五、公司子公司重要事项" w:id="88"/>
      <w:bookmarkEnd w:id="88"/>
      <w:r>
        <w:rPr/>
      </w:r>
      <w:r>
        <w:rPr/>
        <w:t>当期是否改聘会计师事务所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7"/>
        <w:jc w:val="left"/>
        <w:rPr>
          <w:b w:val="0"/>
          <w:bCs w:val="0"/>
        </w:rPr>
      </w:pPr>
      <w:r>
        <w:rPr/>
        <w:t>十一、监事会、独立董事（如</w:t>
      </w:r>
      <w:bookmarkStart w:name="十一、监事会、独立董事（如适用）对会计师事务所本报告期“非标准审计报告”的说明" w:id="89"/>
      <w:bookmarkEnd w:id="89"/>
      <w:r>
        <w:rPr/>
        <w:t>适用</w:t>
      </w:r>
      <w:r>
        <w:rPr/>
        <w:t>）对会计师事务所本报告期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791"/>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791"/>
        <w:jc w:val="left"/>
        <w:rPr>
          <w:b w:val="0"/>
          <w:bCs w:val="0"/>
        </w:rPr>
      </w:pPr>
      <w:r>
        <w:rPr/>
        <w:t>十三、年度报告披露后面临暂停上市和终</w:t>
      </w:r>
      <w:bookmarkStart w:name="十二、处罚及整改情况" w:id="90"/>
      <w:bookmarkEnd w:id="90"/>
      <w:r>
        <w:rPr/>
        <w:t>止上</w:t>
      </w:r>
      <w:r>
        <w:rPr/>
        <w:t>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791"/>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公司控股股东、实际控制人鲁峰先生分别于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bookmarkStart w:name="十三、年度报告披露后面临暂停上市和终止上市情况" w:id="91"/>
      <w:bookmarkEnd w:id="91"/>
      <w:r>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bookmarkStart w:name="十四、其他重大事项的说明" w:id="92"/>
      <w:bookmarkEnd w:id="92"/>
      <w:r>
        <w:rPr>
          <w:rFonts w:ascii="Times New Roman" w:hAnsi="Times New Roman" w:cs="Times New Roman" w:eastAsia="Times New Roman" w:hint="default"/>
        </w:rPr>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 </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日通过深圳证券交易所大宗交易系统减持公司股份共计</w:t>
      </w:r>
      <w:r>
        <w:rPr>
          <w:rFonts w:ascii="Times New Roman" w:hAnsi="Times New Roman" w:cs="Times New Roman" w:eastAsia="Times New Roman" w:hint="default"/>
        </w:rPr>
        <w:t>3,500</w:t>
      </w:r>
      <w:r>
        <w:rPr/>
        <w:t>万股，</w:t>
      </w:r>
    </w:p>
    <w:p>
      <w:pPr>
        <w:pStyle w:val="BodyText"/>
        <w:spacing w:line="300" w:lineRule="auto"/>
        <w:ind w:right="191"/>
        <w:jc w:val="left"/>
      </w:pPr>
      <w:r>
        <w:rPr/>
        <w:t>占公司总股本的</w:t>
      </w:r>
      <w:r>
        <w:rPr>
          <w:rFonts w:ascii="Times New Roman" w:hAnsi="Times New Roman" w:cs="Times New Roman" w:eastAsia="Times New Roman" w:hint="default"/>
        </w:rPr>
        <w:t>5.625%</w:t>
      </w:r>
      <w:r>
        <w:rPr/>
        <w:t>。本次减持后，鲁峰先生拥有公司</w:t>
      </w:r>
      <w:r>
        <w:rPr>
          <w:rFonts w:ascii="Times New Roman" w:hAnsi="Times New Roman" w:cs="Times New Roman" w:eastAsia="Times New Roman" w:hint="default"/>
        </w:rPr>
        <w:t>143,655,740</w:t>
      </w:r>
      <w:r>
        <w:rPr/>
        <w:t>股，占公司总股本的</w:t>
      </w:r>
      <w:r>
        <w:rPr>
          <w:rFonts w:ascii="Times New Roman" w:hAnsi="Times New Roman" w:cs="Times New Roman" w:eastAsia="Times New Roman" w:hint="default"/>
        </w:rPr>
        <w:t>23.09%</w:t>
      </w:r>
      <w:r>
        <w:rPr/>
        <w:t>，仍为控股股东及实际控 制人。公司控股股东、实际控制人鲁峰先生承诺连续六个月内通过证券交易系统出售的股份低于公司股份总数的</w:t>
      </w:r>
      <w:r>
        <w:rPr>
          <w:rFonts w:ascii="Times New Roman" w:hAnsi="Times New Roman" w:cs="Times New Roman" w:eastAsia="Times New Roman" w:hint="default"/>
        </w:rPr>
        <w:t>5%</w:t>
      </w:r>
      <w:r>
        <w:rPr/>
        <w:t>。相关 公告《关于控股股东减持公司股份及高管股份变动的公告》（公告编号：</w:t>
      </w:r>
      <w:r>
        <w:rPr>
          <w:rFonts w:ascii="Times New Roman" w:hAnsi="Times New Roman" w:cs="Times New Roman" w:eastAsia="Times New Roman" w:hint="default"/>
        </w:rPr>
        <w:t>2014-069</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日披露于巨潮资讯网 </w:t>
      </w:r>
      <w:hyperlink r:id="rId17">
        <w:r>
          <w:rPr>
            <w:rFonts w:ascii="Times New Roman" w:hAnsi="Times New Roman" w:cs="Times New Roman" w:eastAsia="Times New Roman" w:hint="default"/>
          </w:rPr>
          <w:t>http://www.cninfo.com.cn/finalpage/2014-09-30/1200275355.PDF</w:t>
        </w:r>
      </w:hyperlink>
      <w:r>
        <w:rPr/>
        <w:t>。</w:t>
      </w:r>
    </w:p>
    <w:p>
      <w:pPr>
        <w:spacing w:line="240" w:lineRule="auto" w:before="5"/>
        <w:rPr>
          <w:rFonts w:ascii="宋体" w:hAnsi="宋体" w:cs="宋体" w:eastAsia="宋体" w:hint="default"/>
          <w:sz w:val="20"/>
          <w:szCs w:val="20"/>
        </w:rPr>
      </w:pPr>
    </w:p>
    <w:p>
      <w:pPr>
        <w:pStyle w:val="Heading2"/>
        <w:spacing w:line="240" w:lineRule="auto"/>
        <w:ind w:right="791"/>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53" w:firstLine="36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日，公司与马鞍山市秀山新区建设管委会就积极推进马鞍山市软件及服务外包产业的合作意向签订了《</w:t>
      </w:r>
      <w:r>
        <w:rPr>
          <w:rFonts w:ascii="Times New Roman" w:hAnsi="Times New Roman" w:cs="Times New Roman" w:eastAsia="Times New Roman" w:hint="default"/>
          <w:spacing w:val="-2"/>
        </w:rPr>
        <w:t>“</w:t>
      </w:r>
      <w:r>
        <w:rPr>
          <w:spacing w:val="-2"/>
        </w:rPr>
        <w:t>榕</w:t>
      </w:r>
      <w:r>
        <w:rPr/>
        <w:t> 基</w:t>
      </w:r>
      <w:r>
        <w:rPr>
          <w:rFonts w:ascii="Times New Roman" w:hAnsi="Times New Roman" w:cs="Times New Roman" w:eastAsia="Times New Roman" w:hint="default"/>
        </w:rPr>
        <w:t>-</w:t>
      </w:r>
      <w:r>
        <w:rPr/>
        <w:t>马鞍山软件园</w:t>
      </w:r>
      <w:r>
        <w:rPr>
          <w:rFonts w:ascii="Times New Roman" w:hAnsi="Times New Roman" w:cs="Times New Roman" w:eastAsia="Times New Roman" w:hint="default"/>
        </w:rPr>
        <w:t>”</w:t>
      </w:r>
      <w:r>
        <w:rPr/>
        <w:t>合作项目投资合同》，地方政府为公司选址建设</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w:t>
      </w:r>
      <w:r>
        <w:rPr/>
        <w:t>马鞍山软件园</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日，公司用自有资金 </w:t>
      </w:r>
      <w:r>
        <w:rPr>
          <w:spacing w:val="-1"/>
        </w:rPr>
        <w:t>投资设立马鞍山榕基软件信息科技有限公司（注册资本</w:t>
      </w:r>
      <w:r>
        <w:rPr>
          <w:rFonts w:ascii="Times New Roman" w:hAnsi="Times New Roman" w:cs="Times New Roman" w:eastAsia="Times New Roman" w:hint="default"/>
          <w:spacing w:val="-1"/>
        </w:rPr>
        <w:t>5,000</w:t>
      </w:r>
      <w:r>
        <w:rPr>
          <w:spacing w:val="-1"/>
        </w:rPr>
        <w:t>万，以下简称</w:t>
      </w:r>
      <w:r>
        <w:rPr>
          <w:rFonts w:ascii="Times New Roman" w:hAnsi="Times New Roman" w:cs="Times New Roman" w:eastAsia="Times New Roman" w:hint="default"/>
          <w:spacing w:val="-1"/>
        </w:rPr>
        <w:t>“</w:t>
      </w:r>
      <w:r>
        <w:rPr>
          <w:spacing w:val="-1"/>
        </w:rPr>
        <w:t>马鞍山榕基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日马鞍山市国土资</w:t>
      </w:r>
      <w:r>
        <w:rPr>
          <w:spacing w:val="-53"/>
        </w:rPr>
        <w:t> </w:t>
      </w:r>
      <w:r>
        <w:rPr>
          <w:spacing w:val="-53"/>
        </w:rPr>
      </w:r>
      <w:r>
        <w:rPr/>
        <w:t>源局公布《国有建设用地使用权挂牌出让公告》（马国土出让告字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26</w:t>
      </w:r>
      <w:r>
        <w:rPr/>
        <w:t>号），公司于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日召开董事会审议 </w:t>
      </w:r>
      <w:r>
        <w:rPr>
          <w:spacing w:val="-3"/>
        </w:rPr>
        <w:t>通过《关于马鞍山子公司拟购买土地使用权的议案》，马鞍山榕基拟以自筹资金不超过</w:t>
      </w:r>
      <w:r>
        <w:rPr>
          <w:rFonts w:ascii="Times New Roman" w:hAnsi="Times New Roman" w:cs="Times New Roman" w:eastAsia="Times New Roman" w:hint="default"/>
          <w:spacing w:val="-3"/>
        </w:rPr>
        <w:t>2,500</w:t>
      </w:r>
      <w:r>
        <w:rPr>
          <w:spacing w:val="-3"/>
        </w:rPr>
        <w:t>万人民币支付项目建设保证金，</w:t>
      </w:r>
      <w:r>
        <w:rPr>
          <w:spacing w:val="-51"/>
        </w:rPr>
        <w:t> </w:t>
      </w:r>
      <w:r>
        <w:rPr/>
        <w:t>授权马鞍山榕基经理层办理土地竞拍及转让手续，马鞍山榕基于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日收到马鞍山市国土资源局下发的《成交确认 </w:t>
      </w:r>
      <w:r>
        <w:rPr>
          <w:spacing w:val="-1"/>
        </w:rPr>
        <w:t>书》，公司以总价为人民币</w:t>
      </w:r>
      <w:r>
        <w:rPr>
          <w:rFonts w:ascii="Times New Roman" w:hAnsi="Times New Roman" w:cs="Times New Roman" w:eastAsia="Times New Roman" w:hint="default"/>
          <w:spacing w:val="-1"/>
        </w:rPr>
        <w:t>2,500</w:t>
      </w:r>
      <w:r>
        <w:rPr>
          <w:spacing w:val="-1"/>
        </w:rPr>
        <w:t>万元竞得编号为马土让</w:t>
      </w:r>
      <w:r>
        <w:rPr>
          <w:rFonts w:ascii="Times New Roman" w:hAnsi="Times New Roman" w:cs="Times New Roman" w:eastAsia="Times New Roman" w:hint="default"/>
          <w:spacing w:val="-1"/>
        </w:rPr>
        <w:t>2011-26</w:t>
      </w:r>
      <w:r>
        <w:rPr>
          <w:spacing w:val="-1"/>
        </w:rPr>
        <w:t>号地块的国有土地使用权</w:t>
      </w:r>
      <w:r>
        <w:rPr>
          <w:rFonts w:ascii="Times New Roman" w:hAnsi="Times New Roman" w:cs="Times New Roman" w:eastAsia="Times New Roman" w:hint="default"/>
          <w:spacing w:val="-1"/>
        </w:rPr>
        <w:t>,</w:t>
      </w:r>
      <w:r>
        <w:rPr>
          <w:spacing w:val="-1"/>
        </w:rPr>
        <w:t>使用权面积</w:t>
      </w:r>
      <w:r>
        <w:rPr>
          <w:rFonts w:ascii="Times New Roman" w:hAnsi="Times New Roman" w:cs="Times New Roman" w:eastAsia="Times New Roman" w:hint="default"/>
          <w:spacing w:val="-1"/>
        </w:rPr>
        <w:t>62585.09</w:t>
      </w:r>
      <w:r>
        <w:rPr>
          <w:spacing w:val="-1"/>
        </w:rPr>
        <w:t>平方米。</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日，马鞍山榕基与马鞍山市国土资源局签订《国有建设用地使用权出让合同》。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日马鞍山榕基取得马</w:t>
      </w:r>
    </w:p>
    <w:p>
      <w:pPr>
        <w:spacing w:after="0" w:line="300" w:lineRule="auto"/>
        <w:jc w:val="left"/>
        <w:sectPr>
          <w:footerReference w:type="default" r:id="rId16"/>
          <w:pgSz w:w="11910" w:h="16840"/>
          <w:pgMar w:footer="982" w:header="745" w:top="1060" w:bottom="1180" w:left="980" w:right="980"/>
          <w:pgNumType w:start="48"/>
        </w:sectPr>
      </w:pPr>
    </w:p>
    <w:p>
      <w:pPr>
        <w:spacing w:line="240" w:lineRule="auto" w:before="9"/>
        <w:rPr>
          <w:rFonts w:ascii="宋体" w:hAnsi="宋体" w:cs="宋体" w:eastAsia="宋体" w:hint="default"/>
          <w:sz w:val="25"/>
          <w:szCs w:val="25"/>
        </w:rPr>
      </w:pPr>
    </w:p>
    <w:p>
      <w:pPr>
        <w:pStyle w:val="BodyText"/>
        <w:spacing w:line="300" w:lineRule="auto" w:before="44"/>
        <w:ind w:right="106" w:hanging="1"/>
        <w:jc w:val="both"/>
      </w:pPr>
      <w:r>
        <w:rPr/>
        <w:t>鞍山市人民政府下发的《中华人民共和国国有土地使用证》（马国有</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84065</w:t>
      </w:r>
      <w:r>
        <w:rPr/>
        <w:t>号）。</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月，应当地政府及项目建 </w:t>
      </w:r>
      <w:r>
        <w:rPr>
          <w:spacing w:val="-3"/>
        </w:rPr>
        <w:t>设要求，马鞍山榕基全资设立了马鞍山榕基置业投资有限公司（注册资本</w:t>
      </w:r>
      <w:r>
        <w:rPr>
          <w:rFonts w:ascii="Times New Roman" w:hAnsi="Times New Roman" w:cs="Times New Roman" w:eastAsia="Times New Roman" w:hint="default"/>
          <w:spacing w:val="-3"/>
        </w:rPr>
        <w:t>800</w:t>
      </w:r>
      <w:r>
        <w:rPr>
          <w:spacing w:val="-3"/>
        </w:rPr>
        <w:t>万元）负责建设</w:t>
      </w:r>
      <w:r>
        <w:rPr>
          <w:rFonts w:ascii="Times New Roman" w:hAnsi="Times New Roman" w:cs="Times New Roman" w:eastAsia="Times New Roman" w:hint="default"/>
          <w:spacing w:val="-3"/>
        </w:rPr>
        <w:t>“</w:t>
      </w:r>
      <w:r>
        <w:rPr>
          <w:spacing w:val="-3"/>
        </w:rPr>
        <w:t>马鞍山智慧园项目一期工程</w:t>
      </w:r>
      <w:r>
        <w:rPr>
          <w:rFonts w:ascii="Times New Roman" w:hAnsi="Times New Roman" w:cs="Times New Roman" w:eastAsia="Times New Roman" w:hint="default"/>
          <w:spacing w:val="-3"/>
        </w:rPr>
        <w:t>”</w:t>
      </w:r>
      <w:r>
        <w:rPr>
          <w:spacing w:val="-3"/>
        </w:rPr>
        <w:t>。</w:t>
      </w:r>
      <w:r>
        <w:rPr>
          <w:spacing w:val="-78"/>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日马鞍山榕基将原取得的上述土地转让给马鞍山榕基置业投资有限公司（《中华人民共和国国有土地使用证》</w:t>
      </w:r>
    </w:p>
    <w:p>
      <w:pPr>
        <w:pStyle w:val="BodyText"/>
        <w:spacing w:line="300" w:lineRule="auto" w:before="13"/>
        <w:ind w:left="153" w:right="192" w:hanging="1"/>
        <w:jc w:val="both"/>
      </w:pPr>
      <w:r>
        <w:rPr>
          <w:spacing w:val="-2"/>
        </w:rPr>
        <w:t>（马国有</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84996</w:t>
      </w:r>
      <w:r>
        <w:rPr>
          <w:spacing w:val="-2"/>
        </w:rPr>
        <w:t>号））。马鞍山智慧园项目一期工程于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月动工，预计总投资额为</w:t>
      </w:r>
      <w:r>
        <w:rPr>
          <w:rFonts w:ascii="Times New Roman" w:hAnsi="Times New Roman" w:cs="Times New Roman" w:eastAsia="Times New Roman" w:hint="default"/>
          <w:spacing w:val="-2"/>
        </w:rPr>
        <w:t>1.5</w:t>
      </w:r>
      <w:r>
        <w:rPr>
          <w:spacing w:val="-2"/>
        </w:rPr>
        <w:t>亿元，截至报告期末，项</w:t>
      </w:r>
      <w:r>
        <w:rPr>
          <w:spacing w:val="-43"/>
        </w:rPr>
        <w:t> </w:t>
      </w:r>
      <w:r>
        <w:rPr>
          <w:spacing w:val="-43"/>
        </w:rPr>
      </w:r>
      <w:r>
        <w:rPr/>
        <w:t>目已投入资金约</w:t>
      </w:r>
      <w:r>
        <w:rPr>
          <w:rFonts w:ascii="Times New Roman" w:hAnsi="Times New Roman" w:cs="Times New Roman" w:eastAsia="Times New Roman" w:hint="default"/>
        </w:rPr>
        <w:t>12,693</w:t>
      </w:r>
      <w:r>
        <w:rPr/>
        <w:t>万元。</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十六、公司发</w:t>
      </w:r>
      <w:bookmarkStart w:name="十六、公司发行公司债券的情况" w:id="93"/>
      <w:bookmarkEnd w:id="93"/>
      <w:r>
        <w:rPr/>
        <w:t>行</w:t>
      </w:r>
      <w:r>
        <w:rPr/>
        <w:t>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63" w:right="234"/>
        <w:jc w:val="left"/>
        <w:rPr>
          <w:b w:val="0"/>
          <w:bCs w:val="0"/>
        </w:rPr>
      </w:pPr>
      <w:bookmarkStart w:name="第六节 股份变动及股东情况" w:id="94"/>
      <w:bookmarkEnd w:id="94"/>
      <w:r>
        <w:rPr>
          <w:b w:val="0"/>
          <w:bCs w:val="0"/>
        </w:rPr>
      </w:r>
      <w:bookmarkStart w:name="_bookmark5" w:id="95"/>
      <w:bookmarkEnd w:id="95"/>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52" w:right="234"/>
        <w:jc w:val="left"/>
        <w:rPr>
          <w:b w:val="0"/>
          <w:bCs w:val="0"/>
        </w:rPr>
      </w:pPr>
      <w:r>
        <w:rPr/>
        <w:t>一、股份变动</w:t>
      </w:r>
      <w:bookmarkStart w:name="一、股份变动情况" w:id="96"/>
      <w:bookmarkEnd w:id="96"/>
      <w:r>
        <w:rPr/>
        <w:t>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单位：股</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79"/>
        <w:gridCol w:w="1146"/>
        <w:gridCol w:w="708"/>
        <w:gridCol w:w="425"/>
        <w:gridCol w:w="566"/>
        <w:gridCol w:w="1135"/>
        <w:gridCol w:w="991"/>
        <w:gridCol w:w="1135"/>
        <w:gridCol w:w="1133"/>
        <w:gridCol w:w="775"/>
      </w:tblGrid>
      <w:tr>
        <w:trPr>
          <w:trHeight w:val="401" w:hRule="exact"/>
        </w:trPr>
        <w:tc>
          <w:tcPr>
            <w:tcW w:w="1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3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79" w:type="dxa"/>
            <w:vMerge w:val="restart"/>
            <w:tcBorders>
              <w:top w:val="nil" w:sz="6" w:space="0" w:color="auto"/>
              <w:left w:val="single" w:sz="4" w:space="0" w:color="000000"/>
              <w:right w:val="single" w:sz="4" w:space="0" w:color="000000"/>
            </w:tcBorders>
            <w:shd w:val="clear" w:color="auto" w:fill="D4D4D4"/>
          </w:tcPr>
          <w:p>
            <w:pPr/>
          </w:p>
        </w:tc>
        <w:tc>
          <w:tcPr>
            <w:tcW w:w="1146"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 w:type="dxa"/>
            <w:tcBorders>
              <w:top w:val="single" w:sz="4" w:space="0" w:color="000000"/>
              <w:left w:val="single" w:sz="4" w:space="0" w:color="000000"/>
              <w:bottom w:val="nil" w:sz="6" w:space="0" w:color="auto"/>
              <w:right w:val="single" w:sz="4" w:space="0" w:color="000000"/>
            </w:tcBorders>
            <w:shd w:val="clear" w:color="auto" w:fill="D4D4D4"/>
          </w:tcPr>
          <w:p>
            <w:pPr/>
          </w:p>
        </w:tc>
        <w:tc>
          <w:tcPr>
            <w:tcW w:w="42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5" w:type="dxa"/>
            <w:tcBorders>
              <w:top w:val="single" w:sz="4" w:space="0" w:color="000000"/>
              <w:left w:val="single" w:sz="4" w:space="0" w:color="000000"/>
              <w:bottom w:val="nil" w:sz="6" w:space="0" w:color="auto"/>
              <w:right w:val="single" w:sz="4" w:space="0" w:color="000000"/>
            </w:tcBorders>
            <w:shd w:val="clear" w:color="auto" w:fill="D4D4D4"/>
          </w:tcPr>
          <w:p>
            <w:pPr/>
          </w:p>
        </w:tc>
        <w:tc>
          <w:tcPr>
            <w:tcW w:w="9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3" w:type="dxa"/>
            <w:tcBorders>
              <w:top w:val="single" w:sz="4" w:space="0" w:color="000000"/>
              <w:left w:val="single" w:sz="4" w:space="0" w:color="000000"/>
              <w:bottom w:val="nil" w:sz="6" w:space="0" w:color="auto"/>
              <w:right w:val="single" w:sz="4" w:space="0" w:color="000000"/>
            </w:tcBorders>
            <w:shd w:val="clear" w:color="auto" w:fill="D4D4D4"/>
          </w:tcPr>
          <w:p>
            <w:pPr/>
          </w:p>
        </w:tc>
        <w:tc>
          <w:tcPr>
            <w:tcW w:w="77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679" w:type="dxa"/>
            <w:vMerge/>
            <w:tcBorders>
              <w:left w:val="single" w:sz="4" w:space="0" w:color="000000"/>
              <w:bottom w:val="nil" w:sz="6" w:space="0" w:color="auto"/>
              <w:right w:val="single" w:sz="4" w:space="0" w:color="000000"/>
            </w:tcBorders>
            <w:shd w:val="clear" w:color="auto" w:fill="D4D4D4"/>
          </w:tcPr>
          <w:p>
            <w:pPr/>
          </w:p>
        </w:tc>
        <w:tc>
          <w:tcPr>
            <w:tcW w:w="114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vMerge/>
            <w:tcBorders>
              <w:left w:val="single" w:sz="4" w:space="0" w:color="000000"/>
              <w:right w:val="single" w:sz="4" w:space="0" w:color="000000"/>
            </w:tcBorders>
            <w:shd w:val="clear" w:color="auto" w:fill="D4D4D4"/>
          </w:tcPr>
          <w:p>
            <w:pPr/>
          </w:p>
        </w:tc>
        <w:tc>
          <w:tcPr>
            <w:tcW w:w="5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7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4D4D4"/>
          </w:tcPr>
          <w:p>
            <w:pPr/>
          </w:p>
        </w:tc>
        <w:tc>
          <w:tcPr>
            <w:tcW w:w="1146" w:type="dxa"/>
            <w:vMerge/>
            <w:tcBorders>
              <w:left w:val="single" w:sz="4" w:space="0" w:color="000000"/>
              <w:bottom w:val="nil" w:sz="6" w:space="0" w:color="auto"/>
              <w:right w:val="single" w:sz="4" w:space="0" w:color="000000"/>
            </w:tcBorders>
            <w:shd w:val="clear" w:color="auto" w:fill="D4D4D4"/>
          </w:tcPr>
          <w:p>
            <w:pPr/>
          </w:p>
        </w:tc>
        <w:tc>
          <w:tcPr>
            <w:tcW w:w="708" w:type="dxa"/>
            <w:vMerge/>
            <w:tcBorders>
              <w:left w:val="single" w:sz="4" w:space="0" w:color="000000"/>
              <w:bottom w:val="nil" w:sz="6" w:space="0" w:color="auto"/>
              <w:right w:val="single" w:sz="4" w:space="0" w:color="000000"/>
            </w:tcBorders>
            <w:shd w:val="clear" w:color="auto" w:fill="D4D4D4"/>
          </w:tcPr>
          <w:p>
            <w:pPr/>
          </w:p>
        </w:tc>
        <w:tc>
          <w:tcPr>
            <w:tcW w:w="425" w:type="dxa"/>
            <w:vMerge/>
            <w:tcBorders>
              <w:left w:val="single" w:sz="4" w:space="0" w:color="000000"/>
              <w:right w:val="single" w:sz="4" w:space="0" w:color="000000"/>
            </w:tcBorders>
            <w:shd w:val="clear" w:color="auto" w:fill="D4D4D4"/>
          </w:tcPr>
          <w:p>
            <w:pPr/>
          </w:p>
        </w:tc>
        <w:tc>
          <w:tcPr>
            <w:tcW w:w="566" w:type="dxa"/>
            <w:vMerge/>
            <w:tcBorders>
              <w:left w:val="single" w:sz="4" w:space="0" w:color="000000"/>
              <w:bottom w:val="nil" w:sz="6" w:space="0" w:color="auto"/>
              <w:right w:val="single" w:sz="4" w:space="0" w:color="000000"/>
            </w:tcBorders>
            <w:shd w:val="clear" w:color="auto" w:fill="D4D4D4"/>
          </w:tcPr>
          <w:p>
            <w:pPr/>
          </w:p>
        </w:tc>
        <w:tc>
          <w:tcPr>
            <w:tcW w:w="1135" w:type="dxa"/>
            <w:vMerge/>
            <w:tcBorders>
              <w:left w:val="single" w:sz="4" w:space="0" w:color="000000"/>
              <w:bottom w:val="nil" w:sz="6" w:space="0" w:color="auto"/>
              <w:right w:val="single" w:sz="4" w:space="0" w:color="000000"/>
            </w:tcBorders>
            <w:shd w:val="clear" w:color="auto" w:fill="D4D4D4"/>
          </w:tcPr>
          <w:p>
            <w:pPr/>
          </w:p>
        </w:tc>
        <w:tc>
          <w:tcPr>
            <w:tcW w:w="991" w:type="dxa"/>
            <w:vMerge/>
            <w:tcBorders>
              <w:left w:val="single" w:sz="4" w:space="0" w:color="000000"/>
              <w:bottom w:val="nil" w:sz="6" w:space="0" w:color="auto"/>
              <w:right w:val="single" w:sz="4" w:space="0" w:color="000000"/>
            </w:tcBorders>
            <w:shd w:val="clear" w:color="auto" w:fill="D4D4D4"/>
          </w:tcPr>
          <w:p>
            <w:pPr/>
          </w:p>
        </w:tc>
        <w:tc>
          <w:tcPr>
            <w:tcW w:w="1135" w:type="dxa"/>
            <w:vMerge/>
            <w:tcBorders>
              <w:left w:val="single" w:sz="4" w:space="0" w:color="000000"/>
              <w:bottom w:val="nil" w:sz="6" w:space="0" w:color="auto"/>
              <w:right w:val="single" w:sz="4" w:space="0" w:color="000000"/>
            </w:tcBorders>
            <w:shd w:val="clear" w:color="auto" w:fill="D4D4D4"/>
          </w:tcPr>
          <w:p>
            <w:pPr/>
          </w:p>
        </w:tc>
        <w:tc>
          <w:tcPr>
            <w:tcW w:w="1133" w:type="dxa"/>
            <w:vMerge/>
            <w:tcBorders>
              <w:left w:val="single" w:sz="4" w:space="0" w:color="000000"/>
              <w:bottom w:val="nil" w:sz="6" w:space="0" w:color="auto"/>
              <w:right w:val="single" w:sz="4" w:space="0" w:color="000000"/>
            </w:tcBorders>
            <w:shd w:val="clear" w:color="auto" w:fill="D4D4D4"/>
          </w:tcPr>
          <w:p>
            <w:pPr/>
          </w:p>
        </w:tc>
        <w:tc>
          <w:tcPr>
            <w:tcW w:w="775"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4D4D4"/>
          </w:tcPr>
          <w:p>
            <w:pPr/>
          </w:p>
        </w:tc>
        <w:tc>
          <w:tcPr>
            <w:tcW w:w="1146" w:type="dxa"/>
            <w:tcBorders>
              <w:top w:val="nil" w:sz="6" w:space="0" w:color="auto"/>
              <w:left w:val="single" w:sz="4" w:space="0" w:color="000000"/>
              <w:bottom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single" w:sz="4" w:space="0" w:color="000000"/>
              <w:right w:val="single" w:sz="4" w:space="0" w:color="000000"/>
            </w:tcBorders>
            <w:shd w:val="clear" w:color="auto" w:fill="D4D4D4"/>
          </w:tcPr>
          <w:p>
            <w:pPr/>
          </w:p>
        </w:tc>
        <w:tc>
          <w:tcPr>
            <w:tcW w:w="425" w:type="dxa"/>
            <w:vMerge/>
            <w:tcBorders>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5" w:type="dxa"/>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3"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137,691,962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44.25%</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112,872,454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-24,819,508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88,052,946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225,744,908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center"/>
              <w:rPr>
                <w:rFonts w:ascii="Times New Roman" w:hAnsi="Times New Roman" w:cs="Times New Roman" w:eastAsia="Times New Roman" w:hint="default"/>
                <w:sz w:val="18"/>
                <w:szCs w:val="18"/>
              </w:rPr>
            </w:pPr>
            <w:r>
              <w:rPr>
                <w:rFonts w:ascii="Times New Roman"/>
                <w:sz w:val="18"/>
              </w:rPr>
              <w:t>36.28%</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137,691,962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44.25%</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112,872,454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-24,819,508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88,052,946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225,744,908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center"/>
              <w:rPr>
                <w:rFonts w:ascii="Times New Roman" w:hAnsi="Times New Roman" w:cs="Times New Roman" w:eastAsia="Times New Roman" w:hint="default"/>
                <w:sz w:val="18"/>
                <w:szCs w:val="18"/>
              </w:rPr>
            </w:pPr>
            <w:r>
              <w:rPr>
                <w:rFonts w:ascii="Times New Roman"/>
                <w:sz w:val="18"/>
              </w:rPr>
              <w:t>36.28%</w:t>
            </w:r>
          </w:p>
        </w:tc>
      </w:tr>
      <w:tr>
        <w:trPr>
          <w:trHeight w:val="71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137,691,962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44.25%</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112,872,454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-24,819,508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88,052,946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225,744,908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36.28%</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173,408,038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55.74%</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198,227,546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24,819,508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223,047,054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396,455,092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center"/>
              <w:rPr>
                <w:rFonts w:ascii="Times New Roman" w:hAnsi="Times New Roman" w:cs="Times New Roman" w:eastAsia="Times New Roman" w:hint="default"/>
                <w:sz w:val="18"/>
                <w:szCs w:val="18"/>
              </w:rPr>
            </w:pPr>
            <w:r>
              <w:rPr>
                <w:rFonts w:ascii="Times New Roman"/>
                <w:sz w:val="18"/>
              </w:rPr>
              <w:t>63.72%</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173,408,038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55.74%</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198,227,546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24,819,508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223,047,054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396,455,092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center"/>
              <w:rPr>
                <w:rFonts w:ascii="Times New Roman" w:hAnsi="Times New Roman" w:cs="Times New Roman" w:eastAsia="Times New Roman" w:hint="default"/>
                <w:sz w:val="18"/>
                <w:szCs w:val="18"/>
              </w:rPr>
            </w:pPr>
            <w:r>
              <w:rPr>
                <w:rFonts w:ascii="Times New Roman"/>
                <w:sz w:val="18"/>
              </w:rPr>
              <w:t>63.72%</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622,200,000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left="252" w:right="234"/>
        <w:jc w:val="left"/>
      </w:pPr>
      <w:r>
        <w:rPr/>
        <w:t>股份变动的原因</w:t>
      </w:r>
    </w:p>
    <w:p>
      <w:pPr>
        <w:pStyle w:val="BodyText"/>
        <w:spacing w:line="319" w:lineRule="auto" w:before="115"/>
        <w:ind w:left="252"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w:t>
      </w:r>
      <w:r>
        <w:rPr>
          <w:rFonts w:ascii="Times New Roman" w:hAnsi="Times New Roman" w:cs="Times New Roman" w:eastAsia="Times New Roman" w:hint="default"/>
        </w:rPr>
        <w:t>11</w:t>
      </w:r>
      <w:r>
        <w:rPr/>
        <w:t>位高管解除有限售股；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日，公司实施</w:t>
      </w:r>
      <w:r>
        <w:rPr>
          <w:rFonts w:ascii="Times New Roman" w:hAnsi="Times New Roman" w:cs="Times New Roman" w:eastAsia="Times New Roman" w:hint="default"/>
        </w:rPr>
        <w:t>2013</w:t>
      </w:r>
      <w:r>
        <w:rPr/>
        <w:t>年度权益分派方案，以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 </w:t>
      </w:r>
      <w:r>
        <w:rPr>
          <w:rFonts w:ascii="Times New Roman" w:hAnsi="Times New Roman" w:cs="Times New Roman" w:eastAsia="Times New Roman" w:hint="default"/>
        </w:rPr>
        <w:t>311,100,000</w:t>
      </w:r>
      <w:r>
        <w:rPr/>
        <w:t>股为基数，以资本公积金转增股本，每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股。本次转增后，公司总股本增至</w:t>
      </w:r>
      <w:r>
        <w:rPr>
          <w:rFonts w:ascii="Times New Roman" w:hAnsi="Times New Roman" w:cs="Times New Roman" w:eastAsia="Times New Roman" w:hint="default"/>
        </w:rPr>
        <w:t>622,200,000</w:t>
      </w:r>
      <w:r>
        <w:rPr/>
        <w:t>股。</w:t>
      </w:r>
    </w:p>
    <w:p>
      <w:pPr>
        <w:pStyle w:val="BodyText"/>
        <w:spacing w:line="240" w:lineRule="auto" w:before="38"/>
        <w:ind w:left="252" w:right="234"/>
        <w:jc w:val="left"/>
      </w:pPr>
      <w:r>
        <w:rPr/>
        <w:t>股份变动的批准情况</w:t>
      </w:r>
    </w:p>
    <w:p>
      <w:pPr>
        <w:pStyle w:val="BodyText"/>
        <w:spacing w:line="319" w:lineRule="auto" w:before="115"/>
        <w:ind w:left="2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w:t>
      </w:r>
      <w:r>
        <w:rPr>
          <w:rFonts w:ascii="Times New Roman" w:hAnsi="Times New Roman" w:cs="Times New Roman" w:eastAsia="Times New Roman" w:hint="default"/>
          <w:spacing w:val="-2"/>
        </w:rPr>
        <w:t>2013</w:t>
      </w:r>
      <w:r>
        <w:rPr>
          <w:spacing w:val="-2"/>
        </w:rPr>
        <w:t>年度股东大会</w:t>
      </w:r>
      <w:r>
        <w:rPr>
          <w:rFonts w:ascii="Times New Roman" w:hAnsi="Times New Roman" w:cs="Times New Roman" w:eastAsia="Times New Roman" w:hint="default"/>
          <w:spacing w:val="-2"/>
        </w:rPr>
        <w:t>,</w:t>
      </w:r>
      <w:r>
        <w:rPr>
          <w:spacing w:val="-2"/>
        </w:rPr>
        <w:t>审议通过《关于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2013</w:t>
      </w:r>
      <w:r>
        <w:rPr>
          <w:spacing w:val="-2"/>
        </w:rPr>
        <w:t>年度利润分配预案</w:t>
      </w:r>
      <w:r>
        <w:rPr>
          <w:rFonts w:ascii="Times New Roman" w:hAnsi="Times New Roman" w:cs="Times New Roman" w:eastAsia="Times New Roman" w:hint="default"/>
          <w:spacing w:val="-2"/>
        </w:rPr>
        <w:t>&gt;</w:t>
      </w:r>
      <w:r>
        <w:rPr>
          <w:spacing w:val="-2"/>
        </w:rPr>
        <w:t>的议案》，同意以</w:t>
      </w:r>
      <w:r>
        <w:rPr>
          <w:rFonts w:ascii="Times New Roman" w:hAnsi="Times New Roman" w:cs="Times New Roman" w:eastAsia="Times New Roman" w:hint="default"/>
          <w:spacing w:val="-2"/>
        </w:rPr>
        <w:t>2013</w:t>
      </w:r>
      <w:r>
        <w:rPr>
          <w:spacing w:val="-2"/>
        </w:rPr>
        <w:t>年年末总</w:t>
      </w:r>
      <w:r>
        <w:rPr>
          <w:spacing w:val="-33"/>
        </w:rPr>
        <w:t> </w:t>
      </w:r>
      <w:r>
        <w:rPr>
          <w:spacing w:val="-33"/>
        </w:rPr>
      </w:r>
      <w:r>
        <w:rPr/>
        <w:t>股本</w:t>
      </w:r>
      <w:r>
        <w:rPr>
          <w:rFonts w:ascii="Times New Roman" w:hAnsi="Times New Roman" w:cs="Times New Roman" w:eastAsia="Times New Roman" w:hint="default"/>
        </w:rPr>
        <w:t>311,100,000</w:t>
      </w:r>
      <w:r>
        <w:rPr/>
        <w:t>股为基数进行资本公积转增股本，每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日完成权益分派，公司总股本由</w:t>
      </w:r>
    </w:p>
    <w:p>
      <w:pPr>
        <w:pStyle w:val="BodyText"/>
        <w:spacing w:line="246" w:lineRule="exact"/>
        <w:ind w:left="253" w:right="234"/>
        <w:jc w:val="left"/>
      </w:pPr>
      <w:r>
        <w:rPr>
          <w:rFonts w:ascii="Times New Roman" w:hAnsi="Times New Roman" w:cs="Times New Roman" w:eastAsia="Times New Roman" w:hint="default"/>
        </w:rPr>
        <w:t>311,100,000</w:t>
      </w:r>
      <w:r>
        <w:rPr/>
        <w:t>股变为</w:t>
      </w:r>
      <w:r>
        <w:rPr>
          <w:rFonts w:ascii="Times New Roman" w:hAnsi="Times New Roman" w:cs="Times New Roman" w:eastAsia="Times New Roman" w:hint="default"/>
        </w:rPr>
        <w:t>622,200,000</w:t>
      </w:r>
      <w:r>
        <w:rPr/>
        <w:t>股。</w:t>
      </w:r>
    </w:p>
    <w:p>
      <w:pPr>
        <w:pStyle w:val="BodyText"/>
        <w:spacing w:line="240" w:lineRule="auto" w:before="103"/>
        <w:ind w:left="253" w:right="234"/>
        <w:jc w:val="left"/>
      </w:pPr>
      <w:r>
        <w:rPr/>
        <w:t>股份变动的过户情况</w:t>
      </w:r>
    </w:p>
    <w:p>
      <w:pPr>
        <w:pStyle w:val="BodyText"/>
        <w:spacing w:line="240" w:lineRule="auto" w:before="115"/>
        <w:ind w:left="253"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253" w:right="152"/>
        <w:jc w:val="both"/>
      </w:pPr>
      <w:r>
        <w:rPr/>
        <w:t>报告期内，公司实施了</w:t>
      </w:r>
      <w:r>
        <w:rPr>
          <w:rFonts w:ascii="Times New Roman" w:hAnsi="Times New Roman" w:cs="Times New Roman" w:eastAsia="Times New Roman" w:hint="default"/>
        </w:rPr>
        <w:t>2013</w:t>
      </w:r>
      <w:r>
        <w:rPr/>
        <w:t>年度权益分派方案：以公司截至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日的总股本</w:t>
      </w:r>
      <w:r>
        <w:rPr>
          <w:rFonts w:ascii="Times New Roman" w:hAnsi="Times New Roman" w:cs="Times New Roman" w:eastAsia="Times New Roman" w:hint="default"/>
        </w:rPr>
        <w:t>311,100,000</w:t>
      </w:r>
      <w:r>
        <w:rPr/>
        <w:t>股为基数，以资本公积金 </w:t>
      </w:r>
      <w:r>
        <w:rPr>
          <w:spacing w:val="-2"/>
        </w:rPr>
        <w:t>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股。公司总股本由</w:t>
      </w:r>
      <w:r>
        <w:rPr>
          <w:rFonts w:ascii="Times New Roman" w:hAnsi="Times New Roman" w:cs="Times New Roman" w:eastAsia="Times New Roman" w:hint="default"/>
          <w:spacing w:val="-2"/>
        </w:rPr>
        <w:t>311,100,000</w:t>
      </w:r>
      <w:r>
        <w:rPr>
          <w:spacing w:val="-2"/>
        </w:rPr>
        <w:t>股变更为</w:t>
      </w:r>
      <w:r>
        <w:rPr>
          <w:rFonts w:ascii="Times New Roman" w:hAnsi="Times New Roman" w:cs="Times New Roman" w:eastAsia="Times New Roman" w:hint="default"/>
          <w:spacing w:val="-2"/>
        </w:rPr>
        <w:t>622,200,000</w:t>
      </w:r>
      <w:r>
        <w:rPr>
          <w:spacing w:val="-2"/>
        </w:rPr>
        <w:t>股。本次所转增股于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日直接计入股东</w:t>
      </w:r>
      <w:r>
        <w:rPr>
          <w:spacing w:val="-46"/>
        </w:rPr>
        <w:t> </w:t>
      </w:r>
      <w:r>
        <w:rPr>
          <w:spacing w:val="-46"/>
        </w:rPr>
      </w:r>
      <w:r>
        <w:rPr/>
        <w:t>证券账户。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日，公司完成注册资本的工商变更登记。</w:t>
      </w:r>
    </w:p>
    <w:p>
      <w:pPr>
        <w:pStyle w:val="BodyText"/>
        <w:spacing w:line="240" w:lineRule="auto" w:before="53"/>
        <w:ind w:left="253" w:right="234"/>
        <w:jc w:val="left"/>
      </w:pPr>
      <w:r>
        <w:rPr/>
        <w:t>股份变动对最近一年和最近一期基本每股收益和稀释每股收益、归属于公司普通股股东的每股净资产等财务指标的影响</w:t>
      </w:r>
    </w:p>
    <w:p>
      <w:pPr>
        <w:pStyle w:val="BodyText"/>
        <w:spacing w:line="319" w:lineRule="auto" w:before="115"/>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日，公司实施转增股本后，按新股本</w:t>
      </w:r>
      <w:r>
        <w:rPr>
          <w:rFonts w:ascii="Times New Roman" w:hAnsi="Times New Roman" w:cs="Times New Roman" w:eastAsia="Times New Roman" w:hint="default"/>
          <w:spacing w:val="-2"/>
        </w:rPr>
        <w:t>622,200,000</w:t>
      </w:r>
      <w:r>
        <w:rPr>
          <w:spacing w:val="-2"/>
        </w:rPr>
        <w:t>股摊薄计算，基本每股收益、稀释每股收益及归属于公司普通股</w:t>
      </w:r>
      <w:r>
        <w:rPr>
          <w:spacing w:val="-52"/>
        </w:rPr>
        <w:t> </w:t>
      </w:r>
      <w:r>
        <w:rPr>
          <w:spacing w:val="-52"/>
        </w:rPr>
      </w:r>
      <w:r>
        <w:rPr/>
        <w:t>股东的每股净资产分别比变动前下降</w:t>
      </w:r>
      <w:r>
        <w:rPr>
          <w:rFonts w:ascii="Times New Roman" w:hAnsi="Times New Roman" w:cs="Times New Roman" w:eastAsia="Times New Roman" w:hint="default"/>
        </w:rPr>
        <w:t>50%</w:t>
      </w:r>
      <w:r>
        <w:rPr/>
        <w:t>。</w:t>
      </w:r>
    </w:p>
    <w:p>
      <w:pPr>
        <w:pStyle w:val="BodyText"/>
        <w:spacing w:line="240" w:lineRule="auto" w:before="38"/>
        <w:ind w:left="253" w:right="234"/>
        <w:jc w:val="left"/>
      </w:pPr>
      <w:r>
        <w:rPr/>
        <w:t>公司认为必要或证券监管机构要求披露的其他内容</w:t>
      </w:r>
    </w:p>
    <w:p>
      <w:pPr>
        <w:pStyle w:val="BodyText"/>
        <w:spacing w:line="240" w:lineRule="auto" w:before="115"/>
        <w:ind w:left="253"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8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r>
        <w:rPr/>
        <w:t>二</w:t>
      </w:r>
      <w:bookmarkStart w:name="二、证券发行与上市情况" w:id="97"/>
      <w:bookmarkEnd w:id="97"/>
      <w:r>
        <w:rPr/>
        <w:t>、</w:t>
      </w:r>
      <w:r>
        <w:rPr/>
        <w:t>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bookmarkStart w:name="1、报告期末近三年历次证券发行情况" w:id="98"/>
      <w:bookmarkEnd w:id="98"/>
      <w:r>
        <w:rPr>
          <w:rFonts w:ascii="Times New Roman" w:hAnsi="Times New Roman" w:cs="Times New Roman" w:eastAsia="Times New Roman" w:hint="default"/>
        </w:rPr>
      </w:r>
      <w:r>
        <w:rPr/>
        <w:t>、报告期末近三年历次证券发行情况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2</w:t>
      </w:r>
      <w:r>
        <w:rPr/>
        <w:t>、公司股份总数及</w:t>
      </w:r>
      <w:bookmarkStart w:name="2、公司股份总数及股东结构的变动、公司资产和负债结构的变动情况说明" w:id="99"/>
      <w:bookmarkEnd w:id="99"/>
      <w:r>
        <w:rPr/>
        <w:t>股东</w:t>
      </w:r>
      <w:r>
        <w:rPr/>
        <w:t>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47" w:hanging="1"/>
        <w:jc w:val="left"/>
      </w:pPr>
      <w:r>
        <w:rPr/>
        <w:t>报告期内，公司实施了</w:t>
      </w:r>
      <w:r>
        <w:rPr>
          <w:rFonts w:ascii="Times New Roman" w:hAnsi="Times New Roman" w:cs="Times New Roman" w:eastAsia="Times New Roman" w:hint="default"/>
        </w:rPr>
        <w:t>2013 </w:t>
      </w:r>
      <w:r>
        <w:rPr/>
        <w:t>年度权益分派方案：以公司截至</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4"/>
        </w:rPr>
        <w:t> </w:t>
      </w:r>
      <w:r>
        <w:rPr/>
        <w:t>日的总股本</w:t>
      </w:r>
      <w:r>
        <w:rPr>
          <w:rFonts w:ascii="Times New Roman" w:hAnsi="Times New Roman" w:cs="Times New Roman" w:eastAsia="Times New Roman" w:hint="default"/>
        </w:rPr>
        <w:t>311,100,000</w:t>
      </w:r>
      <w:r>
        <w:rPr/>
        <w:t>股为基数，以资本公积 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股。本次转增后，公司总股本增至</w:t>
      </w:r>
      <w:r>
        <w:rPr>
          <w:rFonts w:ascii="Times New Roman" w:hAnsi="Times New Roman" w:cs="Times New Roman" w:eastAsia="Times New Roman" w:hint="default"/>
        </w:rPr>
        <w:t>622,200,000</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79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91"/>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bookmarkStart w:name="3、现存的内部职工股情况" w:id="100"/>
      <w:bookmarkEnd w:id="100"/>
      <w:r>
        <w:rPr/>
      </w:r>
      <w:bookmarkStart w:name="三、股东和实际控制人情况" w:id="101"/>
      <w:bookmarkEnd w:id="101"/>
      <w:r>
        <w:rPr/>
      </w:r>
      <w:bookmarkStart w:name="1、公司股东数量及持股情况" w:id="102"/>
      <w:bookmarkEnd w:id="102"/>
      <w:r>
        <w:rPr/>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744"/>
        <w:gridCol w:w="389"/>
        <w:gridCol w:w="850"/>
        <w:gridCol w:w="370"/>
        <w:gridCol w:w="907"/>
        <w:gridCol w:w="661"/>
        <w:gridCol w:w="414"/>
        <w:gridCol w:w="1051"/>
        <w:gridCol w:w="154"/>
        <w:gridCol w:w="1265"/>
        <w:gridCol w:w="306"/>
        <w:gridCol w:w="685"/>
        <w:gridCol w:w="922"/>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4D4D4"/>
          </w:tcPr>
          <w:p>
            <w:pPr/>
          </w:p>
        </w:tc>
        <w:tc>
          <w:tcPr>
            <w:tcW w:w="1608" w:type="dxa"/>
            <w:gridSpan w:val="3"/>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68,950</w:t>
            </w:r>
          </w:p>
        </w:tc>
        <w:tc>
          <w:tcPr>
            <w:tcW w:w="15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619" w:type="dxa"/>
            <w:gridSpan w:val="3"/>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72,828</w:t>
            </w:r>
          </w:p>
        </w:tc>
        <w:tc>
          <w:tcPr>
            <w:tcW w:w="157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 w:right="18"/>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2"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4D4D4"/>
          </w:tcPr>
          <w:p>
            <w:pPr/>
          </w:p>
        </w:tc>
        <w:tc>
          <w:tcPr>
            <w:tcW w:w="1608" w:type="dxa"/>
            <w:gridSpan w:val="3"/>
            <w:vMerge/>
            <w:tcBorders>
              <w:left w:val="single" w:sz="10" w:space="0" w:color="D4D4D4"/>
              <w:right w:val="single" w:sz="10" w:space="0" w:color="D4D4D4"/>
            </w:tcBorders>
          </w:tcPr>
          <w:p>
            <w:pPr/>
          </w:p>
        </w:tc>
        <w:tc>
          <w:tcPr>
            <w:tcW w:w="1568"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07"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9" w:type="dxa"/>
            <w:gridSpan w:val="3"/>
            <w:vMerge/>
            <w:tcBorders>
              <w:left w:val="single" w:sz="10" w:space="0" w:color="D4D4D4"/>
              <w:right w:val="single" w:sz="10" w:space="0" w:color="D4D4D4"/>
            </w:tcBorders>
          </w:tcPr>
          <w:p>
            <w:pPr/>
          </w:p>
        </w:tc>
        <w:tc>
          <w:tcPr>
            <w:tcW w:w="1571" w:type="dxa"/>
            <w:gridSpan w:val="2"/>
            <w:vMerge/>
            <w:tcBorders>
              <w:left w:val="single" w:sz="4" w:space="0" w:color="000000"/>
              <w:right w:val="single" w:sz="4" w:space="0" w:color="000000"/>
            </w:tcBorders>
            <w:shd w:val="clear" w:color="auto" w:fill="D4D4D4"/>
          </w:tcPr>
          <w:p>
            <w:pPr/>
          </w:p>
        </w:tc>
        <w:tc>
          <w:tcPr>
            <w:tcW w:w="1607" w:type="dxa"/>
            <w:gridSpan w:val="2"/>
            <w:vMerge/>
            <w:tcBorders>
              <w:left w:val="single" w:sz="12" w:space="0" w:color="D4D4D4"/>
              <w:right w:val="single" w:sz="4" w:space="0" w:color="000000"/>
            </w:tcBorders>
          </w:tcPr>
          <w:p>
            <w:pPr/>
          </w:p>
        </w:tc>
      </w:tr>
      <w:tr>
        <w:trPr>
          <w:trHeight w:val="703"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8" w:type="dxa"/>
            <w:gridSpan w:val="3"/>
            <w:vMerge/>
            <w:tcBorders>
              <w:left w:val="single" w:sz="10" w:space="0" w:color="D4D4D4"/>
              <w:right w:val="single" w:sz="10" w:space="0" w:color="D4D4D4"/>
            </w:tcBorders>
          </w:tcPr>
          <w:p>
            <w:pPr/>
          </w:p>
        </w:tc>
        <w:tc>
          <w:tcPr>
            <w:tcW w:w="1568" w:type="dxa"/>
            <w:gridSpan w:val="2"/>
            <w:vMerge/>
            <w:tcBorders>
              <w:left w:val="single" w:sz="4" w:space="0" w:color="000000"/>
              <w:right w:val="single" w:sz="4" w:space="0" w:color="000000"/>
            </w:tcBorders>
            <w:shd w:val="clear" w:color="auto" w:fill="D4D4D4"/>
          </w:tcPr>
          <w:p>
            <w:pPr/>
          </w:p>
        </w:tc>
        <w:tc>
          <w:tcPr>
            <w:tcW w:w="1619" w:type="dxa"/>
            <w:gridSpan w:val="3"/>
            <w:vMerge/>
            <w:tcBorders>
              <w:left w:val="single" w:sz="10" w:space="0" w:color="D4D4D4"/>
              <w:right w:val="single" w:sz="10" w:space="0" w:color="D4D4D4"/>
            </w:tcBorders>
          </w:tcPr>
          <w:p>
            <w:pPr/>
          </w:p>
        </w:tc>
        <w:tc>
          <w:tcPr>
            <w:tcW w:w="1571" w:type="dxa"/>
            <w:gridSpan w:val="2"/>
            <w:vMerge/>
            <w:tcBorders>
              <w:left w:val="single" w:sz="4" w:space="0" w:color="000000"/>
              <w:right w:val="single" w:sz="4" w:space="0" w:color="000000"/>
            </w:tcBorders>
            <w:shd w:val="clear" w:color="auto" w:fill="D4D4D4"/>
          </w:tcPr>
          <w:p>
            <w:pPr/>
          </w:p>
        </w:tc>
        <w:tc>
          <w:tcPr>
            <w:tcW w:w="1607" w:type="dxa"/>
            <w:gridSpan w:val="2"/>
            <w:vMerge/>
            <w:tcBorders>
              <w:left w:val="single" w:sz="12" w:space="0" w:color="D4D4D4"/>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4D4D4"/>
          </w:tcPr>
          <w:p>
            <w:pPr/>
          </w:p>
        </w:tc>
        <w:tc>
          <w:tcPr>
            <w:tcW w:w="1608" w:type="dxa"/>
            <w:gridSpan w:val="3"/>
            <w:vMerge/>
            <w:tcBorders>
              <w:left w:val="single" w:sz="10" w:space="0" w:color="D4D4D4"/>
              <w:right w:val="single" w:sz="10" w:space="0" w:color="D4D4D4"/>
            </w:tcBorders>
          </w:tcPr>
          <w:p>
            <w:pPr/>
          </w:p>
        </w:tc>
        <w:tc>
          <w:tcPr>
            <w:tcW w:w="1568" w:type="dxa"/>
            <w:gridSpan w:val="2"/>
            <w:vMerge/>
            <w:tcBorders>
              <w:left w:val="single" w:sz="4" w:space="0" w:color="000000"/>
              <w:bottom w:val="nil" w:sz="6" w:space="0" w:color="auto"/>
              <w:right w:val="single" w:sz="4" w:space="0" w:color="000000"/>
            </w:tcBorders>
            <w:shd w:val="clear" w:color="auto" w:fill="D4D4D4"/>
          </w:tcPr>
          <w:p>
            <w:pPr/>
          </w:p>
        </w:tc>
        <w:tc>
          <w:tcPr>
            <w:tcW w:w="1619" w:type="dxa"/>
            <w:gridSpan w:val="3"/>
            <w:vMerge/>
            <w:tcBorders>
              <w:left w:val="single" w:sz="10" w:space="0" w:color="D4D4D4"/>
              <w:right w:val="single" w:sz="10" w:space="0" w:color="D4D4D4"/>
            </w:tcBorders>
          </w:tcPr>
          <w:p>
            <w:pPr/>
          </w:p>
        </w:tc>
        <w:tc>
          <w:tcPr>
            <w:tcW w:w="1571" w:type="dxa"/>
            <w:gridSpan w:val="2"/>
            <w:vMerge/>
            <w:tcBorders>
              <w:left w:val="single" w:sz="4" w:space="0" w:color="000000"/>
              <w:right w:val="single" w:sz="4" w:space="0" w:color="000000"/>
            </w:tcBorders>
            <w:shd w:val="clear" w:color="auto" w:fill="D4D4D4"/>
          </w:tcPr>
          <w:p>
            <w:pPr/>
          </w:p>
        </w:tc>
        <w:tc>
          <w:tcPr>
            <w:tcW w:w="1607" w:type="dxa"/>
            <w:gridSpan w:val="2"/>
            <w:vMerge/>
            <w:tcBorders>
              <w:left w:val="single" w:sz="12" w:space="0" w:color="D4D4D4"/>
              <w:right w:val="single" w:sz="4" w:space="0" w:color="000000"/>
            </w:tcBorders>
          </w:tcPr>
          <w:p>
            <w:pPr/>
          </w:p>
        </w:tc>
      </w:tr>
      <w:tr>
        <w:trPr>
          <w:trHeight w:val="166" w:hRule="exact"/>
        </w:trPr>
        <w:tc>
          <w:tcPr>
            <w:tcW w:w="1596" w:type="dxa"/>
            <w:gridSpan w:val="2"/>
            <w:vMerge/>
            <w:tcBorders>
              <w:left w:val="single" w:sz="4" w:space="0" w:color="000000"/>
              <w:bottom w:val="single" w:sz="4" w:space="0" w:color="000000"/>
              <w:right w:val="single" w:sz="4" w:space="0" w:color="000000"/>
            </w:tcBorders>
            <w:shd w:val="clear" w:color="auto" w:fill="D4D4D4"/>
          </w:tcPr>
          <w:p>
            <w:pPr/>
          </w:p>
        </w:tc>
        <w:tc>
          <w:tcPr>
            <w:tcW w:w="1608" w:type="dxa"/>
            <w:gridSpan w:val="3"/>
            <w:vMerge/>
            <w:tcBorders>
              <w:left w:val="single" w:sz="10" w:space="0" w:color="D4D4D4"/>
              <w:bottom w:val="single" w:sz="4" w:space="0" w:color="000000"/>
              <w:right w:val="single" w:sz="10" w:space="0" w:color="D4D4D4"/>
            </w:tcBorders>
          </w:tcPr>
          <w:p>
            <w:pPr/>
          </w:p>
        </w:tc>
        <w:tc>
          <w:tcPr>
            <w:tcW w:w="15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619" w:type="dxa"/>
            <w:gridSpan w:val="3"/>
            <w:vMerge/>
            <w:tcBorders>
              <w:left w:val="single" w:sz="10" w:space="0" w:color="D4D4D4"/>
              <w:bottom w:val="single" w:sz="4" w:space="0" w:color="000000"/>
              <w:right w:val="single" w:sz="10" w:space="0" w:color="D4D4D4"/>
            </w:tcBorders>
          </w:tcPr>
          <w:p>
            <w:pPr/>
          </w:p>
        </w:tc>
        <w:tc>
          <w:tcPr>
            <w:tcW w:w="1571" w:type="dxa"/>
            <w:gridSpan w:val="2"/>
            <w:vMerge/>
            <w:tcBorders>
              <w:left w:val="single" w:sz="4" w:space="0" w:color="000000"/>
              <w:bottom w:val="single" w:sz="4" w:space="0" w:color="000000"/>
              <w:right w:val="single" w:sz="4" w:space="0" w:color="000000"/>
            </w:tcBorders>
            <w:shd w:val="clear" w:color="auto" w:fill="D4D4D4"/>
          </w:tcPr>
          <w:p>
            <w:pPr/>
          </w:p>
        </w:tc>
        <w:tc>
          <w:tcPr>
            <w:tcW w:w="1607" w:type="dxa"/>
            <w:gridSpan w:val="2"/>
            <w:vMerge/>
            <w:tcBorders>
              <w:left w:val="single" w:sz="12" w:space="0" w:color="D4D4D4"/>
              <w:bottom w:val="single" w:sz="4" w:space="0" w:color="000000"/>
              <w:right w:val="single" w:sz="4" w:space="0" w:color="000000"/>
            </w:tcBorders>
          </w:tcPr>
          <w:p>
            <w:pPr/>
          </w:p>
        </w:tc>
      </w:tr>
      <w:tr>
        <w:trPr>
          <w:trHeight w:val="394"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852" w:type="dxa"/>
            <w:vMerge w:val="restart"/>
            <w:tcBorders>
              <w:top w:val="single" w:sz="4" w:space="0" w:color="000000"/>
              <w:left w:val="single" w:sz="4" w:space="0" w:color="000000"/>
              <w:right w:val="single" w:sz="4" w:space="0" w:color="000000"/>
            </w:tcBorders>
            <w:shd w:val="clear" w:color="auto" w:fill="D4D4D4"/>
          </w:tcPr>
          <w:p>
            <w:pPr/>
          </w:p>
        </w:tc>
        <w:tc>
          <w:tcPr>
            <w:tcW w:w="1133" w:type="dxa"/>
            <w:gridSpan w:val="2"/>
            <w:vMerge w:val="restart"/>
            <w:tcBorders>
              <w:top w:val="single" w:sz="4" w:space="0" w:color="000000"/>
              <w:left w:val="single" w:sz="4" w:space="0" w:color="000000"/>
              <w:right w:val="single" w:sz="4" w:space="0" w:color="000000"/>
            </w:tcBorders>
            <w:shd w:val="clear" w:color="auto" w:fill="D4D4D4"/>
          </w:tcPr>
          <w:p>
            <w:pPr/>
          </w:p>
        </w:tc>
        <w:tc>
          <w:tcPr>
            <w:tcW w:w="850" w:type="dxa"/>
            <w:vMerge w:val="restart"/>
            <w:tcBorders>
              <w:top w:val="single" w:sz="4" w:space="0" w:color="000000"/>
              <w:left w:val="single" w:sz="4" w:space="0" w:color="000000"/>
              <w:right w:val="single" w:sz="4" w:space="0" w:color="FFFFFF"/>
            </w:tcBorders>
            <w:shd w:val="clear" w:color="auto" w:fill="D4D4D4"/>
          </w:tcPr>
          <w:p>
            <w:pPr/>
          </w:p>
        </w:tc>
        <w:tc>
          <w:tcPr>
            <w:tcW w:w="1277" w:type="dxa"/>
            <w:gridSpan w:val="2"/>
            <w:tcBorders>
              <w:top w:val="single" w:sz="4" w:space="0" w:color="000000"/>
              <w:left w:val="single" w:sz="4" w:space="0" w:color="FFFFFF"/>
              <w:bottom w:val="nil" w:sz="6" w:space="0" w:color="auto"/>
              <w:right w:val="single" w:sz="4" w:space="0" w:color="000000"/>
            </w:tcBorders>
            <w:shd w:val="clear" w:color="auto" w:fill="D4D4D4"/>
          </w:tcPr>
          <w:p>
            <w:pPr/>
          </w:p>
        </w:tc>
        <w:tc>
          <w:tcPr>
            <w:tcW w:w="1075"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05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71" w:right="67"/>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41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852" w:type="dxa"/>
            <w:vMerge/>
            <w:tcBorders>
              <w:left w:val="single" w:sz="4" w:space="0" w:color="000000"/>
              <w:bottom w:val="nil" w:sz="6" w:space="0" w:color="auto"/>
              <w:right w:val="single" w:sz="4" w:space="0" w:color="000000"/>
            </w:tcBorders>
            <w:shd w:val="clear" w:color="auto" w:fill="D4D4D4"/>
          </w:tcPr>
          <w:p>
            <w:pPr/>
          </w:p>
        </w:tc>
        <w:tc>
          <w:tcPr>
            <w:tcW w:w="1133" w:type="dxa"/>
            <w:gridSpan w:val="2"/>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FFFFFF"/>
            </w:tcBorders>
            <w:shd w:val="clear" w:color="auto" w:fill="D4D4D4"/>
          </w:tcPr>
          <w:p>
            <w:pPr/>
          </w:p>
        </w:tc>
        <w:tc>
          <w:tcPr>
            <w:tcW w:w="1277" w:type="dxa"/>
            <w:gridSpan w:val="2"/>
            <w:vMerge w:val="restart"/>
            <w:tcBorders>
              <w:top w:val="nil" w:sz="6" w:space="0" w:color="auto"/>
              <w:left w:val="single" w:sz="4" w:space="0" w:color="FFFFFF"/>
              <w:right w:val="single" w:sz="4" w:space="0" w:color="000000"/>
            </w:tcBorders>
            <w:shd w:val="clear" w:color="auto" w:fill="D4D4D4"/>
          </w:tcPr>
          <w:p>
            <w:pPr>
              <w:pStyle w:val="TableParagraph"/>
              <w:spacing w:line="314" w:lineRule="auto" w:before="49"/>
              <w:ind w:left="453" w:right="91"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75"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51" w:type="dxa"/>
            <w:vMerge/>
            <w:tcBorders>
              <w:left w:val="single" w:sz="4" w:space="0" w:color="000000"/>
              <w:right w:val="single" w:sz="4" w:space="0" w:color="000000"/>
            </w:tcBorders>
            <w:shd w:val="clear" w:color="auto" w:fill="D4D4D4"/>
          </w:tcPr>
          <w:p>
            <w:pPr/>
          </w:p>
        </w:tc>
        <w:tc>
          <w:tcPr>
            <w:tcW w:w="1418"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54" w:right="72" w:hanging="180"/>
              <w:jc w:val="left"/>
              <w:rPr>
                <w:rFonts w:ascii="宋体" w:hAnsi="宋体" w:cs="宋体" w:eastAsia="宋体" w:hint="default"/>
                <w:sz w:val="18"/>
                <w:szCs w:val="18"/>
              </w:rPr>
            </w:pPr>
            <w:r>
              <w:rPr>
                <w:rFonts w:ascii="宋体" w:hAnsi="宋体" w:cs="宋体" w:eastAsia="宋体" w:hint="default"/>
                <w:sz w:val="18"/>
                <w:szCs w:val="18"/>
              </w:rPr>
              <w:t>持有无限售条件 的股份数量</w:t>
            </w:r>
          </w:p>
        </w:tc>
        <w:tc>
          <w:tcPr>
            <w:tcW w:w="1913" w:type="dxa"/>
            <w:gridSpan w:val="3"/>
            <w:vMerge/>
            <w:tcBorders>
              <w:left w:val="single" w:sz="4" w:space="0" w:color="000000"/>
              <w:right w:val="single" w:sz="4" w:space="0" w:color="000000"/>
            </w:tcBorders>
            <w:shd w:val="clear" w:color="auto" w:fill="D4D4D4"/>
          </w:tcPr>
          <w:p>
            <w:pPr/>
          </w:p>
        </w:tc>
      </w:tr>
      <w:tr>
        <w:trPr>
          <w:trHeight w:val="139" w:hRule="exact"/>
        </w:trPr>
        <w:tc>
          <w:tcPr>
            <w:tcW w:w="8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FFFFFF"/>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77" w:type="dxa"/>
            <w:gridSpan w:val="2"/>
            <w:vMerge/>
            <w:tcBorders>
              <w:left w:val="single" w:sz="4" w:space="0" w:color="FFFFFF"/>
              <w:right w:val="single" w:sz="4" w:space="0" w:color="000000"/>
            </w:tcBorders>
            <w:shd w:val="clear" w:color="auto" w:fill="D4D4D4"/>
          </w:tcPr>
          <w:p>
            <w:pPr/>
          </w:p>
        </w:tc>
        <w:tc>
          <w:tcPr>
            <w:tcW w:w="1075" w:type="dxa"/>
            <w:gridSpan w:val="2"/>
            <w:vMerge/>
            <w:tcBorders>
              <w:left w:val="single" w:sz="4" w:space="0" w:color="000000"/>
              <w:right w:val="single" w:sz="4" w:space="0" w:color="000000"/>
            </w:tcBorders>
            <w:shd w:val="clear" w:color="auto" w:fill="D4D4D4"/>
          </w:tcPr>
          <w:p>
            <w:pPr/>
          </w:p>
        </w:tc>
        <w:tc>
          <w:tcPr>
            <w:tcW w:w="1051" w:type="dxa"/>
            <w:vMerge/>
            <w:tcBorders>
              <w:left w:val="single" w:sz="4" w:space="0" w:color="000000"/>
              <w:right w:val="single" w:sz="4" w:space="0" w:color="000000"/>
            </w:tcBorders>
            <w:shd w:val="clear" w:color="auto" w:fill="D4D4D4"/>
          </w:tcPr>
          <w:p>
            <w:pPr/>
          </w:p>
        </w:tc>
        <w:tc>
          <w:tcPr>
            <w:tcW w:w="1418" w:type="dxa"/>
            <w:gridSpan w:val="2"/>
            <w:vMerge/>
            <w:tcBorders>
              <w:left w:val="single" w:sz="4" w:space="0" w:color="000000"/>
              <w:right w:val="single" w:sz="4" w:space="0" w:color="000000"/>
            </w:tcBorders>
            <w:shd w:val="clear" w:color="auto" w:fill="D4D4D4"/>
          </w:tcPr>
          <w:p>
            <w:pPr/>
          </w:p>
        </w:tc>
        <w:tc>
          <w:tcPr>
            <w:tcW w:w="1913" w:type="dxa"/>
            <w:gridSpan w:val="3"/>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852" w:type="dxa"/>
            <w:vMerge/>
            <w:tcBorders>
              <w:left w:val="single" w:sz="4" w:space="0" w:color="000000"/>
              <w:bottom w:val="nil" w:sz="6" w:space="0" w:color="auto"/>
              <w:right w:val="single" w:sz="4" w:space="0" w:color="000000"/>
            </w:tcBorders>
            <w:shd w:val="clear" w:color="auto" w:fill="D4D4D4"/>
          </w:tcPr>
          <w:p>
            <w:pPr/>
          </w:p>
        </w:tc>
        <w:tc>
          <w:tcPr>
            <w:tcW w:w="1133" w:type="dxa"/>
            <w:gridSpan w:val="2"/>
            <w:vMerge/>
            <w:tcBorders>
              <w:left w:val="single" w:sz="4" w:space="0" w:color="000000"/>
              <w:bottom w:val="nil" w:sz="6" w:space="0" w:color="auto"/>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FFFFFF"/>
            </w:tcBorders>
            <w:shd w:val="clear" w:color="auto" w:fill="D4D4D4"/>
          </w:tcPr>
          <w:p>
            <w:pPr/>
          </w:p>
        </w:tc>
        <w:tc>
          <w:tcPr>
            <w:tcW w:w="1277" w:type="dxa"/>
            <w:gridSpan w:val="2"/>
            <w:vMerge/>
            <w:tcBorders>
              <w:left w:val="single" w:sz="4" w:space="0" w:color="FFFFFF"/>
              <w:right w:val="single" w:sz="4" w:space="0" w:color="000000"/>
            </w:tcBorders>
            <w:shd w:val="clear" w:color="auto" w:fill="D4D4D4"/>
          </w:tcPr>
          <w:p>
            <w:pPr/>
          </w:p>
        </w:tc>
        <w:tc>
          <w:tcPr>
            <w:tcW w:w="1075" w:type="dxa"/>
            <w:gridSpan w:val="2"/>
            <w:vMerge/>
            <w:tcBorders>
              <w:left w:val="single" w:sz="4" w:space="0" w:color="000000"/>
              <w:right w:val="single" w:sz="4" w:space="0" w:color="000000"/>
            </w:tcBorders>
            <w:shd w:val="clear" w:color="auto" w:fill="D4D4D4"/>
          </w:tcPr>
          <w:p>
            <w:pPr/>
          </w:p>
        </w:tc>
        <w:tc>
          <w:tcPr>
            <w:tcW w:w="1051" w:type="dxa"/>
            <w:vMerge/>
            <w:tcBorders>
              <w:left w:val="single" w:sz="4" w:space="0" w:color="000000"/>
              <w:right w:val="single" w:sz="4" w:space="0" w:color="000000"/>
            </w:tcBorders>
            <w:shd w:val="clear" w:color="auto" w:fill="D4D4D4"/>
          </w:tcPr>
          <w:p>
            <w:pPr/>
          </w:p>
        </w:tc>
        <w:tc>
          <w:tcPr>
            <w:tcW w:w="1418" w:type="dxa"/>
            <w:gridSpan w:val="2"/>
            <w:vMerge/>
            <w:tcBorders>
              <w:left w:val="single" w:sz="4" w:space="0" w:color="000000"/>
              <w:right w:val="single" w:sz="4" w:space="0" w:color="000000"/>
            </w:tcBorders>
            <w:shd w:val="clear" w:color="auto" w:fill="D4D4D4"/>
          </w:tcPr>
          <w:p>
            <w:pPr/>
          </w:p>
        </w:tc>
        <w:tc>
          <w:tcPr>
            <w:tcW w:w="99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13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852" w:type="dxa"/>
            <w:vMerge w:val="restart"/>
            <w:tcBorders>
              <w:top w:val="nil" w:sz="6" w:space="0" w:color="auto"/>
              <w:left w:val="single" w:sz="4" w:space="0" w:color="000000"/>
              <w:right w:val="single" w:sz="4" w:space="0" w:color="000000"/>
            </w:tcBorders>
            <w:shd w:val="clear" w:color="auto" w:fill="D4D4D4"/>
          </w:tcPr>
          <w:p>
            <w:pPr/>
          </w:p>
        </w:tc>
        <w:tc>
          <w:tcPr>
            <w:tcW w:w="1133" w:type="dxa"/>
            <w:gridSpan w:val="2"/>
            <w:vMerge w:val="restart"/>
            <w:tcBorders>
              <w:top w:val="nil" w:sz="6" w:space="0" w:color="auto"/>
              <w:left w:val="single" w:sz="4" w:space="0" w:color="000000"/>
              <w:right w:val="single" w:sz="4" w:space="0" w:color="000000"/>
            </w:tcBorders>
            <w:shd w:val="clear" w:color="auto" w:fill="D4D4D4"/>
          </w:tcPr>
          <w:p>
            <w:pPr/>
          </w:p>
        </w:tc>
        <w:tc>
          <w:tcPr>
            <w:tcW w:w="850" w:type="dxa"/>
            <w:vMerge w:val="restart"/>
            <w:tcBorders>
              <w:top w:val="nil" w:sz="6" w:space="0" w:color="auto"/>
              <w:left w:val="single" w:sz="4" w:space="0" w:color="000000"/>
              <w:right w:val="single" w:sz="4" w:space="0" w:color="FFFFFF"/>
            </w:tcBorders>
            <w:shd w:val="clear" w:color="auto" w:fill="D4D4D4"/>
          </w:tcPr>
          <w:p>
            <w:pPr/>
          </w:p>
        </w:tc>
        <w:tc>
          <w:tcPr>
            <w:tcW w:w="1277" w:type="dxa"/>
            <w:gridSpan w:val="2"/>
            <w:vMerge/>
            <w:tcBorders>
              <w:left w:val="single" w:sz="4" w:space="0" w:color="FFFFFF"/>
              <w:bottom w:val="nil" w:sz="6" w:space="0" w:color="auto"/>
              <w:right w:val="single" w:sz="4" w:space="0" w:color="000000"/>
            </w:tcBorders>
            <w:shd w:val="clear" w:color="auto" w:fill="D4D4D4"/>
          </w:tcPr>
          <w:p>
            <w:pPr/>
          </w:p>
        </w:tc>
        <w:tc>
          <w:tcPr>
            <w:tcW w:w="1075" w:type="dxa"/>
            <w:gridSpan w:val="2"/>
            <w:vMerge/>
            <w:tcBorders>
              <w:left w:val="single" w:sz="4" w:space="0" w:color="000000"/>
              <w:bottom w:val="nil" w:sz="6" w:space="0" w:color="auto"/>
              <w:right w:val="single" w:sz="4" w:space="0" w:color="000000"/>
            </w:tcBorders>
            <w:shd w:val="clear" w:color="auto" w:fill="D4D4D4"/>
          </w:tcPr>
          <w:p>
            <w:pPr/>
          </w:p>
        </w:tc>
        <w:tc>
          <w:tcPr>
            <w:tcW w:w="1051" w:type="dxa"/>
            <w:vMerge/>
            <w:tcBorders>
              <w:left w:val="single" w:sz="4" w:space="0" w:color="000000"/>
              <w:right w:val="single" w:sz="4" w:space="0" w:color="000000"/>
            </w:tcBorders>
            <w:shd w:val="clear" w:color="auto" w:fill="D4D4D4"/>
          </w:tcPr>
          <w:p>
            <w:pPr/>
          </w:p>
        </w:tc>
        <w:tc>
          <w:tcPr>
            <w:tcW w:w="1418" w:type="dxa"/>
            <w:gridSpan w:val="2"/>
            <w:vMerge/>
            <w:tcBorders>
              <w:left w:val="single" w:sz="4" w:space="0" w:color="000000"/>
              <w:bottom w:val="nil" w:sz="6" w:space="0" w:color="auto"/>
              <w:right w:val="single" w:sz="4" w:space="0" w:color="000000"/>
            </w:tcBorders>
            <w:shd w:val="clear" w:color="auto" w:fill="D4D4D4"/>
          </w:tcPr>
          <w:p>
            <w:pPr/>
          </w:p>
        </w:tc>
        <w:tc>
          <w:tcPr>
            <w:tcW w:w="991" w:type="dxa"/>
            <w:gridSpan w:val="2"/>
            <w:vMerge/>
            <w:tcBorders>
              <w:left w:val="single" w:sz="4" w:space="0" w:color="000000"/>
              <w:right w:val="single" w:sz="4" w:space="0" w:color="000000"/>
            </w:tcBorders>
            <w:shd w:val="clear" w:color="auto" w:fill="D4D4D4"/>
          </w:tcPr>
          <w:p>
            <w:pPr/>
          </w:p>
        </w:tc>
        <w:tc>
          <w:tcPr>
            <w:tcW w:w="922" w:type="dxa"/>
            <w:vMerge/>
            <w:tcBorders>
              <w:left w:val="single" w:sz="4" w:space="0" w:color="000000"/>
              <w:right w:val="single" w:sz="4" w:space="0" w:color="000000"/>
            </w:tcBorders>
            <w:shd w:val="clear" w:color="auto" w:fill="D4D4D4"/>
          </w:tcPr>
          <w:p>
            <w:pPr/>
          </w:p>
        </w:tc>
      </w:tr>
      <w:tr>
        <w:trPr>
          <w:trHeight w:val="161" w:hRule="exact"/>
        </w:trPr>
        <w:tc>
          <w:tcPr>
            <w:tcW w:w="852" w:type="dxa"/>
            <w:vMerge/>
            <w:tcBorders>
              <w:left w:val="single" w:sz="4" w:space="0" w:color="000000"/>
              <w:bottom w:val="single" w:sz="4" w:space="0" w:color="000000"/>
              <w:right w:val="single" w:sz="4" w:space="0" w:color="000000"/>
            </w:tcBorders>
            <w:shd w:val="clear" w:color="auto" w:fill="D4D4D4"/>
          </w:tcPr>
          <w:p>
            <w:pPr/>
          </w:p>
        </w:tc>
        <w:tc>
          <w:tcPr>
            <w:tcW w:w="1133" w:type="dxa"/>
            <w:gridSpan w:val="2"/>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FFFFFF"/>
            </w:tcBorders>
            <w:shd w:val="clear" w:color="auto" w:fill="D4D4D4"/>
          </w:tcPr>
          <w:p>
            <w:pPr/>
          </w:p>
        </w:tc>
        <w:tc>
          <w:tcPr>
            <w:tcW w:w="1277" w:type="dxa"/>
            <w:gridSpan w:val="2"/>
            <w:tcBorders>
              <w:top w:val="nil" w:sz="6" w:space="0" w:color="auto"/>
              <w:left w:val="single" w:sz="4" w:space="0" w:color="FFFFFF"/>
              <w:bottom w:val="single" w:sz="4" w:space="0" w:color="000000"/>
              <w:right w:val="single" w:sz="4" w:space="0" w:color="000000"/>
            </w:tcBorders>
            <w:shd w:val="clear" w:color="auto" w:fill="D4D4D4"/>
          </w:tcPr>
          <w:p>
            <w:pPr/>
          </w:p>
        </w:tc>
        <w:tc>
          <w:tcPr>
            <w:tcW w:w="1075"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51" w:type="dxa"/>
            <w:vMerge/>
            <w:tcBorders>
              <w:left w:val="single" w:sz="4" w:space="0" w:color="000000"/>
              <w:bottom w:val="single" w:sz="4" w:space="0" w:color="000000"/>
              <w:right w:val="single" w:sz="4" w:space="0" w:color="000000"/>
            </w:tcBorders>
            <w:shd w:val="clear" w:color="auto" w:fill="D4D4D4"/>
          </w:tcPr>
          <w:p>
            <w:pPr/>
          </w:p>
        </w:tc>
        <w:tc>
          <w:tcPr>
            <w:tcW w:w="141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991" w:type="dxa"/>
            <w:gridSpan w:val="2"/>
            <w:vMerge/>
            <w:tcBorders>
              <w:left w:val="single" w:sz="4" w:space="0" w:color="000000"/>
              <w:bottom w:val="single" w:sz="4" w:space="0" w:color="000000"/>
              <w:right w:val="single" w:sz="4" w:space="0" w:color="000000"/>
            </w:tcBorders>
            <w:shd w:val="clear" w:color="auto" w:fill="D4D4D4"/>
          </w:tcPr>
          <w:p>
            <w:pPr/>
          </w:p>
        </w:tc>
        <w:tc>
          <w:tcPr>
            <w:tcW w:w="922"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23.09%</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143,655,740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56,327,870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130,991,804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12,663,936</w:t>
            </w:r>
          </w:p>
        </w:tc>
        <w:tc>
          <w:tcPr>
            <w:tcW w:w="991" w:type="dxa"/>
            <w:gridSpan w:val="2"/>
            <w:tcBorders>
              <w:top w:val="single" w:sz="48" w:space="0" w:color="D4D4D4"/>
              <w:left w:val="single" w:sz="4" w:space="0" w:color="000000"/>
              <w:bottom w:val="single" w:sz="4" w:space="0" w:color="000000"/>
              <w:right w:val="single" w:sz="4" w:space="0" w:color="000000"/>
            </w:tcBorders>
          </w:tcPr>
          <w:p>
            <w:pPr/>
          </w:p>
        </w:tc>
        <w:tc>
          <w:tcPr>
            <w:tcW w:w="922" w:type="dxa"/>
            <w:tcBorders>
              <w:top w:val="single" w:sz="48" w:space="0" w:color="D4D4D4"/>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10.20%</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63,487,766</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21,162,633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63,487,700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23,750,000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1.12%</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6,960,000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3,480,000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5,220,000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1,740,000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0.95%</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5,900,342</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2,950,171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5,900,342</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0.91%</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5,683,994</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1,894,664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5,683,994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0.90%</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5,596,146</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2,423,073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4,759,608</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1" w:right="0"/>
              <w:jc w:val="left"/>
              <w:rPr>
                <w:rFonts w:ascii="Times New Roman" w:hAnsi="Times New Roman" w:cs="Times New Roman" w:eastAsia="Times New Roman" w:hint="default"/>
                <w:sz w:val="18"/>
                <w:szCs w:val="18"/>
              </w:rPr>
            </w:pPr>
            <w:r>
              <w:rPr>
                <w:rFonts w:ascii="Times New Roman"/>
                <w:sz w:val="18"/>
              </w:rPr>
              <w:t>836,538</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0.65%</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4,049,610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2,950,171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4,049,610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0.64%</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3,994,160</w:t>
            </w:r>
          </w:p>
        </w:tc>
        <w:tc>
          <w:tcPr>
            <w:tcW w:w="1075" w:type="dxa"/>
            <w:gridSpan w:val="2"/>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3,994,160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候强</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0.56%</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3,500,000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3,500,000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3,500,000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0.39%</w:t>
            </w:r>
          </w:p>
        </w:tc>
        <w:tc>
          <w:tcPr>
            <w:tcW w:w="127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2,452,000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874,100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2,366,850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85,150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44"/>
        <w:ind w:left="0" w:right="158"/>
        <w:jc w:val="right"/>
      </w:pPr>
      <w:r>
        <w:rPr/>
        <w:pict>
          <v:shape style="position:absolute;margin-left:56.400002pt;margin-top:-388.088287pt;width:479.2pt;height:498.2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4"/>
                    <w:gridCol w:w="755"/>
                    <w:gridCol w:w="4106"/>
                    <w:gridCol w:w="1368"/>
                    <w:gridCol w:w="1366"/>
                  </w:tblGrid>
                  <w:tr>
                    <w:trPr>
                      <w:trHeight w:val="1337"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战略投资者或一般法人 因配售新股成为前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9"/>
                            <w:sz w:val="18"/>
                            <w:szCs w:val="18"/>
                          </w:rPr>
                          <w:t>股东的情况（如有）（参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595" w:type="dxa"/>
                        <w:gridSpan w:val="4"/>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38"/>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7595" w:type="dxa"/>
                        <w:gridSpan w:val="4"/>
                        <w:tcBorders>
                          <w:top w:val="single" w:sz="4" w:space="0" w:color="000000"/>
                          <w:left w:val="single" w:sz="9" w:space="0" w:color="D4D4D4"/>
                          <w:bottom w:val="single" w:sz="4" w:space="0" w:color="000000"/>
                          <w:right w:val="single" w:sz="4" w:space="0" w:color="000000"/>
                        </w:tcBorders>
                      </w:tcPr>
                      <w:p>
                        <w:pPr>
                          <w:pStyle w:val="TableParagraph"/>
                          <w:spacing w:line="297" w:lineRule="auto" w:before="51"/>
                          <w:ind w:left="28" w:right="19"/>
                          <w:jc w:val="left"/>
                          <w:rPr>
                            <w:rFonts w:ascii="宋体" w:hAnsi="宋体" w:cs="宋体" w:eastAsia="宋体" w:hint="default"/>
                            <w:sz w:val="18"/>
                            <w:szCs w:val="18"/>
                          </w:rPr>
                        </w:pPr>
                        <w:r>
                          <w:rPr>
                            <w:rFonts w:ascii="宋体" w:hAnsi="宋体" w:cs="宋体" w:eastAsia="宋体" w:hint="default"/>
                            <w:spacing w:val="-2"/>
                            <w:sz w:val="18"/>
                            <w:szCs w:val="18"/>
                          </w:rPr>
                          <w:t>公司前十名股东中，鲁波为鲁峰之胞兄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杨学圆为鲁峰胞妹之配偶，候强为侯伟之胞弟。除上述情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况外，其他前十名股东之间未知是否存在关联关系，也未知是否属于一致行动人。</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4106"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729" w:type="dxa"/>
                        <w:gridSpan w:val="2"/>
                        <w:vMerge/>
                        <w:tcBorders>
                          <w:left w:val="single" w:sz="4" w:space="0" w:color="000000"/>
                          <w:bottom w:val="nil" w:sz="6" w:space="0" w:color="auto"/>
                          <w:right w:val="single" w:sz="4" w:space="0" w:color="000000"/>
                        </w:tcBorders>
                        <w:shd w:val="clear" w:color="auto" w:fill="D4D4D4"/>
                      </w:tcPr>
                      <w:p>
                        <w:pPr/>
                      </w:p>
                    </w:tc>
                    <w:tc>
                      <w:tcPr>
                        <w:tcW w:w="4106"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410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12,663,936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12,663,936</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3,994,160</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候强</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2,170,000</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1,740,000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周继勇</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胡懿君</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1,486,500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1,486,500</w:t>
                        </w: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平安信托有限责任公司－平安步 步高集合资金信托</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耿贤华</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1,057,282</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吴伟</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1,040,449</w:t>
                        </w:r>
                      </w:p>
                    </w:tc>
                  </w:tr>
                  <w:tr>
                    <w:trPr>
                      <w:trHeight w:val="1339"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公司前十名股东中，鲁波为鲁峰之胞兄</w:t>
                        </w:r>
                        <w:r>
                          <w:rPr>
                            <w:rFonts w:ascii="Times New Roman" w:hAnsi="Times New Roman" w:cs="Times New Roman" w:eastAsia="Times New Roman" w:hint="default"/>
                            <w:sz w:val="18"/>
                            <w:szCs w:val="18"/>
                          </w:rPr>
                          <w:t>,</w:t>
                        </w:r>
                        <w:r>
                          <w:rPr>
                            <w:rFonts w:ascii="宋体" w:hAnsi="宋体" w:cs="宋体" w:eastAsia="宋体" w:hint="default"/>
                            <w:sz w:val="18"/>
                            <w:szCs w:val="18"/>
                          </w:rPr>
                          <w:t>杨学圆为鲁峰胞妹之配偶，候强为侯伟之胞弟 </w:t>
                        </w:r>
                        <w:r>
                          <w:rPr>
                            <w:rFonts w:ascii="宋体" w:hAnsi="宋体" w:cs="宋体" w:eastAsia="宋体" w:hint="default"/>
                            <w:spacing w:val="-2"/>
                            <w:sz w:val="18"/>
                            <w:szCs w:val="18"/>
                          </w:rPr>
                          <w:t>除上述情况外，其他前十名股东之间未知是否存在关联关系，也未知是否属于一致行动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w:t>
                        </w:r>
                      </w:p>
                    </w:tc>
                  </w:tr>
                  <w:tr>
                    <w:trPr>
                      <w:trHeight w:val="1027"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胡懿君参与融资融券，信用证券账户持有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1,486,500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股；耿贤华参与融资融券，信用证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1,057,282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股；吴伟参与融资融券，信用证券账户持有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1,040,300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股，与其普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通证券账户合计持有公司股份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1,040,449 </w:t>
                        </w:r>
                        <w:r>
                          <w:rPr>
                            <w:rFonts w:ascii="宋体" w:hAnsi="宋体" w:cs="宋体" w:eastAsia="宋体" w:hint="default"/>
                            <w:sz w:val="18"/>
                            <w:szCs w:val="18"/>
                          </w:rPr>
                          <w:t>股。</w:t>
                        </w:r>
                      </w:p>
                    </w:tc>
                  </w:tr>
                </w:tbl>
                <w:p>
                  <w:pPr/>
                </w:p>
              </w:txbxContent>
            </v:textbox>
            <w10:wrap type="none"/>
          </v:shape>
        </w:pict>
      </w:r>
      <w:bookmarkStart w:name="2、公司控股股东情况" w:id="103"/>
      <w:bookmarkEnd w:id="103"/>
      <w:r>
        <w:rPr/>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44"/>
        <w:ind w:right="791"/>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7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791"/>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4、其他持股在10%以上的法人股东" w:id="104"/>
      <w:bookmarkEnd w:id="104"/>
      <w:r>
        <w:rPr/>
      </w:r>
      <w:bookmarkStart w:name="四、公司股东及其一致行动人在报告期提出或实施股份增持计划的情况" w:id="105"/>
      <w:bookmarkEnd w:id="105"/>
      <w:r>
        <w:rPr/>
      </w: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3</w:t>
      </w:r>
      <w:bookmarkStart w:name="3、公司实际控制人情况" w:id="106"/>
      <w:bookmarkEnd w:id="106"/>
      <w:r>
        <w:rPr>
          <w:rFonts w:ascii="Times New Roman" w:hAnsi="Times New Roman" w:cs="Times New Roman" w:eastAsia="Times New Roman" w:hint="default"/>
        </w:rPr>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791"/>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24"/>
          <w:szCs w:val="24"/>
        </w:rPr>
      </w:pPr>
    </w:p>
    <w:p>
      <w:pPr>
        <w:spacing w:line="2850" w:lineRule="exact"/>
        <w:ind w:left="2333"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371833" cy="18097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3371833" cy="1809750"/>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3"/>
        <w:rPr>
          <w:rFonts w:ascii="宋体" w:hAnsi="宋体" w:cs="宋体" w:eastAsia="宋体" w:hint="default"/>
          <w:sz w:val="26"/>
          <w:szCs w:val="26"/>
        </w:rPr>
      </w:pPr>
    </w:p>
    <w:p>
      <w:pPr>
        <w:pStyle w:val="BodyText"/>
        <w:spacing w:line="240" w:lineRule="auto"/>
        <w:ind w:right="791"/>
        <w:jc w:val="left"/>
      </w:pPr>
      <w:r>
        <w:rPr/>
        <w:t>实际控制人通过信托或其他资产管理方式控制公司</w:t>
      </w:r>
    </w:p>
    <w:p>
      <w:pPr>
        <w:pStyle w:val="BodyText"/>
        <w:spacing w:line="240" w:lineRule="auto" w:before="117"/>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791"/>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2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在公司所知的范围内，没有公司股东及其一致行动人在报告期提出或实施股份增持计划。</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791"/>
        <w:jc w:val="left"/>
        <w:rPr>
          <w:b w:val="0"/>
          <w:bCs w:val="0"/>
        </w:rPr>
      </w:pPr>
      <w:bookmarkStart w:name="第七节 优先股相关情况" w:id="107"/>
      <w:bookmarkEnd w:id="107"/>
      <w:r>
        <w:rPr>
          <w:b w:val="0"/>
          <w:bCs w:val="0"/>
        </w:rPr>
      </w:r>
      <w:bookmarkStart w:name="_bookmark6" w:id="108"/>
      <w:bookmarkEnd w:id="108"/>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791"/>
        <w:jc w:val="left"/>
        <w:rPr>
          <w:b w:val="0"/>
          <w:bCs w:val="0"/>
        </w:rPr>
      </w:pPr>
      <w:bookmarkStart w:name="第八节 董事、监事、高级管理人员和员工情况" w:id="109"/>
      <w:bookmarkEnd w:id="109"/>
      <w:r>
        <w:rPr>
          <w:b w:val="0"/>
          <w:bCs w:val="0"/>
        </w:rPr>
      </w:r>
      <w:bookmarkStart w:name="_bookmark7" w:id="110"/>
      <w:bookmarkEnd w:id="110"/>
      <w:r>
        <w:rPr>
          <w:b w:val="0"/>
          <w:bCs w:val="0"/>
        </w:rPr>
      </w:r>
      <w:r>
        <w:rPr/>
        <w:t>第八节</w:t>
      </w:r>
      <w:r>
        <w:rPr>
          <w:spacing w:val="-11"/>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791"/>
        <w:jc w:val="left"/>
        <w:rPr>
          <w:b w:val="0"/>
          <w:bCs w:val="0"/>
        </w:rPr>
      </w:pPr>
      <w:r>
        <w:rPr/>
        <w:t>一、董事、监</w:t>
      </w:r>
      <w:bookmarkStart w:name="一、董事、监事和高级管理人员持股变动" w:id="111"/>
      <w:bookmarkEnd w:id="111"/>
      <w:r>
        <w:rPr/>
        <w:t>事</w:t>
      </w:r>
      <w:r>
        <w:rPr/>
        <w:t>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240" w:lineRule="auto" w:before="44"/>
        <w:ind w:left="0" w:right="1223"/>
        <w:jc w:val="right"/>
      </w:pPr>
      <w:r>
        <w:rPr/>
        <w:pict>
          <v:shape style="position:absolute;margin-left:56.400002pt;margin-top:-24.128296pt;width:478.95pt;height:587.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516"/>
                    <w:gridCol w:w="566"/>
                    <w:gridCol w:w="991"/>
                    <w:gridCol w:w="994"/>
                    <w:gridCol w:w="991"/>
                    <w:gridCol w:w="850"/>
                    <w:gridCol w:w="994"/>
                    <w:gridCol w:w="71"/>
                    <w:gridCol w:w="988"/>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38"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2"/>
                            <w:sz w:val="18"/>
                            <w:szCs w:val="18"/>
                          </w:rPr>
                          <w:t>份数量（股</w:t>
                        </w:r>
                      </w:p>
                    </w:tc>
                    <w:tc>
                      <w:tcPr>
                        <w:tcW w:w="71" w:type="dxa"/>
                        <w:tcBorders>
                          <w:top w:val="single" w:sz="4" w:space="0" w:color="000000"/>
                          <w:left w:val="single" w:sz="4" w:space="0" w:color="000000"/>
                          <w:bottom w:val="single" w:sz="4" w:space="0" w:color="000000"/>
                          <w:right w:val="nil" w:sz="6" w:space="0" w:color="auto"/>
                        </w:tcBorders>
                        <w:shd w:val="clear" w:color="auto" w:fill="D4D4D4"/>
                      </w:tcPr>
                      <w:p>
                        <w:pPr/>
                      </w:p>
                    </w:tc>
                    <w:tc>
                      <w:tcPr>
                        <w:tcW w:w="988"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63"/>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87,327,870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31,000,000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143,655,740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副董事长 常务副总 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42,325,133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21,162,500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63,487,766</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3,173,073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750,000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5,596,146</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3,789,330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1,894,666</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5,683,994</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3,933,562</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983,391</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5,900,342</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2,699,740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1,349,870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4,049,610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毕振东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刘兆才</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7"/>
                            <w:sz w:val="18"/>
                            <w:szCs w:val="18"/>
                          </w:rPr>
                          <w:t>、</w:t>
                        </w:r>
                        <w:r>
                          <w:rPr>
                            <w:rFonts w:ascii="宋体" w:hAnsi="宋体" w:cs="宋体" w:eastAsia="宋体" w:hint="default"/>
                            <w:sz w:val="18"/>
                            <w:szCs w:val="18"/>
                          </w:rPr>
                          <w:t>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703,800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2,452,000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312" w:lineRule="exact"/>
        <w:ind w:left="189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516"/>
        <w:gridCol w:w="566"/>
        <w:gridCol w:w="991"/>
        <w:gridCol w:w="994"/>
        <w:gridCol w:w="991"/>
        <w:gridCol w:w="850"/>
        <w:gridCol w:w="994"/>
        <w:gridCol w:w="1058"/>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6,960,000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150,496,608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57,844,227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242,165,598</w:t>
            </w:r>
          </w:p>
        </w:tc>
      </w:tr>
    </w:tbl>
    <w:p>
      <w:pPr>
        <w:spacing w:line="240" w:lineRule="auto" w:before="1"/>
        <w:rPr>
          <w:rFonts w:ascii="宋体" w:hAnsi="宋体" w:cs="宋体" w:eastAsia="宋体" w:hint="default"/>
          <w:sz w:val="18"/>
          <w:szCs w:val="18"/>
        </w:rPr>
      </w:pPr>
    </w:p>
    <w:p>
      <w:pPr>
        <w:pStyle w:val="Heading2"/>
        <w:spacing w:line="240" w:lineRule="auto" w:before="26"/>
        <w:ind w:right="186"/>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72" w:right="186" w:hanging="420"/>
        <w:jc w:val="left"/>
      </w:pPr>
      <w:r>
        <w:rPr/>
        <w:t>公司现任董事、监事、高级管理人员最近</w:t>
      </w:r>
      <w:r>
        <w:rPr>
          <w:spacing w:val="-46"/>
        </w:rPr>
        <w:t> </w:t>
      </w:r>
      <w:r>
        <w:rPr>
          <w:rFonts w:ascii="Times New Roman" w:hAnsi="Times New Roman" w:cs="Times New Roman" w:eastAsia="Times New Roman" w:hint="default"/>
        </w:rPr>
        <w:t>5 </w:t>
      </w:r>
      <w:r>
        <w:rPr/>
        <w:t>年的主要工作经历 鲁峰：中国国籍，无境外永久居留权，男，</w:t>
      </w:r>
      <w:r>
        <w:rPr>
          <w:rFonts w:ascii="Times New Roman" w:hAnsi="Times New Roman" w:cs="Times New Roman" w:eastAsia="Times New Roman" w:hint="default"/>
        </w:rPr>
        <w:t>1967</w:t>
      </w:r>
      <w:r>
        <w:rPr/>
        <w:t>年生，毕业于中科院</w:t>
      </w:r>
      <w:bookmarkStart w:name="二、任职情况" w:id="112"/>
      <w:bookmarkEnd w:id="112"/>
      <w:r>
        <w:rPr/>
        <w:t>沈阳</w:t>
      </w:r>
      <w:r>
        <w:rPr/>
        <w:t>计算技术研究所，研究生学历，工学硕士学</w:t>
      </w:r>
    </w:p>
    <w:p>
      <w:pPr>
        <w:pStyle w:val="BodyText"/>
        <w:spacing w:line="230" w:lineRule="exact"/>
        <w:ind w:right="0"/>
        <w:jc w:val="left"/>
      </w:pPr>
      <w:r>
        <w:rPr/>
        <w:t>位。长期从事行业应用软件开发及计算机信息系统集成工作，</w:t>
      </w:r>
      <w:r>
        <w:rPr>
          <w:rFonts w:ascii="Times New Roman" w:hAnsi="Times New Roman" w:cs="Times New Roman" w:eastAsia="Times New Roman" w:hint="default"/>
        </w:rPr>
        <w:t>1993</w:t>
      </w:r>
      <w:r>
        <w:rPr/>
        <w:t>年参与创建福建榕基软件开发有限公司，主持业务、研发</w:t>
      </w:r>
    </w:p>
    <w:p>
      <w:pPr>
        <w:pStyle w:val="BodyText"/>
        <w:spacing w:line="300" w:lineRule="auto" w:before="62"/>
        <w:ind w:right="94"/>
        <w:jc w:val="left"/>
      </w:pPr>
      <w:r>
        <w:rPr>
          <w:spacing w:val="-2"/>
        </w:rPr>
        <w:t>和技术管理工作。</w:t>
      </w:r>
      <w:r>
        <w:rPr>
          <w:rFonts w:ascii="Times New Roman" w:hAnsi="Times New Roman" w:cs="Times New Roman" w:eastAsia="Times New Roman" w:hint="default"/>
          <w:spacing w:val="-2"/>
        </w:rPr>
        <w:t>2004</w:t>
      </w:r>
      <w:r>
        <w:rPr>
          <w:spacing w:val="-2"/>
        </w:rPr>
        <w:t>年，荣获福建省人事厅、信息产业厅颁发的</w:t>
      </w:r>
      <w:r>
        <w:rPr>
          <w:rFonts w:ascii="Times New Roman" w:hAnsi="Times New Roman" w:cs="Times New Roman" w:eastAsia="Times New Roman" w:hint="default"/>
          <w:spacing w:val="-2"/>
        </w:rPr>
        <w:t>“</w:t>
      </w:r>
      <w:r>
        <w:rPr>
          <w:spacing w:val="-2"/>
        </w:rPr>
        <w:t>首届福建省软件杰出人才</w:t>
      </w:r>
      <w:r>
        <w:rPr>
          <w:rFonts w:ascii="Times New Roman" w:hAnsi="Times New Roman" w:cs="Times New Roman" w:eastAsia="Times New Roman" w:hint="default"/>
          <w:spacing w:val="-2"/>
        </w:rPr>
        <w:t>”</w:t>
      </w:r>
      <w:r>
        <w:rPr>
          <w:spacing w:val="-2"/>
        </w:rPr>
        <w:t>荣誉称号。</w:t>
      </w:r>
      <w:r>
        <w:rPr>
          <w:rFonts w:ascii="Times New Roman" w:hAnsi="Times New Roman" w:cs="Times New Roman" w:eastAsia="Times New Roman" w:hint="default"/>
          <w:spacing w:val="-2"/>
        </w:rPr>
        <w:t>2006</w:t>
      </w:r>
      <w:r>
        <w:rPr>
          <w:spacing w:val="-2"/>
        </w:rPr>
        <w:t>年，荣获福建</w:t>
      </w:r>
      <w:r>
        <w:rPr>
          <w:spacing w:val="-43"/>
        </w:rPr>
        <w:t> </w:t>
      </w:r>
      <w:r>
        <w:rPr>
          <w:spacing w:val="-43"/>
        </w:rPr>
      </w:r>
      <w:r>
        <w:rPr>
          <w:spacing w:val="-2"/>
        </w:rPr>
        <w:t>省</w:t>
      </w:r>
      <w:r>
        <w:rPr>
          <w:rFonts w:ascii="Times New Roman" w:hAnsi="Times New Roman" w:cs="Times New Roman" w:eastAsia="Times New Roman" w:hint="default"/>
          <w:spacing w:val="-2"/>
        </w:rPr>
        <w:t>“</w:t>
      </w:r>
      <w:r>
        <w:rPr>
          <w:spacing w:val="-2"/>
        </w:rPr>
        <w:t>五一</w:t>
      </w:r>
      <w:r>
        <w:rPr>
          <w:rFonts w:ascii="Times New Roman" w:hAnsi="Times New Roman" w:cs="Times New Roman" w:eastAsia="Times New Roman" w:hint="default"/>
          <w:spacing w:val="-2"/>
        </w:rPr>
        <w:t>”</w:t>
      </w:r>
      <w:r>
        <w:rPr>
          <w:spacing w:val="-2"/>
        </w:rPr>
        <w:t>劳动奖章，获得福建省</w:t>
      </w:r>
      <w:r>
        <w:rPr>
          <w:rFonts w:ascii="Times New Roman" w:hAnsi="Times New Roman" w:cs="Times New Roman" w:eastAsia="Times New Roman" w:hint="default"/>
          <w:spacing w:val="-2"/>
        </w:rPr>
        <w:t>“</w:t>
      </w:r>
      <w:r>
        <w:rPr>
          <w:spacing w:val="-2"/>
        </w:rPr>
        <w:t>新长征突击手</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“2006</w:t>
      </w:r>
      <w:r>
        <w:rPr>
          <w:spacing w:val="-2"/>
        </w:rPr>
        <w:t>中国信息产业年度</w:t>
      </w:r>
      <w:r>
        <w:rPr>
          <w:rFonts w:ascii="Times New Roman" w:hAnsi="Times New Roman" w:cs="Times New Roman" w:eastAsia="Times New Roman" w:hint="default"/>
          <w:spacing w:val="-2"/>
        </w:rPr>
        <w:t>10</w:t>
      </w:r>
      <w:r>
        <w:rPr>
          <w:spacing w:val="-2"/>
        </w:rPr>
        <w:t>大新锐人物</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42"/>
        </w:rPr>
        <w:t>、第三届</w:t>
      </w:r>
      <w:r>
        <w:rPr>
          <w:spacing w:val="-11"/>
        </w:rPr>
        <w:t> </w:t>
      </w:r>
      <w:r>
        <w:rPr>
          <w:rFonts w:ascii="Times New Roman" w:hAnsi="Times New Roman" w:cs="Times New Roman" w:eastAsia="Times New Roman" w:hint="default"/>
          <w:spacing w:val="-1"/>
        </w:rPr>
        <w:t>“</w:t>
      </w:r>
      <w:r>
        <w:rPr>
          <w:spacing w:val="-1"/>
        </w:rPr>
        <w:t>中国软件行业杰出青年</w:t>
      </w:r>
      <w:r>
        <w:rPr>
          <w:rFonts w:ascii="Times New Roman" w:hAnsi="Times New Roman" w:cs="Times New Roman" w:eastAsia="Times New Roman" w:hint="default"/>
          <w:spacing w:val="-1"/>
        </w:rPr>
        <w:t>”</w:t>
      </w:r>
      <w:r>
        <w:rPr>
          <w:spacing w:val="-1"/>
        </w:rPr>
        <w:t>、</w:t>
      </w:r>
      <w:r>
        <w:rPr/>
        <w:t> </w:t>
      </w:r>
      <w:r>
        <w:rPr>
          <w:rFonts w:ascii="Times New Roman" w:hAnsi="Times New Roman" w:cs="Times New Roman" w:eastAsia="Times New Roman" w:hint="default"/>
        </w:rPr>
        <w:t>“</w:t>
      </w:r>
      <w:r>
        <w:rPr/>
        <w:t>海西创业英才</w:t>
      </w:r>
      <w:r>
        <w:rPr>
          <w:rFonts w:ascii="Times New Roman" w:hAnsi="Times New Roman" w:cs="Times New Roman" w:eastAsia="Times New Roman" w:hint="default"/>
        </w:rPr>
        <w:t>”</w:t>
      </w:r>
      <w:r>
        <w:rPr/>
        <w:t>等荣誉称号。现任公司董事长、总裁、上海榕基软件开发有限公司执行董事、福建亿榕信息技术有限公司董 事、福建榕基软件工程有限公司执行董事。</w:t>
      </w:r>
    </w:p>
    <w:p>
      <w:pPr>
        <w:pStyle w:val="BodyText"/>
        <w:spacing w:line="309" w:lineRule="auto" w:before="72"/>
        <w:ind w:right="195" w:firstLine="419"/>
        <w:jc w:val="both"/>
      </w:pPr>
      <w:r>
        <w:rPr/>
        <w:t>侯伟：中国国籍，无境外永久居留权，男，</w:t>
      </w:r>
      <w:r>
        <w:rPr>
          <w:rFonts w:ascii="Times New Roman" w:hAnsi="Times New Roman" w:cs="Times New Roman" w:eastAsia="Times New Roman" w:hint="default"/>
        </w:rPr>
        <w:t>1966</w:t>
      </w:r>
      <w:r>
        <w:rPr/>
        <w:t>年生，毕业于郑州大学，本科学历，学士学位。</w:t>
      </w:r>
      <w:r>
        <w:rPr>
          <w:rFonts w:ascii="Times New Roman" w:hAnsi="Times New Roman" w:cs="Times New Roman" w:eastAsia="Times New Roman" w:hint="default"/>
        </w:rPr>
        <w:t>1993</w:t>
      </w:r>
      <w:r>
        <w:rPr/>
        <w:t>年至今在公司工 </w:t>
      </w:r>
      <w:r>
        <w:rPr>
          <w:spacing w:val="-2"/>
        </w:rPr>
        <w:t>作，长期从事公司内务管理和市场管理工作。现任公司副董事长、常务副总裁、浙江榕基信息技术有限公司董事长、福建亿</w:t>
      </w:r>
      <w:r>
        <w:rPr>
          <w:spacing w:val="-67"/>
        </w:rPr>
        <w:t> </w:t>
      </w:r>
      <w:r>
        <w:rPr>
          <w:spacing w:val="-67"/>
        </w:rPr>
      </w:r>
      <w:r>
        <w:rPr/>
        <w:t>榕信息技术有限公司董事。</w:t>
      </w:r>
    </w:p>
    <w:p>
      <w:pPr>
        <w:pStyle w:val="BodyText"/>
        <w:spacing w:line="300" w:lineRule="auto" w:before="65"/>
        <w:ind w:right="189" w:firstLine="420"/>
        <w:jc w:val="both"/>
      </w:pPr>
      <w:r>
        <w:rPr/>
        <w:t>陈明平：中国国籍，无境外永久居留权，男，</w:t>
      </w:r>
      <w:r>
        <w:rPr>
          <w:rFonts w:ascii="Times New Roman" w:hAnsi="Times New Roman" w:cs="Times New Roman" w:eastAsia="Times New Roman" w:hint="default"/>
        </w:rPr>
        <w:t>1974</w:t>
      </w:r>
      <w:r>
        <w:rPr/>
        <w:t>年生，毕业于北京理工大学，本科学历，工程师。长期从事行业应 </w:t>
      </w:r>
      <w:r>
        <w:rPr>
          <w:spacing w:val="-2"/>
        </w:rPr>
        <w:t>用软件开发及计算机信息系统集成工作，</w:t>
      </w:r>
      <w:r>
        <w:rPr>
          <w:rFonts w:ascii="Times New Roman" w:hAnsi="Times New Roman" w:cs="Times New Roman" w:eastAsia="Times New Roman" w:hint="default"/>
          <w:spacing w:val="-2"/>
        </w:rPr>
        <w:t>2001</w:t>
      </w:r>
      <w:r>
        <w:rPr>
          <w:spacing w:val="-2"/>
        </w:rPr>
        <w:t>年加入公司，负责企业技术开发及管理工作。具有较强的技术管理能力，负责</w:t>
      </w:r>
      <w:r>
        <w:rPr>
          <w:spacing w:val="-63"/>
        </w:rPr>
        <w:t> </w:t>
      </w:r>
      <w:r>
        <w:rPr>
          <w:spacing w:val="-63"/>
        </w:rPr>
      </w:r>
      <w:r>
        <w:rPr>
          <w:spacing w:val="-3"/>
        </w:rPr>
        <w:t>公司技术管理体系的建设和维护，对软件行业具有深入的理解和丰富的实践经验，曾获</w:t>
      </w:r>
      <w:r>
        <w:rPr>
          <w:rFonts w:ascii="Times New Roman" w:hAnsi="Times New Roman" w:cs="Times New Roman" w:eastAsia="Times New Roman" w:hint="default"/>
          <w:spacing w:val="-3"/>
        </w:rPr>
        <w:t>“</w:t>
      </w:r>
      <w:r>
        <w:rPr>
          <w:spacing w:val="-3"/>
        </w:rPr>
        <w:t>首届福建</w:t>
      </w:r>
      <w:r>
        <w:rPr>
          <w:rFonts w:ascii="Times New Roman" w:hAnsi="Times New Roman" w:cs="Times New Roman" w:eastAsia="Times New Roman" w:hint="default"/>
          <w:spacing w:val="-3"/>
        </w:rPr>
        <w:t>IT</w:t>
      </w:r>
      <w:r>
        <w:rPr>
          <w:spacing w:val="-3"/>
        </w:rPr>
        <w:t>行业十大杰出青年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第</w:t>
      </w:r>
      <w:r>
        <w:rPr>
          <w:spacing w:val="-54"/>
        </w:rPr>
        <w:t> </w:t>
      </w:r>
      <w:r>
        <w:rPr>
          <w:spacing w:val="-1"/>
        </w:rPr>
        <w:t>二届福建省软件杰出人才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第二届福州市杰出科技人员</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第十二届福建青年科技奖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中国电子学会电子信息科学技术</w:t>
      </w:r>
      <w:r>
        <w:rPr>
          <w:spacing w:val="-59"/>
        </w:rPr>
        <w:t> </w:t>
      </w:r>
      <w:r>
        <w:rPr/>
        <w:t>奖二等奖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。现任公司董事、副总裁兼技术总监、福</w:t>
      </w:r>
      <w:r>
        <w:rPr>
          <w:spacing w:val="-42"/>
        </w:rPr>
        <w:t> </w:t>
      </w:r>
      <w:r>
        <w:rPr>
          <w:spacing w:val="-42"/>
        </w:rPr>
      </w:r>
      <w:r>
        <w:rPr/>
        <w:t>建榕基软件工程有限公司总经理。</w:t>
      </w:r>
    </w:p>
    <w:p>
      <w:pPr>
        <w:pStyle w:val="BodyText"/>
        <w:spacing w:line="300" w:lineRule="auto" w:before="70"/>
        <w:ind w:right="196" w:firstLine="419"/>
        <w:jc w:val="both"/>
      </w:pPr>
      <w:r>
        <w:rPr/>
        <w:t>王捷：中国国籍，无境外永久居留权，男，</w:t>
      </w:r>
      <w:r>
        <w:rPr>
          <w:rFonts w:ascii="Times New Roman" w:hAnsi="Times New Roman" w:cs="Times New Roman" w:eastAsia="Times New Roman" w:hint="default"/>
        </w:rPr>
        <w:t>1965</w:t>
      </w:r>
      <w:r>
        <w:rPr/>
        <w:t>年生，毕业于郑州大学，本科学历。长期从事行业应用软件开发及计 算机信息系统集成工作，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月加入公司。现任公司董事兼副总裁。</w:t>
      </w:r>
    </w:p>
    <w:p>
      <w:pPr>
        <w:pStyle w:val="BodyText"/>
        <w:spacing w:line="300" w:lineRule="auto" w:before="53"/>
        <w:ind w:right="189" w:firstLine="419"/>
        <w:jc w:val="both"/>
      </w:pPr>
      <w:r>
        <w:rPr/>
        <w:t>杨学圆：中国国籍，无境外永久居留权，男，</w:t>
      </w:r>
      <w:r>
        <w:rPr>
          <w:rFonts w:ascii="Times New Roman" w:hAnsi="Times New Roman" w:cs="Times New Roman" w:eastAsia="Times New Roman" w:hint="default"/>
        </w:rPr>
        <w:t>1969</w:t>
      </w:r>
      <w:r>
        <w:rPr/>
        <w:t>年生，在读</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月至今就职于公司，长期从事市场开拓</w:t>
      </w:r>
      <w:r>
        <w:rPr>
          <w:spacing w:val="2"/>
        </w:rPr>
        <w:t> </w:t>
      </w:r>
      <w:r>
        <w:rPr/>
        <w:t>工作。现任公司董事。</w:t>
      </w:r>
    </w:p>
    <w:p>
      <w:pPr>
        <w:pStyle w:val="BodyText"/>
        <w:spacing w:line="300" w:lineRule="auto" w:before="70"/>
        <w:ind w:right="194" w:firstLine="419"/>
        <w:jc w:val="both"/>
      </w:pPr>
      <w:r>
        <w:rPr/>
        <w:t>刘微芳女士，中国国籍，无境外永久居留权，女，</w:t>
      </w:r>
      <w:r>
        <w:rPr>
          <w:rFonts w:ascii="Times New Roman" w:hAnsi="Times New Roman" w:cs="Times New Roman" w:eastAsia="Times New Roman" w:hint="default"/>
        </w:rPr>
        <w:t>1970</w:t>
      </w:r>
      <w:r>
        <w:rPr/>
        <w:t>年生，中共党员，研究生学历，副教授，中国注册会计师，中 国注册资产评估师。曾任福州大学管理学院专业学位教育中心副主任，福州大学</w:t>
      </w:r>
      <w:r>
        <w:rPr>
          <w:rFonts w:ascii="Times New Roman" w:hAnsi="Times New Roman" w:cs="Times New Roman" w:eastAsia="Times New Roman" w:hint="default"/>
        </w:rPr>
        <w:t>MBA</w:t>
      </w:r>
      <w:r>
        <w:rPr/>
        <w:t>教育中心办公室副主任。现任福州大</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86"/>
        <w:jc w:val="left"/>
      </w:pPr>
      <w:r>
        <w:rPr>
          <w:spacing w:val="-2"/>
        </w:rPr>
        <w:t>学管理学院会计系副教授，硕士生导师，福州大学管理学院创业投资与企业财务管理研究所副所长，福建三钢闽光股份有限</w:t>
      </w:r>
      <w:r>
        <w:rPr>
          <w:spacing w:val="-63"/>
        </w:rPr>
        <w:t> </w:t>
      </w:r>
      <w:r>
        <w:rPr>
          <w:spacing w:val="-63"/>
        </w:rPr>
      </w:r>
      <w:r>
        <w:rPr/>
        <w:t>公司独立董事。现任公司独立董事。</w:t>
      </w:r>
    </w:p>
    <w:p>
      <w:pPr>
        <w:pStyle w:val="BodyText"/>
        <w:spacing w:line="307" w:lineRule="auto" w:before="59"/>
        <w:ind w:right="191" w:firstLine="419"/>
        <w:jc w:val="both"/>
      </w:pPr>
      <w:r>
        <w:rPr/>
        <w:t>黄旭明先生，中国国籍，无境外永久居留权，男，</w:t>
      </w:r>
      <w:r>
        <w:rPr>
          <w:rFonts w:ascii="Times New Roman" w:hAnsi="Times New Roman" w:cs="Times New Roman" w:eastAsia="Times New Roman" w:hint="default"/>
        </w:rPr>
        <w:t>1960</w:t>
      </w:r>
      <w:r>
        <w:rPr/>
        <w:t>年生，中共党员，本科学历，副教授，工信部计算机信息系统 </w:t>
      </w:r>
      <w:r>
        <w:rPr>
          <w:spacing w:val="-2"/>
        </w:rPr>
        <w:t>集成企业主评审员。曾任</w:t>
      </w:r>
      <w:r>
        <w:rPr>
          <w:rFonts w:ascii="Times New Roman" w:hAnsi="Times New Roman" w:cs="Times New Roman" w:eastAsia="Times New Roman" w:hint="default"/>
          <w:spacing w:val="-2"/>
        </w:rPr>
        <w:t>“</w:t>
      </w:r>
      <w:r>
        <w:rPr>
          <w:spacing w:val="-2"/>
        </w:rPr>
        <w:t>数字福建</w:t>
      </w:r>
      <w:r>
        <w:rPr>
          <w:rFonts w:ascii="Times New Roman" w:hAnsi="Times New Roman" w:cs="Times New Roman" w:eastAsia="Times New Roman" w:hint="default"/>
          <w:spacing w:val="-2"/>
        </w:rPr>
        <w:t>”</w:t>
      </w:r>
      <w:r>
        <w:rPr>
          <w:spacing w:val="-2"/>
        </w:rPr>
        <w:t>专家委员会委员、福建师范大学软件人才培养基地主任、福建师范大学信息技术学院主</w:t>
      </w:r>
      <w:r>
        <w:rPr>
          <w:spacing w:val="-44"/>
        </w:rPr>
        <w:t> </w:t>
      </w:r>
      <w:r>
        <w:rPr>
          <w:spacing w:val="-44"/>
        </w:rPr>
      </w:r>
      <w:r>
        <w:rPr>
          <w:spacing w:val="-2"/>
        </w:rPr>
        <w:t>持工作副院长、福建师范大学应用科技学院副院长。现任福建师范大学数学与计算机科学学院副教授，硕士生导师。现任公</w:t>
      </w:r>
      <w:r>
        <w:rPr>
          <w:spacing w:val="-64"/>
        </w:rPr>
        <w:t> </w:t>
      </w:r>
      <w:r>
        <w:rPr>
          <w:spacing w:val="-64"/>
        </w:rPr>
      </w:r>
      <w:r>
        <w:rPr/>
        <w:t>司独立董事。</w:t>
      </w:r>
    </w:p>
    <w:p>
      <w:pPr>
        <w:pStyle w:val="BodyText"/>
        <w:spacing w:line="312" w:lineRule="auto" w:before="64"/>
        <w:ind w:right="94" w:firstLine="419"/>
        <w:jc w:val="left"/>
      </w:pPr>
      <w:r>
        <w:rPr>
          <w:spacing w:val="-11"/>
        </w:rPr>
        <w:t>苏小榕先生，中国国籍，无境外永久居留权，男，</w:t>
      </w:r>
      <w:r>
        <w:rPr>
          <w:rFonts w:ascii="Times New Roman" w:hAnsi="Times New Roman" w:cs="Times New Roman" w:eastAsia="Times New Roman" w:hint="default"/>
          <w:spacing w:val="-11"/>
        </w:rPr>
        <w:t>1973</w:t>
      </w:r>
      <w:r>
        <w:rPr>
          <w:spacing w:val="-11"/>
        </w:rPr>
        <w:t>年生，中共党员，硕士学历，律师，中国德和精品律所联盟（</w:t>
      </w:r>
      <w:r>
        <w:rPr>
          <w:rFonts w:ascii="Times New Roman" w:hAnsi="Times New Roman" w:cs="Times New Roman" w:eastAsia="Times New Roman" w:hint="default"/>
          <w:spacing w:val="-11"/>
        </w:rPr>
        <w:t>ECLA</w:t>
      </w:r>
      <w:r>
        <w:rPr>
          <w:spacing w:val="-11"/>
        </w:rPr>
        <w:t>）</w:t>
      </w:r>
      <w:r>
        <w:rPr/>
        <w:t> 联合税法业务团队主任、福州市律师协会青年律师教育与培训专业委员会副主任、华东政法大学律师学院咨询委员会委员、</w:t>
      </w:r>
      <w:r>
        <w:rPr>
          <w:spacing w:val="-83"/>
        </w:rPr>
        <w:t> </w:t>
      </w:r>
      <w:r>
        <w:rPr>
          <w:spacing w:val="-83"/>
        </w:rPr>
      </w:r>
      <w:r>
        <w:rPr>
          <w:spacing w:val="-2"/>
        </w:rPr>
        <w:t>福建工程学院法学系兼职教授。曾任福建浩辰律师事务所合伙人、律师。现任福建拓维律师事务所高级合伙人、律师。现任</w:t>
      </w:r>
      <w:r>
        <w:rPr>
          <w:spacing w:val="-67"/>
        </w:rPr>
        <w:t> </w:t>
      </w:r>
      <w:r>
        <w:rPr>
          <w:spacing w:val="-67"/>
        </w:rPr>
      </w:r>
      <w:r>
        <w:rPr/>
        <w:t>公司独立董事。</w:t>
      </w:r>
    </w:p>
    <w:p>
      <w:pPr>
        <w:pStyle w:val="BodyText"/>
        <w:spacing w:line="360" w:lineRule="auto" w:before="63"/>
        <w:ind w:left="572" w:right="186" w:hanging="106"/>
        <w:jc w:val="left"/>
      </w:pPr>
      <w:r>
        <w:rPr/>
        <w:t>（二）监事 魏建光：中国国籍，无境外永久居留权，男，</w:t>
      </w:r>
      <w:r>
        <w:rPr>
          <w:rFonts w:ascii="Times New Roman" w:hAnsi="Times New Roman" w:cs="Times New Roman" w:eastAsia="Times New Roman" w:hint="default"/>
        </w:rPr>
        <w:t>1980</w:t>
      </w:r>
      <w:r>
        <w:rPr/>
        <w:t>年生，毕业于福建师范大学计算机科学与应用专业，本科学历，在</w:t>
      </w:r>
    </w:p>
    <w:p>
      <w:pPr>
        <w:pStyle w:val="BodyText"/>
        <w:spacing w:line="212" w:lineRule="exact"/>
        <w:ind w:right="186"/>
        <w:jc w:val="left"/>
      </w:pPr>
      <w:r>
        <w:rPr/>
        <w:t>读</w:t>
      </w:r>
      <w:r>
        <w:rPr>
          <w:rFonts w:ascii="Times New Roman" w:hAnsi="Times New Roman" w:cs="Times New Roman" w:eastAsia="Times New Roman" w:hint="default"/>
        </w:rPr>
        <w:t>MBA</w:t>
      </w:r>
      <w:r>
        <w:rPr/>
        <w:t>。</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月至今就职于公司，现任公司营销中心资深工程师。</w:t>
      </w:r>
    </w:p>
    <w:p>
      <w:pPr>
        <w:pStyle w:val="BodyText"/>
        <w:spacing w:line="300" w:lineRule="auto" w:before="101"/>
        <w:ind w:left="153" w:right="186" w:firstLine="419"/>
        <w:jc w:val="left"/>
      </w:pPr>
      <w:r>
        <w:rPr>
          <w:spacing w:val="-2"/>
        </w:rPr>
        <w:t>邬海峰：中国国籍，无境外永久居留权，男，</w:t>
      </w:r>
      <w:r>
        <w:rPr>
          <w:rFonts w:ascii="Times New Roman" w:hAnsi="Times New Roman" w:cs="Times New Roman" w:eastAsia="Times New Roman" w:hint="default"/>
          <w:spacing w:val="-2"/>
        </w:rPr>
        <w:t>1973</w:t>
      </w:r>
      <w:r>
        <w:rPr>
          <w:spacing w:val="-2"/>
        </w:rPr>
        <w:t>年生，毕业于武汉大学电子工程专业，本科学历。</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1998 </w:t>
      </w:r>
      <w:r>
        <w:rPr/>
        <w:t>年</w:t>
      </w:r>
      <w:r>
        <w:rPr>
          <w:rFonts w:ascii="Times New Roman" w:hAnsi="Times New Roman" w:cs="Times New Roman" w:eastAsia="Times New Roman" w:hint="default"/>
        </w:rPr>
        <w:t>2</w:t>
      </w:r>
      <w:r>
        <w:rPr/>
        <w:t>月任职于上海航天测控通讯研究所，</w:t>
      </w:r>
      <w:r>
        <w:rPr>
          <w:rFonts w:ascii="Times New Roman" w:hAnsi="Times New Roman" w:cs="Times New Roman" w:eastAsia="Times New Roman" w:hint="default"/>
        </w:rPr>
        <w:t>1998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月加入公司。曾任工程中心项目经理，现任公司物流部副经理。</w:t>
      </w:r>
    </w:p>
    <w:p>
      <w:pPr>
        <w:pStyle w:val="BodyText"/>
        <w:spacing w:line="304" w:lineRule="auto" w:before="53"/>
        <w:ind w:right="101" w:firstLine="420"/>
        <w:jc w:val="left"/>
      </w:pPr>
      <w:r>
        <w:rPr/>
        <w:t>周仁锟：中国国籍，无境外永久居留权。男，</w:t>
      </w:r>
      <w:r>
        <w:rPr>
          <w:rFonts w:ascii="Times New Roman" w:hAnsi="Times New Roman" w:cs="Times New Roman" w:eastAsia="Times New Roman" w:hint="default"/>
        </w:rPr>
        <w:t>1976</w:t>
      </w:r>
      <w:r>
        <w:rPr/>
        <w:t>年生，毕业于中南工业大学管理信息系统专业，本科学历。</w:t>
      </w:r>
      <w:r>
        <w:rPr>
          <w:rFonts w:ascii="Times New Roman" w:hAnsi="Times New Roman" w:cs="Times New Roman" w:eastAsia="Times New Roman" w:hint="default"/>
        </w:rPr>
        <w:t>1999</w:t>
      </w:r>
      <w:r>
        <w:rPr/>
        <w:t>年 加入公司，曾任公司项目经理、资深工程师、副主任工程师。具有较强的项目组织管理和产品研发能力，在管理信息系统、</w:t>
      </w:r>
      <w:r>
        <w:rPr>
          <w:spacing w:val="-83"/>
        </w:rPr>
        <w:t> </w:t>
      </w:r>
      <w:r>
        <w:rPr>
          <w:spacing w:val="-83"/>
        </w:rPr>
      </w:r>
      <w:r>
        <w:rPr/>
        <w:t>电子政务等领域有着深入的技术研究和丰富的实践经验，参与研制了</w:t>
      </w:r>
      <w:r>
        <w:rPr>
          <w:rFonts w:ascii="Times New Roman" w:hAnsi="Times New Roman" w:cs="Times New Roman" w:eastAsia="Times New Roman" w:hint="default"/>
        </w:rPr>
        <w:t>“</w:t>
      </w:r>
      <w:r>
        <w:rPr/>
        <w:t>榕基政务信息化系统（</w:t>
      </w:r>
      <w:r>
        <w:rPr>
          <w:rFonts w:ascii="Times New Roman" w:hAnsi="Times New Roman" w:cs="Times New Roman" w:eastAsia="Times New Roman" w:hint="default"/>
        </w:rPr>
        <w:t>RJ-eGov</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榕基电子公文传 输交换系统（</w:t>
      </w:r>
      <w:r>
        <w:rPr>
          <w:rFonts w:ascii="Times New Roman" w:hAnsi="Times New Roman" w:cs="Times New Roman" w:eastAsia="Times New Roman" w:hint="default"/>
        </w:rPr>
        <w:t>RJ-Exchange</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榕基内容管理系统（</w:t>
      </w:r>
      <w:r>
        <w:rPr>
          <w:rFonts w:ascii="Times New Roman" w:hAnsi="Times New Roman" w:cs="Times New Roman" w:eastAsia="Times New Roman" w:hint="default"/>
        </w:rPr>
        <w:t>RJ-CMS</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榕基法院审判业务管理系统（</w:t>
      </w:r>
      <w:r>
        <w:rPr>
          <w:rFonts w:ascii="Times New Roman" w:hAnsi="Times New Roman" w:cs="Times New Roman" w:eastAsia="Times New Roman" w:hint="default"/>
        </w:rPr>
        <w:t>RJ-Court</w:t>
      </w:r>
      <w:r>
        <w:rPr/>
        <w:t>）</w:t>
      </w:r>
      <w:r>
        <w:rPr>
          <w:rFonts w:ascii="Times New Roman" w:hAnsi="Times New Roman" w:cs="Times New Roman" w:eastAsia="Times New Roman" w:hint="default"/>
        </w:rPr>
        <w:t>”</w:t>
      </w:r>
      <w:r>
        <w:rPr/>
        <w:t>等公司产品，</w:t>
      </w:r>
      <w:r>
        <w:rPr>
          <w:spacing w:val="-53"/>
        </w:rPr>
        <w:t> </w:t>
      </w:r>
      <w:r>
        <w:rPr>
          <w:spacing w:val="-53"/>
        </w:rPr>
      </w:r>
      <w:r>
        <w:rPr/>
        <w:t>曾获</w:t>
      </w:r>
      <w:r>
        <w:rPr>
          <w:rFonts w:ascii="Times New Roman" w:hAnsi="Times New Roman" w:cs="Times New Roman" w:eastAsia="Times New Roman" w:hint="default"/>
        </w:rPr>
        <w:t>“</w:t>
      </w:r>
      <w:r>
        <w:rPr/>
        <w:t>福建省职工优秀技术创新成果二等奖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w:t>
      </w:r>
      <w:r>
        <w:rPr>
          <w:spacing w:val="-21"/>
        </w:rPr>
        <w:t> </w:t>
      </w:r>
      <w:r>
        <w:rPr/>
        <w:t>现任公司主任工程师。</w:t>
      </w:r>
    </w:p>
    <w:p>
      <w:pPr>
        <w:pStyle w:val="BodyText"/>
        <w:spacing w:line="240" w:lineRule="auto" w:before="50"/>
        <w:ind w:left="572" w:right="186"/>
        <w:jc w:val="left"/>
      </w:pPr>
      <w:r>
        <w:rPr/>
        <w:t>（三）高级管理人员</w:t>
      </w:r>
    </w:p>
    <w:p>
      <w:pPr>
        <w:pStyle w:val="BodyText"/>
        <w:spacing w:line="338" w:lineRule="auto" w:before="115"/>
        <w:ind w:left="572" w:right="186"/>
        <w:jc w:val="left"/>
      </w:pPr>
      <w:r>
        <w:rPr/>
        <w:t>鲁峰：公司总裁，请参见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侯伟：公司常务副总裁，请参见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陈明平：公司副总裁，请参见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王捷：公司副总裁，请参见</w:t>
      </w:r>
      <w:r>
        <w:rPr>
          <w:rFonts w:ascii="Times New Roman" w:hAnsi="Times New Roman" w:cs="Times New Roman" w:eastAsia="Times New Roman" w:hint="default"/>
        </w:rPr>
        <w:t>“</w:t>
      </w:r>
      <w:r>
        <w:rPr/>
        <w:t>第七节</w:t>
      </w:r>
      <w:r>
        <w:rPr>
          <w:spacing w:val="-19"/>
        </w:rPr>
        <w:t> </w:t>
      </w:r>
      <w:r>
        <w:rPr/>
        <w:t>董事、监事、高级管理人员和员工情况</w:t>
      </w:r>
      <w:r>
        <w:rPr>
          <w:rFonts w:ascii="Times New Roman" w:hAnsi="Times New Roman" w:cs="Times New Roman" w:eastAsia="Times New Roman" w:hint="default"/>
        </w:rPr>
        <w:t>/</w:t>
      </w:r>
      <w:r>
        <w:rPr/>
        <w:t>二、任职情况</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r>
        <w:rPr/>
        <w:t>。 万孝雄：中国国籍，无境外永久居留权，男，</w:t>
      </w:r>
      <w:r>
        <w:rPr>
          <w:rFonts w:ascii="Times New Roman" w:hAnsi="Times New Roman" w:cs="Times New Roman" w:eastAsia="Times New Roman" w:hint="default"/>
        </w:rPr>
        <w:t>1977</w:t>
      </w:r>
      <w:r>
        <w:rPr/>
        <w:t>年生，研究生学历，工商管理硕士。</w:t>
      </w:r>
      <w:r>
        <w:rPr>
          <w:rFonts w:ascii="Times New Roman" w:hAnsi="Times New Roman" w:cs="Times New Roman" w:eastAsia="Times New Roman" w:hint="default"/>
        </w:rPr>
        <w:t>2001</w:t>
      </w:r>
      <w:r>
        <w:rPr/>
        <w:t>年加入公司，先后担任研</w:t>
      </w:r>
    </w:p>
    <w:p>
      <w:pPr>
        <w:pStyle w:val="BodyText"/>
        <w:spacing w:line="217" w:lineRule="exact"/>
        <w:ind w:right="0"/>
        <w:jc w:val="left"/>
      </w:pPr>
      <w:r>
        <w:rPr/>
        <w:t>发副总监，营销总监。具有较强的技术管理能力，负责公司信息安全业务技术管理工作，对信息安全具有深入的理解，具有</w:t>
      </w:r>
    </w:p>
    <w:p>
      <w:pPr>
        <w:pStyle w:val="BodyText"/>
        <w:spacing w:line="240" w:lineRule="auto" w:before="76"/>
        <w:ind w:right="106"/>
        <w:jc w:val="left"/>
      </w:pPr>
      <w:r>
        <w:rPr/>
        <w:t>丰富的安全管理、安全服务、安全培训等实践经验，主持研发了</w:t>
      </w:r>
      <w:r>
        <w:rPr>
          <w:rFonts w:ascii="Times New Roman" w:hAnsi="Times New Roman" w:cs="Times New Roman" w:eastAsia="Times New Roman" w:hint="default"/>
        </w:rPr>
        <w:t>“</w:t>
      </w:r>
      <w:r>
        <w:rPr/>
        <w:t>榕基网络隐患扫描系统（</w:t>
      </w:r>
      <w:r>
        <w:rPr>
          <w:rFonts w:ascii="Times New Roman" w:hAnsi="Times New Roman" w:cs="Times New Roman" w:eastAsia="Times New Roman" w:hint="default"/>
        </w:rPr>
        <w:t>RJ-iTop</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榕基风险管理系统</w:t>
      </w:r>
    </w:p>
    <w:p>
      <w:pPr>
        <w:pStyle w:val="BodyText"/>
        <w:spacing w:line="300" w:lineRule="auto" w:before="62"/>
        <w:ind w:right="182"/>
        <w:jc w:val="left"/>
      </w:pPr>
      <w:r>
        <w:rPr>
          <w:spacing w:val="-1"/>
        </w:rPr>
        <w:t>（</w:t>
      </w:r>
      <w:r>
        <w:rPr>
          <w:rFonts w:ascii="Times New Roman" w:hAnsi="Times New Roman" w:cs="Times New Roman" w:eastAsia="Times New Roman" w:hint="default"/>
          <w:spacing w:val="-1"/>
        </w:rPr>
        <w:t>RJ-RMS</w:t>
      </w:r>
      <w:r>
        <w:rPr>
          <w:spacing w:val="-1"/>
        </w:rPr>
        <w:t>）</w:t>
      </w:r>
      <w:r>
        <w:rPr>
          <w:rFonts w:ascii="Times New Roman" w:hAnsi="Times New Roman" w:cs="Times New Roman" w:eastAsia="Times New Roman" w:hint="default"/>
          <w:spacing w:val="-1"/>
        </w:rPr>
        <w:t>”</w:t>
      </w:r>
      <w:r>
        <w:rPr>
          <w:spacing w:val="-1"/>
        </w:rPr>
        <w:t>等公司信息安全战略产品，曾获</w:t>
      </w:r>
      <w:r>
        <w:rPr>
          <w:rFonts w:ascii="Times New Roman" w:hAnsi="Times New Roman" w:cs="Times New Roman" w:eastAsia="Times New Roman" w:hint="default"/>
          <w:spacing w:val="-1"/>
        </w:rPr>
        <w:t>“</w:t>
      </w:r>
      <w:r>
        <w:rPr>
          <w:spacing w:val="-1"/>
        </w:rPr>
        <w:t>福建省科学技术奖三等奖</w:t>
      </w:r>
      <w:r>
        <w:rPr>
          <w:rFonts w:ascii="Times New Roman" w:hAnsi="Times New Roman" w:cs="Times New Roman" w:eastAsia="Times New Roman" w:hint="default"/>
          <w:spacing w:val="-1"/>
        </w:rPr>
        <w:t>”</w:t>
      </w:r>
      <w:r>
        <w:rPr>
          <w:spacing w:val="-1"/>
        </w:rPr>
        <w:t>。现任副总裁、公司董事会秘书、福建榕基投资有</w:t>
      </w:r>
      <w:r>
        <w:rPr>
          <w:spacing w:val="-87"/>
        </w:rPr>
        <w:t> </w:t>
      </w:r>
      <w:r>
        <w:rPr>
          <w:spacing w:val="-87"/>
        </w:rPr>
      </w:r>
      <w:r>
        <w:rPr/>
        <w:t>限公司总经理、榕基国际控股有限公司董事。</w:t>
      </w:r>
    </w:p>
    <w:p>
      <w:pPr>
        <w:pStyle w:val="BodyText"/>
        <w:spacing w:line="309" w:lineRule="auto" w:before="72"/>
        <w:ind w:right="186" w:firstLine="372"/>
        <w:jc w:val="both"/>
      </w:pPr>
      <w:r>
        <w:rPr/>
        <w:t>镇千金：中国国籍，无境外永久居留权，女，</w:t>
      </w:r>
      <w:r>
        <w:rPr>
          <w:rFonts w:ascii="Times New Roman" w:hAnsi="Times New Roman" w:cs="Times New Roman" w:eastAsia="Times New Roman" w:hint="default"/>
        </w:rPr>
        <w:t>1978</w:t>
      </w:r>
      <w:r>
        <w:rPr/>
        <w:t>年生，毕业于福州大学，研究生学历，工商管理硕士。</w:t>
      </w:r>
      <w:r>
        <w:rPr>
          <w:rFonts w:ascii="Times New Roman" w:hAnsi="Times New Roman" w:cs="Times New Roman" w:eastAsia="Times New Roman" w:hint="default"/>
        </w:rPr>
        <w:t>2002</w:t>
      </w:r>
      <w:r>
        <w:rPr/>
        <w:t>年加入</w:t>
      </w:r>
      <w:r>
        <w:rPr>
          <w:spacing w:val="2"/>
        </w:rPr>
        <w:t> </w:t>
      </w:r>
      <w:r>
        <w:rPr>
          <w:spacing w:val="-2"/>
        </w:rPr>
        <w:t>公司，先后在客服部、技术部及财务部工作，曾任公司工程师、会计、财务部经理、监事，现任公司财务总监、榕基国际控</w:t>
      </w:r>
      <w:r>
        <w:rPr>
          <w:spacing w:val="-65"/>
        </w:rPr>
        <w:t> </w:t>
      </w:r>
      <w:r>
        <w:rPr>
          <w:spacing w:val="-65"/>
        </w:rPr>
      </w:r>
      <w:r>
        <w:rPr/>
        <w:t>股有限公司董事。</w:t>
      </w:r>
    </w:p>
    <w:p>
      <w:pPr>
        <w:pStyle w:val="BodyText"/>
        <w:spacing w:line="307" w:lineRule="auto" w:before="62"/>
        <w:ind w:right="191" w:firstLine="299"/>
        <w:jc w:val="both"/>
      </w:pPr>
      <w:r>
        <w:rPr>
          <w:spacing w:val="-4"/>
        </w:rPr>
        <w:t>尚大斌：中国国籍，无境外永久居留权，男，</w:t>
      </w:r>
      <w:r>
        <w:rPr>
          <w:rFonts w:ascii="Times New Roman" w:hAnsi="Times New Roman" w:cs="Times New Roman" w:eastAsia="Times New Roman" w:hint="default"/>
          <w:spacing w:val="-4"/>
        </w:rPr>
        <w:t>1978</w:t>
      </w:r>
      <w:r>
        <w:rPr>
          <w:spacing w:val="-4"/>
        </w:rPr>
        <w:t>年生，毕业于湖北工业大学，本科学历，在读工商管理硕士，工程师。</w:t>
      </w:r>
      <w:r>
        <w:rPr/>
        <w:t> </w:t>
      </w:r>
      <w:r>
        <w:rPr>
          <w:rFonts w:ascii="Times New Roman" w:hAnsi="Times New Roman" w:cs="Times New Roman" w:eastAsia="Times New Roman" w:hint="default"/>
        </w:rPr>
        <w:t>2003</w:t>
      </w:r>
      <w:r>
        <w:rPr/>
        <w:t>年加入公司，先后担任浙江榕基信息技术有限公司总经理助理、副总经理，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月至今担任浙江榕基信息技术有限</w:t>
      </w:r>
      <w:r>
        <w:rPr>
          <w:spacing w:val="-86"/>
        </w:rPr>
        <w:t> </w:t>
      </w:r>
      <w:r>
        <w:rPr>
          <w:spacing w:val="-86"/>
        </w:rPr>
      </w:r>
      <w:r>
        <w:rPr>
          <w:spacing w:val="-2"/>
        </w:rPr>
        <w:t>公司总经理。具有较丰富的团队管理经验，负责浙江榕基信息技术有限公司、上海榕基软件开发有限公司的管理工作，对政</w:t>
      </w:r>
      <w:r>
        <w:rPr>
          <w:spacing w:val="-65"/>
        </w:rPr>
        <w:t> </w:t>
      </w:r>
      <w:r>
        <w:rPr>
          <w:spacing w:val="-65"/>
        </w:rPr>
      </w:r>
      <w:r>
        <w:rPr/>
        <w:t>务信息化领域有比较深刻的理解及实践经验。现任公司副总裁、浙江榕基信息技术有限公司总经理。</w:t>
      </w:r>
    </w:p>
    <w:p>
      <w:pPr>
        <w:pStyle w:val="BodyText"/>
        <w:spacing w:line="300" w:lineRule="auto" w:before="67"/>
        <w:ind w:right="190" w:firstLine="300"/>
        <w:jc w:val="both"/>
      </w:pPr>
      <w:r>
        <w:rPr>
          <w:spacing w:val="-1"/>
        </w:rPr>
        <w:t>倪时龙：中国国籍，无境外永久居留权，男，</w:t>
      </w:r>
      <w:r>
        <w:rPr>
          <w:rFonts w:ascii="Times New Roman" w:hAnsi="Times New Roman" w:cs="Times New Roman" w:eastAsia="Times New Roman" w:hint="default"/>
          <w:spacing w:val="-1"/>
        </w:rPr>
        <w:t>1977</w:t>
      </w:r>
      <w:r>
        <w:rPr>
          <w:spacing w:val="-1"/>
        </w:rPr>
        <w:t>年生，毕业于仰恩大学，本科学历，在读软件工程硕士，高级项目经</w:t>
      </w:r>
      <w:r>
        <w:rPr/>
        <w:t> </w:t>
      </w:r>
      <w:r>
        <w:rPr>
          <w:spacing w:val="-2"/>
        </w:rPr>
        <w:t>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月进入公司，历任项目经理、分公司技术总监。</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spacing w:val="-2"/>
        </w:rPr>
        <w:t>月起任福建亿榕信息技术有限公司常务副总经理，主持</w:t>
      </w:r>
      <w:r>
        <w:rPr>
          <w:spacing w:val="-59"/>
        </w:rPr>
        <w:t> </w:t>
      </w:r>
      <w:r>
        <w:rPr>
          <w:spacing w:val="-59"/>
        </w:rPr>
      </w:r>
      <w:r>
        <w:rPr/>
        <w:t>全面工作，专注智能电网相关业务的研究开发。主持开发的产品先后荣获福建省、福州市等单位</w:t>
      </w:r>
      <w:r>
        <w:rPr>
          <w:rFonts w:ascii="Times New Roman" w:hAnsi="Times New Roman" w:cs="Times New Roman" w:eastAsia="Times New Roman" w:hint="default"/>
        </w:rPr>
        <w:t>“</w:t>
      </w:r>
      <w:r>
        <w:rPr/>
        <w:t>福建优秀软件产品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w:t>
      </w:r>
      <w:r>
        <w:rPr>
          <w:spacing w:val="-59"/>
        </w:rPr>
        <w:t> </w:t>
      </w:r>
      <w:r>
        <w:rPr>
          <w:spacing w:val="-4"/>
        </w:rPr>
        <w:t>建省名牌产品</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科技进步奖</w:t>
      </w:r>
      <w:r>
        <w:rPr>
          <w:rFonts w:ascii="Times New Roman" w:hAnsi="Times New Roman" w:cs="Times New Roman" w:eastAsia="Times New Roman" w:hint="default"/>
          <w:spacing w:val="-4"/>
        </w:rPr>
        <w:t>”</w:t>
      </w:r>
      <w:r>
        <w:rPr>
          <w:spacing w:val="-4"/>
        </w:rPr>
        <w:t>等荣誉。个人获得 </w:t>
      </w:r>
      <w:r>
        <w:rPr>
          <w:rFonts w:ascii="Times New Roman" w:hAnsi="Times New Roman" w:cs="Times New Roman" w:eastAsia="Times New Roman" w:hint="default"/>
          <w:spacing w:val="-3"/>
        </w:rPr>
        <w:t>“</w:t>
      </w:r>
      <w:r>
        <w:rPr>
          <w:spacing w:val="-3"/>
        </w:rPr>
        <w:t>福建省优秀骨干人才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福建省软件杰出人才</w:t>
      </w:r>
      <w:r>
        <w:rPr>
          <w:rFonts w:ascii="Times New Roman" w:hAnsi="Times New Roman" w:cs="Times New Roman" w:eastAsia="Times New Roman" w:hint="default"/>
          <w:spacing w:val="-3"/>
        </w:rPr>
        <w:t>”</w:t>
      </w:r>
      <w:r>
        <w:rPr>
          <w:spacing w:val="-3"/>
        </w:rPr>
        <w:t>等称号。现任公司副总裁、</w:t>
      </w:r>
      <w:r>
        <w:rPr>
          <w:spacing w:val="-86"/>
        </w:rPr>
        <w:t> </w:t>
      </w:r>
      <w:r>
        <w:rPr>
          <w:spacing w:val="-86"/>
        </w:rPr>
      </w:r>
      <w:r>
        <w:rPr/>
        <w:t>福建亿榕信息技术有限公司总经理。</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92" w:firstLine="300"/>
        <w:jc w:val="left"/>
      </w:pPr>
      <w:r>
        <w:rPr/>
        <w:t>赵坚：中国国籍，无境外永久居留权，男，</w:t>
      </w:r>
      <w:r>
        <w:rPr>
          <w:rFonts w:ascii="Times New Roman" w:hAnsi="Times New Roman" w:cs="Times New Roman" w:eastAsia="Times New Roman" w:hint="default"/>
        </w:rPr>
        <w:t>1972</w:t>
      </w:r>
      <w:r>
        <w:rPr/>
        <w:t>年生，毕业于福州大学工业电气自动化专业，本科学历。</w:t>
      </w:r>
      <w:r>
        <w:rPr>
          <w:rFonts w:ascii="Times New Roman" w:hAnsi="Times New Roman" w:cs="Times New Roman" w:eastAsia="Times New Roman" w:hint="default"/>
        </w:rPr>
        <w:t>1997</w:t>
      </w:r>
      <w:r>
        <w:rPr/>
        <w:t>年加入公 司，先后担任系统集成工程师、项目经理、系统集成部经理、业务副总监。现负责企业计算机系统集成、音视频系统集成、</w:t>
      </w:r>
      <w:r>
        <w:rPr>
          <w:spacing w:val="-83"/>
        </w:rPr>
        <w:t> </w:t>
      </w:r>
      <w:r>
        <w:rPr>
          <w:spacing w:val="-83"/>
        </w:rPr>
      </w:r>
      <w:r>
        <w:rPr/>
        <w:t>办公自动化软件、定制</w:t>
      </w:r>
      <w:r>
        <w:rPr>
          <w:rFonts w:ascii="Times New Roman" w:hAnsi="Times New Roman" w:cs="Times New Roman" w:eastAsia="Times New Roman" w:hint="default"/>
        </w:rPr>
        <w:t>MIS</w:t>
      </w:r>
      <w:r>
        <w:rPr/>
        <w:t>软件等工程项目的实施及服务管理工作。具有较强的技术管理能力，承担公司工程项目管理体系 </w:t>
      </w:r>
      <w:r>
        <w:rPr>
          <w:spacing w:val="-3"/>
        </w:rPr>
        <w:t>的建设和维护，对</w:t>
      </w:r>
      <w:r>
        <w:rPr>
          <w:rFonts w:ascii="Times New Roman" w:hAnsi="Times New Roman" w:cs="Times New Roman" w:eastAsia="Times New Roman" w:hint="default"/>
          <w:spacing w:val="-3"/>
        </w:rPr>
        <w:t>IT</w:t>
      </w:r>
      <w:r>
        <w:rPr>
          <w:spacing w:val="-3"/>
        </w:rPr>
        <w:t>行业的工程管理具有深入的理解和丰富的实践经验，具有较强的大型系统集成项目分析和整合规划能力，</w:t>
      </w:r>
      <w:r>
        <w:rPr>
          <w:spacing w:val="-86"/>
        </w:rPr>
        <w:t> </w:t>
      </w:r>
      <w:r>
        <w:rPr>
          <w:spacing w:val="-86"/>
        </w:rPr>
      </w:r>
      <w:r>
        <w:rPr/>
        <w:t>主持了公司多个重点项目的规划、实施工作。现任公司副总裁、工程中心总经理。</w:t>
      </w:r>
    </w:p>
    <w:p>
      <w:pPr>
        <w:pStyle w:val="BodyText"/>
        <w:spacing w:line="312" w:lineRule="auto" w:before="68"/>
        <w:ind w:right="106" w:firstLine="300"/>
        <w:jc w:val="left"/>
      </w:pPr>
      <w:r>
        <w:rPr/>
        <w:t>宾壮兴：中国国籍，无境外永久居留权，男，</w:t>
      </w:r>
      <w:r>
        <w:rPr>
          <w:rFonts w:ascii="Times New Roman" w:hAnsi="Times New Roman" w:cs="Times New Roman" w:eastAsia="Times New Roman" w:hint="default"/>
        </w:rPr>
        <w:t>1960</w:t>
      </w:r>
      <w:r>
        <w:rPr/>
        <w:t>年生，毕业于深圳大学人事管理专业，专科学历。</w:t>
      </w:r>
      <w:r>
        <w:rPr>
          <w:rFonts w:ascii="Times New Roman" w:hAnsi="Times New Roman" w:cs="Times New Roman" w:eastAsia="Times New Roman" w:hint="default"/>
        </w:rPr>
        <w:t>2000</w:t>
      </w:r>
      <w:r>
        <w:rPr/>
        <w:t>年加入公司， </w:t>
      </w:r>
      <w:r>
        <w:rPr>
          <w:spacing w:val="-2"/>
        </w:rPr>
        <w:t>先后担任榕基软件深圳分公司办公室主任、副总经理。长期从事质检行业应用软件产品的开发及推广管理工作，对质检行业</w:t>
      </w:r>
      <w:r>
        <w:rPr>
          <w:spacing w:val="-66"/>
        </w:rPr>
        <w:t> </w:t>
      </w:r>
      <w:r>
        <w:rPr>
          <w:spacing w:val="-66"/>
        </w:rPr>
      </w:r>
      <w:r>
        <w:rPr>
          <w:spacing w:val="-2"/>
        </w:rPr>
        <w:t>的信息化建设有一定的了解和丰富的实验经验。具有较强的的市场开拓及企业管理能力。现任公司副总裁、深圳分公司总经</w:t>
      </w:r>
      <w:r>
        <w:rPr>
          <w:spacing w:val="-63"/>
        </w:rPr>
        <w:t> </w:t>
      </w:r>
      <w:r>
        <w:rPr>
          <w:spacing w:val="-63"/>
        </w:rPr>
      </w:r>
      <w:r>
        <w:rPr/>
        <w:t>理、北京中榕基信息技术有限公司董事长兼总经理。</w:t>
      </w:r>
    </w:p>
    <w:p>
      <w:pPr>
        <w:pStyle w:val="BodyText"/>
        <w:spacing w:line="307" w:lineRule="auto" w:before="61"/>
        <w:ind w:right="189" w:firstLine="432"/>
        <w:jc w:val="both"/>
      </w:pPr>
      <w:r>
        <w:rPr/>
        <w:t>靳谊：中国国籍，无境外永久居留权，男，</w:t>
      </w:r>
      <w:r>
        <w:rPr>
          <w:rFonts w:ascii="Times New Roman" w:hAnsi="Times New Roman" w:cs="Times New Roman" w:eastAsia="Times New Roman" w:hint="default"/>
        </w:rPr>
        <w:t>1975</w:t>
      </w:r>
      <w:r>
        <w:rPr/>
        <w:t>年生，毕业于武汉理工大学计算机科学与技术专业，专科学历。</w:t>
      </w:r>
      <w:r>
        <w:rPr>
          <w:rFonts w:ascii="Times New Roman" w:hAnsi="Times New Roman" w:cs="Times New Roman" w:eastAsia="Times New Roman" w:hint="default"/>
        </w:rPr>
        <w:t>1998 </w:t>
      </w:r>
      <w:r>
        <w:rPr>
          <w:spacing w:val="-2"/>
        </w:rPr>
        <w:t>年加入公司，先后担任工程师、项目经理、资深工程师、副主任工程师、主任工程师、协同管理事业部经理。具有较强的研</w:t>
      </w:r>
      <w:r>
        <w:rPr>
          <w:spacing w:val="-73"/>
        </w:rPr>
        <w:t> </w:t>
      </w:r>
      <w:r>
        <w:rPr>
          <w:spacing w:val="-73"/>
        </w:rPr>
      </w:r>
      <w:r>
        <w:rPr>
          <w:spacing w:val="-2"/>
        </w:rPr>
        <w:t>发管理能力与大型企业管理信息系统分析和整合规划能力，负责协同管理业务技术管理以及企业内部信息系统建设工作，主</w:t>
      </w:r>
      <w:r>
        <w:rPr>
          <w:spacing w:val="-64"/>
        </w:rPr>
        <w:t> </w:t>
      </w:r>
      <w:r>
        <w:rPr>
          <w:spacing w:val="-64"/>
        </w:rPr>
      </w:r>
      <w:r>
        <w:rPr/>
        <w:t>持设计研发了</w:t>
      </w:r>
      <w:r>
        <w:rPr>
          <w:rFonts w:ascii="Times New Roman" w:hAnsi="Times New Roman" w:cs="Times New Roman" w:eastAsia="Times New Roman" w:hint="default"/>
        </w:rPr>
        <w:t>“</w:t>
      </w:r>
      <w:r>
        <w:rPr/>
        <w:t>榕基电子单证系统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I-TASK</w:t>
      </w:r>
      <w:r>
        <w:rPr/>
        <w:t>任务管理平台</w:t>
      </w:r>
      <w:r>
        <w:rPr>
          <w:rFonts w:ascii="Times New Roman" w:hAnsi="Times New Roman" w:cs="Times New Roman" w:eastAsia="Times New Roman" w:hint="default"/>
        </w:rPr>
        <w:t>”</w:t>
      </w:r>
      <w:r>
        <w:rPr/>
        <w:t>等公司战略产品以及能源、质检等行业十多项软件产品，</w:t>
      </w:r>
      <w:r>
        <w:rPr>
          <w:spacing w:val="-17"/>
        </w:rPr>
        <w:t> </w:t>
      </w:r>
      <w:r>
        <w:rPr>
          <w:spacing w:val="-17"/>
        </w:rPr>
      </w:r>
      <w:r>
        <w:rPr/>
        <w:t>曾获</w:t>
      </w:r>
      <w:r>
        <w:rPr>
          <w:rFonts w:ascii="Times New Roman" w:hAnsi="Times New Roman" w:cs="Times New Roman" w:eastAsia="Times New Roman" w:hint="default"/>
        </w:rPr>
        <w:t>“</w:t>
      </w:r>
      <w:r>
        <w:rPr/>
        <w:t>福州市科学技术奖三等奖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福建省优秀信息主管</w:t>
      </w:r>
      <w:r>
        <w:rPr>
          <w:rFonts w:ascii="Times New Roman" w:hAnsi="Times New Roman" w:cs="Times New Roman" w:eastAsia="Times New Roman" w:hint="default"/>
        </w:rPr>
        <w:t>(CIO)</w:t>
      </w:r>
      <w:r>
        <w:rPr>
          <w:rFonts w:ascii="Times New Roman" w:hAnsi="Times New Roman" w:cs="Times New Roman" w:eastAsia="Times New Roman" w:hint="default"/>
          <w:spacing w:val="32"/>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“2009</w:t>
      </w:r>
      <w:r>
        <w:rPr/>
        <w:t>信息化年度贡献人物</w:t>
      </w:r>
      <w:r>
        <w:rPr>
          <w:rFonts w:ascii="Times New Roman" w:hAnsi="Times New Roman" w:cs="Times New Roman" w:eastAsia="Times New Roman" w:hint="default"/>
        </w:rPr>
        <w:t>”</w:t>
      </w:r>
      <w:r>
        <w:rPr/>
        <w:t>。现任公司副总裁、首席信息 官、研发总监。</w:t>
      </w:r>
    </w:p>
    <w:p>
      <w:pPr>
        <w:pStyle w:val="BodyText"/>
        <w:spacing w:line="300" w:lineRule="auto" w:before="67"/>
        <w:ind w:right="196" w:firstLine="419"/>
        <w:jc w:val="both"/>
      </w:pPr>
      <w:r>
        <w:rPr/>
        <w:t>李惠钦：中国国籍，无境外永久居留权，女，</w:t>
      </w:r>
      <w:r>
        <w:rPr>
          <w:rFonts w:ascii="Times New Roman" w:hAnsi="Times New Roman" w:cs="Times New Roman" w:eastAsia="Times New Roman" w:hint="default"/>
        </w:rPr>
        <w:t>1975</w:t>
      </w:r>
      <w:r>
        <w:rPr/>
        <w:t>年生，毕业于闽江学院。</w:t>
      </w:r>
      <w:r>
        <w:rPr>
          <w:rFonts w:ascii="Times New Roman" w:hAnsi="Times New Roman" w:cs="Times New Roman" w:eastAsia="Times New Roman" w:hint="default"/>
        </w:rPr>
        <w:t>1997</w:t>
      </w:r>
      <w:r>
        <w:rPr/>
        <w:t>年加入公司，先后担任行政部经理、 总裁助理，长期从事市场开拓工作。现任公司副总裁。</w:t>
      </w:r>
    </w:p>
    <w:p>
      <w:pPr>
        <w:pStyle w:val="BodyText"/>
        <w:spacing w:line="240" w:lineRule="auto" w:before="72"/>
        <w:ind w:right="186"/>
        <w:jc w:val="left"/>
      </w:pPr>
      <w:r>
        <w:rPr/>
        <w:t>在股东单位任职情况</w:t>
      </w:r>
    </w:p>
    <w:p>
      <w:pPr>
        <w:pStyle w:val="BodyText"/>
        <w:spacing w:line="340" w:lineRule="auto" w:before="11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刘兆才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福建省科技交流协会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刘兆才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新大陆电脑集团股份有限公司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刘兆才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福建福日电子股份有限公司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福州大学管理学院会计系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副教授，硕士</w:t>
            </w:r>
            <w:r>
              <w:rPr>
                <w:rFonts w:ascii="宋体" w:hAnsi="宋体" w:cs="宋体" w:eastAsia="宋体" w:hint="default"/>
                <w:sz w:val="18"/>
                <w:szCs w:val="18"/>
              </w:rPr>
              <w:t> 生导师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福州大学管理学院创业投资与企业财务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r>
        <w:rPr/>
        <w:pict>
          <v:group style="position:absolute;margin-left:329.640015pt;margin-top:161.999985pt;width:59.3pt;height:7.8pt;mso-position-horizontal-relative:page;mso-position-vertical-relative:page;z-index:-982480" coordorigin="6593,3240" coordsize="1186,156">
            <v:shape style="position:absolute;left:6593;top:3240;width:1186;height:156" coordorigin="6593,3240" coordsize="1186,156" path="m6593,3396l7778,3396,7778,3240,6593,3240,6593,339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管理研究所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福建师范大学数学与计算机科学学院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副教授，硕士</w:t>
            </w:r>
            <w:r>
              <w:rPr>
                <w:rFonts w:ascii="宋体" w:hAnsi="宋体" w:cs="宋体" w:eastAsia="宋体" w:hint="default"/>
                <w:sz w:val="18"/>
                <w:szCs w:val="18"/>
              </w:rPr>
              <w:t> 生导师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福建拓维律师事务所</w:t>
            </w:r>
          </w:p>
        </w:tc>
        <w:tc>
          <w:tcPr>
            <w:tcW w:w="106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福建文鑫莲业股份有限公司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福建文鑫莲业股份有限公司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791"/>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47"/>
        <w:jc w:val="left"/>
      </w:pPr>
      <w:r>
        <w:rPr/>
        <w:t>董事、监事、高级管理人员报酬的决策程序、确定依据、实际支付情况 </w:t>
      </w:r>
      <w:r>
        <w:rPr>
          <w:spacing w:val="-2"/>
        </w:rPr>
        <w:t>报告期内公司根据《公司章程》及《公司董事会薪酬与考核委员会实施细则》，</w:t>
      </w:r>
      <w:bookmarkStart w:name="三、董事、监事、高级管理人员报酬情况" w:id="113"/>
      <w:bookmarkEnd w:id="113"/>
      <w:r>
        <w:rPr>
          <w:spacing w:val="-2"/>
        </w:rPr>
        <w:t>结合公司经营规模等实际情况并参照行业薪</w:t>
      </w:r>
      <w:r>
        <w:rPr>
          <w:spacing w:val="-67"/>
        </w:rPr>
        <w:t> </w:t>
      </w:r>
      <w:r>
        <w:rPr>
          <w:spacing w:val="-67"/>
        </w:rPr>
      </w:r>
      <w:r>
        <w:rPr>
          <w:spacing w:val="-2"/>
        </w:rPr>
        <w:t>酬水平，制定《公司</w:t>
      </w:r>
      <w:r>
        <w:rPr>
          <w:rFonts w:ascii="Times New Roman" w:hAnsi="Times New Roman" w:cs="Times New Roman" w:eastAsia="Times New Roman" w:hint="default"/>
          <w:spacing w:val="-2"/>
        </w:rPr>
        <w:t>2014</w:t>
      </w:r>
      <w:r>
        <w:rPr>
          <w:spacing w:val="-2"/>
        </w:rPr>
        <w:t>年度董事、高级管理人员薪酬方案》，并由公司第三次董事会第四次会议及公司</w:t>
      </w:r>
      <w:r>
        <w:rPr>
          <w:rFonts w:ascii="Times New Roman" w:hAnsi="Times New Roman" w:cs="Times New Roman" w:eastAsia="Times New Roman" w:hint="default"/>
          <w:spacing w:val="-2"/>
        </w:rPr>
        <w:t>2013</w:t>
      </w:r>
      <w:r>
        <w:rPr>
          <w:spacing w:val="-2"/>
        </w:rPr>
        <w:t>年度股东大会</w:t>
      </w:r>
    </w:p>
    <w:p>
      <w:pPr>
        <w:pStyle w:val="BodyText"/>
        <w:spacing w:line="217" w:lineRule="exact"/>
        <w:ind w:right="791"/>
        <w:jc w:val="left"/>
      </w:pPr>
      <w:r>
        <w:rPr/>
        <w:t>审议通过后执行。</w:t>
      </w:r>
    </w:p>
    <w:p>
      <w:pPr>
        <w:pStyle w:val="BodyText"/>
        <w:spacing w:line="240" w:lineRule="auto" w:before="117"/>
        <w:ind w:right="791"/>
        <w:jc w:val="left"/>
      </w:pPr>
      <w:r>
        <w:rPr/>
        <w:t>公司报告期内董事、监事和高级管理人员报酬情况</w:t>
      </w:r>
    </w:p>
    <w:p>
      <w:pPr>
        <w:pStyle w:val="BodyText"/>
        <w:spacing w:line="240" w:lineRule="auto" w:before="117"/>
        <w:ind w:left="0" w:right="15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副董事长、常 务副总裁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毕振东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刘兆才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17.98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19.29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334.01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334.01</w:t>
            </w:r>
            <w:r>
              <w:rPr>
                <w:rFonts w:ascii="Times New Roman"/>
                <w:sz w:val="18"/>
              </w:rPr>
            </w:r>
          </w:p>
        </w:tc>
      </w:tr>
    </w:tbl>
    <w:p>
      <w:pPr>
        <w:pStyle w:val="BodyText"/>
        <w:spacing w:line="240" w:lineRule="auto" w:before="49"/>
        <w:ind w:right="791"/>
        <w:jc w:val="left"/>
      </w:pPr>
      <w:bookmarkStart w:name="五、报告期核心技术团队或关键技术人员变动情况（非董事、监事、高级管理人员）" w:id="114"/>
      <w:bookmarkEnd w:id="114"/>
      <w:r>
        <w:rPr/>
      </w:r>
      <w:r>
        <w:rPr/>
        <w:t>公司董事、监事、高级管理人员报告期内被授予的股权激励情况</w:t>
      </w:r>
    </w:p>
    <w:p>
      <w:pPr>
        <w:pStyle w:val="BodyText"/>
        <w:spacing w:line="240" w:lineRule="auto" w:before="115"/>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791"/>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四、公司董事、监事、高级管理人员变动情况" w:id="115"/>
            <w:bookmarkEnd w:id="115"/>
            <w:r>
              <w:rPr/>
            </w: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经公司董事会提名委员会的建议，根据公司总裁的提 名，聘任李惠钦女士为公司副总裁</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毕振东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刘兆才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年第一次临时股东大会审议通过选举黄旭明先生 为公司第三届董事会独立董事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年第一次临时股东大会审议通过选举苏小榕先生 为公司第三届董事会独立董事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个人原因，主动离任</w:t>
            </w:r>
          </w:p>
        </w:tc>
      </w:tr>
    </w:tbl>
    <w:p>
      <w:pPr>
        <w:spacing w:line="240" w:lineRule="auto" w:before="1"/>
        <w:rPr>
          <w:rFonts w:ascii="宋体" w:hAnsi="宋体" w:cs="宋体" w:eastAsia="宋体" w:hint="default"/>
          <w:b/>
          <w:bCs/>
          <w:sz w:val="18"/>
          <w:szCs w:val="18"/>
        </w:rPr>
      </w:pPr>
    </w:p>
    <w:p>
      <w:pPr>
        <w:pStyle w:val="Heading2"/>
        <w:spacing w:line="240" w:lineRule="auto" w:before="26"/>
        <w:ind w:right="791"/>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报告期内，无变动情况。</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47" w:firstLine="420"/>
        <w:jc w:val="left"/>
      </w:pPr>
      <w:bookmarkStart w:name="六、公司员工情况" w:id="116"/>
      <w:bookmarkEnd w:id="116"/>
      <w:r>
        <w:rPr/>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日，本公司及子公司在职员工总数为</w:t>
      </w:r>
      <w:r>
        <w:rPr>
          <w:rFonts w:ascii="Times New Roman" w:hAnsi="Times New Roman" w:cs="Times New Roman" w:eastAsia="Times New Roman" w:hint="default"/>
          <w:spacing w:val="-2"/>
        </w:rPr>
        <w:t>903</w:t>
      </w:r>
      <w:r>
        <w:rPr>
          <w:spacing w:val="-2"/>
        </w:rPr>
        <w:t>人。公司员工的专业结构、教育程度、员工薪酬政策以及培</w:t>
      </w:r>
      <w:r>
        <w:rPr/>
        <w:t> 训计划情况如下：</w:t>
      </w:r>
    </w:p>
    <w:p>
      <w:pPr>
        <w:pStyle w:val="BodyText"/>
        <w:spacing w:line="240" w:lineRule="auto" w:before="31"/>
        <w:ind w:left="572" w:right="791"/>
        <w:jc w:val="left"/>
      </w:pPr>
      <w:r>
        <w:rPr>
          <w:rFonts w:ascii="宋体" w:hAnsi="宋体" w:cs="宋体" w:eastAsia="宋体" w:hint="default"/>
        </w:rPr>
        <w:t>1.</w:t>
      </w:r>
      <w:r>
        <w:rPr>
          <w:rFonts w:ascii="宋体" w:hAnsi="宋体" w:cs="宋体" w:eastAsia="宋体" w:hint="default"/>
          <w:spacing w:val="89"/>
        </w:rPr>
        <w:t> </w:t>
      </w:r>
      <w:r>
        <w:rPr/>
        <w:t>员工专业结构及教育程度</w:t>
      </w:r>
    </w:p>
    <w:p>
      <w:pPr>
        <w:pStyle w:val="BodyText"/>
        <w:spacing w:line="240" w:lineRule="auto" w:before="76"/>
        <w:ind w:left="0" w:right="1782"/>
        <w:jc w:val="right"/>
      </w:pPr>
      <w:r>
        <w:rPr/>
        <w:t>单位：人</w:t>
      </w:r>
    </w:p>
    <w:p>
      <w:pPr>
        <w:spacing w:line="240" w:lineRule="auto" w:before="3"/>
        <w:rPr>
          <w:rFonts w:ascii="宋体" w:hAnsi="宋体" w:cs="宋体" w:eastAsia="宋体" w:hint="default"/>
          <w:sz w:val="5"/>
          <w:szCs w:val="5"/>
        </w:rPr>
      </w:pPr>
    </w:p>
    <w:tbl>
      <w:tblPr>
        <w:tblW w:w="0" w:type="auto"/>
        <w:jc w:val="left"/>
        <w:tblInd w:w="1741" w:type="dxa"/>
        <w:tblLayout w:type="fixed"/>
        <w:tblCellMar>
          <w:top w:w="0" w:type="dxa"/>
          <w:left w:w="0" w:type="dxa"/>
          <w:bottom w:w="0" w:type="dxa"/>
          <w:right w:w="0" w:type="dxa"/>
        </w:tblCellMar>
        <w:tblLook w:val="01E0"/>
      </w:tblPr>
      <w:tblGrid>
        <w:gridCol w:w="3782"/>
        <w:gridCol w:w="1478"/>
        <w:gridCol w:w="1181"/>
      </w:tblGrid>
      <w:tr>
        <w:trPr>
          <w:trHeight w:val="350" w:hRule="exact"/>
        </w:trPr>
        <w:tc>
          <w:tcPr>
            <w:tcW w:w="378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left="1180" w:right="0"/>
              <w:jc w:val="left"/>
              <w:rPr>
                <w:rFonts w:ascii="宋体" w:hAnsi="宋体" w:cs="宋体" w:eastAsia="宋体" w:hint="default"/>
                <w:sz w:val="20"/>
                <w:szCs w:val="20"/>
              </w:rPr>
            </w:pPr>
            <w:r>
              <w:rPr>
                <w:rFonts w:ascii="宋体" w:hAnsi="宋体" w:cs="宋体" w:eastAsia="宋体" w:hint="default"/>
                <w:sz w:val="20"/>
                <w:szCs w:val="20"/>
              </w:rPr>
              <w:t>在职员工的人数</w:t>
            </w:r>
          </w:p>
        </w:tc>
        <w:tc>
          <w:tcPr>
            <w:tcW w:w="2659" w:type="dxa"/>
            <w:gridSpan w:val="2"/>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903</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、母公司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451</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、北京中榕基信息技术有限公司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58</w:t>
            </w:r>
          </w:p>
        </w:tc>
      </w:tr>
      <w:tr>
        <w:trPr>
          <w:trHeight w:val="350"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、榕基五一（北京）信息技术有限公司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110</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、浙江榕基信息技术有限公司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70</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、河南榕基信息技术有限公司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94</w:t>
            </w:r>
          </w:p>
        </w:tc>
      </w:tr>
      <w:tr>
        <w:trPr>
          <w:trHeight w:val="350"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、马鞍山榕基软件信息科技有限公司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35</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、福建榕基软件工程有限公司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32</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宋体" w:hAnsi="宋体" w:cs="宋体" w:eastAsia="宋体" w:hint="default"/>
                <w:sz w:val="20"/>
                <w:szCs w:val="20"/>
              </w:rPr>
              <w:t>、其他子公司</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53</w:t>
            </w:r>
          </w:p>
        </w:tc>
      </w:tr>
      <w:tr>
        <w:trPr>
          <w:trHeight w:val="350"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宋体" w:hAnsi="宋体" w:cs="宋体" w:eastAsia="宋体" w:hint="default"/>
                <w:sz w:val="20"/>
                <w:szCs w:val="20"/>
              </w:rPr>
              <w:t>公司需承担费用的离退休职工人数</w:t>
            </w:r>
          </w:p>
        </w:tc>
        <w:tc>
          <w:tcPr>
            <w:tcW w:w="26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353" w:hRule="exact"/>
        </w:trPr>
        <w:tc>
          <w:tcPr>
            <w:tcW w:w="6442" w:type="dxa"/>
            <w:gridSpan w:val="3"/>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sz w:val="20"/>
                <w:szCs w:val="20"/>
              </w:rPr>
              <w:t>专业构成</w:t>
            </w:r>
          </w:p>
        </w:tc>
      </w:tr>
      <w:tr>
        <w:trPr>
          <w:trHeight w:val="352" w:hRule="exact"/>
        </w:trPr>
        <w:tc>
          <w:tcPr>
            <w:tcW w:w="378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专业构成类别</w:t>
            </w:r>
          </w:p>
        </w:tc>
        <w:tc>
          <w:tcPr>
            <w:tcW w:w="1478"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left="129" w:right="0"/>
              <w:jc w:val="left"/>
              <w:rPr>
                <w:rFonts w:ascii="宋体" w:hAnsi="宋体" w:cs="宋体" w:eastAsia="宋体" w:hint="default"/>
                <w:sz w:val="20"/>
                <w:szCs w:val="20"/>
              </w:rPr>
            </w:pPr>
            <w:r>
              <w:rPr>
                <w:rFonts w:ascii="宋体" w:hAnsi="宋体" w:cs="宋体" w:eastAsia="宋体" w:hint="default"/>
                <w:sz w:val="20"/>
                <w:szCs w:val="20"/>
              </w:rPr>
              <w:t>专业构成人数</w:t>
            </w:r>
          </w:p>
        </w:tc>
        <w:tc>
          <w:tcPr>
            <w:tcW w:w="1181"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left="381"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52"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研发人员</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391</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z w:val="20"/>
              </w:rPr>
              <w:t>43.31%</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销售人员</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136</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z w:val="20"/>
              </w:rPr>
              <w:t>15.08%</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宋体" w:hAnsi="宋体" w:cs="宋体" w:eastAsia="宋体" w:hint="default"/>
                <w:sz w:val="20"/>
                <w:szCs w:val="20"/>
              </w:rPr>
              <w:t>技术人员</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265</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z w:val="20"/>
              </w:rPr>
              <w:t>29.31%</w:t>
            </w:r>
          </w:p>
        </w:tc>
      </w:tr>
      <w:tr>
        <w:trPr>
          <w:trHeight w:val="350"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宋体" w:hAnsi="宋体" w:cs="宋体" w:eastAsia="宋体" w:hint="default"/>
                <w:sz w:val="20"/>
                <w:szCs w:val="20"/>
              </w:rPr>
              <w:t>财务人员</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47</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z w:val="20"/>
              </w:rPr>
              <w:t>5.19%</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行政人员</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64</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z w:val="20"/>
              </w:rPr>
              <w:t>7.12%</w:t>
            </w:r>
          </w:p>
        </w:tc>
      </w:tr>
      <w:tr>
        <w:trPr>
          <w:trHeight w:val="353" w:hRule="exact"/>
        </w:trPr>
        <w:tc>
          <w:tcPr>
            <w:tcW w:w="6442" w:type="dxa"/>
            <w:gridSpan w:val="3"/>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教育程度</w:t>
            </w:r>
          </w:p>
        </w:tc>
      </w:tr>
      <w:tr>
        <w:trPr>
          <w:trHeight w:val="350" w:hRule="exact"/>
        </w:trPr>
        <w:tc>
          <w:tcPr>
            <w:tcW w:w="378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教育程度类别</w:t>
            </w:r>
          </w:p>
        </w:tc>
        <w:tc>
          <w:tcPr>
            <w:tcW w:w="1478"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1181"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
              <w:ind w:left="381"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硕士</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70</w:t>
            </w:r>
          </w:p>
        </w:tc>
        <w:tc>
          <w:tcPr>
            <w:tcW w:w="11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5"/>
              <w:ind w:right="-4"/>
              <w:jc w:val="right"/>
              <w:rPr>
                <w:rFonts w:ascii="Times New Roman" w:hAnsi="Times New Roman" w:cs="Times New Roman" w:eastAsia="Times New Roman" w:hint="default"/>
                <w:sz w:val="20"/>
                <w:szCs w:val="20"/>
              </w:rPr>
            </w:pPr>
            <w:r>
              <w:rPr>
                <w:rFonts w:ascii="Times New Roman"/>
                <w:sz w:val="20"/>
              </w:rPr>
              <w:t>7.75%</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宋体" w:hAnsi="宋体" w:cs="宋体" w:eastAsia="宋体" w:hint="default"/>
                <w:sz w:val="20"/>
                <w:szCs w:val="20"/>
              </w:rPr>
              <w:t>本科</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669</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z w:val="20"/>
              </w:rPr>
              <w:t>74.09%</w:t>
            </w:r>
          </w:p>
        </w:tc>
      </w:tr>
      <w:tr>
        <w:trPr>
          <w:trHeight w:val="350"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 w:right="0"/>
              <w:jc w:val="left"/>
              <w:rPr>
                <w:rFonts w:ascii="宋体" w:hAnsi="宋体" w:cs="宋体" w:eastAsia="宋体" w:hint="default"/>
                <w:sz w:val="20"/>
                <w:szCs w:val="20"/>
              </w:rPr>
            </w:pPr>
            <w:r>
              <w:rPr>
                <w:rFonts w:ascii="宋体" w:hAnsi="宋体" w:cs="宋体" w:eastAsia="宋体" w:hint="default"/>
                <w:sz w:val="20"/>
                <w:szCs w:val="20"/>
              </w:rPr>
              <w:t>大专</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135</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z w:val="20"/>
              </w:rPr>
              <w:t>14.95%</w:t>
            </w:r>
          </w:p>
        </w:tc>
      </w:tr>
      <w:tr>
        <w:trPr>
          <w:trHeight w:val="353" w:hRule="exact"/>
        </w:trPr>
        <w:tc>
          <w:tcPr>
            <w:tcW w:w="37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高中及以下</w:t>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29</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z w:val="20"/>
              </w:rPr>
              <w:t>3.21%</w:t>
            </w:r>
          </w:p>
        </w:tc>
      </w:tr>
    </w:tbl>
    <w:p>
      <w:pPr>
        <w:spacing w:line="240" w:lineRule="auto" w:before="1"/>
        <w:rPr>
          <w:rFonts w:ascii="宋体" w:hAnsi="宋体" w:cs="宋体" w:eastAsia="宋体" w:hint="default"/>
          <w:sz w:val="21"/>
          <w:szCs w:val="21"/>
        </w:rPr>
      </w:pPr>
    </w:p>
    <w:p>
      <w:pPr>
        <w:pStyle w:val="BodyText"/>
        <w:spacing w:line="240" w:lineRule="auto" w:before="44"/>
        <w:ind w:left="572" w:right="791"/>
        <w:jc w:val="left"/>
      </w:pPr>
      <w:r>
        <w:rPr>
          <w:rFonts w:ascii="Times New Roman" w:hAnsi="Times New Roman" w:cs="Times New Roman" w:eastAsia="Times New Roman" w:hint="default"/>
        </w:rPr>
        <w:t>2</w:t>
      </w:r>
      <w:r>
        <w:rPr/>
        <w:t>、公司员工构成图</w:t>
      </w:r>
    </w:p>
    <w:p>
      <w:pPr>
        <w:pStyle w:val="BodyText"/>
        <w:spacing w:line="240" w:lineRule="auto" w:before="62"/>
        <w:ind w:left="572" w:right="791"/>
        <w:jc w:val="left"/>
      </w:pPr>
      <w:r>
        <w:rPr/>
        <w:t>（一）员工专业构成</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3792" w:lineRule="exact"/>
        <w:ind w:left="2213"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3778488" cy="240792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3778488" cy="240792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2" w:right="791"/>
        <w:jc w:val="left"/>
      </w:pPr>
      <w:r>
        <w:rPr/>
        <w:t>（二）员工教育程度</w:t>
      </w:r>
    </w:p>
    <w:p>
      <w:pPr>
        <w:spacing w:line="240" w:lineRule="auto" w:before="10"/>
        <w:rPr>
          <w:rFonts w:ascii="宋体" w:hAnsi="宋体" w:cs="宋体" w:eastAsia="宋体" w:hint="default"/>
          <w:sz w:val="11"/>
          <w:szCs w:val="11"/>
        </w:rPr>
      </w:pPr>
    </w:p>
    <w:p>
      <w:pPr>
        <w:spacing w:line="3878" w:lineRule="exact"/>
        <w:ind w:left="2198"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803516" cy="246278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3803516" cy="2462783"/>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2"/>
        <w:rPr>
          <w:rFonts w:ascii="宋体" w:hAnsi="宋体" w:cs="宋体" w:eastAsia="宋体" w:hint="default"/>
          <w:sz w:val="28"/>
          <w:szCs w:val="28"/>
        </w:rPr>
      </w:pPr>
    </w:p>
    <w:p>
      <w:pPr>
        <w:pStyle w:val="BodyText"/>
        <w:spacing w:line="300" w:lineRule="auto" w:before="44"/>
        <w:ind w:left="572" w:right="174"/>
        <w:jc w:val="left"/>
      </w:pPr>
      <w:r>
        <w:rPr>
          <w:rFonts w:ascii="Times New Roman" w:hAnsi="Times New Roman" w:cs="Times New Roman" w:eastAsia="Times New Roman" w:hint="default"/>
        </w:rPr>
        <w:t>3</w:t>
      </w:r>
      <w:r>
        <w:rPr/>
        <w:t>、员工薪酬政策 公司严格按照《中华人民共和国劳动合同法》和有关劳动法律法规的规定，向员工提供稳定而具有竞争力的薪酬，以</w:t>
      </w:r>
    </w:p>
    <w:p>
      <w:pPr>
        <w:pStyle w:val="BodyText"/>
        <w:spacing w:line="240" w:lineRule="auto" w:before="31"/>
        <w:ind w:right="791"/>
        <w:jc w:val="left"/>
      </w:pPr>
      <w:r>
        <w:rPr/>
        <w:t>充分调动员工的积极性和创造性。</w:t>
      </w:r>
    </w:p>
    <w:p>
      <w:pPr>
        <w:pStyle w:val="BodyText"/>
        <w:spacing w:line="300" w:lineRule="auto" w:before="76"/>
        <w:ind w:left="512" w:right="147" w:firstLine="59"/>
        <w:jc w:val="left"/>
      </w:pPr>
      <w:r>
        <w:rPr>
          <w:rFonts w:ascii="Times New Roman" w:hAnsi="Times New Roman" w:cs="Times New Roman" w:eastAsia="Times New Roman" w:hint="default"/>
        </w:rPr>
        <w:t>4</w:t>
      </w:r>
      <w:r>
        <w:rPr/>
        <w:t>、培训计划 </w:t>
      </w:r>
      <w:r>
        <w:rPr>
          <w:spacing w:val="-2"/>
        </w:rPr>
        <w:t>公司非常注重员工的培训工作，积极寻求各种培训资源和渠道，搭建完善的培训体系，包括新员工入职培训、在职人员</w:t>
      </w:r>
    </w:p>
    <w:p>
      <w:pPr>
        <w:pStyle w:val="BodyText"/>
        <w:spacing w:line="316" w:lineRule="auto" w:before="31"/>
        <w:ind w:right="147"/>
        <w:jc w:val="left"/>
      </w:pPr>
      <w:r>
        <w:rPr>
          <w:spacing w:val="-2"/>
        </w:rPr>
        <w:t>业务培训、管理者提升培训、普法培训、安全培训等。通过培训提高业务能力和管理水平，既能促进公司整体战略目标的实</w:t>
      </w:r>
      <w:r>
        <w:rPr>
          <w:spacing w:val="-67"/>
        </w:rPr>
        <w:t> </w:t>
      </w:r>
      <w:r>
        <w:rPr>
          <w:spacing w:val="-67"/>
        </w:rPr>
      </w:r>
      <w:r>
        <w:rPr/>
        <w:t>施，又能满足员工个人能力和职业发展的需求，实现企业和员工的双赢。</w:t>
      </w:r>
    </w:p>
    <w:p>
      <w:pPr>
        <w:spacing w:after="0" w:line="316"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750" w:right="4150"/>
        <w:jc w:val="center"/>
        <w:rPr>
          <w:b w:val="0"/>
          <w:bCs w:val="0"/>
        </w:rPr>
      </w:pPr>
      <w:bookmarkStart w:name="第九节 公司治理" w:id="117"/>
      <w:bookmarkEnd w:id="117"/>
      <w:r>
        <w:rPr>
          <w:b w:val="0"/>
          <w:bCs w:val="0"/>
        </w:rPr>
      </w:r>
      <w:bookmarkStart w:name="_bookmark8" w:id="118"/>
      <w:bookmarkEnd w:id="118"/>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w:t>
      </w:r>
      <w:bookmarkStart w:name="一、公司治理的基本状况" w:id="119"/>
      <w:bookmarkEnd w:id="119"/>
      <w:r>
        <w:rPr/>
        <w:t>的</w:t>
      </w:r>
      <w:r>
        <w:rPr/>
        <w:t>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454" w:firstLine="360"/>
        <w:jc w:val="left"/>
      </w:pPr>
      <w:r>
        <w:rPr>
          <w:spacing w:val="-2"/>
        </w:rPr>
        <w:t>报告期内，公司严格按照《公司法》、《证券法》、《上市公司治理准则》、《深圳证券交易所上市规则》、《深圳证</w:t>
      </w:r>
      <w:r>
        <w:rPr/>
        <w:t> </w:t>
      </w:r>
      <w:r>
        <w:rPr>
          <w:spacing w:val="-2"/>
        </w:rPr>
        <w:t>券交易所中小板上市公司规范运作指引》等法律、行政法规、部门规章、规范性文件的要求，完善公司治理机构，建立健全</w:t>
      </w:r>
      <w:r>
        <w:rPr>
          <w:spacing w:val="-67"/>
        </w:rPr>
        <w:t> </w:t>
      </w:r>
      <w:r>
        <w:rPr>
          <w:spacing w:val="-67"/>
        </w:rPr>
      </w:r>
      <w:r>
        <w:rPr/>
        <w:t>内部管理和控制制度，不断提高公司的治理水平。 公司建立完善了以股东大会为最高权力机构、董事会为决策机构、董事会专业委员会为决策支持机构、监事会为监督机构、</w:t>
      </w:r>
      <w:r>
        <w:rPr>
          <w:spacing w:val="-83"/>
        </w:rPr>
        <w:t> </w:t>
      </w:r>
      <w:r>
        <w:rPr>
          <w:spacing w:val="-83"/>
        </w:rPr>
      </w:r>
      <w:r>
        <w:rPr/>
        <w:t>经理层及各子公司为执行机构的治理结构，完善了公司《章程》、《公司股东大会议事规则》、《公司董事会议事规则》、</w:t>
      </w:r>
    </w:p>
    <w:p>
      <w:pPr>
        <w:pStyle w:val="BodyText"/>
        <w:spacing w:line="316" w:lineRule="auto" w:before="18"/>
        <w:ind w:right="555"/>
        <w:jc w:val="both"/>
      </w:pPr>
      <w:r>
        <w:rPr>
          <w:spacing w:val="-2"/>
        </w:rPr>
        <w:t>《公司监事会议事规则》、《公司总裁工作细则》及各专业委员会工作细则等基本管理制度。公司股东大会、董事会、监事</w:t>
      </w:r>
      <w:r>
        <w:rPr>
          <w:spacing w:val="-71"/>
        </w:rPr>
        <w:t> </w:t>
      </w:r>
      <w:r>
        <w:rPr>
          <w:spacing w:val="-71"/>
        </w:rPr>
      </w:r>
      <w:r>
        <w:rPr>
          <w:spacing w:val="-5"/>
        </w:rPr>
        <w:t>会和经营管理层责权分明、各司其职、有效制衡、科学决策、协调运营，为公司持续、稳定、健康地发展奠定了坚实的基础。</w:t>
      </w:r>
      <w:r>
        <w:rPr>
          <w:spacing w:val="-83"/>
        </w:rPr>
        <w:t> </w:t>
      </w:r>
      <w:r>
        <w:rPr>
          <w:spacing w:val="-83"/>
        </w:rPr>
      </w:r>
      <w:r>
        <w:rPr/>
        <w:t>截至报告期末，公司治理的实际状况符合前述法律、行政法规、部门规章、规范性文件关于上市公司治理的相关要求。</w:t>
      </w:r>
    </w:p>
    <w:p>
      <w:pPr>
        <w:pStyle w:val="BodyText"/>
        <w:spacing w:line="240" w:lineRule="auto" w:before="18"/>
        <w:ind w:left="440" w:right="454"/>
        <w:jc w:val="left"/>
      </w:pPr>
      <w:r>
        <w:rPr/>
        <w:t>报告期内，公司修订了《公司章程》、《公司股东大会议事规则》，披露情况如下：</w:t>
      </w:r>
    </w:p>
    <w:p>
      <w:pPr>
        <w:spacing w:line="240" w:lineRule="auto" w:before="3"/>
        <w:rPr>
          <w:rFonts w:ascii="宋体" w:hAnsi="宋体" w:cs="宋体" w:eastAsia="宋体" w:hint="default"/>
          <w:sz w:val="5"/>
          <w:szCs w:val="5"/>
        </w:rPr>
      </w:pPr>
    </w:p>
    <w:tbl>
      <w:tblPr>
        <w:tblW w:w="0" w:type="auto"/>
        <w:jc w:val="left"/>
        <w:tblInd w:w="438" w:type="dxa"/>
        <w:tblLayout w:type="fixed"/>
        <w:tblCellMar>
          <w:top w:w="0" w:type="dxa"/>
          <w:left w:w="0" w:type="dxa"/>
          <w:bottom w:w="0" w:type="dxa"/>
          <w:right w:w="0" w:type="dxa"/>
        </w:tblCellMar>
        <w:tblLook w:val="01E0"/>
      </w:tblPr>
      <w:tblGrid>
        <w:gridCol w:w="566"/>
        <w:gridCol w:w="1975"/>
        <w:gridCol w:w="1423"/>
        <w:gridCol w:w="5820"/>
      </w:tblGrid>
      <w:tr>
        <w:trPr>
          <w:trHeight w:val="346" w:hRule="exact"/>
        </w:trPr>
        <w:tc>
          <w:tcPr>
            <w:tcW w:w="566"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75"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2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披露时间</w:t>
            </w:r>
          </w:p>
        </w:tc>
        <w:tc>
          <w:tcPr>
            <w:tcW w:w="582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索引</w:t>
            </w:r>
          </w:p>
        </w:tc>
      </w:tr>
      <w:tr>
        <w:trPr>
          <w:trHeight w:val="34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21">
              <w:r>
                <w:rPr>
                  <w:rFonts w:ascii="Times New Roman" w:hAnsi="Times New Roman" w:cs="Times New Roman" w:eastAsia="Times New Roman" w:hint="default"/>
                  <w:sz w:val="18"/>
                  <w:szCs w:val="18"/>
                </w:rPr>
                <w:t>http://www.cninfo.com.cn/finalpage/2014-04-25/63911658.PDF</w:t>
              </w:r>
            </w:hyperlink>
          </w:p>
        </w:tc>
      </w:tr>
      <w:tr>
        <w:trPr>
          <w:trHeight w:val="34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22">
              <w:r>
                <w:rPr>
                  <w:rFonts w:ascii="Times New Roman" w:hAnsi="Times New Roman" w:cs="Times New Roman" w:eastAsia="Times New Roman" w:hint="default"/>
                  <w:sz w:val="18"/>
                  <w:szCs w:val="18"/>
                </w:rPr>
                <w:t>http://www.cninfo.com.cn/finalpage/2014-10-30/1200351030.PDF</w:t>
              </w:r>
            </w:hyperlink>
          </w:p>
        </w:tc>
      </w:tr>
      <w:tr>
        <w:trPr>
          <w:trHeight w:val="346"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公司股东大会议事规则</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23">
              <w:r>
                <w:rPr>
                  <w:rFonts w:ascii="Times New Roman" w:hAnsi="Times New Roman" w:cs="Times New Roman" w:eastAsia="Times New Roman" w:hint="default"/>
                  <w:sz w:val="18"/>
                  <w:szCs w:val="18"/>
                </w:rPr>
                <w:t>http://www.cninfo.com.cn/finalpage/2014-10-30/1200351036.PDF</w:t>
              </w:r>
            </w:hyperlink>
          </w:p>
        </w:tc>
      </w:tr>
    </w:tbl>
    <w:p>
      <w:pPr>
        <w:pStyle w:val="BodyText"/>
        <w:spacing w:line="316" w:lineRule="auto" w:before="8"/>
        <w:ind w:left="440" w:right="454" w:firstLine="48"/>
        <w:jc w:val="left"/>
      </w:pPr>
      <w:r>
        <w:rPr/>
        <w:t>（一）关于股东和股东大会 </w:t>
      </w:r>
      <w:r>
        <w:rPr>
          <w:spacing w:val="-4"/>
        </w:rPr>
        <w:t>报告期内，公司严格按照《上市公司股东大会规则》和《公司章程》、《公司股东大会议事规则》等规则的规定和要求，</w:t>
      </w:r>
    </w:p>
    <w:p>
      <w:pPr>
        <w:pStyle w:val="BodyText"/>
        <w:spacing w:line="316" w:lineRule="auto" w:before="18"/>
        <w:ind w:right="551"/>
        <w:jc w:val="both"/>
      </w:pPr>
      <w:r>
        <w:rPr>
          <w:spacing w:val="-2"/>
        </w:rPr>
        <w:t>召集、召开股东大会，能够确保全体股东特别是中小股东享有平等地位，充分行使自己的权力。报告期内的股东大会均由董</w:t>
      </w:r>
      <w:r>
        <w:rPr>
          <w:spacing w:val="-64"/>
        </w:rPr>
        <w:t> </w:t>
      </w:r>
      <w:r>
        <w:rPr>
          <w:spacing w:val="-64"/>
        </w:rPr>
      </w:r>
      <w:r>
        <w:rPr>
          <w:spacing w:val="-2"/>
        </w:rPr>
        <w:t>事会召集召开，并聘请律师进行现场见证，根据相关法律、行政法规、部门规章、规范性文件及公司章程等规定应由股东大</w:t>
      </w:r>
      <w:r>
        <w:rPr>
          <w:spacing w:val="-67"/>
        </w:rPr>
        <w:t> </w:t>
      </w:r>
      <w:r>
        <w:rPr>
          <w:spacing w:val="-67"/>
        </w:rPr>
      </w:r>
      <w:r>
        <w:rPr/>
        <w:t>会表决的事项均按照相应的权限审批后交由股东大会审议，不存在越权审批或先实施后审议的情况。</w:t>
      </w:r>
    </w:p>
    <w:p>
      <w:pPr>
        <w:pStyle w:val="BodyText"/>
        <w:spacing w:line="316" w:lineRule="auto" w:before="18"/>
        <w:ind w:left="440" w:right="454"/>
        <w:jc w:val="left"/>
      </w:pPr>
      <w:r>
        <w:rPr/>
        <w:t>（二）关于公司与控股股东 </w:t>
      </w:r>
      <w:r>
        <w:rPr>
          <w:spacing w:val="-1"/>
        </w:rPr>
        <w:t>公司控股股东行为规范，能依法行使其权利，并承担相应义务，没有超越公司股东大会直接或间接干预公司决策和经营</w:t>
      </w:r>
    </w:p>
    <w:p>
      <w:pPr>
        <w:pStyle w:val="BodyText"/>
        <w:spacing w:line="316" w:lineRule="auto" w:before="18"/>
        <w:ind w:right="555"/>
        <w:jc w:val="both"/>
      </w:pPr>
      <w:r>
        <w:rPr>
          <w:spacing w:val="-2"/>
        </w:rPr>
        <w:t>活动的情况发生。公司在业务、人员、资产、机构、财务等方面与控股股东相互独立，公司具有独立完整的业务及自主经营</w:t>
      </w:r>
      <w:r>
        <w:rPr>
          <w:spacing w:val="-70"/>
        </w:rPr>
        <w:t> </w:t>
      </w:r>
      <w:r>
        <w:rPr>
          <w:spacing w:val="-70"/>
        </w:rPr>
      </w:r>
      <w:r>
        <w:rPr/>
        <w:t>能力。</w:t>
      </w:r>
    </w:p>
    <w:p>
      <w:pPr>
        <w:pStyle w:val="BodyText"/>
        <w:spacing w:line="316" w:lineRule="auto" w:before="18"/>
        <w:ind w:left="440" w:right="454"/>
        <w:jc w:val="left"/>
      </w:pPr>
      <w:r>
        <w:rPr/>
        <w:t>（三）关于董事与董事会 </w:t>
      </w:r>
      <w:r>
        <w:rPr>
          <w:spacing w:val="-1"/>
        </w:rPr>
        <w:t>公司董事会由九名董事组成，其中独立董事三名，董事会的人数、构成及选聘程序均符合法律、法规和《公司章程》的</w:t>
      </w:r>
    </w:p>
    <w:p>
      <w:pPr>
        <w:pStyle w:val="BodyText"/>
        <w:spacing w:line="316" w:lineRule="auto" w:before="18"/>
        <w:ind w:right="550"/>
        <w:jc w:val="both"/>
      </w:pPr>
      <w:r>
        <w:rPr>
          <w:spacing w:val="-2"/>
        </w:rPr>
        <w:t>规定。报告期内，公司全体董事能积极严格按照《公司法》、《公司章程》、《公司董事会议事规则》和《公司独立董事工</w:t>
      </w:r>
      <w:r>
        <w:rPr>
          <w:spacing w:val="-68"/>
        </w:rPr>
        <w:t> </w:t>
      </w:r>
      <w:r>
        <w:rPr>
          <w:spacing w:val="-68"/>
        </w:rPr>
      </w:r>
      <w:r>
        <w:rPr>
          <w:spacing w:val="-2"/>
        </w:rPr>
        <w:t>作制度》等有关规定及相关工作规程开展工作和履行职责，认真出席董事会和股东大会，积极参加对相关知识的培训，熟悉</w:t>
      </w:r>
      <w:r>
        <w:rPr>
          <w:spacing w:val="-65"/>
        </w:rPr>
        <w:t> </w:t>
      </w:r>
      <w:r>
        <w:rPr>
          <w:spacing w:val="-65"/>
        </w:rPr>
      </w:r>
      <w:r>
        <w:rPr>
          <w:spacing w:val="-2"/>
        </w:rPr>
        <w:t>并掌握有关法律、法规。为进一步完善公司治理结构，公司董事会根据《上市公司治理准则》成立了战略、提名、审计、薪</w:t>
      </w:r>
      <w:r>
        <w:rPr>
          <w:spacing w:val="-65"/>
        </w:rPr>
        <w:t> </w:t>
      </w:r>
      <w:r>
        <w:rPr>
          <w:spacing w:val="-65"/>
        </w:rPr>
      </w:r>
      <w:r>
        <w:rPr/>
        <w:t>酬与考核等四个专业委员会，为董事会的决策提供了科学和专业的意见。</w:t>
      </w:r>
    </w:p>
    <w:p>
      <w:pPr>
        <w:pStyle w:val="BodyText"/>
        <w:spacing w:line="316" w:lineRule="auto" w:before="18"/>
        <w:ind w:left="440" w:right="454"/>
        <w:jc w:val="left"/>
      </w:pPr>
      <w:r>
        <w:rPr/>
        <w:t>（四）关于监事与监事会 </w:t>
      </w:r>
      <w:r>
        <w:rPr>
          <w:spacing w:val="-4"/>
        </w:rPr>
        <w:t>公司监事会由三名监事组成，其中一名为职工代表监事，监事会人数、构成及选聘程序均符合法律、法规和《公司章程》</w:t>
      </w:r>
    </w:p>
    <w:p>
      <w:pPr>
        <w:pStyle w:val="BodyText"/>
        <w:spacing w:line="316" w:lineRule="auto" w:before="18"/>
        <w:ind w:right="555"/>
        <w:jc w:val="both"/>
      </w:pPr>
      <w:r>
        <w:rPr>
          <w:spacing w:val="-2"/>
        </w:rPr>
        <w:t>的规定。公司监事能认真履行职责，诚信、勤勉、尽责地对公司财务以及董事、高级管理人员履行职责的合法、合规性进行</w:t>
      </w:r>
      <w:r>
        <w:rPr>
          <w:spacing w:val="-70"/>
        </w:rPr>
        <w:t> </w:t>
      </w:r>
      <w:r>
        <w:rPr>
          <w:spacing w:val="-70"/>
        </w:rPr>
      </w:r>
      <w:r>
        <w:rPr>
          <w:spacing w:val="-2"/>
        </w:rPr>
        <w:t>监督，维护公司及股东的合法权益。监事会会议的召集、召开和表决程序符合《公司法》、《公司章程》和《公司监事会议</w:t>
      </w:r>
      <w:r>
        <w:rPr>
          <w:spacing w:val="-70"/>
        </w:rPr>
        <w:t> </w:t>
      </w:r>
      <w:r>
        <w:rPr>
          <w:spacing w:val="-70"/>
        </w:rPr>
      </w:r>
      <w:r>
        <w:rPr/>
        <w:t>事规则》的规定。</w:t>
      </w:r>
    </w:p>
    <w:p>
      <w:pPr>
        <w:pStyle w:val="BodyText"/>
        <w:spacing w:line="316" w:lineRule="auto" w:before="18"/>
        <w:ind w:left="440" w:right="454"/>
        <w:jc w:val="left"/>
      </w:pPr>
      <w:r>
        <w:rPr/>
        <w:t>（五）关于相关利益者 </w:t>
      </w:r>
      <w:r>
        <w:rPr>
          <w:spacing w:val="-1"/>
        </w:rPr>
        <w:t>公司充分尊重和维护相关利益者的合法权益，在企业创造利润最大化的同时，实现社会、股东、员工等各方利益的协调</w:t>
      </w:r>
    </w:p>
    <w:p>
      <w:pPr>
        <w:pStyle w:val="BodyText"/>
        <w:spacing w:line="240" w:lineRule="auto" w:before="18"/>
        <w:ind w:right="0"/>
        <w:jc w:val="both"/>
      </w:pPr>
      <w:r>
        <w:rPr/>
        <w:t>平衡，共同推动公司持续、稳健发展。</w:t>
      </w:r>
    </w:p>
    <w:p>
      <w:pPr>
        <w:pStyle w:val="BodyText"/>
        <w:spacing w:line="240" w:lineRule="auto" w:before="76"/>
        <w:ind w:left="440" w:right="454"/>
        <w:jc w:val="left"/>
      </w:pPr>
      <w:r>
        <w:rPr/>
        <w:t>（六）关于信息披露与透明度</w:t>
      </w:r>
    </w:p>
    <w:p>
      <w:pPr>
        <w:spacing w:after="0" w:line="240" w:lineRule="auto"/>
        <w:jc w:val="left"/>
        <w:sectPr>
          <w:pgSz w:w="11910" w:h="16840"/>
          <w:pgMar w:header="745" w:footer="982" w:top="1060" w:bottom="1180" w:left="980" w:right="580"/>
        </w:sectPr>
      </w:pPr>
    </w:p>
    <w:p>
      <w:pPr>
        <w:spacing w:line="240" w:lineRule="auto" w:before="9"/>
        <w:rPr>
          <w:rFonts w:ascii="宋体" w:hAnsi="宋体" w:cs="宋体" w:eastAsia="宋体" w:hint="default"/>
          <w:sz w:val="25"/>
          <w:szCs w:val="25"/>
        </w:rPr>
      </w:pPr>
      <w:r>
        <w:rPr/>
        <w:pict>
          <v:group style="position:absolute;margin-left:377.040009pt;margin-top:638.159973pt;width:76.8pt;height:19.6pt;mso-position-horizontal-relative:page;mso-position-vertical-relative:page;z-index:-982456" coordorigin="7541,12763" coordsize="1536,392">
            <v:shape style="position:absolute;left:7541;top:12763;width:1536;height:392" coordorigin="7541,12763" coordsize="1536,392" path="m7541,13154l9077,13154,9077,12763,7541,12763,7541,13154xe" filled="true" fillcolor="#ffffff" stroked="false">
              <v:path arrowok="t"/>
              <v:fill type="solid"/>
            </v:shape>
            <w10:wrap type="none"/>
          </v:group>
        </w:pict>
      </w:r>
    </w:p>
    <w:p>
      <w:pPr>
        <w:pStyle w:val="BodyText"/>
        <w:spacing w:line="316" w:lineRule="auto" w:before="44"/>
        <w:ind w:right="106" w:firstLine="288"/>
        <w:jc w:val="left"/>
      </w:pPr>
      <w:r>
        <w:rPr/>
        <w:t>公司严格按照有关法律、行政法规、部门规章、规范性文件及《公司章程》、《公司信息披露管理制度》等有关规定， </w:t>
      </w:r>
      <w:r>
        <w:rPr>
          <w:spacing w:val="12"/>
        </w:rPr>
        <w:t>加强信息披露事务管理，履行信息披露义务，并指定《证券时报》、《证券日报》、《中国证券报》和巨潮资讯网</w:t>
      </w:r>
      <w:r>
        <w:rPr/>
      </w:r>
    </w:p>
    <w:p>
      <w:pPr>
        <w:pStyle w:val="BodyText"/>
        <w:spacing w:line="300" w:lineRule="auto" w:before="18"/>
        <w:ind w:right="179"/>
        <w:jc w:val="left"/>
      </w:pPr>
      <w:r>
        <w:rPr/>
        <w:t>（</w:t>
      </w:r>
      <w:hyperlink r:id="rId13">
        <w:r>
          <w:rPr>
            <w:rFonts w:ascii="Times New Roman" w:hAnsi="Times New Roman" w:cs="Times New Roman" w:eastAsia="Times New Roman" w:hint="default"/>
          </w:rPr>
          <w:t>http://www.cninfo.com.cn</w:t>
        </w:r>
      </w:hyperlink>
      <w:r>
        <w:rPr/>
        <w:t>）为公司信息披露的报纸和网站，真实、准确、完整、及时地披露信息，同时依据《公司投资者 关系管理制度》接待投资者来访和咨询，确保所有投资者能公平地获取公司信息。</w:t>
      </w:r>
    </w:p>
    <w:p>
      <w:pPr>
        <w:pStyle w:val="BodyText"/>
        <w:spacing w:line="316" w:lineRule="auto" w:before="31"/>
        <w:ind w:left="440" w:right="186"/>
        <w:jc w:val="left"/>
      </w:pPr>
      <w:r>
        <w:rPr/>
        <w:t>（七）关于内部审计 </w:t>
      </w:r>
      <w:r>
        <w:rPr>
          <w:spacing w:val="-1"/>
        </w:rPr>
        <w:t>公司内部审计部是公司内部控制的主要部门，在审计委员会的领导下对公司及子公司的经济运行质量、内控的制度和执</w:t>
      </w:r>
    </w:p>
    <w:p>
      <w:pPr>
        <w:pStyle w:val="BodyText"/>
        <w:spacing w:line="316" w:lineRule="auto" w:before="18"/>
        <w:ind w:right="186"/>
        <w:jc w:val="left"/>
      </w:pPr>
      <w:r>
        <w:rPr>
          <w:spacing w:val="-2"/>
        </w:rPr>
        <w:t>行、各项费用的使用以及资产情况进行审计和监督。依据相关的法律法规及《公司章程》、《公司内部审计制度》对公司日</w:t>
      </w:r>
      <w:r>
        <w:rPr>
          <w:spacing w:val="-71"/>
        </w:rPr>
        <w:t> </w:t>
      </w:r>
      <w:r>
        <w:rPr>
          <w:spacing w:val="-71"/>
        </w:rPr>
      </w:r>
      <w:r>
        <w:rPr/>
        <w:t>常运行进行内部审计，实施有效内部控制。</w:t>
      </w:r>
    </w:p>
    <w:p>
      <w:pPr>
        <w:pStyle w:val="BodyText"/>
        <w:spacing w:line="316" w:lineRule="auto" w:before="18"/>
        <w:ind w:left="440" w:right="186"/>
        <w:jc w:val="left"/>
      </w:pPr>
      <w:r>
        <w:rPr/>
        <w:t>（八）关于公司与投资者 </w:t>
      </w:r>
      <w:r>
        <w:rPr>
          <w:spacing w:val="-1"/>
        </w:rPr>
        <w:t>公司董事会秘书为投资者关系管理负责人，组织实施投资者关系的日常管理工作。报告期内，公司通过年度报告网上说</w:t>
      </w:r>
    </w:p>
    <w:p>
      <w:pPr>
        <w:pStyle w:val="BodyText"/>
        <w:spacing w:line="360" w:lineRule="auto" w:before="18"/>
        <w:ind w:right="4594"/>
        <w:jc w:val="left"/>
      </w:pPr>
      <w:r>
        <w:rPr/>
        <w:t>明会、电话、接待投资者现场调研等方式，加强与投资者的沟通。 公司治理与《公司法》和中国证监会相关规定的要求是否存在差异</w:t>
      </w:r>
    </w:p>
    <w:p>
      <w:pPr>
        <w:pStyle w:val="BodyText"/>
        <w:spacing w:line="340" w:lineRule="auto" w:before="25"/>
        <w:ind w:right="45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357" w:lineRule="auto" w:before="41"/>
        <w:ind w:left="515" w:right="186" w:hanging="363"/>
        <w:jc w:val="left"/>
      </w:pPr>
      <w:r>
        <w:rPr/>
        <w:t>公司治理专项活动开展情况以及内幕信息知情人登记管理制度的制定、实施情况 </w:t>
      </w:r>
      <w:r>
        <w:rPr>
          <w:spacing w:val="-2"/>
        </w:rPr>
        <w:t>为加强公司内幕信息的保密管理工作，根据中国证券监督管理委员会福建监管局印发的《关于加强上市公司内幕信息保</w:t>
      </w:r>
    </w:p>
    <w:p>
      <w:pPr>
        <w:pStyle w:val="BodyText"/>
        <w:spacing w:line="237" w:lineRule="exact"/>
        <w:ind w:right="0"/>
        <w:jc w:val="both"/>
      </w:pPr>
      <w:r>
        <w:rPr/>
        <w:t>密管理有关工作的通知</w:t>
      </w:r>
      <w:r>
        <w:rPr>
          <w:spacing w:val="-92"/>
        </w:rPr>
        <w:t>》</w:t>
      </w:r>
      <w:r>
        <w:rPr/>
        <w:t>（闽</w:t>
      </w:r>
      <w:r>
        <w:rPr>
          <w:spacing w:val="2"/>
        </w:rPr>
        <w:t>证</w:t>
      </w:r>
      <w:r>
        <w:rPr/>
        <w:t>监公司字</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13</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号）的规</w:t>
      </w:r>
      <w:r>
        <w:rPr>
          <w:spacing w:val="-3"/>
        </w:rPr>
        <w:t>定</w:t>
      </w:r>
      <w:r>
        <w:rPr/>
        <w:t>，结合公司的实际情况，公司董事会对原《公司内幕信息知情</w:t>
      </w:r>
    </w:p>
    <w:p>
      <w:pPr>
        <w:pStyle w:val="BodyText"/>
        <w:spacing w:line="314" w:lineRule="auto" w:before="62"/>
        <w:ind w:right="191"/>
        <w:jc w:val="both"/>
      </w:pPr>
      <w:r>
        <w:rPr>
          <w:spacing w:val="-5"/>
        </w:rPr>
        <w:t>人登记管理制度》进行修改，并制作《公司内幕信息知情人登记管理制度》（修订本）。公司严格按照证监会《关于上市公司</w:t>
      </w:r>
      <w:r>
        <w:rPr>
          <w:spacing w:val="-81"/>
        </w:rPr>
        <w:t> </w:t>
      </w:r>
      <w:r>
        <w:rPr>
          <w:spacing w:val="-81"/>
        </w:rPr>
      </w:r>
      <w:r>
        <w:rPr>
          <w:spacing w:val="-4"/>
        </w:rPr>
        <w:t>建立内幕信息知情人登记管理制度的规定》、深交所《中小企业板信息披露业务备忘录第</w:t>
      </w:r>
      <w:r>
        <w:rPr>
          <w:spacing w:val="-40"/>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2"/>
        </w:rPr>
        <w:t>号：内幕信息知情人报备相关事</w:t>
      </w:r>
      <w:r>
        <w:rPr/>
        <w:t> </w:t>
      </w:r>
      <w:r>
        <w:rPr>
          <w:spacing w:val="-2"/>
        </w:rPr>
        <w:t>项》及《公司内幕信息知情人登记管理制度》，做好内幕信息管理以及内幕信息知情人登记工作，能够如实、完整记录内幕</w:t>
      </w:r>
      <w:r>
        <w:rPr>
          <w:spacing w:val="-72"/>
        </w:rPr>
        <w:t> </w:t>
      </w:r>
      <w:r>
        <w:rPr>
          <w:spacing w:val="-72"/>
        </w:rPr>
      </w:r>
      <w:r>
        <w:rPr>
          <w:spacing w:val="-2"/>
        </w:rPr>
        <w:t>信息在公开披露前的报告、传递、编制、审核、披露等各环节所有内幕信息知情人名单，并及时报备监管部门。各定期报告</w:t>
      </w:r>
      <w:r>
        <w:rPr>
          <w:spacing w:val="-70"/>
        </w:rPr>
        <w:t> </w:t>
      </w:r>
      <w:r>
        <w:rPr>
          <w:spacing w:val="-70"/>
        </w:rPr>
      </w:r>
      <w:r>
        <w:rPr/>
        <w:t>披露期间，公司对董事、监事、高级管理人员及其他内幕信息知情人员在定期报告公告前</w:t>
      </w:r>
      <w:r>
        <w:rPr>
          <w:spacing w:val="-46"/>
        </w:rPr>
        <w:t> </w:t>
      </w:r>
      <w:r>
        <w:rPr>
          <w:rFonts w:ascii="Times New Roman" w:hAnsi="Times New Roman" w:cs="Times New Roman" w:eastAsia="Times New Roman" w:hint="default"/>
        </w:rPr>
        <w:t>30 </w:t>
      </w:r>
      <w:r>
        <w:rPr/>
        <w:t>日内、业绩预告和业绩快报公</w:t>
      </w:r>
    </w:p>
    <w:p>
      <w:pPr>
        <w:pStyle w:val="BodyText"/>
        <w:spacing w:line="240" w:lineRule="auto" w:before="1"/>
        <w:ind w:right="0"/>
        <w:jc w:val="both"/>
      </w:pPr>
      <w:r>
        <w:rPr/>
        <w:t>告前</w:t>
      </w:r>
      <w:r>
        <w:rPr>
          <w:spacing w:val="-46"/>
        </w:rPr>
        <w:t> </w:t>
      </w:r>
      <w:r>
        <w:rPr>
          <w:rFonts w:ascii="Times New Roman" w:hAnsi="Times New Roman" w:cs="Times New Roman" w:eastAsia="Times New Roman" w:hint="default"/>
        </w:rPr>
        <w:t>10 </w:t>
      </w:r>
      <w:r>
        <w:rPr/>
        <w:t>日内以及其他重大事项披露期间等敏感期内买卖公司股票的情况进行自查，没有发现相关人员利用内幕信息。</w:t>
      </w:r>
    </w:p>
    <w:p>
      <w:pPr>
        <w:spacing w:line="240" w:lineRule="auto" w:before="4"/>
        <w:rPr>
          <w:rFonts w:ascii="宋体" w:hAnsi="宋体" w:cs="宋体" w:eastAsia="宋体" w:hint="default"/>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bookmarkStart w:name="二、报告期内召开的年度股东大会和临时股东大会的有关情况" w:id="120"/>
            <w:bookmarkEnd w:id="120"/>
            <w:r>
              <w:rPr/>
            </w:r>
            <w:bookmarkStart w:name="1、本报告期年度股东大会情况" w:id="121"/>
            <w:bookmarkEnd w:id="121"/>
            <w:r>
              <w:rPr/>
            </w:r>
            <w:r>
              <w:rPr>
                <w:rFonts w:ascii="宋体" w:hAnsi="宋体" w:cs="宋体" w:eastAsia="宋体" w:hint="default"/>
                <w:sz w:val="18"/>
                <w:szCs w:val="18"/>
              </w:rPr>
              <w:t>披露索引</w:t>
            </w:r>
          </w:p>
        </w:tc>
      </w:tr>
      <w:tr>
        <w:trPr>
          <w:trHeight w:val="44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年度董事会工作报 </w:t>
            </w:r>
            <w:r>
              <w:rPr>
                <w:rFonts w:ascii="宋体" w:hAnsi="宋体" w:cs="宋体" w:eastAsia="宋体" w:hint="default"/>
                <w:spacing w:val="-19"/>
                <w:sz w:val="18"/>
                <w:szCs w:val="18"/>
              </w:rPr>
              <w:t>告</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的议案》、《关于</w:t>
            </w:r>
          </w:p>
          <w:p>
            <w:pPr>
              <w:pStyle w:val="TableParagraph"/>
              <w:spacing w:line="300" w:lineRule="auto" w:before="5"/>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 事会工作报告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9"/>
                <w:sz w:val="18"/>
                <w:szCs w:val="18"/>
              </w:rPr>
              <w:t>议案》、《关于</w:t>
            </w:r>
            <w:r>
              <w:rPr>
                <w:rFonts w:ascii="Times New Roman" w:hAnsi="Times New Roman" w:cs="Times New Roman" w:eastAsia="Times New Roman" w:hint="default"/>
                <w:spacing w:val="-19"/>
                <w:sz w:val="18"/>
                <w:szCs w:val="18"/>
              </w:rPr>
              <w:t>&lt;</w:t>
            </w:r>
            <w:r>
              <w:rPr>
                <w:rFonts w:ascii="宋体" w:hAnsi="宋体" w:cs="宋体" w:eastAsia="宋体" w:hint="default"/>
                <w:spacing w:val="-19"/>
                <w:sz w:val="18"/>
                <w:szCs w:val="18"/>
              </w:rPr>
              <w:t>公司</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 </w:t>
            </w:r>
            <w:r>
              <w:rPr>
                <w:rFonts w:ascii="宋体" w:hAnsi="宋体" w:cs="宋体" w:eastAsia="宋体" w:hint="default"/>
                <w:spacing w:val="-19"/>
                <w:sz w:val="18"/>
                <w:szCs w:val="18"/>
              </w:rPr>
              <w:t>报告</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 利润分配预案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9"/>
                <w:sz w:val="18"/>
                <w:szCs w:val="18"/>
              </w:rPr>
              <w:t>议案》、《关于修订</w:t>
            </w:r>
            <w:r>
              <w:rPr>
                <w:rFonts w:ascii="Times New Roman" w:hAnsi="Times New Roman" w:cs="Times New Roman" w:eastAsia="Times New Roman" w:hint="default"/>
                <w:spacing w:val="-19"/>
                <w:sz w:val="18"/>
                <w:szCs w:val="18"/>
              </w:rPr>
              <w:t>&lt;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21"/>
                <w:sz w:val="18"/>
                <w:szCs w:val="18"/>
              </w:rPr>
              <w:t>案》、《关于</w:t>
            </w:r>
            <w:r>
              <w:rPr>
                <w:rFonts w:ascii="Times New Roman" w:hAnsi="Times New Roman" w:cs="Times New Roman" w:eastAsia="Times New Roman" w:hint="default"/>
                <w:spacing w:val="-21"/>
                <w:sz w:val="18"/>
                <w:szCs w:val="18"/>
              </w:rPr>
              <w:t>&lt;</w:t>
            </w:r>
            <w:r>
              <w:rPr>
                <w:rFonts w:ascii="宋体" w:hAnsi="宋体" w:cs="宋体" w:eastAsia="宋体" w:hint="default"/>
                <w:spacing w:val="-21"/>
                <w:sz w:val="18"/>
                <w:szCs w:val="18"/>
              </w:rPr>
              <w:t>公司</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 w:right="-41"/>
              <w:jc w:val="center"/>
              <w:rPr>
                <w:rFonts w:ascii="宋体" w:hAnsi="宋体" w:cs="宋体" w:eastAsia="宋体" w:hint="default"/>
                <w:sz w:val="18"/>
                <w:szCs w:val="18"/>
              </w:rPr>
            </w:pPr>
            <w:r>
              <w:rPr>
                <w:rFonts w:ascii="宋体" w:hAnsi="宋体" w:cs="宋体" w:eastAsia="宋体" w:hint="default"/>
                <w:spacing w:val="-3"/>
                <w:sz w:val="18"/>
                <w:szCs w:val="18"/>
              </w:rPr>
              <w:t>所有议案全部通过。</w:t>
            </w:r>
            <w:r>
              <w:rPr>
                <w:rFonts w:ascii="宋体" w:hAnsi="宋体" w:cs="宋体" w:eastAsia="宋体" w:hint="default"/>
                <w:sz w:val="18"/>
                <w:szCs w:val="18"/>
              </w:rPr>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97" w:lineRule="auto"/>
              <w:ind w:left="23" w:right="2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东大会决议公告》</w:t>
            </w:r>
          </w:p>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12" w:lineRule="exact" w:before="37"/>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2014-027</w:t>
            </w:r>
            <w:r>
              <w:rPr>
                <w:rFonts w:ascii="宋体" w:hAnsi="宋体" w:cs="宋体" w:eastAsia="宋体" w:hint="default"/>
                <w:spacing w:val="-5"/>
                <w:sz w:val="18"/>
                <w:szCs w:val="18"/>
              </w:rPr>
              <w:t>）披露于巨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 </w:t>
            </w:r>
            <w:hyperlink r:id="rId24">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m.cn/finalpage/2014</w:t>
            </w:r>
          </w:p>
          <w:p>
            <w:pPr>
              <w:pStyle w:val="TableParagraph"/>
              <w:spacing w:line="362" w:lineRule="auto" w:before="81"/>
              <w:ind w:left="23" w:right="35"/>
              <w:jc w:val="left"/>
              <w:rPr>
                <w:rFonts w:ascii="Times New Roman" w:hAnsi="Times New Roman" w:cs="Times New Roman" w:eastAsia="Times New Roman" w:hint="default"/>
                <w:sz w:val="18"/>
                <w:szCs w:val="18"/>
              </w:rPr>
            </w:pPr>
            <w:r>
              <w:rPr>
                <w:rFonts w:ascii="Times New Roman"/>
                <w:sz w:val="18"/>
              </w:rPr>
              <w:t>-04-25/63911651.PD</w:t>
            </w:r>
            <w:r>
              <w:rPr>
                <w:rFonts w:ascii="Times New Roman"/>
                <w:w w:val="99"/>
                <w:sz w:val="18"/>
              </w:rPr>
              <w:t> </w:t>
            </w:r>
            <w:r>
              <w:rPr>
                <w:rFonts w:ascii="Times New Roman"/>
                <w:sz w:val="18"/>
              </w:rPr>
              <w:t>F</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9"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自我评价报告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存放与实际使用情</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况的专项报告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其摘要</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《关于续聘致同会</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计师事务</w:t>
            </w:r>
            <w:r>
              <w:rPr>
                <w:rFonts w:ascii="宋体" w:hAnsi="宋体" w:cs="宋体" w:eastAsia="宋体" w:hint="default"/>
                <w:spacing w:val="-82"/>
                <w:sz w:val="18"/>
                <w:szCs w:val="18"/>
              </w:rPr>
              <w:t>所</w:t>
            </w:r>
            <w:r>
              <w:rPr>
                <w:rFonts w:ascii="宋体" w:hAnsi="宋体" w:cs="宋体" w:eastAsia="宋体" w:hint="default"/>
                <w:sz w:val="18"/>
                <w:szCs w:val="18"/>
              </w:rPr>
              <w:t>（特殊普</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通合伙）为公司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年度向各家银</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行申请授信额度和</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贷款的议案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《公司</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年度董事、高</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级管理人员薪酬方</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预计公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《关于使用部分闲</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置募集资金投资银</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60"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行理财产品的议案</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791"/>
        <w:jc w:val="left"/>
        <w:rPr>
          <w:b w:val="0"/>
          <w:bCs w:val="0"/>
        </w:rPr>
      </w:pPr>
      <w:r>
        <w:rPr/>
        <w:pict>
          <v:group style="position:absolute;margin-left:296.160004pt;margin-top:-389.496338pt;width:79.2pt;height:376.45pt;mso-position-horizontal-relative:page;mso-position-vertical-relative:paragraph;z-index:-982408" coordorigin="5923,-7790" coordsize="1584,7529">
            <v:shape style="position:absolute;left:5923;top:-7790;width:1584;height:7529" coordorigin="5923,-7790" coordsize="1584,7529" path="m5923,-261l7507,-261,7507,-7790,5923,-7790,5923,-261xe" filled="true" fillcolor="#ffffff" stroked="false">
              <v:path arrowok="t"/>
              <v:fill type="solid"/>
            </v:shape>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BodyText"/>
        <w:spacing w:line="240" w:lineRule="auto" w:before="44"/>
        <w:ind w:left="0" w:right="162"/>
        <w:jc w:val="right"/>
      </w:pPr>
      <w:r>
        <w:rPr/>
        <w:pict>
          <v:shape style="position:absolute;margin-left:56.400002pt;margin-top:-51.968285pt;width:479.05pt;height:261.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both"/>
                          <w:rPr>
                            <w:rFonts w:ascii="宋体" w:hAnsi="宋体" w:cs="宋体" w:eastAsia="宋体" w:hint="default"/>
                            <w:sz w:val="18"/>
                            <w:szCs w:val="18"/>
                          </w:rPr>
                        </w:pPr>
                        <w:r>
                          <w:rPr>
                            <w:rFonts w:ascii="宋体" w:hAnsi="宋体" w:cs="宋体" w:eastAsia="宋体" w:hint="default"/>
                            <w:sz w:val="18"/>
                            <w:szCs w:val="18"/>
                          </w:rPr>
                          <w:t>《关于公司第三届 董事会增补独立董 </w:t>
                        </w:r>
                        <w:r>
                          <w:rPr>
                            <w:rFonts w:ascii="宋体" w:hAnsi="宋体" w:cs="宋体" w:eastAsia="宋体" w:hint="default"/>
                            <w:spacing w:val="-11"/>
                            <w:sz w:val="18"/>
                            <w:szCs w:val="18"/>
                          </w:rPr>
                          <w:t>事候选人的议案》、</w:t>
                        </w:r>
                      </w:p>
                      <w:p>
                        <w:pPr>
                          <w:pStyle w:val="TableParagraph"/>
                          <w:spacing w:line="300"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w:t>
                        </w:r>
                        <w:r>
                          <w:rPr>
                            <w:rFonts w:ascii="宋体" w:hAnsi="宋体" w:cs="宋体" w:eastAsia="宋体" w:hint="default"/>
                            <w:spacing w:val="-19"/>
                            <w:sz w:val="18"/>
                            <w:szCs w:val="18"/>
                          </w:rPr>
                          <w:t>章程</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股东大会 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41"/>
                          <w:jc w:val="center"/>
                          <w:rPr>
                            <w:rFonts w:ascii="宋体" w:hAnsi="宋体" w:cs="宋体" w:eastAsia="宋体" w:hint="default"/>
                            <w:sz w:val="18"/>
                            <w:szCs w:val="18"/>
                          </w:rPr>
                        </w:pPr>
                        <w:r>
                          <w:rPr>
                            <w:rFonts w:ascii="宋体" w:hAnsi="宋体" w:cs="宋体" w:eastAsia="宋体" w:hint="default"/>
                            <w:spacing w:val="-3"/>
                            <w:sz w:val="18"/>
                            <w:szCs w:val="18"/>
                          </w:rPr>
                          <w:t>所有议案全部通过。</w:t>
                        </w:r>
                        <w:r>
                          <w:rPr>
                            <w:rFonts w:ascii="宋体" w:hAnsi="宋体" w:cs="宋体" w:eastAsia="宋体" w:hint="default"/>
                            <w:sz w:val="18"/>
                            <w:szCs w:val="18"/>
                          </w:rPr>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次临时股东大会决 </w:t>
                        </w:r>
                        <w:r>
                          <w:rPr>
                            <w:rFonts w:ascii="宋体" w:hAnsi="宋体" w:cs="宋体" w:eastAsia="宋体" w:hint="default"/>
                            <w:spacing w:val="-20"/>
                            <w:sz w:val="18"/>
                            <w:szCs w:val="18"/>
                          </w:rPr>
                          <w:t>议公告》（公告编号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5"/>
                            <w:sz w:val="18"/>
                            <w:szCs w:val="18"/>
                          </w:rPr>
                          <w:t>2014-087</w:t>
                        </w:r>
                        <w:r>
                          <w:rPr>
                            <w:rFonts w:ascii="宋体" w:hAnsi="宋体" w:cs="宋体" w:eastAsia="宋体" w:hint="default"/>
                            <w:spacing w:val="-5"/>
                            <w:sz w:val="18"/>
                            <w:szCs w:val="18"/>
                          </w:rPr>
                          <w:t>）披露于巨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 </w:t>
                        </w:r>
                        <w:hyperlink r:id="rId24">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m.cn/finalpage/2014</w:t>
                        </w:r>
                      </w:p>
                      <w:p>
                        <w:pPr>
                          <w:pStyle w:val="TableParagraph"/>
                          <w:spacing w:line="362" w:lineRule="auto" w:before="81"/>
                          <w:ind w:left="23" w:right="87"/>
                          <w:jc w:val="left"/>
                          <w:rPr>
                            <w:rFonts w:ascii="Times New Roman" w:hAnsi="Times New Roman" w:cs="Times New Roman" w:eastAsia="Times New Roman" w:hint="default"/>
                            <w:sz w:val="18"/>
                            <w:szCs w:val="18"/>
                          </w:rPr>
                        </w:pPr>
                        <w:r>
                          <w:rPr>
                            <w:rFonts w:ascii="Times New Roman"/>
                            <w:sz w:val="18"/>
                          </w:rPr>
                          <w:t>-11-21/1200406442.</w:t>
                        </w:r>
                        <w:r>
                          <w:rPr>
                            <w:rFonts w:ascii="Times New Roman"/>
                            <w:w w:val="99"/>
                            <w:sz w:val="18"/>
                          </w:rPr>
                          <w:t> </w:t>
                        </w:r>
                        <w:r>
                          <w:rPr>
                            <w:rFonts w:ascii="Times New Roman"/>
                            <w:sz w:val="18"/>
                          </w:rPr>
                          <w:t>PDF</w:t>
                        </w:r>
                      </w:p>
                    </w:tc>
                  </w:tr>
                  <w:tr>
                    <w:trPr>
                      <w:trHeight w:val="19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《关于变更募集资 金投资项目实施地 </w:t>
                        </w:r>
                        <w:r>
                          <w:rPr>
                            <w:rFonts w:ascii="宋体" w:hAnsi="宋体" w:cs="宋体" w:eastAsia="宋体" w:hint="default"/>
                            <w:spacing w:val="-10"/>
                            <w:sz w:val="18"/>
                            <w:szCs w:val="18"/>
                          </w:rPr>
                          <w:t>点、实施方式及追加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投资的议案》</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41"/>
                          <w:jc w:val="center"/>
                          <w:rPr>
                            <w:rFonts w:ascii="宋体" w:hAnsi="宋体" w:cs="宋体" w:eastAsia="宋体" w:hint="default"/>
                            <w:sz w:val="18"/>
                            <w:szCs w:val="18"/>
                          </w:rPr>
                        </w:pPr>
                        <w:r>
                          <w:rPr>
                            <w:rFonts w:ascii="宋体" w:hAnsi="宋体" w:cs="宋体" w:eastAsia="宋体" w:hint="default"/>
                            <w:spacing w:val="-3"/>
                            <w:sz w:val="18"/>
                            <w:szCs w:val="18"/>
                          </w:rPr>
                          <w:t>所有议案全部通过。</w:t>
                        </w:r>
                        <w:r>
                          <w:rPr>
                            <w:rFonts w:ascii="宋体" w:hAnsi="宋体" w:cs="宋体" w:eastAsia="宋体" w:hint="default"/>
                            <w:sz w:val="18"/>
                            <w:szCs w:val="18"/>
                          </w:rPr>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次临时股东大会决 </w:t>
                        </w:r>
                        <w:r>
                          <w:rPr>
                            <w:rFonts w:ascii="宋体" w:hAnsi="宋体" w:cs="宋体" w:eastAsia="宋体" w:hint="default"/>
                            <w:spacing w:val="-20"/>
                            <w:sz w:val="18"/>
                            <w:szCs w:val="18"/>
                          </w:rPr>
                          <w:t>议公告》（公告编号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5"/>
                            <w:sz w:val="18"/>
                            <w:szCs w:val="18"/>
                          </w:rPr>
                          <w:t>2014-095</w:t>
                        </w:r>
                        <w:r>
                          <w:rPr>
                            <w:rFonts w:ascii="宋体" w:hAnsi="宋体" w:cs="宋体" w:eastAsia="宋体" w:hint="default"/>
                            <w:spacing w:val="-5"/>
                            <w:sz w:val="18"/>
                            <w:szCs w:val="18"/>
                          </w:rPr>
                          <w:t>）披露于巨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24">
                          <w:r>
                            <w:rPr>
                              <w:rFonts w:ascii="Times New Roman"/>
                              <w:sz w:val="18"/>
                            </w:rPr>
                            <w:t>http://www.cninfo.co</w:t>
                          </w:r>
                        </w:hyperlink>
                      </w:p>
                    </w:tc>
                  </w:tr>
                </w:tbl>
                <w:p>
                  <w:pPr/>
                </w:p>
              </w:txbxContent>
            </v:textbox>
            <w10:wrap type="none"/>
          </v:shape>
        </w:pict>
      </w:r>
      <w:bookmarkStart w:name="2、本报告期临时股东大会情况" w:id="122"/>
      <w:bookmarkEnd w:id="122"/>
      <w:r>
        <w:rPr/>
      </w:r>
      <w:r>
        <w:rPr/>
        <w:t>：</w:t>
      </w:r>
    </w:p>
    <w:p>
      <w:pPr>
        <w:spacing w:line="240" w:lineRule="auto" w:before="12"/>
        <w:rPr>
          <w:rFonts w:ascii="宋体" w:hAnsi="宋体" w:cs="宋体" w:eastAsia="宋体" w:hint="default"/>
          <w:sz w:val="25"/>
          <w:szCs w:val="25"/>
        </w:rPr>
      </w:pPr>
    </w:p>
    <w:p>
      <w:pPr>
        <w:spacing w:line="393" w:lineRule="exact"/>
        <w:ind w:left="656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6.8pt;height:19.7pt;mso-position-horizontal-relative:char;mso-position-vertical-relative:line" coordorigin="0,0" coordsize="1536,394">
            <v:group style="position:absolute;left:0;top:0;width:1536;height:394" coordorigin="0,0" coordsize="1536,394">
              <v:shape style="position:absolute;left:0;top:0;width:1536;height:394" coordorigin="0,0" coordsize="1536,394" path="m0,394l1536,394,1536,0,0,0,0,39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63"/>
        <w:ind w:left="0" w:right="162"/>
        <w:jc w:val="right"/>
      </w:pPr>
      <w:r>
        <w:rPr/>
        <w:pict>
          <v:group style="position:absolute;margin-left:377.040009pt;margin-top:7.541718pt;width:76.8pt;height:19.7pt;mso-position-horizontal-relative:page;mso-position-vertical-relative:paragraph;z-index:1480" coordorigin="7541,151" coordsize="1536,394">
            <v:shape style="position:absolute;left:7541;top:151;width:1536;height:394" coordorigin="7541,151" coordsize="1536,394" path="m7541,544l9077,544,9077,151,7541,151,7541,544xe" filled="true" fillcolor="#ffffff" stroked="false">
              <v:path arrowok="t"/>
              <v:fill type="solid"/>
            </v:shape>
            <w10:wrap type="none"/>
          </v:group>
        </w:pict>
      </w: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m.cn/finalpage/2014</w:t>
            </w:r>
          </w:p>
          <w:p>
            <w:pPr>
              <w:pStyle w:val="TableParagraph"/>
              <w:spacing w:line="362" w:lineRule="auto" w:before="105"/>
              <w:ind w:left="23" w:right="78"/>
              <w:jc w:val="left"/>
              <w:rPr>
                <w:rFonts w:ascii="Times New Roman" w:hAnsi="Times New Roman" w:cs="Times New Roman" w:eastAsia="Times New Roman" w:hint="default"/>
                <w:sz w:val="18"/>
                <w:szCs w:val="18"/>
              </w:rPr>
            </w:pPr>
            <w:r>
              <w:rPr>
                <w:rFonts w:ascii="Times New Roman"/>
                <w:sz w:val="18"/>
              </w:rPr>
              <w:t>-12-31/1200507263.</w:t>
            </w:r>
            <w:r>
              <w:rPr>
                <w:rFonts w:ascii="Times New Roman"/>
                <w:spacing w:val="1"/>
                <w:w w:val="99"/>
                <w:sz w:val="18"/>
              </w:rPr>
              <w:t> </w:t>
            </w:r>
            <w:r>
              <w:rPr>
                <w:rFonts w:ascii="Times New Roman"/>
                <w:sz w:val="18"/>
              </w:rPr>
              <w:t>PDF</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3、独立董事履行职责的其他说明" w:id="123"/>
      <w:bookmarkEnd w:id="123"/>
      <w:r>
        <w:rPr>
          <w:b w:val="0"/>
          <w:bCs w:val="0"/>
        </w:rPr>
      </w:r>
      <w:r>
        <w:rPr>
          <w:rFonts w:ascii="Times New Roman" w:hAnsi="Times New Roman" w:cs="Times New Roman" w:eastAsia="Times New Roman" w:hint="default"/>
        </w:rPr>
        <w:t>3</w:t>
      </w:r>
      <w:bookmarkStart w:name="3、表决权恢复的优先股股东请求召开临时股东大会" w:id="124"/>
      <w:bookmarkEnd w:id="124"/>
      <w:r>
        <w:rPr>
          <w:rFonts w:ascii="Times New Roman" w:hAnsi="Times New Roman" w:cs="Times New Roman" w:eastAsia="Times New Roman" w:hint="default"/>
        </w:rPr>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91"/>
        <w:jc w:val="left"/>
        <w:rPr>
          <w:b w:val="0"/>
          <w:bCs w:val="0"/>
        </w:rPr>
      </w:pPr>
      <w:r>
        <w:rPr/>
        <w:t>三、报告期内独立</w:t>
      </w:r>
      <w:bookmarkStart w:name="三、报告期内独立董事履行职责的情况" w:id="125"/>
      <w:bookmarkEnd w:id="125"/>
      <w:r>
        <w:rPr/>
        <w:t>董事</w:t>
      </w:r>
      <w:r>
        <w:rPr/>
        <w:t>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、独立董事出席董事会及</w:t>
      </w:r>
      <w:bookmarkStart w:name="1、独立董事出席董事会及股东大会的情况" w:id="126"/>
      <w:bookmarkEnd w:id="126"/>
      <w:r>
        <w:rPr/>
        <w:t>股东大会的</w:t>
      </w:r>
      <w:r>
        <w:rPr/>
        <w:t>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毕振东</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刘兆才</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7074"/>
        <w:jc w:val="left"/>
      </w:pPr>
      <w:r>
        <w:rPr/>
        <w:t>连续两次未亲自出席董事会的说明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独立董事对公司有关事项是否提出异议</w:t>
      </w:r>
    </w:p>
    <w:p>
      <w:pPr>
        <w:pStyle w:val="BodyText"/>
        <w:spacing w:line="340" w:lineRule="auto" w:before="115"/>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独立董事对公司有关建议是否被采纳</w:t>
      </w:r>
    </w:p>
    <w:p>
      <w:pPr>
        <w:pStyle w:val="BodyText"/>
        <w:spacing w:line="340" w:lineRule="auto" w:before="115"/>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2" w:lineRule="auto" w:before="41"/>
        <w:ind w:right="150" w:firstLine="419"/>
        <w:jc w:val="both"/>
      </w:pPr>
      <w:r>
        <w:rPr/>
        <w:t>公司独立董事在</w:t>
      </w:r>
      <w:r>
        <w:rPr>
          <w:rFonts w:ascii="Times New Roman" w:hAnsi="Times New Roman" w:cs="Times New Roman" w:eastAsia="Times New Roman" w:hint="default"/>
        </w:rPr>
        <w:t>2014</w:t>
      </w:r>
      <w:r>
        <w:rPr/>
        <w:t>年度勤勉</w:t>
      </w:r>
      <w:bookmarkStart w:name="2、独立董事对公司有关事项提出异议的情况" w:id="127"/>
      <w:bookmarkEnd w:id="127"/>
      <w:r>
        <w:rPr/>
        <w:t>尽责，忠实履行独立董事职务，积极了解公司的生产经营情况和财务状况，详实听取了</w:t>
      </w:r>
      <w:r>
        <w:rPr/>
        <w:t> </w:t>
      </w:r>
      <w:r>
        <w:rPr>
          <w:spacing w:val="-2"/>
        </w:rPr>
        <w:t>公司相关人员的汇报，定期审阅公司提供的信息报告，掌握公司的运行动态；在董事会上发表意见、行使职权，对公司信息</w:t>
      </w:r>
      <w:r>
        <w:rPr>
          <w:spacing w:val="-67"/>
        </w:rPr>
        <w:t> </w:t>
      </w:r>
      <w:r>
        <w:rPr>
          <w:spacing w:val="-67"/>
        </w:rPr>
      </w:r>
      <w:r>
        <w:rPr>
          <w:spacing w:val="-2"/>
        </w:rPr>
        <w:t>披露情况等进行监督和核查，提出了科学有效的建议，出具了独立、公正的独立董事意见，积极有效地履行了独立董事的职</w:t>
      </w:r>
      <w:r>
        <w:rPr>
          <w:spacing w:val="-65"/>
        </w:rPr>
        <w:t> </w:t>
      </w:r>
      <w:r>
        <w:rPr>
          <w:spacing w:val="-65"/>
        </w:rPr>
      </w:r>
      <w:r>
        <w:rPr/>
        <w:t>责，维护了公司和中小股东的合法权益。</w:t>
      </w:r>
    </w:p>
    <w:p>
      <w:pPr>
        <w:spacing w:after="0" w:line="312" w:lineRule="auto"/>
        <w:jc w:val="both"/>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50" w:firstLine="360"/>
        <w:jc w:val="both"/>
      </w:pPr>
      <w:bookmarkStart w:name="四、董事会下设专门委员会在报告期内履行职责情况" w:id="128"/>
      <w:bookmarkEnd w:id="128"/>
      <w:r>
        <w:rPr/>
      </w:r>
      <w:r>
        <w:rPr>
          <w:spacing w:val="-2"/>
        </w:rPr>
        <w:t>公司董事会下设四个专门委员会，分别为审计委员会、提名委员会、战略委员会、薪酬与考核委员会。</w:t>
      </w:r>
      <w:r>
        <w:rPr>
          <w:rFonts w:ascii="Times New Roman" w:hAnsi="Times New Roman" w:cs="Times New Roman" w:eastAsia="Times New Roman" w:hint="default"/>
          <w:spacing w:val="-2"/>
        </w:rPr>
        <w:t>2014</w:t>
      </w:r>
      <w:r>
        <w:rPr>
          <w:spacing w:val="-2"/>
        </w:rPr>
        <w:t>年度各专门</w:t>
      </w:r>
      <w:r>
        <w:rPr/>
        <w:t> </w:t>
      </w:r>
      <w:r>
        <w:rPr>
          <w:spacing w:val="-2"/>
        </w:rPr>
        <w:t>委员会本着勤勉尽责的原则，按照有关法律法规、规范性文件及公司各专门委员会工作细则的有关规定开展相关工作，报告</w:t>
      </w:r>
      <w:r>
        <w:rPr>
          <w:spacing w:val="-63"/>
        </w:rPr>
        <w:t> </w:t>
      </w:r>
      <w:r>
        <w:rPr>
          <w:spacing w:val="-63"/>
        </w:rPr>
      </w:r>
      <w:r>
        <w:rPr/>
        <w:t>期内，各专门委员会履职情况如下：</w:t>
      </w:r>
    </w:p>
    <w:p>
      <w:pPr>
        <w:pStyle w:val="BodyText"/>
        <w:spacing w:line="360" w:lineRule="auto" w:before="62"/>
        <w:ind w:left="512" w:right="147"/>
        <w:jc w:val="left"/>
      </w:pPr>
      <w:r>
        <w:rPr/>
        <w:t>（一）审计委员会 </w:t>
      </w:r>
      <w:r>
        <w:rPr>
          <w:spacing w:val="-2"/>
        </w:rPr>
        <w:t>报告期内，审计委员会根据《公司董事会审计委员会实施细则》及其他有关规定积极开展工作，认真履行职责。报告期</w:t>
      </w:r>
    </w:p>
    <w:p>
      <w:pPr>
        <w:pStyle w:val="BodyText"/>
        <w:spacing w:line="236" w:lineRule="exact"/>
        <w:ind w:right="0"/>
        <w:jc w:val="left"/>
      </w:pPr>
      <w:r>
        <w:rPr/>
        <w:t>内，审计委员会召开了</w:t>
      </w:r>
      <w:r>
        <w:rPr>
          <w:rFonts w:ascii="Times New Roman" w:hAnsi="Times New Roman" w:cs="Times New Roman" w:eastAsia="Times New Roman" w:hint="default"/>
        </w:rPr>
        <w:t>8</w:t>
      </w:r>
      <w:r>
        <w:rPr/>
        <w:t>次会议，审查了公司内部控制制度及执行情况，审核了公司所有重要的会计政策，定期了解公司财</w:t>
      </w:r>
    </w:p>
    <w:p>
      <w:pPr>
        <w:pStyle w:val="BodyText"/>
        <w:spacing w:line="316" w:lineRule="auto" w:before="62"/>
        <w:ind w:right="147"/>
        <w:jc w:val="left"/>
      </w:pPr>
      <w:r>
        <w:rPr>
          <w:spacing w:val="-2"/>
        </w:rPr>
        <w:t>务状况和经营情况，督促和指导公司审计部门对公司财务管理运行情况进行定期和不定期的检查和评估，委员会认为公司内</w:t>
      </w:r>
      <w:r>
        <w:rPr>
          <w:spacing w:val="-64"/>
        </w:rPr>
        <w:t> </w:t>
      </w:r>
      <w:r>
        <w:rPr>
          <w:spacing w:val="-64"/>
        </w:rPr>
      </w:r>
      <w:r>
        <w:rPr/>
        <w:t>控制度体系符合法律、法规及《公司章程》的要求，适应当前公司生产经营实际情况的需要，具体工作如下：</w:t>
      </w:r>
    </w:p>
    <w:p>
      <w:pPr>
        <w:pStyle w:val="BodyText"/>
        <w:spacing w:line="300" w:lineRule="auto" w:before="59"/>
        <w:ind w:right="153" w:firstLine="360"/>
        <w:jc w:val="both"/>
      </w:pPr>
      <w:r>
        <w:rPr>
          <w:rFonts w:ascii="Times New Roman" w:hAnsi="Times New Roman" w:cs="Times New Roman" w:eastAsia="Times New Roman" w:hint="default"/>
        </w:rPr>
        <w:t>1</w:t>
      </w:r>
      <w:r>
        <w:rPr/>
        <w:t>、与会计师事务所就年度审计报告编制进行沟通与交流，要求审计机构密切关注中国证监会、深圳证券交易所等监管 部门对年报审计工作的相关政策和要求，确保审计的独立性和审计工作保质保量如期完成。</w:t>
      </w:r>
    </w:p>
    <w:p>
      <w:pPr>
        <w:pStyle w:val="BodyText"/>
        <w:spacing w:line="240" w:lineRule="auto" w:before="70"/>
        <w:ind w:left="512" w:right="791"/>
        <w:jc w:val="left"/>
      </w:pPr>
      <w:r>
        <w:rPr>
          <w:rFonts w:ascii="Times New Roman" w:hAnsi="Times New Roman" w:cs="Times New Roman" w:eastAsia="Times New Roman" w:hint="default"/>
        </w:rPr>
        <w:t>2</w:t>
      </w:r>
      <w:r>
        <w:rPr/>
        <w:t>、审议公司审计部门提交的季度工作报告，年度工作计划。</w:t>
      </w:r>
    </w:p>
    <w:p>
      <w:pPr>
        <w:pStyle w:val="BodyText"/>
        <w:spacing w:line="240" w:lineRule="auto" w:before="103"/>
        <w:ind w:left="512" w:right="791"/>
        <w:jc w:val="left"/>
      </w:pPr>
      <w:r>
        <w:rPr>
          <w:rFonts w:ascii="Times New Roman" w:hAnsi="Times New Roman" w:cs="Times New Roman" w:eastAsia="Times New Roman" w:hint="default"/>
        </w:rPr>
        <w:t>3</w:t>
      </w:r>
      <w:r>
        <w:rPr/>
        <w:t>、对会计师事务所的工作进行评价和总结，并向第三届董事会第四次会议提出续聘议案。</w:t>
      </w:r>
    </w:p>
    <w:p>
      <w:pPr>
        <w:pStyle w:val="BodyText"/>
        <w:spacing w:line="357" w:lineRule="auto" w:before="103"/>
        <w:ind w:left="512" w:right="147"/>
        <w:jc w:val="left"/>
      </w:pPr>
      <w:r>
        <w:rPr/>
        <w:t>（二）提名委员会 </w:t>
      </w:r>
      <w:r>
        <w:rPr>
          <w:spacing w:val="-2"/>
        </w:rPr>
        <w:t>报告期内，提名委员会根据《公司董事会提名委员会实施细则》及其他有关规定积极开展工作，认真履行职责。报告期</w:t>
      </w:r>
    </w:p>
    <w:p>
      <w:pPr>
        <w:pStyle w:val="BodyText"/>
        <w:spacing w:line="237" w:lineRule="exact"/>
        <w:ind w:right="791"/>
        <w:jc w:val="left"/>
      </w:pPr>
      <w:r>
        <w:rPr/>
        <w:t>内，提名委员会召开了</w:t>
      </w:r>
      <w:r>
        <w:rPr>
          <w:rFonts w:ascii="Times New Roman" w:hAnsi="Times New Roman" w:cs="Times New Roman" w:eastAsia="Times New Roman" w:hint="default"/>
        </w:rPr>
        <w:t>2</w:t>
      </w:r>
      <w:r>
        <w:rPr/>
        <w:t>次会议，具体如下：</w:t>
      </w:r>
    </w:p>
    <w:p>
      <w:pPr>
        <w:pStyle w:val="BodyText"/>
        <w:spacing w:line="300" w:lineRule="auto" w:before="103"/>
        <w:ind w:right="153" w:firstLine="360"/>
        <w:jc w:val="both"/>
      </w:pPr>
      <w:r>
        <w:rPr>
          <w:rFonts w:ascii="Times New Roman" w:hAnsi="Times New Roman" w:cs="Times New Roman" w:eastAsia="Times New Roman" w:hint="default"/>
        </w:rPr>
        <w:t>1</w:t>
      </w:r>
      <w:r>
        <w:rPr/>
        <w:t>、提名委员会根据《公司章程》及相关规范性法律文件的规定，公司董事会提名委员会的建议，聘任李惠钦公司为公 司副总裁，任期与本届董事会任期相同。该事项由第三届董事会第二次会议审议通过。</w:t>
      </w:r>
    </w:p>
    <w:p>
      <w:pPr>
        <w:pStyle w:val="BodyText"/>
        <w:spacing w:line="307" w:lineRule="auto" w:before="72"/>
        <w:ind w:right="150" w:firstLine="360"/>
        <w:jc w:val="both"/>
      </w:pPr>
      <w:r>
        <w:rPr>
          <w:rFonts w:ascii="Times New Roman" w:hAnsi="Times New Roman" w:cs="Times New Roman" w:eastAsia="Times New Roman" w:hint="default"/>
          <w:spacing w:val="-4"/>
        </w:rPr>
        <w:t>2</w:t>
      </w:r>
      <w:r>
        <w:rPr>
          <w:spacing w:val="-4"/>
        </w:rPr>
        <w:t>、由于刘兆才先生、毕振东先生提请辞去独立董事职务及专门委员会相应职务，为填补公司董事会独立董事职位空缺，</w:t>
      </w:r>
      <w:r>
        <w:rPr/>
        <w:t> </w:t>
      </w:r>
      <w:r>
        <w:rPr>
          <w:spacing w:val="-2"/>
        </w:rPr>
        <w:t>根据公司董事会提名委员会的建议，公司第三届董事会提名黄旭明先生、苏小榕先生为公司独立董事候选人，同时聘任黄旭</w:t>
      </w:r>
      <w:r>
        <w:rPr>
          <w:spacing w:val="-63"/>
        </w:rPr>
        <w:t> </w:t>
      </w:r>
      <w:r>
        <w:rPr>
          <w:spacing w:val="-63"/>
        </w:rPr>
      </w:r>
      <w:r>
        <w:rPr>
          <w:spacing w:val="-2"/>
        </w:rPr>
        <w:t>明先生担任战略委员会委员、审计委员会委员、薪酬与考核委员会召集人，苏小榕担任提名委员会召集人、薪酬与考核委员</w:t>
      </w:r>
      <w:r>
        <w:rPr>
          <w:spacing w:val="-65"/>
        </w:rPr>
        <w:t> </w:t>
      </w:r>
      <w:r>
        <w:rPr>
          <w:spacing w:val="-65"/>
        </w:rPr>
      </w:r>
      <w:r>
        <w:rPr/>
        <w:t>会委员。</w:t>
      </w:r>
      <w:r>
        <w:rPr>
          <w:rFonts w:ascii="Times New Roman" w:hAnsi="Times New Roman" w:cs="Times New Roman" w:eastAsia="Times New Roman" w:hint="default"/>
        </w:rPr>
        <w:t>2</w:t>
      </w:r>
      <w:r>
        <w:rPr/>
        <w:t>名独立董事候选人的任职资格也符合《关于在上市公司建立独立董事制度的指导意见》关于独立董事任职资格的</w:t>
      </w:r>
      <w:r>
        <w:rPr>
          <w:spacing w:val="-84"/>
        </w:rPr>
        <w:t> </w:t>
      </w:r>
      <w:r>
        <w:rPr>
          <w:spacing w:val="-84"/>
        </w:rPr>
      </w:r>
      <w:r>
        <w:rPr/>
        <w:t>要求：未发现有《公司法》第一百四十七条规定的情况，以及被中国证监会确定为市场禁入者并且尚未解除的情况，且该</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spacing w:val="-2"/>
        </w:rPr>
        <w:t>名候选人均各具有丰富的专业知识和经验。该事项由第三届董事会第十二次会议审议通过，其任期自公司</w:t>
      </w:r>
      <w:r>
        <w:rPr>
          <w:rFonts w:ascii="Times New Roman" w:hAnsi="Times New Roman" w:cs="Times New Roman" w:eastAsia="Times New Roman" w:hint="default"/>
          <w:spacing w:val="-2"/>
        </w:rPr>
        <w:t>2014</w:t>
      </w:r>
      <w:r>
        <w:rPr>
          <w:spacing w:val="-2"/>
        </w:rPr>
        <w:t>年第一次临时</w:t>
      </w:r>
      <w:r>
        <w:rPr>
          <w:spacing w:val="-62"/>
        </w:rPr>
        <w:t> </w:t>
      </w:r>
      <w:r>
        <w:rPr>
          <w:spacing w:val="-62"/>
        </w:rPr>
      </w:r>
      <w:r>
        <w:rPr/>
        <w:t>股东大会审议通过之日起至第三届董事会届满之日止。</w:t>
      </w:r>
    </w:p>
    <w:p>
      <w:pPr>
        <w:pStyle w:val="BodyText"/>
        <w:spacing w:line="360" w:lineRule="auto" w:before="64"/>
        <w:ind w:left="512" w:right="139"/>
        <w:jc w:val="left"/>
      </w:pPr>
      <w:r>
        <w:rPr/>
        <w:t>（三）薪酬与考核委员会 </w:t>
      </w:r>
      <w:r>
        <w:rPr>
          <w:spacing w:val="-5"/>
        </w:rPr>
        <w:t>报告期内，薪酬与考核委员会根据《董事会薪酬与考核委员会实施细则》及其他有关规定积极开展工作，认真履行职责。</w:t>
      </w:r>
    </w:p>
    <w:p>
      <w:pPr>
        <w:pStyle w:val="BodyText"/>
        <w:spacing w:line="236" w:lineRule="exact"/>
        <w:ind w:right="791"/>
        <w:jc w:val="left"/>
      </w:pPr>
      <w:r>
        <w:rPr/>
        <w:t>报告期内，薪酬与考核委员会召开了</w:t>
      </w:r>
      <w:r>
        <w:rPr>
          <w:rFonts w:ascii="Times New Roman" w:hAnsi="Times New Roman" w:cs="Times New Roman" w:eastAsia="Times New Roman" w:hint="default"/>
        </w:rPr>
        <w:t>2</w:t>
      </w:r>
      <w:r>
        <w:rPr/>
        <w:t>次会议，情况如下：</w:t>
      </w:r>
    </w:p>
    <w:p>
      <w:pPr>
        <w:pStyle w:val="BodyText"/>
        <w:spacing w:line="300" w:lineRule="auto" w:before="103"/>
        <w:ind w:right="153" w:firstLine="360"/>
        <w:jc w:val="both"/>
      </w:pPr>
      <w:r>
        <w:rPr>
          <w:rFonts w:ascii="Times New Roman" w:hAnsi="Times New Roman" w:cs="Times New Roman" w:eastAsia="Times New Roman" w:hint="default"/>
        </w:rPr>
        <w:t>1</w:t>
      </w:r>
      <w:r>
        <w:rPr/>
        <w:t>、根据公司《章程》及《公司董事会薪酬与考核委员会实施细则》，结合公司经营规模等实际情况并参照行业薪酬水 </w:t>
      </w:r>
      <w:r>
        <w:rPr>
          <w:spacing w:val="-2"/>
        </w:rPr>
        <w:t>平，对公司董事和高级管理人员的薪酬情况进行了审核，制定《公司</w:t>
      </w:r>
      <w:r>
        <w:rPr>
          <w:rFonts w:ascii="Times New Roman" w:hAnsi="Times New Roman" w:cs="Times New Roman" w:eastAsia="Times New Roman" w:hint="default"/>
          <w:spacing w:val="-2"/>
        </w:rPr>
        <w:t>2014</w:t>
      </w:r>
      <w:r>
        <w:rPr>
          <w:spacing w:val="-2"/>
        </w:rPr>
        <w:t>年度董事、高级管理人员薪酬方案》，并由第三届</w:t>
      </w:r>
      <w:r>
        <w:rPr>
          <w:spacing w:val="-65"/>
        </w:rPr>
        <w:t> </w:t>
      </w:r>
      <w:r>
        <w:rPr>
          <w:spacing w:val="-65"/>
        </w:rPr>
      </w:r>
      <w:r>
        <w:rPr/>
        <w:t>董事会第四次会议审议通过。</w:t>
      </w:r>
    </w:p>
    <w:p>
      <w:pPr>
        <w:pStyle w:val="BodyText"/>
        <w:spacing w:line="309" w:lineRule="auto" w:before="70"/>
        <w:ind w:right="153" w:firstLine="360"/>
        <w:jc w:val="both"/>
      </w:pPr>
      <w:r>
        <w:rPr>
          <w:rFonts w:ascii="Times New Roman" w:hAnsi="Times New Roman" w:cs="Times New Roman" w:eastAsia="Times New Roman" w:hint="default"/>
        </w:rPr>
        <w:t>2</w:t>
      </w:r>
      <w:r>
        <w:rPr/>
        <w:t>、根据《公司法》和公司的实际情况，公司独立董事、监事实行年度津贴制，内部董事、兼任高级管理人员的董事、 </w:t>
      </w:r>
      <w:r>
        <w:rPr>
          <w:spacing w:val="-2"/>
        </w:rPr>
        <w:t>内部监事不领取年度津贴，按高级管理人员实行年薪制，制定《关于公司董事、监事薪酬的议案》，并由第三届董事会第四</w:t>
      </w:r>
      <w:r>
        <w:rPr>
          <w:spacing w:val="-68"/>
        </w:rPr>
        <w:t> </w:t>
      </w:r>
      <w:r>
        <w:rPr>
          <w:spacing w:val="-68"/>
        </w:rPr>
      </w:r>
      <w:r>
        <w:rPr/>
        <w:t>次会议审议通过。</w:t>
      </w:r>
    </w:p>
    <w:p>
      <w:pPr>
        <w:pStyle w:val="BodyText"/>
        <w:spacing w:line="357" w:lineRule="auto" w:before="65"/>
        <w:ind w:left="512" w:right="147"/>
        <w:jc w:val="left"/>
      </w:pPr>
      <w:r>
        <w:rPr/>
        <w:t>（四）战略委员会 </w:t>
      </w:r>
      <w:r>
        <w:rPr>
          <w:spacing w:val="-2"/>
        </w:rPr>
        <w:t>报告期内，战略委员会根据《董事会战略委员会实施细则》及其他有关规定积极开展工作，认真履行职。报告期内，战</w:t>
      </w:r>
    </w:p>
    <w:p>
      <w:pPr>
        <w:pStyle w:val="BodyText"/>
        <w:spacing w:line="237" w:lineRule="exact"/>
        <w:ind w:right="0"/>
        <w:jc w:val="left"/>
      </w:pPr>
      <w:r>
        <w:rPr/>
        <w:t>略委员会召开了</w:t>
      </w:r>
      <w:r>
        <w:rPr>
          <w:rFonts w:ascii="Times New Roman" w:hAnsi="Times New Roman" w:cs="Times New Roman" w:eastAsia="Times New Roman" w:hint="default"/>
        </w:rPr>
        <w:t>9</w:t>
      </w:r>
      <w:r>
        <w:rPr/>
        <w:t>次会议战略委员会，向董事会提出的建议，明晰了公司的经营策略。对公司持续稳定健康的发展起到了及</w:t>
      </w:r>
    </w:p>
    <w:p>
      <w:pPr>
        <w:pStyle w:val="BodyText"/>
        <w:spacing w:line="240" w:lineRule="auto" w:before="62"/>
        <w:ind w:right="791"/>
        <w:jc w:val="left"/>
      </w:pPr>
      <w:r>
        <w:rPr/>
        <w:t>其重要的促进作用，对公司重要投资事项进行深入的分析研究，为公司发展战略的实施提出了合理的建议：</w:t>
      </w:r>
    </w:p>
    <w:p>
      <w:pPr>
        <w:pStyle w:val="BodyText"/>
        <w:spacing w:line="300" w:lineRule="auto" w:before="117"/>
        <w:ind w:right="149"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、审议通过榕基五一出资设立沈阳榕基五一信息技术有限公司，注册资本人民币</w:t>
      </w:r>
      <w:r>
        <w:rPr>
          <w:rFonts w:ascii="Times New Roman" w:hAnsi="Times New Roman" w:cs="Times New Roman" w:eastAsia="Times New Roman" w:hint="default"/>
          <w:spacing w:val="-2"/>
        </w:rPr>
        <w:t>500</w:t>
      </w:r>
      <w:r>
        <w:rPr>
          <w:spacing w:val="-2"/>
        </w:rPr>
        <w:t>万元，全部以超募资金出资，占注</w:t>
      </w:r>
      <w:r>
        <w:rPr/>
        <w:t> 册资本的</w:t>
      </w:r>
      <w:r>
        <w:rPr>
          <w:rFonts w:ascii="Times New Roman" w:hAnsi="Times New Roman" w:cs="Times New Roman" w:eastAsia="Times New Roman" w:hint="default"/>
        </w:rPr>
        <w:t>100%</w:t>
      </w:r>
      <w:r>
        <w:rPr/>
        <w:t>；审议通过将榕基国际的注册资本增加至港币</w:t>
      </w:r>
      <w:r>
        <w:rPr>
          <w:rFonts w:ascii="Times New Roman" w:hAnsi="Times New Roman" w:cs="Times New Roman" w:eastAsia="Times New Roman" w:hint="default"/>
        </w:rPr>
        <w:t>10,000</w:t>
      </w:r>
      <w:r>
        <w:rPr/>
        <w:t>万元，新增注册资本港币</w:t>
      </w:r>
      <w:r>
        <w:rPr>
          <w:rFonts w:ascii="Times New Roman" w:hAnsi="Times New Roman" w:cs="Times New Roman" w:eastAsia="Times New Roman" w:hint="default"/>
        </w:rPr>
        <w:t>7,000</w:t>
      </w:r>
      <w:r>
        <w:rPr/>
        <w:t>万元，由公司以港币现金</w:t>
      </w:r>
      <w:r>
        <w:rPr>
          <w:spacing w:val="-65"/>
        </w:rPr>
        <w:t> </w:t>
      </w:r>
      <w:r>
        <w:rPr>
          <w:spacing w:val="-65"/>
        </w:rPr>
      </w:r>
      <w:r>
        <w:rPr>
          <w:spacing w:val="-2"/>
        </w:rPr>
        <w:t>进行认缴，资金来源为公司自有资金；审议通过将榕基工程的注册资本增加至人民币</w:t>
      </w:r>
      <w:r>
        <w:rPr>
          <w:rFonts w:ascii="Times New Roman" w:hAnsi="Times New Roman" w:cs="Times New Roman" w:eastAsia="Times New Roman" w:hint="default"/>
          <w:spacing w:val="-2"/>
        </w:rPr>
        <w:t>10,500</w:t>
      </w:r>
      <w:r>
        <w:rPr>
          <w:spacing w:val="-2"/>
        </w:rPr>
        <w:t>万元，新增注册资本人民币</w:t>
      </w:r>
      <w:r>
        <w:rPr>
          <w:rFonts w:ascii="Times New Roman" w:hAnsi="Times New Roman" w:cs="Times New Roman" w:eastAsia="Times New Roman" w:hint="default"/>
          <w:spacing w:val="-2"/>
        </w:rPr>
        <w:t>8,500</w:t>
      </w:r>
    </w:p>
    <w:p>
      <w:pPr>
        <w:spacing w:after="0" w:line="300" w:lineRule="auto"/>
        <w:jc w:val="both"/>
        <w:rPr>
          <w:rFonts w:ascii="Times New Roman" w:hAnsi="Times New Roman" w:cs="Times New Roman" w:eastAsia="Times New Roman" w:hint="default"/>
        </w:rPr>
        <w:sectPr>
          <w:pgSz w:w="11910" w:h="16840"/>
          <w:pgMar w:header="745" w:footer="982" w:top="1060" w:bottom="118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86"/>
        <w:jc w:val="left"/>
      </w:pPr>
      <w:bookmarkStart w:name="六、公司相对于控股股东在业务、人员、资产、机构、财务等方面的独立完整情况" w:id="129"/>
      <w:bookmarkEnd w:id="129"/>
      <w:r>
        <w:rPr/>
      </w:r>
      <w:r>
        <w:rPr/>
        <w:t>万元，由公司以人民币现金进行认缴，资金来源为公司自有资金；北京中榕基以超募资金</w:t>
      </w:r>
      <w:r>
        <w:rPr>
          <w:rFonts w:ascii="Times New Roman" w:hAnsi="Times New Roman" w:cs="Times New Roman" w:eastAsia="Times New Roman" w:hint="default"/>
        </w:rPr>
        <w:t>2,100</w:t>
      </w:r>
      <w:r>
        <w:rPr/>
        <w:t>万元对榕基五一进行增资，</w:t>
      </w:r>
      <w:r>
        <w:rPr>
          <w:spacing w:val="-45"/>
        </w:rPr>
        <w:t> </w:t>
      </w:r>
      <w:r>
        <w:rPr>
          <w:spacing w:val="-45"/>
        </w:rPr>
      </w:r>
      <w:r>
        <w:rPr/>
        <w:t>增资后榕基五一的注册资本将变更为</w:t>
      </w:r>
      <w:r>
        <w:rPr>
          <w:rFonts w:ascii="Times New Roman" w:hAnsi="Times New Roman" w:cs="Times New Roman" w:eastAsia="Times New Roman" w:hint="default"/>
        </w:rPr>
        <w:t>5,100</w:t>
      </w:r>
      <w:r>
        <w:rPr/>
        <w:t>万元。上述事项由第三届董事会第三次会议审议通过。</w:t>
      </w:r>
    </w:p>
    <w:p>
      <w:pPr>
        <w:pStyle w:val="BodyText"/>
        <w:spacing w:line="300" w:lineRule="auto" w:before="53"/>
        <w:ind w:right="196" w:firstLine="360"/>
        <w:jc w:val="both"/>
      </w:pPr>
      <w:r>
        <w:rPr>
          <w:rFonts w:ascii="Times New Roman" w:hAnsi="Times New Roman" w:cs="Times New Roman" w:eastAsia="Times New Roman" w:hint="default"/>
        </w:rPr>
        <w:t>2</w:t>
      </w:r>
      <w:r>
        <w:rPr/>
        <w:t>、审议通过公司在不超过</w:t>
      </w:r>
      <w:r>
        <w:rPr>
          <w:rFonts w:ascii="Times New Roman" w:hAnsi="Times New Roman" w:cs="Times New Roman" w:eastAsia="Times New Roman" w:hint="default"/>
        </w:rPr>
        <w:t>55,000</w:t>
      </w:r>
      <w:r>
        <w:rPr/>
        <w:t>万元额度内使用部分闲置募集资金择机购买商业银行短期保本型理财产品，在上述额 度内，资金可以滚动使用。该事项由第三届董事会第四次会议审议通过。</w:t>
      </w:r>
    </w:p>
    <w:p>
      <w:pPr>
        <w:pStyle w:val="BodyText"/>
        <w:spacing w:line="300" w:lineRule="auto" w:before="70"/>
        <w:ind w:right="196" w:firstLine="360"/>
        <w:jc w:val="both"/>
      </w:pPr>
      <w:r>
        <w:rPr>
          <w:rFonts w:ascii="Times New Roman" w:hAnsi="Times New Roman" w:cs="Times New Roman" w:eastAsia="Times New Roman" w:hint="default"/>
        </w:rPr>
        <w:t>3</w:t>
      </w:r>
      <w:r>
        <w:rPr/>
        <w:t>、审议通过使用不超过</w:t>
      </w:r>
      <w:r>
        <w:rPr>
          <w:rFonts w:ascii="Times New Roman" w:hAnsi="Times New Roman" w:cs="Times New Roman" w:eastAsia="Times New Roman" w:hint="default"/>
        </w:rPr>
        <w:t>20,000</w:t>
      </w:r>
      <w:r>
        <w:rPr/>
        <w:t>万元闲置自有资金购买商业银行短期保本型理财产品，在上述额度内，资金可以滚动使 用。该事项由第三届董事会第四次会议审议通过。</w:t>
      </w:r>
    </w:p>
    <w:p>
      <w:pPr>
        <w:pStyle w:val="BodyText"/>
        <w:spacing w:line="240" w:lineRule="auto" w:before="72"/>
        <w:ind w:left="512" w:right="0"/>
        <w:jc w:val="left"/>
      </w:pPr>
      <w:r>
        <w:rPr>
          <w:rFonts w:ascii="Times New Roman" w:hAnsi="Times New Roman" w:cs="Times New Roman" w:eastAsia="Times New Roman" w:hint="default"/>
        </w:rPr>
        <w:t>4</w:t>
      </w:r>
      <w:r>
        <w:rPr/>
        <w:t>、审议通过以增资扩股形式向国际银行增资暨对外投资，投资总额最低金额为人民币</w:t>
      </w:r>
      <w:r>
        <w:rPr>
          <w:rFonts w:ascii="Times New Roman" w:hAnsi="Times New Roman" w:cs="Times New Roman" w:eastAsia="Times New Roman" w:hint="default"/>
        </w:rPr>
        <w:t>42,000,000</w:t>
      </w:r>
      <w:r>
        <w:rPr/>
        <w:t>元、最高金额为人民币</w:t>
      </w:r>
    </w:p>
    <w:p>
      <w:pPr>
        <w:pStyle w:val="BodyText"/>
        <w:spacing w:line="300" w:lineRule="auto" w:before="62"/>
        <w:ind w:right="186"/>
        <w:jc w:val="left"/>
      </w:pPr>
      <w:r>
        <w:rPr>
          <w:rFonts w:ascii="Times New Roman" w:hAnsi="Times New Roman" w:cs="Times New Roman" w:eastAsia="Times New Roman" w:hint="default"/>
        </w:rPr>
        <w:t>45,500,000</w:t>
      </w:r>
      <w:r>
        <w:rPr/>
        <w:t>元，每股的价格为人民币</w:t>
      </w:r>
      <w:r>
        <w:rPr>
          <w:rFonts w:ascii="Times New Roman" w:hAnsi="Times New Roman" w:cs="Times New Roman" w:eastAsia="Times New Roman" w:hint="default"/>
        </w:rPr>
        <w:t>6</w:t>
      </w:r>
      <w:r>
        <w:rPr/>
        <w:t>元至</w:t>
      </w:r>
      <w:r>
        <w:rPr>
          <w:rFonts w:ascii="Times New Roman" w:hAnsi="Times New Roman" w:cs="Times New Roman" w:eastAsia="Times New Roman" w:hint="default"/>
        </w:rPr>
        <w:t>6.5</w:t>
      </w:r>
      <w:r>
        <w:rPr/>
        <w:t>元之间（具体价格以国际银行最终决定的价格为准）。该事项由第三届董事会</w:t>
      </w:r>
      <w:r>
        <w:rPr>
          <w:spacing w:val="-50"/>
        </w:rPr>
        <w:t> </w:t>
      </w:r>
      <w:r>
        <w:rPr>
          <w:spacing w:val="-50"/>
        </w:rPr>
      </w:r>
      <w:r>
        <w:rPr/>
        <w:t>第六次会议审议通过。</w:t>
      </w:r>
    </w:p>
    <w:p>
      <w:pPr>
        <w:pStyle w:val="BodyText"/>
        <w:spacing w:line="300" w:lineRule="auto" w:before="72"/>
        <w:ind w:right="193" w:firstLine="360"/>
        <w:jc w:val="both"/>
      </w:pPr>
      <w:r>
        <w:rPr>
          <w:rFonts w:ascii="Times New Roman" w:hAnsi="Times New Roman" w:cs="Times New Roman" w:eastAsia="Times New Roman" w:hint="default"/>
          <w:spacing w:val="-1"/>
        </w:rPr>
        <w:t>5</w:t>
      </w:r>
      <w:r>
        <w:rPr>
          <w:spacing w:val="-1"/>
        </w:rPr>
        <w:t>、审议通过全资子公司榕基五一拟使用超募资金</w:t>
      </w:r>
      <w:r>
        <w:rPr>
          <w:rFonts w:ascii="Times New Roman" w:hAnsi="Times New Roman" w:cs="Times New Roman" w:eastAsia="Times New Roman" w:hint="default"/>
          <w:spacing w:val="-1"/>
        </w:rPr>
        <w:t>3,600</w:t>
      </w:r>
      <w:r>
        <w:rPr>
          <w:spacing w:val="-1"/>
        </w:rPr>
        <w:t>万元投资建设产品分销项目。该事项由第三届董事会第七次会议</w:t>
      </w:r>
      <w:r>
        <w:rPr/>
        <w:t> 审议通过。</w:t>
      </w:r>
    </w:p>
    <w:p>
      <w:pPr>
        <w:pStyle w:val="BodyText"/>
        <w:spacing w:line="307" w:lineRule="auto" w:before="70"/>
        <w:ind w:right="188" w:firstLine="360"/>
        <w:jc w:val="both"/>
      </w:pPr>
      <w:r>
        <w:rPr>
          <w:rFonts w:ascii="Times New Roman" w:hAnsi="Times New Roman" w:cs="Times New Roman" w:eastAsia="Times New Roman" w:hint="default"/>
          <w:spacing w:val="-2"/>
        </w:rPr>
        <w:t>6</w:t>
      </w:r>
      <w:r>
        <w:rPr>
          <w:spacing w:val="-2"/>
        </w:rPr>
        <w:t>、审议通过公司将榕基国际的注册资本增加至港币</w:t>
      </w:r>
      <w:r>
        <w:rPr>
          <w:rFonts w:ascii="Times New Roman" w:hAnsi="Times New Roman" w:cs="Times New Roman" w:eastAsia="Times New Roman" w:hint="default"/>
          <w:spacing w:val="-2"/>
        </w:rPr>
        <w:t>20,000</w:t>
      </w:r>
      <w:r>
        <w:rPr>
          <w:spacing w:val="-2"/>
        </w:rPr>
        <w:t>万元，新增注册资本港币</w:t>
      </w:r>
      <w:r>
        <w:rPr>
          <w:rFonts w:ascii="Times New Roman" w:hAnsi="Times New Roman" w:cs="Times New Roman" w:eastAsia="Times New Roman" w:hint="default"/>
          <w:spacing w:val="-2"/>
        </w:rPr>
        <w:t>10,000</w:t>
      </w:r>
      <w:r>
        <w:rPr>
          <w:spacing w:val="-2"/>
        </w:rPr>
        <w:t>万元，由公司以港币现金进行</w:t>
      </w:r>
      <w:r>
        <w:rPr/>
        <w:t> </w:t>
      </w:r>
      <w:r>
        <w:rPr>
          <w:spacing w:val="-5"/>
        </w:rPr>
        <w:t>认缴，资金来源为公司自有资金；审议通过将上海榕基的注册资本增加至人民币</w:t>
      </w:r>
      <w:r>
        <w:rPr>
          <w:rFonts w:ascii="Times New Roman" w:hAnsi="Times New Roman" w:cs="Times New Roman" w:eastAsia="Times New Roman" w:hint="default"/>
          <w:spacing w:val="-5"/>
        </w:rPr>
        <w:t>10,000</w:t>
      </w:r>
      <w:r>
        <w:rPr>
          <w:spacing w:val="-5"/>
        </w:rPr>
        <w:t>万元，新增注册资本人民币</w:t>
      </w:r>
      <w:r>
        <w:rPr>
          <w:rFonts w:ascii="Times New Roman" w:hAnsi="Times New Roman" w:cs="Times New Roman" w:eastAsia="Times New Roman" w:hint="default"/>
          <w:spacing w:val="-5"/>
        </w:rPr>
        <w:t>9,500</w:t>
      </w:r>
      <w:r>
        <w:rPr>
          <w:spacing w:val="-5"/>
        </w:rPr>
        <w:t>万元，</w:t>
      </w:r>
      <w:r>
        <w:rPr>
          <w:spacing w:val="-48"/>
        </w:rPr>
        <w:t> </w:t>
      </w:r>
      <w:r>
        <w:rPr>
          <w:spacing w:val="-2"/>
        </w:rPr>
        <w:t>由公司以人民币现金进行认缴，资金来源为公司自有资金；审议通过公司全资子公司北京中榕基、榕基投资与北京信城通数</w:t>
      </w:r>
      <w:r>
        <w:rPr>
          <w:spacing w:val="-65"/>
        </w:rPr>
        <w:t> </w:t>
      </w:r>
      <w:r>
        <w:rPr>
          <w:spacing w:val="-65"/>
        </w:rPr>
      </w:r>
      <w:r>
        <w:rPr/>
        <w:t>码科技有限公司签署了《关于出资设立合作公司之协议书》，各方约定共同出资人民币</w:t>
      </w:r>
      <w:r>
        <w:rPr>
          <w:rFonts w:ascii="Times New Roman" w:hAnsi="Times New Roman" w:cs="Times New Roman" w:eastAsia="Times New Roman" w:hint="default"/>
        </w:rPr>
        <w:t>5,000</w:t>
      </w:r>
      <w:r>
        <w:rPr/>
        <w:t>万元在北京市投资设立北京榕</w:t>
      </w:r>
      <w:r>
        <w:rPr>
          <w:spacing w:val="-45"/>
        </w:rPr>
        <w:t> </w:t>
      </w:r>
      <w:r>
        <w:rPr>
          <w:spacing w:val="-45"/>
        </w:rPr>
      </w:r>
      <w:r>
        <w:rPr/>
        <w:t>信通信息技术有限公司（最终以工商部门核定为准）；新公司拟注册资金为</w:t>
      </w:r>
      <w:r>
        <w:rPr>
          <w:rFonts w:ascii="Times New Roman" w:hAnsi="Times New Roman" w:cs="Times New Roman" w:eastAsia="Times New Roman" w:hint="default"/>
        </w:rPr>
        <w:t>5,000</w:t>
      </w:r>
      <w:r>
        <w:rPr/>
        <w:t>万元，其中：北京中榕基出资</w:t>
      </w:r>
      <w:r>
        <w:rPr>
          <w:rFonts w:ascii="Times New Roman" w:hAnsi="Times New Roman" w:cs="Times New Roman" w:eastAsia="Times New Roman" w:hint="default"/>
        </w:rPr>
        <w:t>2,250</w:t>
      </w:r>
      <w:r>
        <w:rPr/>
        <w:t>万元，</w:t>
      </w:r>
      <w:r>
        <w:rPr>
          <w:spacing w:val="-85"/>
        </w:rPr>
        <w:t> </w:t>
      </w:r>
      <w:r>
        <w:rPr>
          <w:spacing w:val="-1"/>
        </w:rPr>
        <w:t>北京信城通数码科技有限公司出资</w:t>
      </w:r>
      <w:r>
        <w:rPr>
          <w:rFonts w:ascii="Times New Roman" w:hAnsi="Times New Roman" w:cs="Times New Roman" w:eastAsia="Times New Roman" w:hint="default"/>
          <w:spacing w:val="-1"/>
        </w:rPr>
        <w:t>2,000</w:t>
      </w:r>
      <w:r>
        <w:rPr>
          <w:spacing w:val="-1"/>
        </w:rPr>
        <w:t>万元，榕基投资出资</w:t>
      </w:r>
      <w:r>
        <w:rPr>
          <w:rFonts w:ascii="Times New Roman" w:hAnsi="Times New Roman" w:cs="Times New Roman" w:eastAsia="Times New Roman" w:hint="default"/>
          <w:spacing w:val="-1"/>
        </w:rPr>
        <w:t>750</w:t>
      </w:r>
      <w:r>
        <w:rPr>
          <w:spacing w:val="-1"/>
        </w:rPr>
        <w:t>万元；审议通过全资子公司榕基工程和福州高新技术产业开</w:t>
      </w:r>
      <w:r>
        <w:rPr>
          <w:spacing w:val="-74"/>
        </w:rPr>
        <w:t> </w:t>
      </w:r>
      <w:r>
        <w:rPr>
          <w:spacing w:val="-74"/>
        </w:rPr>
      </w:r>
      <w:r>
        <w:rPr/>
        <w:t>发区管理委员会就榕基工程在福州高新技术产业开发区海西高新技术产业园内投资建设软件及服务外包产业基地项目事宜</w:t>
      </w:r>
      <w:r>
        <w:rPr>
          <w:spacing w:val="-7"/>
        </w:rPr>
        <w:t> </w:t>
      </w:r>
      <w:r>
        <w:rPr>
          <w:spacing w:val="-7"/>
        </w:rPr>
      </w:r>
      <w:r>
        <w:rPr>
          <w:spacing w:val="-2"/>
        </w:rPr>
        <w:t>进行协商，签署了《福州高新技术产业开发区海西高新技术产业园投资建设协议书》；审议通过全资子公司榕基工程使用自</w:t>
      </w:r>
      <w:r>
        <w:rPr>
          <w:spacing w:val="-66"/>
        </w:rPr>
        <w:t> </w:t>
      </w:r>
      <w:r>
        <w:rPr>
          <w:spacing w:val="-66"/>
        </w:rPr>
      </w:r>
      <w:r>
        <w:rPr/>
        <w:t>有资金不超过</w:t>
      </w:r>
      <w:r>
        <w:rPr>
          <w:rFonts w:ascii="Times New Roman" w:hAnsi="Times New Roman" w:cs="Times New Roman" w:eastAsia="Times New Roman" w:hint="default"/>
        </w:rPr>
        <w:t>1,000</w:t>
      </w:r>
      <w:r>
        <w:rPr/>
        <w:t>万元，参与竞买闽侯县国土资源局宗地编号为宗地</w:t>
      </w:r>
      <w:r>
        <w:rPr>
          <w:rFonts w:ascii="Times New Roman" w:hAnsi="Times New Roman" w:cs="Times New Roman" w:eastAsia="Times New Roman" w:hint="default"/>
        </w:rPr>
        <w:t>2014</w:t>
      </w:r>
      <w:r>
        <w:rPr/>
        <w:t>挂（工业）</w:t>
      </w:r>
      <w:r>
        <w:rPr>
          <w:rFonts w:ascii="Times New Roman" w:hAnsi="Times New Roman" w:cs="Times New Roman" w:eastAsia="Times New Roman" w:hint="default"/>
        </w:rPr>
        <w:t>16</w:t>
      </w:r>
      <w:r>
        <w:rPr/>
        <w:t>号国有建设用地使用权。上述事项</w:t>
      </w:r>
      <w:r>
        <w:rPr>
          <w:spacing w:val="-47"/>
        </w:rPr>
        <w:t> </w:t>
      </w:r>
      <w:r>
        <w:rPr>
          <w:spacing w:val="-47"/>
        </w:rPr>
      </w:r>
      <w:r>
        <w:rPr/>
        <w:t>由第三届董事会第九次会议审议通过。</w:t>
      </w:r>
    </w:p>
    <w:p>
      <w:pPr>
        <w:pStyle w:val="BodyText"/>
        <w:spacing w:line="240" w:lineRule="auto" w:before="67"/>
        <w:ind w:left="512" w:right="106"/>
        <w:jc w:val="left"/>
      </w:pPr>
      <w:r>
        <w:rPr>
          <w:rFonts w:ascii="Times New Roman" w:hAnsi="Times New Roman" w:cs="Times New Roman" w:eastAsia="Times New Roman" w:hint="default"/>
          <w:spacing w:val="11"/>
        </w:rPr>
        <w:t>7</w:t>
      </w:r>
      <w:r>
        <w:rPr>
          <w:spacing w:val="11"/>
        </w:rPr>
        <w:t>、审议通过同意全资子公司信阳榕基使用自有资金不超过</w:t>
      </w:r>
      <w:r>
        <w:rPr>
          <w:rFonts w:ascii="Times New Roman" w:hAnsi="Times New Roman" w:cs="Times New Roman" w:eastAsia="Times New Roman" w:hint="default"/>
          <w:spacing w:val="11"/>
        </w:rPr>
        <w:t>18,000</w:t>
      </w:r>
      <w:r>
        <w:rPr>
          <w:spacing w:val="11"/>
        </w:rPr>
        <w:t>万元，参与竞买信阳市国土资源局宗地编号为</w:t>
      </w:r>
      <w:r>
        <w:rPr/>
      </w:r>
    </w:p>
    <w:p>
      <w:pPr>
        <w:pStyle w:val="BodyText"/>
        <w:spacing w:line="340" w:lineRule="auto" w:before="62"/>
        <w:ind w:left="512" w:right="186" w:hanging="360"/>
        <w:jc w:val="left"/>
      </w:pPr>
      <w:r>
        <w:rPr>
          <w:rFonts w:ascii="Times New Roman" w:hAnsi="Times New Roman" w:cs="Times New Roman" w:eastAsia="Times New Roman" w:hint="default"/>
        </w:rPr>
        <w:t>P2014-2302</w:t>
      </w:r>
      <w:r>
        <w:rPr/>
        <w:t>号国有建设用地使用权。该事项由第三届董事会第十次会议审议通过。 </w:t>
      </w:r>
      <w:r>
        <w:rPr>
          <w:rFonts w:ascii="Times New Roman" w:hAnsi="Times New Roman" w:cs="Times New Roman" w:eastAsia="Times New Roman" w:hint="default"/>
          <w:spacing w:val="-1"/>
        </w:rPr>
        <w:t>8</w:t>
      </w:r>
      <w:r>
        <w:rPr>
          <w:spacing w:val="-1"/>
        </w:rPr>
        <w:t>、审议通过出资在河南省信阳市设立一家全资子公司，注册资本人民币</w:t>
      </w:r>
      <w:r>
        <w:rPr>
          <w:rFonts w:ascii="Times New Roman" w:hAnsi="Times New Roman" w:cs="Times New Roman" w:eastAsia="Times New Roman" w:hint="default"/>
          <w:spacing w:val="-1"/>
        </w:rPr>
        <w:t>3,000</w:t>
      </w:r>
      <w:r>
        <w:rPr>
          <w:spacing w:val="-1"/>
        </w:rPr>
        <w:t>万元，全部以自有资金出资，占注册资本</w:t>
      </w:r>
    </w:p>
    <w:p>
      <w:pPr>
        <w:pStyle w:val="BodyText"/>
        <w:spacing w:line="228" w:lineRule="exact"/>
        <w:ind w:right="186"/>
        <w:jc w:val="left"/>
      </w:pPr>
      <w:r>
        <w:rPr/>
        <w:t>的</w:t>
      </w:r>
      <w:r>
        <w:rPr>
          <w:rFonts w:ascii="Times New Roman" w:hAnsi="Times New Roman" w:cs="Times New Roman" w:eastAsia="Times New Roman" w:hint="default"/>
        </w:rPr>
        <w:t>100%</w:t>
      </w:r>
      <w:r>
        <w:rPr/>
        <w:t>。该事项由第三届董事会第十一次会议审议通过。</w:t>
      </w:r>
    </w:p>
    <w:p>
      <w:pPr>
        <w:pStyle w:val="BodyText"/>
        <w:spacing w:line="309" w:lineRule="auto" w:before="101"/>
        <w:ind w:right="188" w:firstLine="360"/>
        <w:jc w:val="both"/>
      </w:pPr>
      <w:r>
        <w:rPr>
          <w:rFonts w:ascii="Times New Roman" w:hAnsi="Times New Roman" w:cs="Times New Roman" w:eastAsia="Times New Roman" w:hint="default"/>
          <w:spacing w:val="-1"/>
        </w:rPr>
        <w:t>9</w:t>
      </w:r>
      <w:r>
        <w:rPr>
          <w:spacing w:val="-1"/>
        </w:rPr>
        <w:t>、审议通过全资子公司上海榕基使用自有资金不超过</w:t>
      </w:r>
      <w:r>
        <w:rPr>
          <w:rFonts w:ascii="Times New Roman" w:hAnsi="Times New Roman" w:cs="Times New Roman" w:eastAsia="Times New Roman" w:hint="default"/>
          <w:spacing w:val="-1"/>
        </w:rPr>
        <w:t>9,800</w:t>
      </w:r>
      <w:r>
        <w:rPr>
          <w:spacing w:val="-1"/>
        </w:rPr>
        <w:t>万元，参与竞买宗地编号为上海市松江工业区西区</w:t>
      </w:r>
      <w:r>
        <w:rPr>
          <w:rFonts w:ascii="Times New Roman" w:hAnsi="Times New Roman" w:cs="Times New Roman" w:eastAsia="Times New Roman" w:hint="default"/>
          <w:spacing w:val="-1"/>
        </w:rPr>
        <w:t>V-48-1</w:t>
      </w:r>
      <w:r>
        <w:rPr>
          <w:spacing w:val="-1"/>
        </w:rPr>
        <w:t>号</w:t>
      </w:r>
      <w:r>
        <w:rPr>
          <w:w w:val="99"/>
        </w:rPr>
        <w:t> </w:t>
      </w:r>
      <w:r>
        <w:rPr>
          <w:spacing w:val="-2"/>
        </w:rPr>
        <w:t>地块的国有建设用地使用权；审议通过公司变更募集资金投资项目实施地点、实施方式及追加投资。上述事项由第三届董事</w:t>
      </w:r>
      <w:r>
        <w:rPr>
          <w:spacing w:val="-64"/>
        </w:rPr>
        <w:t> </w:t>
      </w:r>
      <w:r>
        <w:rPr>
          <w:spacing w:val="-64"/>
        </w:rPr>
      </w:r>
      <w:r>
        <w:rPr/>
        <w:t>会第十三次会议审议通过。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0"/>
        <w:ind w:right="186"/>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6"/>
        <w:jc w:val="left"/>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86"/>
        <w:jc w:val="left"/>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6" w:firstLine="360"/>
        <w:jc w:val="both"/>
      </w:pPr>
      <w:r>
        <w:rPr/>
        <w:t>公司严格按照《公司法》和《公司章程》规范运作，逐步建立健全公司的法人治理结构，在业务、资产、人员、机构</w:t>
      </w:r>
      <w:bookmarkStart w:name="五、监事会工作情况" w:id="130"/>
      <w:bookmarkEnd w:id="130"/>
      <w:r>
        <w:rPr/>
        <w:t>、</w:t>
      </w:r>
      <w:r>
        <w:rPr/>
        <w:t> 财务等方面均具备独立运营能力。</w:t>
      </w:r>
    </w:p>
    <w:p>
      <w:pPr>
        <w:pStyle w:val="BodyText"/>
        <w:spacing w:line="316" w:lineRule="auto" w:before="59"/>
        <w:ind w:right="190" w:firstLine="360"/>
        <w:jc w:val="both"/>
      </w:pPr>
      <w:r>
        <w:rPr>
          <w:spacing w:val="-2"/>
        </w:rPr>
        <w:t>（一）业务独立情况本公司主营业务为软件产品的开发与销售、计算机系统集成及技术支持与服务。公司独立进行产品</w:t>
      </w:r>
      <w:r>
        <w:rPr/>
        <w:t> </w:t>
      </w:r>
      <w:r>
        <w:rPr>
          <w:spacing w:val="-2"/>
        </w:rPr>
        <w:t>的技术研发、生产和销售，具有独立的软件开发技术，拥有具有自主知识产权的软件产品，拥有独立的注册商标，具备相关</w:t>
      </w:r>
      <w:r>
        <w:rPr>
          <w:spacing w:val="-67"/>
        </w:rPr>
        <w:t> </w:t>
      </w:r>
      <w:r>
        <w:rPr>
          <w:spacing w:val="-67"/>
        </w:rPr>
      </w:r>
      <w:r>
        <w:rPr>
          <w:spacing w:val="-2"/>
        </w:rPr>
        <w:t>业务市场的准入资质。公司已建立了完整的职能部门架构，拥有独立的采购、生产、销售和研发系统，能独立开展业务；公</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51"/>
        <w:jc w:val="both"/>
      </w:pPr>
      <w:r>
        <w:rPr>
          <w:spacing w:val="-2"/>
        </w:rPr>
        <w:t>司生产经营所需技术为公司合法独立拥有，没有产权争议；公司独立对外签订所有合同，具有独立生产经营决策，独立从事</w:t>
      </w:r>
      <w:r>
        <w:rPr>
          <w:spacing w:val="-64"/>
        </w:rPr>
        <w:t> </w:t>
      </w:r>
      <w:r>
        <w:rPr>
          <w:spacing w:val="-64"/>
        </w:rPr>
      </w:r>
      <w:r>
        <w:rPr/>
        <w:t>生产经营活动的能力，所有业务环节不存在依赖控股股东及主要股东的情况。</w:t>
      </w:r>
    </w:p>
    <w:p>
      <w:pPr>
        <w:pStyle w:val="BodyText"/>
        <w:spacing w:line="307" w:lineRule="auto" w:before="59"/>
        <w:ind w:right="150" w:firstLine="360"/>
        <w:jc w:val="both"/>
      </w:pPr>
      <w:r>
        <w:rPr>
          <w:spacing w:val="-2"/>
        </w:rPr>
        <w:t>（二）人员独立情况本公司的研发、生产、采购、销售和行政管理人员均完全独立。截至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日，本公司共有</w:t>
      </w:r>
      <w:r>
        <w:rPr/>
        <w:t> 正式员工</w:t>
      </w:r>
      <w:r>
        <w:rPr>
          <w:rFonts w:ascii="Times New Roman" w:hAnsi="Times New Roman" w:cs="Times New Roman" w:eastAsia="Times New Roman" w:hint="default"/>
        </w:rPr>
        <w:t>903</w:t>
      </w:r>
      <w:r>
        <w:rPr/>
        <w:t>人，均与公司签订了劳动聘用合同，公司根据工资管理制度发放工资。公司总裁、副总裁、财务负责人、董事 会秘书及核心技术人员均专职于公司工作，并领取报酬，目前并无在持有公司</w:t>
      </w:r>
      <w:r>
        <w:rPr>
          <w:rFonts w:ascii="Times New Roman" w:hAnsi="Times New Roman" w:cs="Times New Roman" w:eastAsia="Times New Roman" w:hint="default"/>
        </w:rPr>
        <w:t>5%</w:t>
      </w:r>
      <w:r>
        <w:rPr/>
        <w:t>以上股份的股东下属企业担任董事、监事 </w:t>
      </w:r>
      <w:r>
        <w:rPr>
          <w:spacing w:val="-5"/>
        </w:rPr>
        <w:t>以外的其他职务的情况。公司董事、监事及其他高级管理人员均依《公司法》、《公司章程》等规定的合法程序选举或聘任，</w:t>
      </w:r>
      <w:r>
        <w:rPr>
          <w:spacing w:val="-83"/>
        </w:rPr>
        <w:t> </w:t>
      </w:r>
      <w:r>
        <w:rPr>
          <w:spacing w:val="-83"/>
        </w:rPr>
      </w:r>
      <w:r>
        <w:rPr>
          <w:spacing w:val="-2"/>
        </w:rPr>
        <w:t>公司具有独立的人事任免权力，不存在控股股东及主要股东干预公司董事会和股东大会，或是超越董事会和股东大会做出人</w:t>
      </w:r>
      <w:r>
        <w:rPr>
          <w:spacing w:val="-64"/>
        </w:rPr>
        <w:t> </w:t>
      </w:r>
      <w:r>
        <w:rPr>
          <w:spacing w:val="-64"/>
        </w:rPr>
      </w:r>
      <w:r>
        <w:rPr/>
        <w:t>事任免决定的情况。</w:t>
      </w:r>
    </w:p>
    <w:p>
      <w:pPr>
        <w:pStyle w:val="BodyText"/>
        <w:spacing w:line="316" w:lineRule="auto" w:before="64"/>
        <w:ind w:right="151" w:firstLine="360"/>
        <w:jc w:val="both"/>
      </w:pPr>
      <w:r>
        <w:rPr>
          <w:spacing w:val="-2"/>
        </w:rPr>
        <w:t>（三）资产独立情况公司资产与股东资产严格分开，权属明确，并完全独立运营，公司目前业务和生产经营必需的机器</w:t>
      </w:r>
      <w:r>
        <w:rPr/>
        <w:t> </w:t>
      </w:r>
      <w:r>
        <w:rPr>
          <w:spacing w:val="-2"/>
        </w:rPr>
        <w:t>设备、房屋、土地使用权、商标、专利及其他资产的权属完全由公司独立享有，不存在与股东共用的情况。公司对所有资产</w:t>
      </w:r>
      <w:r>
        <w:rPr>
          <w:spacing w:val="-70"/>
        </w:rPr>
        <w:t> </w:t>
      </w:r>
      <w:r>
        <w:rPr>
          <w:spacing w:val="-70"/>
        </w:rPr>
      </w:r>
      <w:r>
        <w:rPr>
          <w:spacing w:val="-2"/>
        </w:rPr>
        <w:t>拥有完全的控制和支配权，不存在资产、资金被股东占用而损害公司利益的情况。公司不存在为股东和其他个人提供担保的</w:t>
      </w:r>
      <w:r>
        <w:rPr>
          <w:spacing w:val="-63"/>
        </w:rPr>
        <w:t> </w:t>
      </w:r>
      <w:r>
        <w:rPr>
          <w:spacing w:val="-63"/>
        </w:rPr>
      </w:r>
      <w:r>
        <w:rPr/>
        <w:t>情形。</w:t>
      </w:r>
    </w:p>
    <w:p>
      <w:pPr>
        <w:pStyle w:val="BodyText"/>
        <w:spacing w:line="316" w:lineRule="auto" w:before="59"/>
        <w:ind w:right="155" w:firstLine="360"/>
        <w:jc w:val="both"/>
      </w:pPr>
      <w:r>
        <w:rPr>
          <w:spacing w:val="-2"/>
        </w:rPr>
        <w:t>（四）机构独立情况公司设有独立的职能部门，组织结构健全，独立运作，在机构设置上完全分开，不存在与控股股东</w:t>
      </w:r>
      <w:r>
        <w:rPr/>
        <w:t> 混合经营、合署办公等情况。</w:t>
      </w:r>
    </w:p>
    <w:p>
      <w:pPr>
        <w:pStyle w:val="BodyText"/>
        <w:spacing w:line="314" w:lineRule="auto" w:before="59"/>
        <w:ind w:right="151" w:firstLine="360"/>
        <w:jc w:val="both"/>
      </w:pPr>
      <w:r>
        <w:rPr>
          <w:spacing w:val="-2"/>
        </w:rPr>
        <w:t>（五）财务独立情况公司设立了独立的财务部门，配备了专职财务人员，建立了独立的会计核算体系。公司具有独立作</w:t>
      </w:r>
      <w:r>
        <w:rPr/>
        <w:t> </w:t>
      </w:r>
      <w:r>
        <w:rPr>
          <w:spacing w:val="-2"/>
        </w:rPr>
        <w:t>出财务决策的能力。公司经营活动和重大资产处置行为的财务会计处理，均以股东大会决议、董事会决议及相关合同文本为</w:t>
      </w:r>
      <w:r>
        <w:rPr>
          <w:spacing w:val="-63"/>
        </w:rPr>
        <w:t> </w:t>
      </w:r>
      <w:r>
        <w:rPr>
          <w:spacing w:val="-63"/>
        </w:rPr>
      </w:r>
      <w:r>
        <w:rPr>
          <w:spacing w:val="-2"/>
        </w:rPr>
        <w:t>依据，未出现股东干预公司财务部门业务开展的情形。公司对所拥有资产有完全控制支配权，不存在股东占用公司资产而损</w:t>
      </w:r>
      <w:r>
        <w:rPr>
          <w:spacing w:val="-63"/>
        </w:rPr>
        <w:t> </w:t>
      </w:r>
      <w:r>
        <w:rPr>
          <w:spacing w:val="-63"/>
        </w:rPr>
      </w:r>
      <w:r>
        <w:rPr/>
        <w:t>害公司利益的情况。公司独立纳税，国地税登记号为</w:t>
      </w:r>
      <w:r>
        <w:rPr>
          <w:rFonts w:ascii="Times New Roman" w:hAnsi="Times New Roman" w:cs="Times New Roman" w:eastAsia="Times New Roman" w:hint="default"/>
        </w:rPr>
        <w:t>350111628507579</w:t>
      </w:r>
      <w:r>
        <w:rPr/>
        <w:t>。公司独立开设银行账户，基本开户银行为中国农业 银行福州市冶山支行，账号为</w:t>
      </w:r>
      <w:r>
        <w:rPr>
          <w:rFonts w:ascii="Times New Roman" w:hAnsi="Times New Roman" w:cs="Times New Roman" w:eastAsia="Times New Roman" w:hint="default"/>
        </w:rPr>
        <w:t>13110301040006438</w:t>
      </w:r>
      <w:r>
        <w:rPr/>
        <w:t>。</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72" w:right="147"/>
        <w:jc w:val="left"/>
      </w:pPr>
      <w:r>
        <w:rPr/>
        <w:t>公司与控股股</w:t>
      </w:r>
      <w:bookmarkStart w:name="七、同业竞争情况" w:id="131"/>
      <w:bookmarkEnd w:id="131"/>
      <w:r>
        <w:rPr/>
        <w:t>东以及实际控制人之间不存在同业竞争情况。公司的控股股东及实际控制人鲁峰先生已向本公司出具了</w:t>
      </w:r>
    </w:p>
    <w:p>
      <w:pPr>
        <w:pStyle w:val="BodyText"/>
        <w:spacing w:line="316" w:lineRule="auto" w:before="76"/>
        <w:ind w:right="153"/>
        <w:jc w:val="both"/>
      </w:pPr>
      <w:r>
        <w:rPr>
          <w:spacing w:val="-2"/>
        </w:rPr>
        <w:t>《放弃竞争与利益冲突承诺书》，承诺不生产、开发任何与股份公司及下属子公司生产的产品构成竞争或可能构成竞争的产</w:t>
      </w:r>
      <w:r>
        <w:rPr>
          <w:spacing w:val="-66"/>
        </w:rPr>
        <w:t> </w:t>
      </w:r>
      <w:r>
        <w:rPr>
          <w:spacing w:val="-66"/>
        </w:rPr>
      </w:r>
      <w:r>
        <w:rPr>
          <w:spacing w:val="-2"/>
        </w:rPr>
        <w:t>品，不直接或间接经营任何与股份公司及其下属子公司经营的业务构成竞争或可能构成竞争的业务，也不参与投资任何与股</w:t>
      </w:r>
      <w:r>
        <w:rPr>
          <w:spacing w:val="-64"/>
        </w:rPr>
        <w:t> </w:t>
      </w:r>
      <w:r>
        <w:rPr>
          <w:spacing w:val="-64"/>
        </w:rPr>
      </w:r>
      <w:r>
        <w:rPr/>
        <w:t>份公司及其下属子公司生产的产品或经营的业务构成竞争或可能构成竞争的其他企业。</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419"/>
        <w:jc w:val="both"/>
      </w:pPr>
      <w:r>
        <w:rPr/>
        <w:t>公司的高级管理人员依据《公司章程》和岗位职责开展工作</w:t>
      </w:r>
      <w:bookmarkStart w:name="八、高级管理人员的考评及激励情况" w:id="132"/>
      <w:bookmarkEnd w:id="132"/>
      <w:r>
        <w:rPr/>
        <w:t>。公司董事会薪酬与考核委员会依据董事、监事及高级管</w:t>
      </w:r>
      <w:r>
        <w:rPr/>
        <w:t> 理人员职责履行情况及业绩，对其进行考评，并依据考评结果提出薪酬方案，并提交董事会、股东大会审议。</w:t>
      </w:r>
    </w:p>
    <w:p>
      <w:pPr>
        <w:spacing w:after="0" w:line="316"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586" w:right="3626"/>
        <w:jc w:val="center"/>
        <w:rPr>
          <w:b w:val="0"/>
          <w:bCs w:val="0"/>
        </w:rPr>
      </w:pPr>
      <w:bookmarkStart w:name="二、董事会关于内部控制责任的声明" w:id="133"/>
      <w:bookmarkEnd w:id="133"/>
      <w:r>
        <w:rPr>
          <w:b w:val="0"/>
          <w:bCs w:val="0"/>
        </w:rPr>
      </w:r>
      <w:bookmarkStart w:name="第十节 内部控制" w:id="134"/>
      <w:bookmarkEnd w:id="134"/>
      <w:r>
        <w:rPr>
          <w:b w:val="0"/>
          <w:bCs w:val="0"/>
        </w:rPr>
      </w:r>
      <w:bookmarkStart w:name="_bookmark9" w:id="135"/>
      <w:bookmarkEnd w:id="135"/>
      <w:r>
        <w:rPr>
          <w:b w:val="0"/>
          <w:bCs w:val="0"/>
        </w:rPr>
      </w:r>
      <w:r>
        <w:rPr/>
        <w:t>第十节</w:t>
      </w:r>
      <w:r>
        <w:rPr>
          <w:spacing w:val="-4"/>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一、内部控制</w:t>
      </w:r>
      <w:bookmarkStart w:name="一、内部控制建设情况" w:id="136"/>
      <w:bookmarkEnd w:id="136"/>
      <w:r>
        <w:rPr/>
        <w:t>建</w:t>
      </w:r>
      <w:r>
        <w:rPr/>
        <w:t>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为规范经营管理，控制风险，保证经营业务活动的正常开展，公司依据《中华人民共和国公司法》、《中华人民共和国</w:t>
      </w:r>
      <w:r>
        <w:rPr/>
        <w:t> </w:t>
      </w:r>
      <w:r>
        <w:rPr>
          <w:spacing w:val="-2"/>
        </w:rPr>
        <w:t>证券法》、《企业内部控制基本规范》、《深圳证券交易所上市公司内部控制指引》、《深圳证券交易所中小企业板上市公</w:t>
      </w:r>
      <w:r>
        <w:rPr>
          <w:spacing w:val="-67"/>
        </w:rPr>
        <w:t> </w:t>
      </w:r>
      <w:r>
        <w:rPr>
          <w:spacing w:val="-67"/>
        </w:rPr>
      </w:r>
      <w:r>
        <w:rPr>
          <w:spacing w:val="-2"/>
        </w:rPr>
        <w:t>司规范运作指引》等相关法律、法规的要求，结合自身经营管理的特点，逐步完善和提高了公司内部控制制度和规范运作水</w:t>
      </w:r>
      <w:r>
        <w:rPr>
          <w:spacing w:val="-64"/>
        </w:rPr>
        <w:t> </w:t>
      </w:r>
      <w:r>
        <w:rPr>
          <w:spacing w:val="-64"/>
        </w:rPr>
      </w:r>
      <w:r>
        <w:rPr/>
        <w:t>平，为公司的长远发展奠定了良好的基础。公司内部控制制度建立健全情况如下：</w:t>
      </w:r>
    </w:p>
    <w:p>
      <w:pPr>
        <w:pStyle w:val="BodyText"/>
        <w:spacing w:line="316" w:lineRule="auto" w:before="57"/>
        <w:ind w:right="190" w:firstLine="360"/>
        <w:jc w:val="both"/>
      </w:pPr>
      <w:r>
        <w:rPr>
          <w:spacing w:val="-2"/>
        </w:rPr>
        <w:t>（一）法人治理结构公司有较为健全的法人治理结构和完善的管理制度，主要包括《公司章程》、《公司股东大会议事</w:t>
      </w:r>
      <w:r>
        <w:rPr/>
        <w:t> </w:t>
      </w:r>
      <w:r>
        <w:rPr>
          <w:spacing w:val="-2"/>
        </w:rPr>
        <w:t>规则》、《公司董事会议事规则》、《公司监事会议事规则》、《公司总裁工作细则》、《公司独立董事工作制度》、《公</w:t>
      </w:r>
      <w:r>
        <w:rPr>
          <w:spacing w:val="-69"/>
        </w:rPr>
        <w:t> </w:t>
      </w:r>
      <w:r>
        <w:rPr>
          <w:spacing w:val="-69"/>
        </w:rPr>
      </w:r>
      <w:r>
        <w:rPr>
          <w:spacing w:val="-2"/>
        </w:rPr>
        <w:t>司董事会秘书工作细则》、《公司董事会战略委员会实施细则》、《公司董事会提名委员会实施细则》、《公司董事会审计</w:t>
      </w:r>
      <w:r>
        <w:rPr>
          <w:spacing w:val="-67"/>
        </w:rPr>
        <w:t> </w:t>
      </w:r>
      <w:r>
        <w:rPr>
          <w:spacing w:val="-67"/>
        </w:rPr>
      </w:r>
      <w:r>
        <w:rPr>
          <w:spacing w:val="-5"/>
        </w:rPr>
        <w:t>委员会实施细则》、《公司董事会薪酬与考核委员会实施细则》、《公司募集资金管理制度》、《公司关联交易管理制度》、</w:t>
      </w:r>
    </w:p>
    <w:p>
      <w:pPr>
        <w:pStyle w:val="BodyText"/>
        <w:spacing w:line="316" w:lineRule="auto" w:before="18"/>
        <w:ind w:right="190"/>
        <w:jc w:val="both"/>
      </w:pPr>
      <w:r>
        <w:rPr>
          <w:spacing w:val="-2"/>
        </w:rPr>
        <w:t>《公司对外投资管理办法》、《公司对外担保管理制度》、《公司内部审计制度》、《公司信息披露管理制度》、《公司内</w:t>
      </w:r>
      <w:r>
        <w:rPr>
          <w:spacing w:val="-68"/>
        </w:rPr>
        <w:t> </w:t>
      </w:r>
      <w:r>
        <w:rPr>
          <w:spacing w:val="-68"/>
        </w:rPr>
      </w:r>
      <w:r>
        <w:rPr>
          <w:spacing w:val="-2"/>
        </w:rPr>
        <w:t>幕信息知情人报备制度》、《控股股东、实际控制人行为规范》、《公司重大信息内部报告制度》、《公司重大信息内部保</w:t>
      </w:r>
      <w:r>
        <w:rPr>
          <w:spacing w:val="-68"/>
        </w:rPr>
        <w:t> </w:t>
      </w:r>
      <w:r>
        <w:rPr>
          <w:spacing w:val="-68"/>
        </w:rPr>
      </w:r>
      <w:r>
        <w:rPr>
          <w:spacing w:val="-2"/>
        </w:rPr>
        <w:t>密制度》、《投资者关系管理制度》、《董事、监事和高级管理人员所持公司股份及其变动管理制度》、《审计委员会年报</w:t>
      </w:r>
      <w:r>
        <w:rPr>
          <w:spacing w:val="-71"/>
        </w:rPr>
        <w:t> </w:t>
      </w:r>
      <w:r>
        <w:rPr>
          <w:spacing w:val="-71"/>
        </w:rPr>
      </w:r>
      <w:r>
        <w:rPr>
          <w:spacing w:val="-2"/>
        </w:rPr>
        <w:t>工作规程》、《社会责任制度》、《独立董事年报工作制度》、《年报信息披露重大差错责任追究制度》、《会计政策、会</w:t>
      </w:r>
      <w:r>
        <w:rPr>
          <w:spacing w:val="-74"/>
        </w:rPr>
        <w:t> </w:t>
      </w:r>
      <w:r>
        <w:rPr>
          <w:spacing w:val="-74"/>
        </w:rPr>
      </w:r>
      <w:r>
        <w:rPr>
          <w:spacing w:val="-2"/>
        </w:rPr>
        <w:t>计估计变更和会计差错管理制度》、《董事、监事和高级管理人员内部问责制度》、《货币资金管理制度》、《董事会秘书</w:t>
      </w:r>
      <w:r>
        <w:rPr>
          <w:spacing w:val="-71"/>
        </w:rPr>
        <w:t> </w:t>
      </w:r>
      <w:r>
        <w:rPr>
          <w:spacing w:val="-71"/>
        </w:rPr>
      </w:r>
      <w:r>
        <w:rPr>
          <w:spacing w:val="-2"/>
        </w:rPr>
        <w:t>履职保障制度》、《资产减值准备计提及核销管理制度》、《媒体信息排查制度》、《敏感信息排查管理制度》、《外部信</w:t>
      </w:r>
      <w:r>
        <w:rPr>
          <w:spacing w:val="-68"/>
        </w:rPr>
        <w:t> </w:t>
      </w:r>
      <w:r>
        <w:rPr>
          <w:spacing w:val="-68"/>
        </w:rPr>
      </w:r>
      <w:r>
        <w:rPr>
          <w:spacing w:val="-5"/>
        </w:rPr>
        <w:t>息使用人管理制度》、《新媒体登记监控制度》、《内部问责制度》、《银行间债券市场债务融资工具信息披露管理制度》、</w:t>
      </w:r>
    </w:p>
    <w:p>
      <w:pPr>
        <w:pStyle w:val="BodyText"/>
        <w:spacing w:line="240" w:lineRule="auto" w:before="18"/>
        <w:ind w:right="0"/>
        <w:jc w:val="both"/>
      </w:pPr>
      <w:r>
        <w:rPr/>
        <w:t>《内幕信息知情人登记管理制度》等制度。公司各项管理制度建立之后均能得到有效的贯彻执行。</w:t>
      </w:r>
    </w:p>
    <w:p>
      <w:pPr>
        <w:pStyle w:val="BodyText"/>
        <w:spacing w:line="316" w:lineRule="auto" w:before="117"/>
        <w:ind w:right="94" w:firstLine="360"/>
        <w:jc w:val="left"/>
      </w:pPr>
      <w:r>
        <w:rPr/>
        <w:t>（二）生产经营控制根据公司生产经营的特点，公司针对每个岗位，制定了明确的工作职责和岗位说明书及工作流程， </w:t>
      </w:r>
      <w:r>
        <w:rPr>
          <w:spacing w:val="-2"/>
        </w:rPr>
        <w:t>并制定了涉及研发、实施、质量控制、采购、销售、仓储、财务出纳、财务会计、人事管理等一系列内部控制制度，不同岗</w:t>
      </w:r>
      <w:r>
        <w:rPr>
          <w:spacing w:val="-70"/>
        </w:rPr>
        <w:t> </w:t>
      </w:r>
      <w:r>
        <w:rPr>
          <w:spacing w:val="-70"/>
        </w:rPr>
      </w:r>
      <w:r>
        <w:rPr/>
        <w:t>位的设置尽量要求能够做到互相配合和互相检查监督，保证公司经营管理目标的实现。</w:t>
      </w:r>
    </w:p>
    <w:p>
      <w:pPr>
        <w:pStyle w:val="BodyText"/>
        <w:spacing w:line="316" w:lineRule="auto" w:before="59"/>
        <w:ind w:right="196" w:firstLine="360"/>
        <w:jc w:val="both"/>
      </w:pPr>
      <w:r>
        <w:rPr>
          <w:spacing w:val="-6"/>
        </w:rPr>
        <w:t>（三）财务管理控制为了加强公司的财务会计工作，维护股东和债权人的合法权益，根据《会计法》、《企业会计准则》</w:t>
      </w:r>
      <w:r>
        <w:rPr/>
        <w:t> </w:t>
      </w:r>
      <w:r>
        <w:rPr>
          <w:spacing w:val="-2"/>
        </w:rPr>
        <w:t>和《会计基础工作规范》及国家其他有关法律和法规，结合公司实际情况，公司制定了《财务管理制度》进行财务管理。该</w:t>
      </w:r>
      <w:r>
        <w:rPr>
          <w:spacing w:val="-73"/>
        </w:rPr>
        <w:t> </w:t>
      </w:r>
      <w:r>
        <w:rPr>
          <w:spacing w:val="-73"/>
        </w:rPr>
      </w:r>
      <w:r>
        <w:rPr/>
        <w:t>制度是公司各项财务活动的基本行为准则，从根本上规范公司会计核算，确保了财务会计核算和财务管理的合法、合规。</w:t>
      </w:r>
    </w:p>
    <w:p>
      <w:pPr>
        <w:pStyle w:val="BodyText"/>
        <w:spacing w:line="316" w:lineRule="auto" w:before="57"/>
        <w:ind w:right="188" w:firstLine="360"/>
        <w:jc w:val="both"/>
      </w:pPr>
      <w:r>
        <w:rPr>
          <w:spacing w:val="-2"/>
        </w:rPr>
        <w:t>（四）信息披露控制公司制定了《公司信息披露管理制度》、《公司重大信息内部报告制度》、《公司内幕信息知情人</w:t>
      </w:r>
      <w:r>
        <w:rPr/>
        <w:t> </w:t>
      </w:r>
      <w:r>
        <w:rPr>
          <w:spacing w:val="-5"/>
        </w:rPr>
        <w:t>报备制度》和《公司投资者关系管理制度》、《内幕信息知情人登记管理制度》等。在制度中规定了信息披露事务管理部门、</w:t>
      </w:r>
      <w:r>
        <w:rPr>
          <w:spacing w:val="-81"/>
        </w:rPr>
        <w:t> </w:t>
      </w:r>
      <w:r>
        <w:rPr>
          <w:spacing w:val="-81"/>
        </w:rPr>
      </w:r>
      <w:r>
        <w:rPr>
          <w:spacing w:val="-2"/>
        </w:rPr>
        <w:t>责任人及义务人职责；信息披露的范围和内容及重大信息的范围；信息披露的报告、传递、审核、披露程序；信息披露相关</w:t>
      </w:r>
      <w:r>
        <w:rPr>
          <w:spacing w:val="-68"/>
        </w:rPr>
        <w:t> </w:t>
      </w:r>
      <w:r>
        <w:rPr>
          <w:spacing w:val="-68"/>
        </w:rPr>
      </w:r>
      <w:r>
        <w:rPr>
          <w:spacing w:val="-2"/>
        </w:rPr>
        <w:t>文件、资料的档案管理；投资者关系活动等等。报告期内，公司信息披露相关制度得到有效执行，公司对外接待、网上路演</w:t>
      </w:r>
      <w:r>
        <w:rPr>
          <w:spacing w:val="-66"/>
        </w:rPr>
        <w:t> </w:t>
      </w:r>
      <w:r>
        <w:rPr>
          <w:spacing w:val="-66"/>
        </w:rPr>
      </w:r>
      <w:r>
        <w:rPr/>
        <w:t>等投资者关系活动规范，确保了信息披露公平。</w:t>
      </w:r>
    </w:p>
    <w:p>
      <w:pPr>
        <w:pStyle w:val="BodyText"/>
        <w:spacing w:line="316" w:lineRule="auto" w:before="59"/>
        <w:ind w:right="190" w:firstLine="360"/>
        <w:jc w:val="both"/>
      </w:pPr>
      <w:r>
        <w:rPr>
          <w:spacing w:val="-2"/>
        </w:rPr>
        <w:t>（五）内部监督控制制度公司制定了《内部审计制度》，明确规定了审计部门的职责、权限、工作内容、工作方法和程</w:t>
      </w:r>
      <w:r>
        <w:rPr/>
        <w:t> </w:t>
      </w:r>
      <w:r>
        <w:rPr>
          <w:spacing w:val="-2"/>
        </w:rPr>
        <w:t>序。通过内部审计工作的有效开展，持续监督检查公司各项经营活动和主要内部控制制度的执行情况，不断提出改进意见和</w:t>
      </w:r>
      <w:r>
        <w:rPr>
          <w:spacing w:val="-63"/>
        </w:rPr>
        <w:t> </w:t>
      </w:r>
      <w:r>
        <w:rPr>
          <w:spacing w:val="-63"/>
        </w:rPr>
      </w:r>
      <w:r>
        <w:rPr/>
        <w:t>建议，有效防范了内部控制的风险，保障了公司经营管理活动的正常进行。</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90" w:firstLine="419"/>
        <w:jc w:val="both"/>
      </w:pPr>
      <w:r>
        <w:rPr/>
        <w:t>公司现有的内部控制已覆盖了公司运营的各个层面和环节，公司法人治理、日常经营、信息披露等各项活动均严格按 </w:t>
      </w:r>
      <w:r>
        <w:rPr>
          <w:spacing w:val="-2"/>
        </w:rPr>
        <w:t>照内部控制规定进行，能有效保证公司经营管理的正常进行。公司内部控制的设计是完整和合理的，执行是有效的，能够合</w:t>
      </w:r>
      <w:r>
        <w:rPr>
          <w:spacing w:val="-64"/>
        </w:rPr>
        <w:t> </w:t>
      </w:r>
      <w:r>
        <w:rPr>
          <w:spacing w:val="-64"/>
        </w:rPr>
      </w:r>
      <w:r>
        <w:rPr>
          <w:spacing w:val="-5"/>
        </w:rPr>
        <w:t>理地保证内部控制目标的达成。公司董事会及全体董事保证《</w:t>
      </w:r>
      <w:r>
        <w:rPr>
          <w:rFonts w:ascii="Times New Roman" w:hAnsi="Times New Roman" w:cs="Times New Roman" w:eastAsia="Times New Roman" w:hint="default"/>
          <w:spacing w:val="-5"/>
        </w:rPr>
        <w:t>2014</w:t>
      </w:r>
      <w:r>
        <w:rPr>
          <w:spacing w:val="-5"/>
        </w:rPr>
        <w:t>年度内部控制自我评价报告》的内容不存在任何虚假记载、</w:t>
      </w:r>
      <w:r>
        <w:rPr>
          <w:spacing w:val="-67"/>
        </w:rPr>
        <w:t> </w:t>
      </w:r>
      <w:r>
        <w:rPr>
          <w:spacing w:val="-67"/>
        </w:rPr>
      </w:r>
      <w:r>
        <w:rPr/>
        <w:t>误导性陈述或重大遗漏，并对报告内容的真实性、准确性和完整性承担个别及连带责任。</w:t>
      </w:r>
    </w:p>
    <w:p>
      <w:pPr>
        <w:spacing w:after="0" w:line="312"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0" w:firstLine="419"/>
        <w:jc w:val="both"/>
      </w:pPr>
      <w:bookmarkStart w:name="三、建立财务报告内部控制的依据" w:id="137"/>
      <w:bookmarkEnd w:id="137"/>
      <w:r>
        <w:rPr/>
      </w:r>
      <w:r>
        <w:rPr/>
        <w:t>公司根据《会计法》、《企业会计准则》、《企业内部控制基本规范》及监管部门的相关规范性文件要求，建立了财 </w:t>
      </w:r>
      <w:r>
        <w:rPr>
          <w:spacing w:val="-2"/>
        </w:rPr>
        <w:t>务报告内部控制，本年度的财务报告内部控制不存在重大缺陷。经过审计的财务报告由公司法定代表人、财务负责人及会计</w:t>
      </w:r>
      <w:r>
        <w:rPr>
          <w:spacing w:val="-63"/>
        </w:rPr>
        <w:t> </w:t>
      </w:r>
      <w:r>
        <w:rPr>
          <w:spacing w:val="-63"/>
        </w:rPr>
      </w:r>
      <w:r>
        <w:rPr/>
        <w:t>机构负责人签名盖章。</w:t>
      </w:r>
    </w:p>
    <w:p>
      <w:pPr>
        <w:spacing w:line="240" w:lineRule="auto" w:before="11"/>
        <w:rPr>
          <w:rFonts w:ascii="宋体" w:hAnsi="宋体" w:cs="宋体" w:eastAsia="宋体" w:hint="default"/>
          <w:sz w:val="20"/>
          <w:szCs w:val="20"/>
        </w:rPr>
      </w:pPr>
    </w:p>
    <w:p>
      <w:pPr>
        <w:pStyle w:val="Heading2"/>
        <w:spacing w:line="240" w:lineRule="auto"/>
        <w:ind w:right="791"/>
        <w:jc w:val="left"/>
        <w:rPr>
          <w:b w:val="0"/>
          <w:bCs w:val="0"/>
        </w:rPr>
      </w:pPr>
      <w:r>
        <w:rPr/>
        <w:t>四、内部控制</w:t>
      </w:r>
      <w:bookmarkStart w:name="四、内部控制评价报告" w:id="138"/>
      <w:bookmarkEnd w:id="138"/>
      <w:r>
        <w:rPr/>
        <w:t>评</w:t>
      </w:r>
      <w:r>
        <w:rPr/>
        <w:t>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6907"/>
      </w:tblGrid>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69"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83"/>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日公告于巨潮资讯网</w:t>
            </w:r>
            <w:r>
              <w:rPr>
                <w:rFonts w:ascii="宋体" w:hAnsi="宋体" w:cs="宋体" w:eastAsia="宋体" w:hint="default"/>
                <w:spacing w:val="-48"/>
                <w:sz w:val="18"/>
                <w:szCs w:val="18"/>
              </w:rPr>
              <w:t> </w:t>
            </w: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的《关于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 </w:t>
            </w:r>
            <w:r>
              <w:rPr>
                <w:rFonts w:ascii="宋体" w:hAnsi="宋体" w:cs="宋体" w:eastAsia="宋体" w:hint="default"/>
                <w:spacing w:val="-8"/>
                <w:sz w:val="18"/>
                <w:szCs w:val="18"/>
              </w:rPr>
              <w:t>司内部控制自我评价报告》。</w:t>
            </w:r>
          </w:p>
        </w:tc>
      </w:tr>
    </w:tbl>
    <w:p>
      <w:pPr>
        <w:spacing w:line="240" w:lineRule="auto" w:before="1"/>
        <w:rPr>
          <w:rFonts w:ascii="宋体" w:hAnsi="宋体" w:cs="宋体" w:eastAsia="宋体" w:hint="default"/>
          <w:b/>
          <w:bCs/>
          <w:sz w:val="18"/>
          <w:szCs w:val="18"/>
        </w:rPr>
      </w:pPr>
    </w:p>
    <w:p>
      <w:pPr>
        <w:pStyle w:val="Heading2"/>
        <w:spacing w:line="240" w:lineRule="auto" w:before="26"/>
        <w:ind w:right="791"/>
        <w:jc w:val="left"/>
        <w:rPr>
          <w:b w:val="0"/>
          <w:bCs w:val="0"/>
        </w:rPr>
      </w:pPr>
      <w:r>
        <w:rPr/>
        <w:t>五、内部控制审计报告或鉴证报告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791"/>
        <w:jc w:val="left"/>
        <w:rPr>
          <w:b w:val="0"/>
          <w:bCs w:val="0"/>
        </w:rPr>
      </w:pPr>
      <w:r>
        <w:rPr/>
        <w:t>六、年度报告重大差错责任追究制度的建</w:t>
      </w:r>
      <w:bookmarkStart w:name="五、内部控制审计报告或鉴证报告" w:id="139"/>
      <w:bookmarkEnd w:id="139"/>
      <w:r>
        <w:rPr/>
        <w:t>立与</w:t>
      </w:r>
      <w:r>
        <w:rPr/>
        <w:t>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48" w:firstLine="419"/>
        <w:jc w:val="both"/>
      </w:pPr>
      <w:r>
        <w:rPr>
          <w:spacing w:val="-1"/>
        </w:rPr>
        <w:t>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11</w:t>
      </w:r>
      <w:r>
        <w:rPr>
          <w:spacing w:val="-1"/>
        </w:rPr>
        <w:t>日召开第二届董事会第四次会议，审议通过</w:t>
      </w:r>
      <w:bookmarkStart w:name="六、年度报告重大差错责任追究制度的建立与执行情况" w:id="140"/>
      <w:bookmarkEnd w:id="140"/>
      <w:r>
        <w:rPr>
          <w:spacing w:val="-1"/>
        </w:rPr>
        <w:t>《公司年报信息披露重大差错责任追究制度</w:t>
      </w:r>
      <w:r>
        <w:rPr>
          <w:spacing w:val="-1"/>
        </w:rPr>
        <w:t>》。报告期</w:t>
      </w:r>
      <w:r>
        <w:rPr/>
        <w:t> </w:t>
      </w:r>
      <w:r>
        <w:rPr>
          <w:spacing w:val="-2"/>
        </w:rPr>
        <w:t>内，公司严格执行《公司年报信息披露重大差错责任追究制度》的各项规定，以确保年报信息披露的质量和透明度。报告期</w:t>
      </w:r>
      <w:r>
        <w:rPr>
          <w:spacing w:val="-67"/>
        </w:rPr>
        <w:t> </w:t>
      </w:r>
      <w:r>
        <w:rPr>
          <w:spacing w:val="-67"/>
        </w:rPr>
      </w:r>
      <w:r>
        <w:rPr/>
        <w:t>内执行情况良好，不存在发生重大会计差错更正、重大遗漏信息补充等情况。</w:t>
      </w:r>
    </w:p>
    <w:p>
      <w:pPr>
        <w:spacing w:after="0" w:line="309"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589" w:right="3626"/>
        <w:jc w:val="center"/>
        <w:rPr>
          <w:b w:val="0"/>
          <w:bCs w:val="0"/>
        </w:rPr>
      </w:pPr>
      <w:bookmarkStart w:name="二、财务报表" w:id="141"/>
      <w:bookmarkEnd w:id="141"/>
      <w:r>
        <w:rPr>
          <w:b w:val="0"/>
          <w:bCs w:val="0"/>
        </w:rPr>
      </w:r>
      <w:bookmarkStart w:name="1、合并资产负债表" w:id="142"/>
      <w:bookmarkEnd w:id="142"/>
      <w:r>
        <w:rPr>
          <w:b w:val="0"/>
          <w:bCs w:val="0"/>
        </w:rPr>
      </w:r>
      <w:bookmarkStart w:name="第十一节 财务报告" w:id="143"/>
      <w:bookmarkEnd w:id="143"/>
      <w:r>
        <w:rPr>
          <w:b w:val="0"/>
          <w:bCs w:val="0"/>
        </w:rPr>
      </w:r>
      <w:bookmarkStart w:name="_bookmark10" w:id="144"/>
      <w:bookmarkEnd w:id="144"/>
      <w:r>
        <w:rPr>
          <w:b w:val="0"/>
          <w:bCs w:val="0"/>
        </w:rPr>
      </w:r>
      <w:r>
        <w:rPr/>
        <w:t>第十一节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86"/>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bookmarkStart w:name="一、审计报告" w:id="145"/>
            <w:bookmarkEnd w:id="145"/>
            <w:r>
              <w:rPr/>
            </w:r>
            <w:r>
              <w:rPr>
                <w:rFonts w:ascii="宋体" w:hAnsi="宋体" w:cs="宋体" w:eastAsia="宋体" w:hint="default"/>
                <w:sz w:val="18"/>
                <w:szCs w:val="18"/>
              </w:rPr>
              <w:t>标准无保留审计意见</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350ZA0074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吴乐霖</w:t>
            </w:r>
            <w:r>
              <w:rPr>
                <w:rFonts w:ascii="宋体" w:hAnsi="宋体" w:cs="宋体" w:eastAsia="宋体" w:hint="default"/>
                <w:spacing w:val="1"/>
                <w:sz w:val="18"/>
                <w:szCs w:val="18"/>
              </w:rPr>
              <w:t> </w:t>
            </w:r>
            <w:r>
              <w:rPr>
                <w:rFonts w:ascii="宋体" w:hAnsi="宋体" w:cs="宋体" w:eastAsia="宋体" w:hint="default"/>
                <w:sz w:val="18"/>
                <w:szCs w:val="18"/>
              </w:rPr>
              <w:t>曾徽</w:t>
            </w:r>
          </w:p>
        </w:tc>
      </w:tr>
    </w:tbl>
    <w:p>
      <w:pPr>
        <w:pStyle w:val="BodyText"/>
        <w:spacing w:line="240" w:lineRule="auto" w:before="49"/>
        <w:ind w:left="3586" w:right="3626"/>
        <w:jc w:val="center"/>
      </w:pPr>
      <w:r>
        <w:rPr/>
        <w:t>审计报告正文</w:t>
      </w:r>
    </w:p>
    <w:p>
      <w:pPr>
        <w:spacing w:line="240" w:lineRule="auto" w:before="10"/>
        <w:rPr>
          <w:rFonts w:ascii="宋体" w:hAnsi="宋体" w:cs="宋体" w:eastAsia="宋体" w:hint="default"/>
          <w:sz w:val="11"/>
          <w:szCs w:val="11"/>
        </w:rPr>
      </w:pPr>
    </w:p>
    <w:p>
      <w:pPr>
        <w:pStyle w:val="Heading4"/>
        <w:spacing w:line="240" w:lineRule="auto"/>
        <w:ind w:left="152" w:right="186"/>
        <w:jc w:val="left"/>
        <w:rPr>
          <w:b w:val="0"/>
          <w:bCs w:val="0"/>
        </w:rPr>
      </w:pPr>
      <w:r>
        <w:rPr/>
        <w:t>福建榕基软件股份有限公司全体股东：</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right="186" w:firstLine="496"/>
        <w:jc w:val="left"/>
      </w:pPr>
      <w:r>
        <w:rPr>
          <w:spacing w:val="-1"/>
        </w:rPr>
        <w:t>我们审计了后附的福建榕基软件股份有限公司（以下简称榕基软件公司）财务报表，包括</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w:t>
      </w:r>
      <w:r>
        <w:rPr/>
        <w:t> 司资产负债表，</w:t>
      </w:r>
      <w:r>
        <w:rPr>
          <w:rFonts w:ascii="Times New Roman" w:hAnsi="Times New Roman" w:cs="Times New Roman" w:eastAsia="Times New Roman" w:hint="default"/>
        </w:rPr>
        <w:t>2014</w:t>
      </w:r>
      <w:r>
        <w:rPr/>
        <w:t>年度的合并及公司利润表、合并及公司现金流量表、合并及公司股东权益变动表以及财务报表附注。</w:t>
      </w:r>
    </w:p>
    <w:p>
      <w:pPr>
        <w:pStyle w:val="Heading4"/>
        <w:spacing w:line="240" w:lineRule="auto" w:before="133"/>
        <w:ind w:right="186"/>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86" w:firstLine="496"/>
        <w:jc w:val="left"/>
      </w:pPr>
      <w:r>
        <w:rPr/>
        <w:t>编制和公允列报财务报表是榕基软件公司管理层的责任，这种责任包括：（</w:t>
      </w:r>
      <w:r>
        <w:rPr>
          <w:rFonts w:ascii="Times New Roman" w:hAnsi="Times New Roman" w:cs="Times New Roman" w:eastAsia="Times New Roman" w:hint="default"/>
        </w:rPr>
        <w:t>1</w:t>
      </w:r>
      <w:r>
        <w:rPr/>
        <w:t>）按照企业会计准则的规定编制财务报 </w:t>
      </w:r>
      <w:r>
        <w:rPr>
          <w:spacing w:val="-4"/>
        </w:rPr>
        <w:t>表，并使其实现公允反映；（</w:t>
      </w:r>
      <w:r>
        <w:rPr>
          <w:rFonts w:ascii="Times New Roman" w:hAnsi="Times New Roman" w:cs="Times New Roman" w:eastAsia="Times New Roman" w:hint="default"/>
          <w:spacing w:val="-4"/>
        </w:rPr>
        <w:t>2</w:t>
      </w:r>
      <w:r>
        <w:rPr>
          <w:spacing w:val="-4"/>
        </w:rPr>
        <w:t>）设计、执行和维护必要的内部控制，以使财务报表不存在由于舞弊或错误导致的重大错报。</w:t>
      </w:r>
    </w:p>
    <w:p>
      <w:pPr>
        <w:pStyle w:val="Heading4"/>
        <w:spacing w:line="240" w:lineRule="auto" w:before="133"/>
        <w:ind w:right="186"/>
        <w:jc w:val="left"/>
        <w:rPr>
          <w:b w:val="0"/>
          <w:bCs w:val="0"/>
        </w:rPr>
      </w:pPr>
      <w:r>
        <w:rPr/>
        <w:t>二、注册会计师的责任</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93" w:firstLine="496"/>
        <w:jc w:val="both"/>
      </w:pPr>
      <w:r>
        <w:rPr>
          <w:spacing w:val="-1"/>
        </w:rPr>
        <w:t>我们的责任是在执行审计工作的基础上对财务报表发表审计意见。我们按照中国注册会计师审计准则的规定执行了审</w:t>
      </w:r>
      <w:r>
        <w:rPr/>
        <w:t>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2" w:lineRule="auto" w:before="139"/>
        <w:ind w:right="94" w:firstLine="496"/>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w:t>
      </w:r>
      <w:r>
        <w:rPr>
          <w:spacing w:val="-2"/>
          <w:u w:val="single" w:color="000000"/>
        </w:rPr>
        <w:t>但</w:t>
      </w:r>
      <w:r>
        <w:rPr>
          <w:spacing w:val="-2"/>
        </w:rPr>
        <w:t>目的并非对内部控制的有效性发表意见</w:t>
      </w:r>
      <w:r>
        <w:rPr>
          <w:rFonts w:ascii="宋体" w:hAnsi="宋体" w:cs="宋体" w:eastAsia="宋体" w:hint="default"/>
          <w:i/>
          <w:spacing w:val="-2"/>
          <w:sz w:val="19"/>
          <w:szCs w:val="19"/>
        </w:rPr>
        <w:t>。</w:t>
      </w:r>
      <w:r>
        <w:rPr>
          <w:spacing w:val="-2"/>
        </w:rPr>
        <w:t>审计工作还包括评价管理层选用会</w:t>
      </w:r>
      <w:r>
        <w:rPr>
          <w:spacing w:val="-73"/>
        </w:rPr>
        <w:t> </w:t>
      </w:r>
      <w:r>
        <w:rPr/>
        <w:t>计政策的恰当性和作出会计估计的合理性，以及评价财务报表的总体列报。</w:t>
      </w:r>
    </w:p>
    <w:p>
      <w:pPr>
        <w:pStyle w:val="BodyText"/>
        <w:spacing w:line="439" w:lineRule="auto" w:before="142"/>
        <w:ind w:left="632" w:right="3018" w:firstLine="16"/>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47"/>
        <w:ind w:right="192" w:firstLine="496"/>
        <w:jc w:val="left"/>
      </w:pPr>
      <w:r>
        <w:rPr>
          <w:spacing w:val="-1"/>
        </w:rPr>
        <w:t>我们认为，榕基软件公司财务报表在所有重大方面按照企业会计准则的规定编制，公允反映了榕基软件公司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年度的合并及公司经营成果和合并及公司现金流量。</w:t>
      </w:r>
    </w:p>
    <w:p>
      <w:pPr>
        <w:spacing w:line="240" w:lineRule="auto" w:before="5"/>
        <w:rPr>
          <w:rFonts w:ascii="宋体" w:hAnsi="宋体" w:cs="宋体" w:eastAsia="宋体" w:hint="default"/>
          <w:sz w:val="20"/>
          <w:szCs w:val="20"/>
        </w:rPr>
      </w:pPr>
    </w:p>
    <w:p>
      <w:pPr>
        <w:pStyle w:val="Heading2"/>
        <w:spacing w:line="240" w:lineRule="auto"/>
        <w:ind w:right="186"/>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6"/>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8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6"/>
        <w:jc w:val="left"/>
      </w:pPr>
      <w:r>
        <w:rPr/>
        <w:t>编制单位：福建榕基软件股份有限公司</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1620" w:right="1620"/>
        <w:jc w:val="center"/>
      </w:pP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pStyle w:val="BodyText"/>
        <w:spacing w:line="240" w:lineRule="auto" w:before="103"/>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388,260,449.96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399,619,093.57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17,701,639.15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24,950,351.00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74,951,370.16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58,639,308.73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22,973,183.09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21,182,965.58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791,610.79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1,426,747.66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24,054,020.81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21,659,015.29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236,519,029.20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195,336,490.51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447,426,948.71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635,785,878.48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1,212,678,251.87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1,358,599,850.82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72,289,929.28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60,037,076.57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44,479,098.04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40,790,619.27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229,609,442.05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45,764,772.89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18,115,866.04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403,838.90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87,747.42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12,622,601.71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6,736,763.16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70,671,720.10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50,696,784.00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473,476,630.08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222,229,629.35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1,686,154,881.95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1,580,829,480.17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17,951,000.00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90,965,022.34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69,903,913.87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93,869,216.52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101,736,545.88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14,657,122.74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11,709,638.10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6,852,210.91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7,871,064.66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90,222.23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6,028,332.51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5,000,537.99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3,071,042.10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292,462,127.25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217,243,742.60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37,310,277.77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12,609,833.33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37,310,277.77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12,609,833.33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329,772,405.02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229,853,575.93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622,200,000.00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363,642,750.88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674,742,750.88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-1,495,486.17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-489,454.69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53,377,956.18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47,237,304.14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318,114,413.56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317,559,442.71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1,355,839,634.45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1,350,150,043.04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542,842.48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825,861.20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1,356,382,476.93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1,350,975,904.24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1,686,154,881.95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1,580,829,480.17</w:t>
            </w:r>
          </w:p>
        </w:tc>
      </w:tr>
    </w:tbl>
    <w:p>
      <w:pPr>
        <w:spacing w:line="240" w:lineRule="auto" w:before="11"/>
        <w:rPr>
          <w:rFonts w:ascii="Times New Roman" w:hAnsi="Times New Roman" w:cs="Times New Roman" w:eastAsia="Times New Roman" w:hint="default"/>
          <w:sz w:val="22"/>
          <w:szCs w:val="22"/>
        </w:rPr>
      </w:pPr>
    </w:p>
    <w:p>
      <w:pPr>
        <w:pStyle w:val="BodyText"/>
        <w:tabs>
          <w:tab w:pos="3577" w:val="left" w:leader="none"/>
          <w:tab w:pos="7720" w:val="left" w:leader="none"/>
        </w:tabs>
        <w:spacing w:line="240" w:lineRule="auto" w:before="44"/>
        <w:ind w:right="147"/>
        <w:jc w:val="left"/>
      </w:pPr>
      <w:r>
        <w:rPr/>
        <w:t>法定代表人：鲁峰</w:t>
        <w:tab/>
      </w:r>
      <w:r>
        <w:rPr>
          <w:spacing w:val="-1"/>
        </w:rPr>
        <w:t>主管会计工作负责人：侯伟</w:t>
        <w:tab/>
      </w:r>
      <w:r>
        <w:rPr/>
        <w:t>会计机构负责人：镇千金</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rFonts w:ascii="Times New Roman" w:hAnsi="Times New Roman" w:cs="Times New Roman" w:eastAsia="Times New Roman" w:hint="default"/>
        </w:rPr>
        <w:t>2</w:t>
      </w:r>
      <w:bookmarkStart w:name="2、母公司资产负债表" w:id="146"/>
      <w:bookmarkEnd w:id="146"/>
      <w:r>
        <w:rPr>
          <w:rFonts w:ascii="Times New Roman" w:hAnsi="Times New Roman" w:cs="Times New Roman" w:eastAsia="Times New Roman" w:hint="default"/>
        </w:rPr>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181,606,839.34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261,986,578.66</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10,740,931.20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22,846,351.00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64,335,005.71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44,511,504.61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79,419,880.86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18,687,230.41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781,512.79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1,264,700.17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277,186,169.81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107,056,668.78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97,900,912.56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90,209,313.27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86,648,364.37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228,785,878.48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798,619,616.64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775,348,225.38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754,576,537.29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656,571,945.89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37,973,697.44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35,921,894.31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67,372,897.61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49,460,057.32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13,075,000.00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24,419,239.21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87,747.42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2,848,592.13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1,354,126.07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919,246,724.47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767,815,010.22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1,717,866,341.11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1,543,163,235.60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17,951,000.00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87,301,242.75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67,577,878.05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92,016,591.85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94,981,115.27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7,974,931.39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7,124,743.24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6,041,233.86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7,209,991.73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90,222.23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56,621,950.49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9,133,261.54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3,071,042.10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330,046,172.57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207,049,031.93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6,177,777.77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323,333.33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6,177,777.77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323,333.33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336,223,950.34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207,372,365.26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622,200,000.00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311,100,000.00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364,193,237.65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675,293,237.65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53,377,956.18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47,237,304.14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341,871,196.94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302,160,328.55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1,381,642,390.77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1,335,790,870.34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1,717,866,341.11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1,543,163,235.60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791"/>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合并利润表" w:id="147"/>
      <w:bookmarkEnd w:id="147"/>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598,305,165.28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603,142,394.74</w:t>
            </w:r>
            <w:r>
              <w:rPr>
                <w:rFonts w:ascii="Times New Roman"/>
                <w:sz w:val="18"/>
              </w:rPr>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598,305,165.28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603,142,394.74</w:t>
            </w:r>
            <w:r>
              <w:rPr>
                <w:rFonts w:ascii="Times New Roman"/>
                <w:sz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621,662,911.80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566,995,201.26</w:t>
            </w:r>
            <w:r>
              <w:rPr>
                <w:rFonts w:ascii="Times New Roman"/>
                <w:sz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424,922,378.38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411,048,276.03</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2,653,123.49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2,720,622.81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80002pt;margin-top:259.499969pt;width:158.8pt;height:20.65pt;mso-position-horizontal-relative:page;mso-position-vertical-relative:page;z-index:-982336" coordorigin="4222,5190" coordsize="3176,413">
            <v:group style="position:absolute;left:4232;top:5201;width:2;height:392" coordorigin="4232,5201" coordsize="2,392">
              <v:shape style="position:absolute;left:4232;top:5201;width:2;height:392" coordorigin="4232,5201" coordsize="0,392" path="m4232,5201l4232,5592e" filled="false" stroked="true" strokeweight="1.08pt" strokecolor="#ffffff">
                <v:path arrowok="t"/>
              </v:shape>
            </v:group>
            <v:group style="position:absolute;left:4243;top:5201;width:3154;height:392" coordorigin="4243,5201" coordsize="3154,392">
              <v:shape style="position:absolute;left:4243;top:5201;width:3154;height:392" coordorigin="4243,5201" coordsize="3154,392" path="m4243,5592l7397,5592,7397,5201,4243,5201,4243,5592xe" filled="true" fillcolor="#ffffff" stroked="false">
                <v:path arrowok="t"/>
                <v:fill type="solid"/>
              </v:shape>
            </v:group>
            <w10:wrap type="none"/>
          </v:group>
        </w:pict>
      </w:r>
      <w:r>
        <w:rPr/>
        <w:pict>
          <v:group style="position:absolute;margin-left:211.080002pt;margin-top:380.099976pt;width:158.8pt;height:20.65pt;mso-position-horizontal-relative:page;mso-position-vertical-relative:page;z-index:-982312" coordorigin="4222,7602" coordsize="3176,413">
            <v:group style="position:absolute;left:4232;top:7613;width:2;height:392" coordorigin="4232,7613" coordsize="2,392">
              <v:shape style="position:absolute;left:4232;top:7613;width:2;height:392" coordorigin="4232,7613" coordsize="0,392" path="m4232,7613l4232,8004e" filled="false" stroked="true" strokeweight="1.08pt" strokecolor="#ffffff">
                <v:path arrowok="t"/>
              </v:shape>
            </v:group>
            <v:group style="position:absolute;left:4243;top:7613;width:3154;height:392" coordorigin="4243,7613" coordsize="3154,392">
              <v:shape style="position:absolute;left:4243;top:7613;width:3154;height:392" coordorigin="4243,7613" coordsize="3154,392" path="m4243,8004l7397,8004,7397,7613,4243,7613,4243,80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0"/>
        <w:gridCol w:w="1116"/>
        <w:gridCol w:w="2106"/>
        <w:gridCol w:w="3276"/>
      </w:tblGrid>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47,129,006.27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42,438,766.40</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149,368,927.43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127,545,691.62</w:t>
            </w:r>
            <w:r>
              <w:rPr>
                <w:rFonts w:ascii="Times New Roman"/>
                <w:sz w:val="18"/>
              </w:rPr>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-6,442,453.27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-18,459,725.14</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4,031,929.50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1,701,569.54</w:t>
            </w:r>
            <w:r>
              <w:rPr>
                <w:rFonts w:ascii="Times New Roman"/>
                <w:sz w:val="18"/>
              </w:rPr>
            </w: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36,546,321.67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20,974,328.65</w:t>
            </w: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12,252,852.71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12,810,595.20</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14"/>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13,188,575.15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57,121,522.13</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10,942,446.95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14,534,647.21</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66,235.33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1,314,699.80</w:t>
            </w:r>
            <w:r>
              <w:rPr>
                <w:rFonts w:ascii="Times New Roman"/>
                <w:sz w:val="18"/>
              </w:rPr>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1,160,681.25</w:t>
            </w:r>
            <w:r>
              <w:rPr>
                <w:rFonts w:ascii="Times New Roman"/>
                <w:sz w:val="18"/>
              </w:rPr>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6"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24,064,786.77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70,341,469.54</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2,097,182.60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7,628,893.73</w:t>
            </w:r>
            <w:r>
              <w:rPr>
                <w:rFonts w:ascii="Times New Roman"/>
                <w:sz w:val="18"/>
              </w:rPr>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21,967,604.17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62,712,575.81</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22,250,622.89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62,838,706.64</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-283,018.72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-126,130.83</w:t>
            </w:r>
            <w:r>
              <w:rPr>
                <w:rFonts w:ascii="Times New Roman"/>
                <w:sz w:val="18"/>
              </w:rPr>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-1,006,031.48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-489,454.69</w:t>
            </w:r>
            <w:r>
              <w:rPr>
                <w:rFonts w:ascii="Times New Roman"/>
                <w:sz w:val="18"/>
              </w:rPr>
            </w: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-1,006,031.48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-489,454.69</w:t>
            </w:r>
            <w:r>
              <w:rPr>
                <w:rFonts w:ascii="Times New Roman"/>
                <w:sz w:val="18"/>
              </w:rPr>
            </w: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-1,006,031.48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-489,454.69</w:t>
            </w:r>
            <w:r>
              <w:rPr>
                <w:rFonts w:ascii="Times New Roman"/>
                <w:sz w:val="18"/>
              </w:rPr>
            </w:r>
          </w:p>
        </w:tc>
      </w:tr>
      <w:tr>
        <w:trPr>
          <w:trHeight w:val="1025"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2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-1,006,031.48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-489,454.69</w:t>
            </w:r>
            <w:r>
              <w:rPr>
                <w:rFonts w:ascii="Times New Roman"/>
                <w:sz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20,961,572.69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62,223,121.12</w:t>
            </w: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21,244,591.41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62,349,251.95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-283,018.72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-126,130.83</w:t>
            </w:r>
            <w:r>
              <w:rPr>
                <w:rFonts w:ascii="Times New Roman"/>
                <w:sz w:val="18"/>
              </w:rPr>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0.0358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0.2020</w:t>
            </w:r>
            <w:r>
              <w:rPr>
                <w:rFonts w:ascii="Times New Roman"/>
                <w:sz w:val="18"/>
              </w:rPr>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0.0358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0.2020</w:t>
            </w:r>
            <w:r>
              <w:rPr>
                <w:rFonts w:ascii="Times New Roman"/>
                <w:sz w:val="18"/>
              </w:rPr>
            </w:r>
          </w:p>
        </w:tc>
      </w:tr>
    </w:tbl>
    <w:p>
      <w:pPr>
        <w:pStyle w:val="BodyText"/>
        <w:tabs>
          <w:tab w:pos="3577" w:val="left" w:leader="none"/>
          <w:tab w:pos="7720" w:val="left" w:leader="none"/>
        </w:tabs>
        <w:spacing w:line="595" w:lineRule="auto" w:before="49"/>
        <w:ind w:right="24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 </w:t>
      </w:r>
      <w:r>
        <w:rPr/>
        <w:t>法定代表人：鲁峰</w:t>
        <w:tab/>
      </w:r>
      <w:r>
        <w:rPr>
          <w:spacing w:val="-1"/>
        </w:rPr>
        <w:t>主管会计工作负责人：侯伟</w:t>
        <w:tab/>
      </w:r>
      <w:r>
        <w:rPr/>
        <w:t>会计机构负责人：镇千金</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3"/>
        <w:jc w:val="right"/>
      </w:pPr>
      <w:bookmarkStart w:name="4、母公司利润表" w:id="148"/>
      <w:bookmarkEnd w:id="148"/>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442,284,498.38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472,408,429.89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283,282,671.28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300,700,663.98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2,430,738.90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2,547,803.76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25,848,663.76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24,690,324.00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81,248,668.10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67,367,613.62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-3,808,008.74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-10,989,056.81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2,680,352.69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419,365.38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6,571,531.11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2,503,439.53</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57,172,943.50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90,175,155.49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10,775,863.25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14,146,928.71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118,286.45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1,314,699.80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1,160,681.25</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67,830,520.30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103,007,384.40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6,423,999.87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11,820,128.84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61,406,520.43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91,187,255.56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61,406,520.43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91,187,255.56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5、合并现金流量表" w:id="149"/>
      <w:bookmarkEnd w:id="14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662,006,244.69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640,526,055.66</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6,283,848.87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6,181,470.16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35,271,155.32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38,759,176.26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703,561,248.88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685,466,702.08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518,987,970.92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450,389,077.36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71,439,431.95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62,817,544.29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25,556,808.55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18,581,620.97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130,733,177.63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96,537,903.39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746,717,389.05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628,326,146.01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-43,156,140.17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57,140,556.07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3,776,600,000.00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925,152,470.00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24,293,468.96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8,163,733.45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3,800,893,468.96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933,316,203.45</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230,907,998.92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52,790,922.07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3,631,400,000.00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1,292,417,600.00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3,862,307,998.92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1,345,208,522.07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-61,414,529.96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-411,892,318.62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15,555,000.00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15,555,000.00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64,445,000.00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-1,006,031.48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-531,931.84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-41,131,701.61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-384,893,694.39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342,664,951.87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727,558,646.26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301,533,250.26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342,664,951.87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791"/>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母公司现金流量表" w:id="150"/>
      <w:bookmarkEnd w:id="150"/>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487,901,906.13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499,355,979.20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6,283,848.87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5,948,749.01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143,559,965.38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41,700,634.77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637,745,720.38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547,005,362.98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396,910,421.98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292,345,931.76</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27,160,848.88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27,813,317.90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22,888,964.26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16,803,960.32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258,420,947.60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111,863,010.45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705,381,182.72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448,826,220.43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-67,635,462.34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98,179,142.55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1,327,600,000.00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595,152,500.00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6,571,531.11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2,503,439.53</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1,334,171,531.11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597,655,939.53</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44,876,074.69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44,566,726.05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1,327,404,591.40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916,175,600.00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1,372,280,666.09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960,742,326.05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-38,109,134.98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-363,086,386.52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15,555,000.00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15,555,000.00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64,445,000.00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-31,110,000.00</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-41,299,597.32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-296,017,243.97</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205,032,436.96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501,049,680.93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163,732,839.64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205,032,436.96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t>本期金额</w:t>
      </w:r>
    </w:p>
    <w:p>
      <w:pPr>
        <w:pStyle w:val="BodyText"/>
        <w:spacing w:line="240" w:lineRule="auto" w:before="115"/>
        <w:ind w:left="0" w:right="153"/>
        <w:jc w:val="right"/>
      </w:pPr>
      <w:bookmarkStart w:name="7、合并所有者权益变动表" w:id="151"/>
      <w:bookmarkEnd w:id="151"/>
      <w:r>
        <w:rPr/>
      </w: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27"/>
        <w:gridCol w:w="572"/>
        <w:gridCol w:w="533"/>
        <w:gridCol w:w="530"/>
        <w:gridCol w:w="530"/>
        <w:gridCol w:w="665"/>
        <w:gridCol w:w="665"/>
        <w:gridCol w:w="665"/>
        <w:gridCol w:w="665"/>
        <w:gridCol w:w="665"/>
        <w:gridCol w:w="665"/>
        <w:gridCol w:w="665"/>
        <w:gridCol w:w="665"/>
        <w:gridCol w:w="660"/>
      </w:tblGrid>
      <w:tr>
        <w:trPr>
          <w:trHeight w:val="403" w:hRule="exact"/>
        </w:trPr>
        <w:tc>
          <w:tcPr>
            <w:tcW w:w="1427" w:type="dxa"/>
            <w:vMerge w:val="restart"/>
            <w:tcBorders>
              <w:top w:val="single" w:sz="4" w:space="0" w:color="000000"/>
              <w:left w:val="single" w:sz="4" w:space="0" w:color="000000"/>
              <w:right w:val="single" w:sz="4" w:space="0" w:color="000000"/>
            </w:tcBorders>
            <w:shd w:val="clear" w:color="auto" w:fill="D4D4D4"/>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27" w:type="dxa"/>
            <w:vMerge/>
            <w:tcBorders>
              <w:left w:val="single" w:sz="4" w:space="0" w:color="000000"/>
              <w:right w:val="single" w:sz="4" w:space="0" w:color="000000"/>
            </w:tcBorders>
            <w:shd w:val="clear" w:color="auto" w:fill="D4D4D4"/>
          </w:tcPr>
          <w:p>
            <w:pPr/>
          </w:p>
        </w:tc>
        <w:tc>
          <w:tcPr>
            <w:tcW w:w="6820"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4D4D4"/>
          </w:tcPr>
          <w:p>
            <w:pPr/>
          </w:p>
        </w:tc>
        <w:tc>
          <w:tcPr>
            <w:tcW w:w="6820"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8" w:hRule="exact"/>
        </w:trPr>
        <w:tc>
          <w:tcPr>
            <w:tcW w:w="1427"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7"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674,742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-489,45</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47,237,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304.14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317,559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,442.71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825,861</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75,904.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r>
      <w:tr>
        <w:trPr>
          <w:trHeight w:val="394" w:hRule="exact"/>
        </w:trPr>
        <w:tc>
          <w:tcPr>
            <w:tcW w:w="14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674,742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-489,45</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4.69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47,237,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304.14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317,559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,442.71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825,861</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.20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75,904.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-311,10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-1,006,0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31.48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554,970</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-283,01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8.72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5,406,5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72.69</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-1,006,0</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31.48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22,250,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622.89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-283,01</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8.72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20,961,</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572.69</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-21,695,</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652.04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-15,555,</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-15,555,</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-15,555,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-311,10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-311,10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363,642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-1,495,4</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53,377,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956.18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318,114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,413.56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542,842</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.48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82,476.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bl>
    <w:p>
      <w:pPr>
        <w:pStyle w:val="BodyText"/>
        <w:spacing w:line="240" w:lineRule="auto" w:before="49"/>
        <w:ind w:right="791"/>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38"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8" w:hRule="exact"/>
        </w:trPr>
        <w:tc>
          <w:tcPr>
            <w:tcW w:w="1438"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207,40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778,442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38,118,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578.58</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294,949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,461.63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-548,00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7.97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1,318,3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62,783.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394"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207,40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778,442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38,118,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578.58</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294,949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,461.63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-548,00</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7.97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1,318,3</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62,783.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103,70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-489,45</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4.69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9,118,7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22,609,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981.08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1,373,8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32,613,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121.12</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-489,45</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4.69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62,838,</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706.64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-126,13</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0.83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62,223,</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121.12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center"/>
              <w:rPr>
                <w:rFonts w:ascii="Times New Roman" w:hAnsi="Times New Roman" w:cs="Times New Roman" w:eastAsia="Times New Roman" w:hint="default"/>
                <w:sz w:val="18"/>
                <w:szCs w:val="18"/>
              </w:rPr>
            </w:pPr>
            <w:r>
              <w:rPr>
                <w:rFonts w:ascii="Times New Roman"/>
                <w:sz w:val="18"/>
              </w:rPr>
              <w:t>9,118,7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25.56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-40,228,</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725.56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9,118,7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-9,118,7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25.56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103,70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103,70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-103,70</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6"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674,742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-489,45</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4.69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47,237,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304.14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317,559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,442.71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825,861</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1,350,9</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75,904.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8、母公司所有者权益变动表" w:id="152"/>
      <w:bookmarkEnd w:id="15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t>本期金额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8"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675,293,2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37.65</w:t>
            </w:r>
          </w:p>
        </w:tc>
        <w:tc>
          <w:tcPr>
            <w:tcW w:w="797" w:type="dxa"/>
            <w:vMerge w:val="restart"/>
            <w:tcBorders>
              <w:top w:val="single" w:sz="17" w:space="0" w:color="D4D4D4"/>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17" w:space="0" w:color="D4D4D4"/>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47,237,30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4.14</w:t>
            </w:r>
          </w:p>
        </w:tc>
        <w:tc>
          <w:tcPr>
            <w:tcW w:w="677" w:type="dxa"/>
            <w:vMerge w:val="restart"/>
            <w:tcBorders>
              <w:top w:val="single" w:sz="17" w:space="0" w:color="D4D4D4"/>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302,160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,328.55</w:t>
            </w:r>
          </w:p>
        </w:tc>
        <w:tc>
          <w:tcPr>
            <w:tcW w:w="780" w:type="dxa"/>
            <w:vMerge w:val="restart"/>
            <w:tcBorders>
              <w:top w:val="single" w:sz="17" w:space="0" w:color="D4D4D4"/>
              <w:left w:val="single" w:sz="4" w:space="0" w:color="000000"/>
              <w:right w:val="single" w:sz="4" w:space="0" w:color="000000"/>
            </w:tcBorders>
          </w:tcPr>
          <w:p>
            <w:pPr>
              <w:pStyle w:val="TableParagraph"/>
              <w:spacing w:line="240" w:lineRule="auto" w:before="76"/>
              <w:ind w:left="8" w:right="0"/>
              <w:jc w:val="center"/>
              <w:rPr>
                <w:rFonts w:ascii="Times New Roman" w:hAnsi="Times New Roman" w:cs="Times New Roman" w:eastAsia="Times New Roman" w:hint="default"/>
                <w:sz w:val="18"/>
                <w:szCs w:val="18"/>
              </w:rPr>
            </w:pPr>
            <w:r>
              <w:rPr>
                <w:rFonts w:ascii="Times New Roman"/>
                <w:sz w:val="18"/>
              </w:rPr>
              <w:t>1,335,790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,870.34</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675,293,2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37.65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47,237,30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302,160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,328.55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1,335,790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,870.34</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6,140,652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39,710,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45,851,52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0.43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520.43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61,406,52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0.43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6,140,652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-21,695,</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652.04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-15,555,0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6,140,652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-15,555,</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-15,555,0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53,377,95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341,871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,196.94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1,381,642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,390.77</w:t>
            </w:r>
          </w:p>
        </w:tc>
      </w:tr>
    </w:tbl>
    <w:p>
      <w:pPr>
        <w:pStyle w:val="BodyText"/>
        <w:spacing w:line="240" w:lineRule="auto" w:before="49"/>
        <w:ind w:right="791"/>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29"/>
        <w:gridCol w:w="702"/>
        <w:gridCol w:w="665"/>
        <w:gridCol w:w="667"/>
        <w:gridCol w:w="665"/>
        <w:gridCol w:w="797"/>
        <w:gridCol w:w="797"/>
        <w:gridCol w:w="797"/>
        <w:gridCol w:w="799"/>
        <w:gridCol w:w="797"/>
        <w:gridCol w:w="677"/>
        <w:gridCol w:w="780"/>
      </w:tblGrid>
      <w:tr>
        <w:trPr>
          <w:trHeight w:val="396"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9"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99" w:hRule="exact"/>
        </w:trPr>
        <w:tc>
          <w:tcPr>
            <w:tcW w:w="1429"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29"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207,400,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778,993,2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37.65</w:t>
            </w:r>
          </w:p>
        </w:tc>
        <w:tc>
          <w:tcPr>
            <w:tcW w:w="797" w:type="dxa"/>
            <w:vMerge w:val="restart"/>
            <w:tcBorders>
              <w:top w:val="single" w:sz="22" w:space="0" w:color="D4D4D4"/>
              <w:left w:val="single" w:sz="4" w:space="0" w:color="000000"/>
              <w:right w:val="single" w:sz="4" w:space="0" w:color="000000"/>
            </w:tcBorders>
          </w:tcPr>
          <w:p>
            <w:pPr/>
          </w:p>
        </w:tc>
        <w:tc>
          <w:tcPr>
            <w:tcW w:w="797" w:type="dxa"/>
            <w:vMerge w:val="restart"/>
            <w:tcBorders>
              <w:top w:val="single" w:sz="22"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38,118,57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8.58</w:t>
            </w:r>
          </w:p>
        </w:tc>
        <w:tc>
          <w:tcPr>
            <w:tcW w:w="677" w:type="dxa"/>
            <w:vMerge w:val="restart"/>
            <w:tcBorders>
              <w:top w:val="single" w:sz="22" w:space="0" w:color="D4D4D4"/>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251,201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,798.55</w:t>
            </w:r>
          </w:p>
        </w:tc>
        <w:tc>
          <w:tcPr>
            <w:tcW w:w="780" w:type="dxa"/>
            <w:vMerge w:val="restart"/>
            <w:tcBorders>
              <w:top w:val="single" w:sz="22" w:space="0" w:color="D4D4D4"/>
              <w:left w:val="single" w:sz="4" w:space="0" w:color="000000"/>
              <w:right w:val="single" w:sz="4" w:space="0" w:color="000000"/>
            </w:tcBorders>
          </w:tcPr>
          <w:p>
            <w:pPr>
              <w:pStyle w:val="TableParagraph"/>
              <w:spacing w:line="240" w:lineRule="auto" w:before="68"/>
              <w:ind w:left="8" w:right="0"/>
              <w:jc w:val="center"/>
              <w:rPr>
                <w:rFonts w:ascii="Times New Roman" w:hAnsi="Times New Roman" w:cs="Times New Roman" w:eastAsia="Times New Roman" w:hint="default"/>
                <w:sz w:val="18"/>
                <w:szCs w:val="18"/>
              </w:rPr>
            </w:pPr>
            <w:r>
              <w:rPr>
                <w:rFonts w:ascii="Times New Roman"/>
                <w:sz w:val="18"/>
              </w:rPr>
              <w:t>1,275,713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,614.78</w:t>
            </w:r>
          </w:p>
        </w:tc>
      </w:tr>
      <w:tr>
        <w:trPr>
          <w:trHeight w:val="394"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207,400,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778,993,2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37.65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38,118,57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251,201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,798.55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1,275,713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,614.78</w:t>
            </w:r>
          </w:p>
        </w:tc>
      </w:tr>
      <w:tr>
        <w:trPr>
          <w:trHeight w:val="394"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24"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9,118,725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50,958,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60,077,25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5.56</w:t>
            </w:r>
          </w:p>
        </w:tc>
      </w:tr>
      <w:tr>
        <w:trPr>
          <w:trHeight w:val="71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91,187,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255.56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91,187,25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5.56</w:t>
            </w: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9,118,725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-40,228,</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725.56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9,118,725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-9,118,7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25.56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675,293,2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47,237,30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302,160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1,335,790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,870.34</w:t>
            </w:r>
          </w:p>
        </w:tc>
      </w:tr>
    </w:tbl>
    <w:p>
      <w:pPr>
        <w:spacing w:line="240" w:lineRule="auto" w:before="1"/>
        <w:rPr>
          <w:rFonts w:ascii="宋体" w:hAnsi="宋体" w:cs="宋体" w:eastAsia="宋体" w:hint="default"/>
          <w:sz w:val="18"/>
          <w:szCs w:val="18"/>
        </w:rPr>
      </w:pPr>
    </w:p>
    <w:p>
      <w:pPr>
        <w:pStyle w:val="Heading2"/>
        <w:spacing w:line="240" w:lineRule="auto" w:before="26"/>
        <w:ind w:right="791"/>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1</w:t>
      </w:r>
      <w:r>
        <w:rPr/>
        <w:t>、历史沿革</w:t>
      </w:r>
    </w:p>
    <w:p>
      <w:pPr>
        <w:spacing w:line="240" w:lineRule="auto" w:before="4"/>
        <w:rPr>
          <w:rFonts w:ascii="宋体" w:hAnsi="宋体" w:cs="宋体" w:eastAsia="宋体" w:hint="default"/>
          <w:sz w:val="21"/>
          <w:szCs w:val="21"/>
        </w:rPr>
      </w:pPr>
    </w:p>
    <w:p>
      <w:pPr>
        <w:pStyle w:val="BodyText"/>
        <w:spacing w:line="300" w:lineRule="auto"/>
        <w:ind w:right="150" w:firstLine="359"/>
        <w:jc w:val="both"/>
      </w:pPr>
      <w:r>
        <w:rPr>
          <w:spacing w:val="-1"/>
        </w:rPr>
        <w:t>福建榕基软件股份有限公司（原名</w:t>
      </w:r>
      <w:r>
        <w:rPr>
          <w:rFonts w:ascii="Times New Roman" w:hAnsi="Times New Roman" w:cs="Times New Roman" w:eastAsia="Times New Roman" w:hint="default"/>
          <w:spacing w:val="-1"/>
        </w:rPr>
        <w:t>“</w:t>
      </w:r>
      <w:r>
        <w:rPr>
          <w:spacing w:val="-1"/>
        </w:rPr>
        <w:t>福建榕基软件开发有限公司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w:t>
      </w:r>
      <w:bookmarkStart w:name="三、公司基本情况" w:id="153"/>
      <w:bookmarkEnd w:id="153"/>
      <w:r>
        <w:rPr>
          <w:spacing w:val="-1"/>
        </w:rPr>
        <w:t>原由刘启鄂</w:t>
      </w:r>
      <w:r>
        <w:rPr>
          <w:spacing w:val="-1"/>
        </w:rPr>
        <w:t>、侯伟及宁金成等三</w:t>
      </w:r>
      <w:r>
        <w:rPr/>
        <w:t> </w:t>
      </w:r>
      <w:r>
        <w:rPr>
          <w:spacing w:val="-2"/>
        </w:rPr>
        <w:t>个自然人股东共同投资设立，于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日取得《企业法人营业执照》，</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日采取发起方式整体变更为福建</w:t>
      </w:r>
      <w:r>
        <w:rPr>
          <w:spacing w:val="-54"/>
        </w:rPr>
        <w:t> </w:t>
      </w:r>
      <w:r>
        <w:rPr/>
        <w:t>榕基软件股份有限公司，取得福建省工商行政管理局核发的</w:t>
      </w:r>
      <w:r>
        <w:rPr>
          <w:rFonts w:ascii="Times New Roman" w:hAnsi="Times New Roman" w:cs="Times New Roman" w:eastAsia="Times New Roman" w:hint="default"/>
        </w:rPr>
        <w:t>350000100001214</w:t>
      </w:r>
      <w:r>
        <w:rPr/>
        <w:t>号《企业法人营业执照》，注册资本变更为人</w:t>
      </w:r>
      <w:r>
        <w:rPr>
          <w:spacing w:val="-87"/>
        </w:rPr>
        <w:t> </w:t>
      </w:r>
      <w:r>
        <w:rPr>
          <w:spacing w:val="-87"/>
        </w:rPr>
      </w:r>
      <w:r>
        <w:rPr/>
        <w:t>民币</w:t>
      </w:r>
      <w:r>
        <w:rPr>
          <w:rFonts w:ascii="Times New Roman" w:hAnsi="Times New Roman" w:cs="Times New Roman" w:eastAsia="Times New Roman" w:hint="default"/>
        </w:rPr>
        <w:t>7,770</w:t>
      </w:r>
      <w:r>
        <w:rPr/>
        <w:t>万元，股本总额为</w:t>
      </w:r>
      <w:r>
        <w:rPr>
          <w:rFonts w:ascii="Times New Roman" w:hAnsi="Times New Roman" w:cs="Times New Roman" w:eastAsia="Times New Roman" w:hint="default"/>
        </w:rPr>
        <w:t>77,700,000</w:t>
      </w:r>
      <w:r>
        <w:rPr/>
        <w:t>股，每股面值</w:t>
      </w:r>
      <w:r>
        <w:rPr>
          <w:rFonts w:ascii="Times New Roman" w:hAnsi="Times New Roman" w:cs="Times New Roman" w:eastAsia="Times New Roman" w:hint="default"/>
        </w:rPr>
        <w:t>1</w:t>
      </w:r>
      <w:r>
        <w:rPr/>
        <w:t>元。</w:t>
      </w:r>
    </w:p>
    <w:p>
      <w:pPr>
        <w:spacing w:line="240" w:lineRule="auto" w:before="6"/>
        <w:rPr>
          <w:rFonts w:ascii="宋体" w:hAnsi="宋体" w:cs="宋体" w:eastAsia="宋体" w:hint="default"/>
          <w:sz w:val="17"/>
          <w:szCs w:val="17"/>
        </w:rPr>
      </w:pPr>
    </w:p>
    <w:p>
      <w:pPr>
        <w:pStyle w:val="BodyText"/>
        <w:spacing w:line="300" w:lineRule="auto"/>
        <w:ind w:right="146"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[2010]1099</w:t>
      </w:r>
      <w:r>
        <w:rPr/>
        <w:t>号</w:t>
      </w:r>
      <w:r>
        <w:rPr>
          <w:rFonts w:ascii="Times New Roman" w:hAnsi="Times New Roman" w:cs="Times New Roman" w:eastAsia="Times New Roman" w:hint="default"/>
        </w:rPr>
        <w:t>”</w:t>
      </w:r>
      <w:r>
        <w:rPr/>
        <w:t>文《关于核准福建榕基软件股份有限公司首次公</w:t>
      </w:r>
      <w:r>
        <w:rPr>
          <w:spacing w:val="2"/>
        </w:rPr>
        <w:t> </w:t>
      </w:r>
      <w:r>
        <w:rPr/>
        <w:t>开发行股票的批复》核准，本公司于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2,600</w:t>
      </w:r>
      <w:r>
        <w:rPr/>
        <w:t>万股，每股面值</w:t>
      </w:r>
      <w:r>
        <w:rPr>
          <w:rFonts w:ascii="Times New Roman" w:hAnsi="Times New Roman" w:cs="Times New Roman" w:eastAsia="Times New Roman" w:hint="default"/>
        </w:rPr>
        <w:t>1</w:t>
      </w:r>
      <w:r>
        <w:rPr/>
        <w:t>元，每</w:t>
      </w:r>
      <w:r>
        <w:rPr>
          <w:spacing w:val="-84"/>
        </w:rPr>
        <w:t> </w:t>
      </w:r>
      <w:r>
        <w:rPr>
          <w:spacing w:val="-1"/>
        </w:rPr>
        <w:t>股发行价格</w:t>
      </w:r>
      <w:r>
        <w:rPr>
          <w:rFonts w:ascii="Times New Roman" w:hAnsi="Times New Roman" w:cs="Times New Roman" w:eastAsia="Times New Roman" w:hint="default"/>
          <w:spacing w:val="-1"/>
        </w:rPr>
        <w:t>37.00</w:t>
      </w:r>
      <w:r>
        <w:rPr>
          <w:spacing w:val="-1"/>
        </w:rPr>
        <w:t>元。</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日，本公司向社会公开发行的</w:t>
      </w:r>
      <w:r>
        <w:rPr>
          <w:rFonts w:ascii="Times New Roman" w:hAnsi="Times New Roman" w:cs="Times New Roman" w:eastAsia="Times New Roman" w:hint="default"/>
          <w:spacing w:val="-1"/>
        </w:rPr>
        <w:t>2,600</w:t>
      </w:r>
      <w:r>
        <w:rPr>
          <w:spacing w:val="-1"/>
        </w:rPr>
        <w:t>万股人民币普通股（</w:t>
      </w:r>
      <w:r>
        <w:rPr>
          <w:rFonts w:ascii="Times New Roman" w:hAnsi="Times New Roman" w:cs="Times New Roman" w:eastAsia="Times New Roman" w:hint="default"/>
          <w:spacing w:val="-1"/>
        </w:rPr>
        <w:t>A</w:t>
      </w:r>
      <w:r>
        <w:rPr>
          <w:spacing w:val="-1"/>
        </w:rPr>
        <w:t>股）在深圳证券交易所挂牌上市</w:t>
      </w:r>
    </w:p>
    <w:p>
      <w:pPr>
        <w:pStyle w:val="BodyText"/>
        <w:spacing w:line="240" w:lineRule="auto" w:before="13"/>
        <w:ind w:right="791"/>
        <w:jc w:val="left"/>
      </w:pPr>
      <w:r>
        <w:rPr/>
        <w:t>（股票简称：榕基软件，股票代码</w:t>
      </w:r>
      <w:r>
        <w:rPr>
          <w:rFonts w:ascii="Times New Roman" w:hAnsi="Times New Roman" w:cs="Times New Roman" w:eastAsia="Times New Roman" w:hint="default"/>
        </w:rPr>
        <w:t>002474</w:t>
      </w:r>
      <w:r>
        <w:rPr/>
        <w:t>），发行后注册资本变更为人民币</w:t>
      </w:r>
      <w:r>
        <w:rPr>
          <w:rFonts w:ascii="Times New Roman" w:hAnsi="Times New Roman" w:cs="Times New Roman" w:eastAsia="Times New Roman" w:hint="default"/>
        </w:rPr>
        <w:t>10,370</w:t>
      </w:r>
      <w:r>
        <w:rPr/>
        <w:t>万元。</w:t>
      </w:r>
    </w:p>
    <w:p>
      <w:pPr>
        <w:spacing w:line="240" w:lineRule="auto" w:before="4"/>
        <w:rPr>
          <w:rFonts w:ascii="宋体" w:hAnsi="宋体" w:cs="宋体" w:eastAsia="宋体" w:hint="default"/>
          <w:sz w:val="21"/>
          <w:szCs w:val="21"/>
        </w:rPr>
      </w:pPr>
    </w:p>
    <w:p>
      <w:pPr>
        <w:pStyle w:val="BodyText"/>
        <w:spacing w:line="240" w:lineRule="auto"/>
        <w:ind w:left="512" w:right="147"/>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日，本公司办理完成相关工商登记变更手续，注册资本和实收资本均由</w:t>
      </w:r>
      <w:r>
        <w:rPr>
          <w:rFonts w:ascii="Times New Roman" w:hAnsi="Times New Roman" w:cs="Times New Roman" w:eastAsia="Times New Roman" w:hint="default"/>
        </w:rPr>
        <w:t>7,770</w:t>
      </w:r>
      <w:r>
        <w:rPr/>
        <w:t>万元变更为</w:t>
      </w:r>
      <w:r>
        <w:rPr>
          <w:rFonts w:ascii="Times New Roman" w:hAnsi="Times New Roman" w:cs="Times New Roman" w:eastAsia="Times New Roman" w:hint="default"/>
        </w:rPr>
        <w:t>10,370</w:t>
      </w:r>
      <w:r>
        <w:rPr/>
        <w:t>万元。</w:t>
      </w:r>
    </w:p>
    <w:p>
      <w:pPr>
        <w:spacing w:line="240" w:lineRule="auto" w:before="4"/>
        <w:rPr>
          <w:rFonts w:ascii="宋体" w:hAnsi="宋体" w:cs="宋体" w:eastAsia="宋体" w:hint="default"/>
          <w:sz w:val="21"/>
          <w:szCs w:val="21"/>
        </w:rPr>
      </w:pPr>
    </w:p>
    <w:p>
      <w:pPr>
        <w:pStyle w:val="BodyText"/>
        <w:spacing w:line="300" w:lineRule="auto"/>
        <w:ind w:left="153" w:right="147" w:firstLine="35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日，本公司将资本公积</w:t>
      </w:r>
      <w:r>
        <w:rPr>
          <w:rFonts w:ascii="Times New Roman" w:hAnsi="Times New Roman" w:cs="Times New Roman" w:eastAsia="Times New Roman" w:hint="default"/>
        </w:rPr>
        <w:t>10,370</w:t>
      </w:r>
      <w:r>
        <w:rPr/>
        <w:t>万元转增资本，转增后注册资本变更为人民币</w:t>
      </w:r>
      <w:r>
        <w:rPr>
          <w:rFonts w:ascii="Times New Roman" w:hAnsi="Times New Roman" w:cs="Times New Roman" w:eastAsia="Times New Roman" w:hint="default"/>
        </w:rPr>
        <w:t>20,740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 本公司办理完成相关工商登记变更手续，注册资本和实收资本均由</w:t>
      </w:r>
      <w:r>
        <w:rPr>
          <w:rFonts w:ascii="Times New Roman" w:hAnsi="Times New Roman" w:cs="Times New Roman" w:eastAsia="Times New Roman" w:hint="default"/>
        </w:rPr>
        <w:t>10,370</w:t>
      </w:r>
      <w:r>
        <w:rPr/>
        <w:t>万元变更为</w:t>
      </w:r>
      <w:r>
        <w:rPr>
          <w:rFonts w:ascii="Times New Roman" w:hAnsi="Times New Roman" w:cs="Times New Roman" w:eastAsia="Times New Roman" w:hint="default"/>
        </w:rPr>
        <w:t>20,740</w:t>
      </w:r>
      <w:r>
        <w:rPr/>
        <w:t>万元。</w:t>
      </w:r>
    </w:p>
    <w:p>
      <w:pPr>
        <w:spacing w:line="240" w:lineRule="auto" w:before="6"/>
        <w:rPr>
          <w:rFonts w:ascii="宋体" w:hAnsi="宋体" w:cs="宋体" w:eastAsia="宋体" w:hint="default"/>
          <w:sz w:val="17"/>
          <w:szCs w:val="17"/>
        </w:rPr>
      </w:pPr>
    </w:p>
    <w:p>
      <w:pPr>
        <w:pStyle w:val="BodyText"/>
        <w:spacing w:line="300" w:lineRule="auto"/>
        <w:ind w:left="153" w:right="150" w:firstLine="359"/>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日，本公司将资本公积</w:t>
      </w:r>
      <w:r>
        <w:rPr>
          <w:rFonts w:ascii="Times New Roman" w:hAnsi="Times New Roman" w:cs="Times New Roman" w:eastAsia="Times New Roman" w:hint="default"/>
          <w:spacing w:val="-2"/>
        </w:rPr>
        <w:t>10,370</w:t>
      </w:r>
      <w:r>
        <w:rPr>
          <w:spacing w:val="-2"/>
        </w:rPr>
        <w:t>万元转增资本，转增后注册资本变更为</w:t>
      </w:r>
      <w:r>
        <w:rPr>
          <w:rFonts w:ascii="Times New Roman" w:hAnsi="Times New Roman" w:cs="Times New Roman" w:eastAsia="Times New Roman" w:hint="default"/>
          <w:spacing w:val="-2"/>
        </w:rPr>
        <w:t>31,110</w:t>
      </w:r>
      <w:r>
        <w:rPr>
          <w:spacing w:val="-2"/>
        </w:rPr>
        <w:t>万元。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日，本公司办</w:t>
      </w:r>
      <w:r>
        <w:rPr/>
        <w:t> 理完成相关工商登记变更手续，注册资本和实收资本均由</w:t>
      </w:r>
      <w:r>
        <w:rPr>
          <w:rFonts w:ascii="Times New Roman" w:hAnsi="Times New Roman" w:cs="Times New Roman" w:eastAsia="Times New Roman" w:hint="default"/>
        </w:rPr>
        <w:t>20,740</w:t>
      </w:r>
      <w:r>
        <w:rPr/>
        <w:t>万元变更为</w:t>
      </w:r>
      <w:r>
        <w:rPr>
          <w:rFonts w:ascii="Times New Roman" w:hAnsi="Times New Roman" w:cs="Times New Roman" w:eastAsia="Times New Roman" w:hint="default"/>
        </w:rPr>
        <w:t>31,110</w:t>
      </w:r>
      <w:r>
        <w:rPr/>
        <w:t>万元。</w:t>
      </w:r>
    </w:p>
    <w:p>
      <w:pPr>
        <w:spacing w:after="0" w:line="30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88" w:firstLine="359"/>
        <w:jc w:val="both"/>
      </w:pPr>
      <w:bookmarkStart w:name="2、持续经营" w:id="154"/>
      <w:bookmarkEnd w:id="154"/>
      <w:r>
        <w:rPr/>
      </w:r>
      <w:bookmarkStart w:name="五、重要会计政策及会计估计" w:id="155"/>
      <w:bookmarkEnd w:id="155"/>
      <w:r>
        <w:rPr/>
      </w:r>
      <w:bookmarkStart w:name="1、遵循企业会计准则的声明" w:id="156"/>
      <w:bookmarkEnd w:id="156"/>
      <w:r>
        <w:rPr/>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日，本公司将资本公积</w:t>
      </w:r>
      <w:r>
        <w:rPr>
          <w:rFonts w:ascii="Times New Roman" w:hAnsi="Times New Roman" w:cs="Times New Roman" w:eastAsia="Times New Roman" w:hint="default"/>
          <w:spacing w:val="-2"/>
        </w:rPr>
        <w:t>31,110</w:t>
      </w:r>
      <w:r>
        <w:rPr>
          <w:spacing w:val="-2"/>
        </w:rPr>
        <w:t>万元转增资本，转增后注册资本变更为</w:t>
      </w:r>
      <w:r>
        <w:rPr>
          <w:rFonts w:ascii="Times New Roman" w:hAnsi="Times New Roman" w:cs="Times New Roman" w:eastAsia="Times New Roman" w:hint="default"/>
          <w:spacing w:val="-2"/>
        </w:rPr>
        <w:t>62,220</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日，本公司办</w:t>
      </w:r>
      <w:r>
        <w:rPr/>
        <w:t> 理完成相关工商登记变更手续，注册资本和实收资本均由</w:t>
      </w:r>
      <w:r>
        <w:rPr>
          <w:rFonts w:ascii="Times New Roman" w:hAnsi="Times New Roman" w:cs="Times New Roman" w:eastAsia="Times New Roman" w:hint="default"/>
        </w:rPr>
        <w:t>31,110</w:t>
      </w:r>
      <w:r>
        <w:rPr/>
        <w:t>万元变更为</w:t>
      </w:r>
      <w:r>
        <w:rPr>
          <w:rFonts w:ascii="Times New Roman" w:hAnsi="Times New Roman" w:cs="Times New Roman" w:eastAsia="Times New Roman" w:hint="default"/>
        </w:rPr>
        <w:t>62,220</w:t>
      </w:r>
      <w:r>
        <w:rPr/>
        <w:t>万元。</w:t>
      </w:r>
    </w:p>
    <w:p>
      <w:pPr>
        <w:spacing w:line="240" w:lineRule="auto" w:before="6"/>
        <w:rPr>
          <w:rFonts w:ascii="宋体" w:hAnsi="宋体" w:cs="宋体" w:eastAsia="宋体" w:hint="default"/>
          <w:sz w:val="17"/>
          <w:szCs w:val="17"/>
        </w:rPr>
      </w:pPr>
    </w:p>
    <w:p>
      <w:pPr>
        <w:pStyle w:val="BodyText"/>
        <w:spacing w:line="240" w:lineRule="auto"/>
        <w:ind w:left="512" w:right="186"/>
        <w:jc w:val="left"/>
      </w:pPr>
      <w:r>
        <w:rPr/>
        <w:t>本公司法定代表人为鲁峰，本公司住址为福州市鼓楼区铜盘路福州软件园产业基地。</w:t>
      </w:r>
    </w:p>
    <w:p>
      <w:pPr>
        <w:pStyle w:val="BodyText"/>
        <w:spacing w:line="510" w:lineRule="atLeast" w:before="31"/>
        <w:ind w:left="512" w:right="186" w:hanging="360"/>
        <w:jc w:val="left"/>
      </w:pPr>
      <w:r>
        <w:rPr>
          <w:rFonts w:ascii="Times New Roman" w:hAnsi="Times New Roman" w:cs="Times New Roman" w:eastAsia="Times New Roman" w:hint="default"/>
        </w:rPr>
        <w:t>2</w:t>
      </w:r>
      <w:r>
        <w:rPr/>
        <w:t>、行业性质、经营范围和主要产品 </w:t>
      </w:r>
      <w:r>
        <w:rPr>
          <w:spacing w:val="-2"/>
        </w:rPr>
        <w:t>本公司属信息技术行业，经营范围主要包括：计算机及网络软件开发服务、计算机硬件技术服务、电子计算机及配件的</w:t>
      </w:r>
    </w:p>
    <w:p>
      <w:pPr>
        <w:pStyle w:val="BodyText"/>
        <w:spacing w:line="240" w:lineRule="auto" w:before="76"/>
        <w:ind w:right="186"/>
        <w:jc w:val="left"/>
      </w:pPr>
      <w:r>
        <w:rPr/>
        <w:t>批发零售等。</w:t>
      </w:r>
    </w:p>
    <w:p>
      <w:pPr>
        <w:spacing w:line="240" w:lineRule="auto" w:before="5"/>
        <w:rPr>
          <w:rFonts w:ascii="宋体" w:hAnsi="宋体" w:cs="宋体" w:eastAsia="宋体" w:hint="default"/>
          <w:sz w:val="22"/>
          <w:szCs w:val="22"/>
        </w:rPr>
      </w:pPr>
    </w:p>
    <w:p>
      <w:pPr>
        <w:pStyle w:val="BodyText"/>
        <w:spacing w:line="300" w:lineRule="auto"/>
        <w:ind w:right="190" w:firstLine="360"/>
        <w:jc w:val="both"/>
      </w:pPr>
      <w:r>
        <w:rPr>
          <w:spacing w:val="-2"/>
        </w:rPr>
        <w:t>本公司专注于电子政务、质检行业</w:t>
      </w:r>
      <w:r>
        <w:rPr>
          <w:rFonts w:ascii="Times New Roman" w:hAnsi="Times New Roman" w:cs="Times New Roman" w:eastAsia="Times New Roman" w:hint="default"/>
          <w:spacing w:val="-2"/>
        </w:rPr>
        <w:t>“</w:t>
      </w:r>
      <w:r>
        <w:rPr>
          <w:spacing w:val="-2"/>
        </w:rPr>
        <w:t>三电工程</w:t>
      </w:r>
      <w:r>
        <w:rPr>
          <w:rFonts w:ascii="Times New Roman" w:hAnsi="Times New Roman" w:cs="Times New Roman" w:eastAsia="Times New Roman" w:hint="default"/>
          <w:spacing w:val="-2"/>
        </w:rPr>
        <w:t>”</w:t>
      </w:r>
      <w:r>
        <w:rPr>
          <w:spacing w:val="-2"/>
        </w:rPr>
        <w:t>、信息安全、协同管理等软件产品的开发与销售、计算机系统集成及技术</w:t>
      </w:r>
      <w:r>
        <w:rPr/>
        <w:t> 支持与服务。本公司主要产品有</w:t>
      </w:r>
      <w:r>
        <w:rPr>
          <w:rFonts w:ascii="Times New Roman" w:hAnsi="Times New Roman" w:cs="Times New Roman" w:eastAsia="Times New Roman" w:hint="default"/>
        </w:rPr>
        <w:t>RJ-eGov</w:t>
      </w:r>
      <w:r>
        <w:rPr/>
        <w:t>政务信息化解决方案、</w:t>
      </w:r>
      <w:r>
        <w:rPr>
          <w:rFonts w:ascii="Times New Roman" w:hAnsi="Times New Roman" w:cs="Times New Roman" w:eastAsia="Times New Roman" w:hint="default"/>
        </w:rPr>
        <w:t>RJ-eFlow</w:t>
      </w:r>
      <w:r>
        <w:rPr/>
        <w:t>办公自动化系统、</w:t>
      </w:r>
      <w:r>
        <w:rPr>
          <w:rFonts w:ascii="Times New Roman" w:hAnsi="Times New Roman" w:cs="Times New Roman" w:eastAsia="Times New Roman" w:hint="default"/>
        </w:rPr>
        <w:t>RJ-easy</w:t>
      </w:r>
      <w:r>
        <w:rPr/>
        <w:t>电子单证系统、</w:t>
      </w:r>
      <w:r>
        <w:rPr>
          <w:rFonts w:ascii="Times New Roman" w:hAnsi="Times New Roman" w:cs="Times New Roman" w:eastAsia="Times New Roman" w:hint="default"/>
        </w:rPr>
        <w:t>RJ-CMS</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1"/>
        </w:rPr>
        <w:t>内容管理系统、</w:t>
      </w:r>
      <w:r>
        <w:rPr>
          <w:rFonts w:ascii="Times New Roman" w:hAnsi="Times New Roman" w:cs="Times New Roman" w:eastAsia="Times New Roman" w:hint="default"/>
          <w:spacing w:val="-1"/>
        </w:rPr>
        <w:t>RJ-iTop</w:t>
      </w:r>
      <w:r>
        <w:rPr>
          <w:spacing w:val="-1"/>
        </w:rPr>
        <w:t>网络隐患扫描系统、</w:t>
      </w:r>
      <w:r>
        <w:rPr>
          <w:rFonts w:ascii="Times New Roman" w:hAnsi="Times New Roman" w:cs="Times New Roman" w:eastAsia="Times New Roman" w:hint="default"/>
          <w:spacing w:val="-1"/>
        </w:rPr>
        <w:t>RJ-ITASK</w:t>
      </w:r>
      <w:r>
        <w:rPr>
          <w:spacing w:val="-1"/>
        </w:rPr>
        <w:t>任务管理平台等一批优秀软件和经典解决方案。本公司主要客户群包</w:t>
      </w:r>
      <w:r>
        <w:rPr>
          <w:spacing w:val="-49"/>
        </w:rPr>
        <w:t> </w:t>
      </w:r>
      <w:r>
        <w:rPr>
          <w:spacing w:val="-49"/>
        </w:rPr>
      </w:r>
      <w:r>
        <w:rPr/>
        <w:t>括政府、质检、军队、能源、电信等行业用户。</w:t>
      </w:r>
    </w:p>
    <w:p>
      <w:pPr>
        <w:spacing w:line="240" w:lineRule="auto" w:before="12"/>
        <w:rPr>
          <w:rFonts w:ascii="宋体" w:hAnsi="宋体" w:cs="宋体" w:eastAsia="宋体" w:hint="default"/>
          <w:sz w:val="18"/>
          <w:szCs w:val="18"/>
        </w:rPr>
      </w:pPr>
    </w:p>
    <w:p>
      <w:pPr>
        <w:pStyle w:val="BodyText"/>
        <w:spacing w:line="300" w:lineRule="auto"/>
        <w:ind w:right="184"/>
        <w:jc w:val="left"/>
      </w:pPr>
      <w:r>
        <w:rPr/>
        <w:t>本公司</w:t>
      </w:r>
      <w:r>
        <w:rPr>
          <w:rFonts w:ascii="Times New Roman" w:hAnsi="Times New Roman" w:cs="Times New Roman" w:eastAsia="Times New Roman" w:hint="default"/>
        </w:rPr>
        <w:t>2014</w:t>
      </w:r>
      <w:r>
        <w:rPr/>
        <w:t>年度纳入合并范围的的子公司</w:t>
      </w:r>
      <w:r>
        <w:rPr>
          <w:rFonts w:ascii="Times New Roman" w:hAnsi="Times New Roman" w:cs="Times New Roman" w:eastAsia="Times New Roman" w:hint="default"/>
        </w:rPr>
        <w:t>12</w:t>
      </w:r>
      <w:r>
        <w:rPr/>
        <w:t>家，孙公司</w:t>
      </w:r>
      <w:r>
        <w:rPr>
          <w:rFonts w:ascii="Times New Roman" w:hAnsi="Times New Roman" w:cs="Times New Roman" w:eastAsia="Times New Roman" w:hint="default"/>
        </w:rPr>
        <w:t>3</w:t>
      </w:r>
      <w:r>
        <w:rPr/>
        <w:t>家，各家孙、子公司情况详见附注七、在其他主体中的权益披露。</w:t>
      </w:r>
      <w:r>
        <w:rPr>
          <w:spacing w:val="-86"/>
        </w:rPr>
        <w:t> </w:t>
      </w:r>
      <w:r>
        <w:rPr>
          <w:spacing w:val="-86"/>
        </w:rPr>
      </w:r>
      <w:r>
        <w:rPr/>
        <w:t>本公司本年度合并范围比上年度增加</w:t>
      </w:r>
      <w:r>
        <w:rPr>
          <w:rFonts w:ascii="Times New Roman" w:hAnsi="Times New Roman" w:cs="Times New Roman" w:eastAsia="Times New Roman" w:hint="default"/>
        </w:rPr>
        <w:t>2</w:t>
      </w:r>
      <w:r>
        <w:rPr/>
        <w:t>家，新纳入合并范围的孙公司情况详见附注六、合并范围的变动。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186"/>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6"/>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3" w:firstLine="360"/>
        <w:jc w:val="both"/>
      </w:pPr>
      <w:r>
        <w:rPr/>
        <w:t>本财务报表按照财政部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w:t>
      </w:r>
      <w:bookmarkStart w:name="四、财务报表的编制基础" w:id="157"/>
      <w:bookmarkEnd w:id="157"/>
      <w:r>
        <w:rPr/>
        <w:t>本准则》和</w:t>
      </w:r>
      <w:r>
        <w:rPr>
          <w:rFonts w:ascii="Times New Roman" w:hAnsi="Times New Roman" w:cs="Times New Roman" w:eastAsia="Times New Roman" w:hint="default"/>
        </w:rPr>
        <w:t>38</w:t>
      </w:r>
      <w:bookmarkStart w:name="1、编制基础" w:id="158"/>
      <w:bookmarkEnd w:id="158"/>
      <w:r>
        <w:rPr>
          <w:rFonts w:ascii="Times New Roman" w:hAnsi="Times New Roman" w:cs="Times New Roman" w:eastAsia="Times New Roman" w:hint="default"/>
        </w:rPr>
      </w:r>
      <w:r>
        <w:rPr/>
        <w:t>项具体会计准则及其应用指南、解释及其他 </w:t>
      </w:r>
      <w:r>
        <w:rPr>
          <w:spacing w:val="-2"/>
        </w:rPr>
        <w:t>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）编制。此外，本公司还按照中国证监会《公开发行证券的公司信息披露编报规则第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财务报告的一般规定》（</w:t>
      </w:r>
      <w:r>
        <w:rPr>
          <w:rFonts w:ascii="Times New Roman" w:hAnsi="Times New Roman" w:cs="Times New Roman" w:eastAsia="Times New Roman" w:hint="default"/>
        </w:rPr>
        <w:t>2010</w:t>
      </w:r>
      <w:r>
        <w:rPr/>
        <w:t>年修订）披露有关财务信息。</w:t>
      </w:r>
    </w:p>
    <w:p>
      <w:pPr>
        <w:spacing w:line="240" w:lineRule="auto" w:before="6"/>
        <w:rPr>
          <w:rFonts w:ascii="宋体" w:hAnsi="宋体" w:cs="宋体" w:eastAsia="宋体" w:hint="default"/>
          <w:sz w:val="17"/>
          <w:szCs w:val="17"/>
        </w:rPr>
      </w:pPr>
    </w:p>
    <w:p>
      <w:pPr>
        <w:pStyle w:val="BodyText"/>
        <w:spacing w:line="240" w:lineRule="auto"/>
        <w:ind w:left="512" w:right="186"/>
        <w:jc w:val="left"/>
      </w:pPr>
      <w:r>
        <w:rPr/>
        <w:t>本财务报表以持续经营为基础列报。</w:t>
      </w:r>
    </w:p>
    <w:p>
      <w:pPr>
        <w:spacing w:line="240" w:lineRule="auto" w:before="5"/>
        <w:rPr>
          <w:rFonts w:ascii="宋体" w:hAnsi="宋体" w:cs="宋体" w:eastAsia="宋体" w:hint="default"/>
          <w:sz w:val="22"/>
          <w:szCs w:val="22"/>
        </w:rPr>
      </w:pPr>
    </w:p>
    <w:p>
      <w:pPr>
        <w:pStyle w:val="BodyText"/>
        <w:spacing w:line="316" w:lineRule="auto"/>
        <w:ind w:right="186"/>
        <w:jc w:val="left"/>
      </w:pPr>
      <w:r>
        <w:rPr>
          <w:spacing w:val="-2"/>
        </w:rPr>
        <w:t>本公司会计核算以权责发生制为基础。本财务报表均以历史成本为计量基础。资产如果发生减值，则按照相关规定计提相应</w:t>
      </w:r>
      <w:r>
        <w:rPr>
          <w:spacing w:val="-63"/>
        </w:rPr>
        <w:t> </w:t>
      </w:r>
      <w:r>
        <w:rPr>
          <w:spacing w:val="-63"/>
        </w:rPr>
      </w:r>
      <w:r>
        <w:rPr/>
        <w:t>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0"/>
        <w:ind w:right="186"/>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6"/>
        <w:jc w:val="left"/>
      </w:pPr>
      <w:r>
        <w:rPr/>
        <w:t>公司不存在自报告期末起</w:t>
      </w:r>
      <w:r>
        <w:rPr>
          <w:rFonts w:ascii="Times New Roman" w:hAnsi="Times New Roman" w:cs="Times New Roman" w:eastAsia="Times New Roman" w:hint="default"/>
        </w:rPr>
        <w:t>12</w:t>
      </w:r>
      <w:r>
        <w:rPr/>
        <w:t>个月的无法持续经营的情况。</w:t>
      </w:r>
    </w:p>
    <w:p>
      <w:pPr>
        <w:spacing w:line="240" w:lineRule="auto" w:before="3"/>
        <w:rPr>
          <w:rFonts w:ascii="宋体" w:hAnsi="宋体" w:cs="宋体" w:eastAsia="宋体" w:hint="default"/>
          <w:sz w:val="24"/>
          <w:szCs w:val="24"/>
        </w:rPr>
      </w:pPr>
    </w:p>
    <w:p>
      <w:pPr>
        <w:pStyle w:val="Heading2"/>
        <w:spacing w:line="240" w:lineRule="auto"/>
        <w:ind w:right="186"/>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4"/>
        <w:jc w:val="left"/>
      </w:pPr>
      <w:r>
        <w:rPr/>
        <w:t>具体会计政策和会计估计提示： 本集团根据自身生产经营特点，确定研发费用资本化条件以及收入确认政策，具体会计政策参见附注三、</w:t>
      </w:r>
      <w:r>
        <w:rPr>
          <w:rFonts w:ascii="Times New Roman" w:hAnsi="Times New Roman" w:cs="Times New Roman" w:eastAsia="Times New Roman" w:hint="default"/>
        </w:rPr>
        <w:t>17</w:t>
      </w:r>
      <w:r>
        <w:rPr/>
        <w:t>和附注三、</w:t>
      </w:r>
      <w:r>
        <w:rPr>
          <w:rFonts w:ascii="Times New Roman" w:hAnsi="Times New Roman" w:cs="Times New Roman" w:eastAsia="Times New Roman" w:hint="default"/>
        </w:rPr>
        <w:t>20</w:t>
      </w:r>
      <w:r>
        <w:rPr/>
        <w:t>。</w:t>
      </w:r>
    </w:p>
    <w:p>
      <w:pPr>
        <w:spacing w:line="240" w:lineRule="auto" w:before="5"/>
        <w:rPr>
          <w:rFonts w:ascii="宋体" w:hAnsi="宋体" w:cs="宋体" w:eastAsia="宋体" w:hint="default"/>
          <w:sz w:val="18"/>
          <w:szCs w:val="18"/>
        </w:rPr>
      </w:pPr>
    </w:p>
    <w:p>
      <w:pPr>
        <w:pStyle w:val="Heading3"/>
        <w:spacing w:line="240" w:lineRule="auto"/>
        <w:ind w:right="186"/>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6"/>
        <w:jc w:val="left"/>
      </w:pPr>
      <w:r>
        <w:rPr>
          <w:spacing w:val="-2"/>
        </w:rPr>
        <w:t>本财务报表符合企业会计准则的要求，真实、完整地反映了本公司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2014</w:t>
      </w:r>
      <w:r>
        <w:rPr>
          <w:spacing w:val="-2"/>
        </w:rPr>
        <w:t>年度的合</w:t>
      </w:r>
      <w:r>
        <w:rPr>
          <w:spacing w:val="-58"/>
        </w:rPr>
        <w:t> </w:t>
      </w:r>
      <w:r>
        <w:rPr>
          <w:spacing w:val="-58"/>
        </w:rPr>
      </w:r>
      <w:r>
        <w:rPr/>
        <w:t>并及公司经营成果和合并及公司现金流量等有关信息。</w:t>
      </w:r>
    </w:p>
    <w:p>
      <w:pPr>
        <w:spacing w:after="0" w:line="30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44" w:lineRule="auto" w:before="191"/>
        <w:ind w:left="152" w:right="4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bookmarkStart w:name="2、会计期间" w:id="159"/>
      <w:bookmarkEnd w:id="159"/>
      <w:r>
        <w:rPr>
          <w:rFonts w:ascii="Times New Roman" w:hAnsi="Times New Roman" w:cs="Times New Roman" w:eastAsia="Times New Roman" w:hint="default"/>
          <w:b/>
          <w:bCs/>
          <w:sz w:val="21"/>
          <w:szCs w:val="21"/>
        </w:rPr>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本集团会计期间采用公历年度，即每年自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791"/>
        <w:jc w:val="left"/>
      </w:pPr>
      <w:r>
        <w:rPr/>
        <w:t>本集团的营业周期为</w:t>
      </w:r>
      <w:r>
        <w:rPr>
          <w:rFonts w:ascii="Times New Roman" w:hAnsi="Times New Roman" w:cs="Times New Roman" w:eastAsia="Times New Roman" w:hint="default"/>
        </w:rPr>
        <w:t>12</w:t>
      </w:r>
      <w:r>
        <w:rPr/>
        <w:t>个月。</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7"/>
        <w:jc w:val="left"/>
      </w:pPr>
      <w:bookmarkStart w:name="3、营业周期" w:id="160"/>
      <w:bookmarkEnd w:id="160"/>
      <w:r>
        <w:rPr/>
      </w:r>
      <w:r>
        <w:rPr>
          <w:spacing w:val="-2"/>
        </w:rPr>
        <w:t>本公司及境内子公司以人民币为记账本位币。</w:t>
      </w:r>
      <w:bookmarkStart w:name="4、记账本位币" w:id="161"/>
      <w:bookmarkEnd w:id="161"/>
      <w:r>
        <w:rPr>
          <w:spacing w:val="-2"/>
        </w:rPr>
        <w:t>本公司之境外子公司根据其经营所处的主要经济环境中的货币确定港币为其记</w:t>
      </w:r>
      <w:r>
        <w:rPr>
          <w:spacing w:val="-64"/>
        </w:rPr>
        <w:t> </w:t>
      </w:r>
      <w:r>
        <w:rPr>
          <w:spacing w:val="-64"/>
        </w:rPr>
      </w:r>
      <w:r>
        <w:rPr/>
        <w:t>账本位币。本集团编制本财务报表时所采用的货币为人民币。</w:t>
      </w:r>
    </w:p>
    <w:p>
      <w:pPr>
        <w:spacing w:line="240" w:lineRule="auto" w:before="8"/>
        <w:rPr>
          <w:rFonts w:ascii="宋体" w:hAnsi="宋体" w:cs="宋体" w:eastAsia="宋体" w:hint="default"/>
          <w:sz w:val="22"/>
          <w:szCs w:val="22"/>
        </w:rPr>
      </w:pPr>
    </w:p>
    <w:p>
      <w:pPr>
        <w:pStyle w:val="Heading3"/>
        <w:spacing w:line="240" w:lineRule="auto"/>
        <w:ind w:right="79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对于同一控制下的企业合并，</w:t>
      </w:r>
      <w:bookmarkStart w:name="5、同一控制下和非同一控制下企业合并的会计处理方法" w:id="162"/>
      <w:bookmarkEnd w:id="162"/>
      <w:r>
        <w:rPr>
          <w:spacing w:val="-2"/>
        </w:rPr>
        <w:t>合并方在合并中取得的被合并方的资产</w:t>
      </w:r>
      <w:r>
        <w:rPr>
          <w:spacing w:val="-2"/>
        </w:rPr>
        <w:t>、负债，除因会计政策不同而进行的调整以外，按</w:t>
      </w:r>
      <w:r>
        <w:rPr/>
        <w:t> </w:t>
      </w:r>
      <w:r>
        <w:rPr>
          <w:spacing w:val="-2"/>
        </w:rPr>
        <w:t>合并日被合并方的原账面价值计量。合并对价的账面价值与合并中取得的净资产账面价值的差额调整资本公积，资本公积不</w:t>
      </w:r>
      <w:r>
        <w:rPr>
          <w:spacing w:val="-64"/>
        </w:rPr>
        <w:t> </w:t>
      </w:r>
      <w:r>
        <w:rPr>
          <w:spacing w:val="-64"/>
        </w:rPr>
      </w:r>
      <w:r>
        <w:rPr/>
        <w:t>足冲减的，调整留存收益。</w:t>
      </w:r>
    </w:p>
    <w:p>
      <w:pPr>
        <w:spacing w:line="240" w:lineRule="auto" w:before="12"/>
        <w:rPr>
          <w:rFonts w:ascii="宋体" w:hAnsi="宋体" w:cs="宋体" w:eastAsia="宋体" w:hint="default"/>
          <w:sz w:val="17"/>
          <w:szCs w:val="17"/>
        </w:rPr>
      </w:pPr>
    </w:p>
    <w:p>
      <w:pPr>
        <w:pStyle w:val="BodyText"/>
        <w:spacing w:line="240" w:lineRule="auto"/>
        <w:ind w:left="512" w:right="791"/>
        <w:jc w:val="left"/>
      </w:pPr>
      <w:r>
        <w:rPr/>
        <w:t>为进行企业合并发生的直接相关费用于发生时计入当期损益。</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对于非同一控制下的企业合并，合并成本为本公司在购买日为取得对被购买方的控制权而付出的资产、发生或承担的负</w:t>
      </w:r>
      <w:r>
        <w:rPr/>
        <w:t> 债以及发行的权益性证券的公允价值。在购买日，本公司取得的被购买方的资产、负债及或有负债按公允价值确认。</w:t>
      </w:r>
    </w:p>
    <w:p>
      <w:pPr>
        <w:spacing w:line="240" w:lineRule="auto" w:before="12"/>
        <w:rPr>
          <w:rFonts w:ascii="宋体" w:hAnsi="宋体" w:cs="宋体" w:eastAsia="宋体" w:hint="default"/>
          <w:sz w:val="17"/>
          <w:szCs w:val="17"/>
        </w:rPr>
      </w:pPr>
    </w:p>
    <w:p>
      <w:pPr>
        <w:pStyle w:val="BodyText"/>
        <w:spacing w:line="316" w:lineRule="auto"/>
        <w:ind w:right="153" w:firstLine="360"/>
        <w:jc w:val="both"/>
      </w:pPr>
      <w:r>
        <w:rPr>
          <w:spacing w:val="-2"/>
        </w:rPr>
        <w:t>为进行企业合并发生的审计、法律服务、评估咨询等中介费用以及其他相关管理费用，于发生时计入当期损益。作为合</w:t>
      </w:r>
      <w:r>
        <w:rPr/>
        <w:t> 并对价发行的权益性证券或债务性证券的交易费用，计入权益性证券或债务性证券的初始确认金额。</w:t>
      </w:r>
    </w:p>
    <w:p>
      <w:pPr>
        <w:spacing w:line="240" w:lineRule="auto" w:before="12"/>
        <w:rPr>
          <w:rFonts w:ascii="宋体" w:hAnsi="宋体" w:cs="宋体" w:eastAsia="宋体" w:hint="default"/>
          <w:sz w:val="17"/>
          <w:szCs w:val="17"/>
        </w:rPr>
      </w:pPr>
    </w:p>
    <w:p>
      <w:pPr>
        <w:pStyle w:val="BodyText"/>
        <w:spacing w:line="316" w:lineRule="auto"/>
        <w:ind w:right="153" w:firstLine="360"/>
        <w:jc w:val="both"/>
      </w:pPr>
      <w:r>
        <w:rPr>
          <w:spacing w:val="-2"/>
        </w:rPr>
        <w:t>本公司对合并成本大于合并中取得的被购买方可辨认净资产公允价值份额的差额，确认为商誉，按成本扣除累计减值准</w:t>
      </w:r>
      <w:r>
        <w:rPr/>
        <w:t> 备进行后续计量；对合并成本小于合并中取得的被购买方可辨认净资产公允价值份额的差额，经复核后计入当期损益。</w:t>
      </w:r>
    </w:p>
    <w:p>
      <w:pPr>
        <w:spacing w:line="240" w:lineRule="auto" w:before="12"/>
        <w:rPr>
          <w:rFonts w:ascii="宋体" w:hAnsi="宋体" w:cs="宋体" w:eastAsia="宋体" w:hint="default"/>
          <w:sz w:val="17"/>
          <w:szCs w:val="17"/>
        </w:rPr>
      </w:pPr>
    </w:p>
    <w:p>
      <w:pPr>
        <w:pStyle w:val="BodyText"/>
        <w:spacing w:line="316" w:lineRule="auto"/>
        <w:ind w:right="153" w:firstLine="360"/>
        <w:jc w:val="both"/>
      </w:pPr>
      <w:r>
        <w:rPr>
          <w:spacing w:val="-2"/>
        </w:rPr>
        <w:t>通过多次交易分步实现非同一控制下的企业合并的，在合并财务报表中，合并成本为购买日支付的对价与购买日之前已</w:t>
      </w:r>
      <w:r>
        <w:rPr/>
        <w:t> </w:t>
      </w:r>
      <w:r>
        <w:rPr>
          <w:spacing w:val="-2"/>
        </w:rPr>
        <w:t>经持有的被购买方的股权在购买日的公允价值之和。对于购买日之前已经持有的被购买方的股权，按照购买日的公允价值进</w:t>
      </w:r>
      <w:r>
        <w:rPr>
          <w:spacing w:val="-64"/>
        </w:rPr>
        <w:t> </w:t>
      </w:r>
      <w:r>
        <w:rPr>
          <w:spacing w:val="-64"/>
        </w:rPr>
      </w:r>
      <w:r>
        <w:rPr>
          <w:spacing w:val="-2"/>
        </w:rPr>
        <w:t>行重新计量，公允价值与其账面价值之间的差额计入当期投资收益；购买日之前已经持有的被购买方的股权涉及其他综合收</w:t>
      </w:r>
      <w:r>
        <w:rPr>
          <w:spacing w:val="-64"/>
        </w:rPr>
        <w:t> </w:t>
      </w:r>
      <w:r>
        <w:rPr>
          <w:spacing w:val="-64"/>
        </w:rPr>
      </w:r>
      <w:r>
        <w:rPr/>
        <w:t>益的，与其相关的其他综合收益转为购买日当期投资收益。</w:t>
      </w:r>
    </w:p>
    <w:p>
      <w:pPr>
        <w:spacing w:after="0" w:line="316"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83"/>
        <w:ind w:left="512" w:right="147"/>
        <w:jc w:val="left"/>
      </w:pPr>
      <w:r>
        <w:rPr/>
        <w:t>（</w:t>
      </w:r>
      <w:bookmarkStart w:name="6、合并财务报表的编制方法" w:id="163"/>
      <w:bookmarkEnd w:id="163"/>
      <w:r>
        <w:rPr/>
      </w:r>
      <w:r>
        <w:rPr>
          <w:rFonts w:ascii="Times New Roman" w:hAnsi="Times New Roman" w:cs="Times New Roman" w:eastAsia="Times New Roman" w:hint="default"/>
        </w:rPr>
        <w:t>1</w:t>
      </w:r>
      <w:r>
        <w:rPr/>
        <w:t>）合并范围 </w:t>
      </w:r>
      <w:r>
        <w:rPr>
          <w:spacing w:val="-2"/>
        </w:rPr>
        <w:t>合并财务报表的合并范围以控制为基础予以确定。控制是指本集团拥有对被投资单位的权力，通过参与被投资单位的相</w:t>
      </w:r>
    </w:p>
    <w:p>
      <w:pPr>
        <w:pStyle w:val="BodyText"/>
        <w:spacing w:line="316" w:lineRule="auto" w:before="76"/>
        <w:ind w:right="149"/>
        <w:jc w:val="left"/>
      </w:pPr>
      <w:r>
        <w:rPr>
          <w:spacing w:val="-5"/>
        </w:rPr>
        <w:t>关活动而享有可变回报，并且有能力运用对被投资单位的权力影响其回报金额。子公司，是指被本公司控制的主体（含企业、</w:t>
      </w:r>
      <w:r>
        <w:rPr>
          <w:spacing w:val="-78"/>
        </w:rPr>
        <w:t> </w:t>
      </w:r>
      <w:r>
        <w:rPr>
          <w:spacing w:val="-78"/>
        </w:rPr>
      </w:r>
      <w:r>
        <w:rPr/>
        <w:t>被投资单位中可分割的部分，以及企业所控制的结构化主体等）。</w:t>
      </w:r>
    </w:p>
    <w:p>
      <w:pPr>
        <w:pStyle w:val="BodyText"/>
        <w:spacing w:line="528" w:lineRule="exact" w:before="22"/>
        <w:ind w:left="512" w:right="147"/>
        <w:jc w:val="left"/>
      </w:pPr>
      <w:r>
        <w:rPr/>
        <w:t>（</w:t>
      </w:r>
      <w:r>
        <w:rPr>
          <w:rFonts w:ascii="Times New Roman" w:hAnsi="Times New Roman" w:cs="Times New Roman" w:eastAsia="Times New Roman" w:hint="default"/>
        </w:rPr>
        <w:t>2</w:t>
      </w:r>
      <w:r>
        <w:rPr/>
        <w:t>）合并财务报表的编制方法 </w:t>
      </w:r>
      <w:r>
        <w:rPr>
          <w:spacing w:val="-2"/>
        </w:rPr>
        <w:t>合并财务报表以本公司和子公司的财务报表为基础，根据其他有关资料，由本公司编制。在编制合并财务报表时，本公</w:t>
      </w:r>
    </w:p>
    <w:p>
      <w:pPr>
        <w:pStyle w:val="BodyText"/>
        <w:spacing w:line="232" w:lineRule="exact"/>
        <w:ind w:right="791"/>
        <w:jc w:val="left"/>
      </w:pPr>
      <w:r>
        <w:rPr/>
        <w:t>司和子公司的会计政策和会计期间要求保持一致，公司间的重大交易和往来余额予以抵销。</w:t>
      </w:r>
    </w:p>
    <w:p>
      <w:pPr>
        <w:spacing w:line="240" w:lineRule="auto" w:before="5"/>
        <w:rPr>
          <w:rFonts w:ascii="宋体" w:hAnsi="宋体" w:cs="宋体" w:eastAsia="宋体" w:hint="default"/>
          <w:sz w:val="22"/>
          <w:szCs w:val="22"/>
        </w:rPr>
      </w:pPr>
    </w:p>
    <w:p>
      <w:pPr>
        <w:pStyle w:val="BodyText"/>
        <w:spacing w:line="309" w:lineRule="auto"/>
        <w:ind w:right="153" w:firstLine="360"/>
        <w:jc w:val="both"/>
      </w:pPr>
      <w:r>
        <w:rPr>
          <w:spacing w:val="-2"/>
        </w:rPr>
        <w:t>子公司的股东权益中不属于本公司所拥有的部分作为少数股东权益在合并资产负债表中股东权益项下单独列示。子公司</w:t>
      </w:r>
      <w:r>
        <w:rPr/>
        <w:t> </w:t>
      </w:r>
      <w:r>
        <w:rPr>
          <w:spacing w:val="-2"/>
        </w:rPr>
        <w:t>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w:t>
      </w:r>
      <w:r>
        <w:rPr>
          <w:spacing w:val="-44"/>
        </w:rPr>
        <w:t> </w:t>
      </w:r>
      <w:r>
        <w:rPr>
          <w:spacing w:val="-44"/>
        </w:rPr>
      </w:r>
      <w:r>
        <w:rPr/>
        <w:t>的亏损超过了少数股东在该子公司期初所有者权益中所享有的份额，其余额仍冲减少数股东权益。</w:t>
      </w:r>
    </w:p>
    <w:p>
      <w:pPr>
        <w:spacing w:line="240" w:lineRule="auto" w:before="5"/>
        <w:rPr>
          <w:rFonts w:ascii="宋体" w:hAnsi="宋体" w:cs="宋体" w:eastAsia="宋体" w:hint="default"/>
          <w:sz w:val="18"/>
          <w:szCs w:val="18"/>
        </w:rPr>
      </w:pPr>
    </w:p>
    <w:p>
      <w:pPr>
        <w:pStyle w:val="BodyText"/>
        <w:spacing w:line="309" w:lineRule="auto"/>
        <w:ind w:right="152"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w:t>
      </w:r>
      <w:r>
        <w:rPr>
          <w:spacing w:val="-48"/>
        </w:rPr>
        <w:t> </w:t>
      </w:r>
      <w:r>
        <w:rPr/>
        <w:t>对价的公允价值之间的差额调整资本公积，资本公积不足冲减的，调整留存收益。</w:t>
      </w:r>
    </w:p>
    <w:p>
      <w:pPr>
        <w:spacing w:line="240" w:lineRule="auto" w:before="3"/>
        <w:rPr>
          <w:rFonts w:ascii="宋体" w:hAnsi="宋体" w:cs="宋体" w:eastAsia="宋体" w:hint="default"/>
          <w:sz w:val="23"/>
          <w:szCs w:val="23"/>
        </w:rPr>
      </w:pPr>
    </w:p>
    <w:p>
      <w:pPr>
        <w:pStyle w:val="Heading3"/>
        <w:spacing w:line="240" w:lineRule="auto"/>
        <w:ind w:right="791"/>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现金是指库存现金以及可以随时用于支付的存款。现金等价物，</w:t>
      </w:r>
      <w:bookmarkStart w:name="7、合营安排分类及共同经营会计处理方法" w:id="164"/>
      <w:bookmarkEnd w:id="164"/>
      <w:r>
        <w:rPr>
          <w:spacing w:val="-2"/>
        </w:rPr>
      </w:r>
      <w:bookmarkStart w:name="8、现金及现金等价物的确定标准" w:id="165"/>
      <w:bookmarkEnd w:id="165"/>
      <w:r>
        <w:rPr>
          <w:spacing w:val="-2"/>
        </w:rPr>
        <w:t>是指本集团持有的期限</w:t>
      </w:r>
      <w:r>
        <w:rPr>
          <w:spacing w:val="-2"/>
        </w:rPr>
        <w:t>短、流动性强、易于转换为已知</w:t>
      </w:r>
      <w:r>
        <w:rPr/>
        <w:t> 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791"/>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508" w:lineRule="auto"/>
        <w:ind w:left="512" w:right="3654"/>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pStyle w:val="BodyText"/>
        <w:spacing w:line="316" w:lineRule="auto" w:before="90"/>
        <w:ind w:right="150" w:firstLine="360"/>
        <w:jc w:val="both"/>
      </w:pPr>
      <w:r>
        <w:rPr>
          <w:spacing w:val="-2"/>
        </w:rPr>
        <w:t>资产负债表日，对外币货币性项目，采用资产负债表日即期汇率折算。</w:t>
      </w:r>
      <w:bookmarkStart w:name="9、外币业务和外币报表折算" w:id="166"/>
      <w:bookmarkEnd w:id="166"/>
      <w:r>
        <w:rPr>
          <w:spacing w:val="-2"/>
        </w:rPr>
        <w:t>因资产负债表日即期汇率与初始确认时或者前一</w:t>
      </w:r>
      <w:r>
        <w:rPr/>
        <w:t> </w:t>
      </w: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pStyle w:val="BodyText"/>
        <w:spacing w:line="528" w:lineRule="exact" w:before="22"/>
        <w:ind w:left="512" w:right="147"/>
        <w:jc w:val="left"/>
      </w:pPr>
      <w:r>
        <w:rPr/>
        <w:t>（</w:t>
      </w:r>
      <w:r>
        <w:rPr>
          <w:rFonts w:ascii="Times New Roman" w:hAnsi="Times New Roman" w:cs="Times New Roman" w:eastAsia="Times New Roman" w:hint="default"/>
        </w:rPr>
        <w:t>2</w:t>
      </w:r>
      <w:r>
        <w:rPr/>
        <w:t>）外币财务报表的折算 </w:t>
      </w:r>
      <w:r>
        <w:rPr>
          <w:spacing w:val="-2"/>
        </w:rPr>
        <w:t>资产负债表日，对境外子公司外币财务报表进行折算时，资产负债表中的资产和负债项目，采用资产负债表日的即期汇</w:t>
      </w:r>
    </w:p>
    <w:p>
      <w:pPr>
        <w:pStyle w:val="BodyText"/>
        <w:spacing w:line="508" w:lineRule="auto"/>
        <w:ind w:left="512" w:right="1134" w:hanging="360"/>
        <w:jc w:val="left"/>
      </w:pPr>
      <w:r>
        <w:rPr/>
        <w:t>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 利润表中的收入和费用项目，采用按照系统合理的方法确定的、与交易发生日即期汇率近似的汇率折算。</w:t>
      </w:r>
    </w:p>
    <w:p>
      <w:pPr>
        <w:spacing w:after="0" w:line="508"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86" w:firstLine="360"/>
        <w:jc w:val="left"/>
      </w:pPr>
      <w:r>
        <w:rPr>
          <w:spacing w:val="-2"/>
        </w:rPr>
        <w:t>现金流量表所有项目均按照系统合理的方法确定的、与现金流量发生日即期汇率近似的汇率折算。汇率变动对现金的影</w:t>
      </w:r>
      <w:r>
        <w:rPr/>
        <w:t> 响额作为调节项目，在现金流量表中单独列示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项目反映。</w:t>
      </w:r>
    </w:p>
    <w:p>
      <w:pPr>
        <w:pStyle w:val="BodyText"/>
        <w:spacing w:line="528" w:lineRule="exact" w:before="3"/>
        <w:ind w:left="512" w:right="186"/>
        <w:jc w:val="left"/>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 </w:t>
      </w:r>
      <w:r>
        <w:rPr>
          <w:spacing w:val="-2"/>
        </w:rPr>
        <w:t>处置境外经营并丧失控制权时，将资产负债表中股东权益项目下列示的、与该境外经营相关的外币报表折算差额，全部</w:t>
      </w:r>
    </w:p>
    <w:p>
      <w:pPr>
        <w:pStyle w:val="BodyText"/>
        <w:spacing w:line="232" w:lineRule="exact"/>
        <w:ind w:right="0"/>
        <w:jc w:val="both"/>
      </w:pPr>
      <w:r>
        <w:rPr/>
        <w:t>或按处置该境外经营的比例转入处置当期损益。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86"/>
        <w:jc w:val="left"/>
      </w:pPr>
      <w:bookmarkStart w:name="10、金融工具" w:id="167"/>
      <w:bookmarkEnd w:id="167"/>
      <w:r>
        <w:rPr/>
      </w:r>
      <w:r>
        <w:rPr/>
        <w:t>金融工具是指形成一个企业的金融资产，并形成其他单位的金融负债或权益工具的合同。</w:t>
      </w:r>
    </w:p>
    <w:p>
      <w:pPr>
        <w:spacing w:line="240" w:lineRule="auto" w:before="5"/>
        <w:rPr>
          <w:rFonts w:ascii="宋体" w:hAnsi="宋体" w:cs="宋体" w:eastAsia="宋体" w:hint="default"/>
          <w:sz w:val="22"/>
          <w:szCs w:val="22"/>
        </w:rPr>
      </w:pPr>
    </w:p>
    <w:p>
      <w:pPr>
        <w:pStyle w:val="BodyText"/>
        <w:spacing w:line="523" w:lineRule="auto"/>
        <w:ind w:left="512" w:right="4054"/>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80"/>
        <w:ind w:left="512" w:right="186"/>
        <w:jc w:val="left"/>
      </w:pPr>
      <w:r>
        <w:rPr/>
        <w:t>①</w:t>
      </w:r>
      <w:r>
        <w:rPr>
          <w:spacing w:val="-18"/>
        </w:rPr>
        <w:t> </w:t>
      </w:r>
      <w:r>
        <w:rPr/>
        <w:t>收取该金融资产现金流量的合同权利终止；</w:t>
      </w:r>
    </w:p>
    <w:p>
      <w:pPr>
        <w:pStyle w:val="BodyText"/>
        <w:spacing w:line="520" w:lineRule="atLeast" w:before="8"/>
        <w:ind w:left="512" w:right="186"/>
        <w:jc w:val="left"/>
      </w:pPr>
      <w:r>
        <w:rPr/>
        <w:t>②</w:t>
      </w:r>
      <w:r>
        <w:rPr>
          <w:spacing w:val="-18"/>
        </w:rPr>
        <w:t> </w:t>
      </w:r>
      <w:r>
        <w:rPr/>
        <w:t>该金融资产已转移，且符合下述金融资产转移的终止确认条件。</w:t>
      </w:r>
      <w:r>
        <w:rPr/>
        <w:t> </w:t>
      </w:r>
      <w:r>
        <w:rPr>
          <w:spacing w:val="-2"/>
        </w:rPr>
        <w:t>金融负债的现时义务全部或部分已经解除的，终止确认该金融负债或其一部分。本集团（债务人）与债权人之间签订协</w:t>
      </w:r>
    </w:p>
    <w:p>
      <w:pPr>
        <w:pStyle w:val="BodyText"/>
        <w:spacing w:line="316" w:lineRule="auto" w:before="76"/>
        <w:ind w:right="190"/>
        <w:jc w:val="both"/>
      </w:pPr>
      <w:r>
        <w:rPr>
          <w:spacing w:val="-2"/>
        </w:rPr>
        <w:t>议，以承担新金融负债方式替换现存金融负债，且新金融负债与现存金融负债的合同条款实质上不同的，终止确认现存金融</w:t>
      </w:r>
      <w:r>
        <w:rPr>
          <w:spacing w:val="-63"/>
        </w:rPr>
        <w:t> </w:t>
      </w:r>
      <w:r>
        <w:rPr>
          <w:spacing w:val="-63"/>
        </w:rPr>
      </w:r>
      <w:r>
        <w:rPr/>
        <w:t>负债，并同时确认新金融负债。</w:t>
      </w:r>
    </w:p>
    <w:p>
      <w:pPr>
        <w:spacing w:line="240" w:lineRule="auto" w:before="12"/>
        <w:rPr>
          <w:rFonts w:ascii="宋体" w:hAnsi="宋体" w:cs="宋体" w:eastAsia="宋体" w:hint="default"/>
          <w:sz w:val="17"/>
          <w:szCs w:val="17"/>
        </w:rPr>
      </w:pPr>
    </w:p>
    <w:p>
      <w:pPr>
        <w:pStyle w:val="BodyText"/>
        <w:spacing w:line="240" w:lineRule="auto"/>
        <w:ind w:left="512" w:right="186"/>
        <w:jc w:val="left"/>
      </w:pPr>
      <w:r>
        <w:rPr/>
        <w:t>以常规方式买卖金融资产，按交易日进行会计确认和终止确认。</w:t>
      </w:r>
    </w:p>
    <w:p>
      <w:pPr>
        <w:pStyle w:val="BodyText"/>
        <w:spacing w:line="510" w:lineRule="atLeast" w:before="31"/>
        <w:ind w:left="512" w:right="179"/>
        <w:jc w:val="left"/>
      </w:pPr>
      <w:r>
        <w:rPr/>
        <w:t>（</w:t>
      </w:r>
      <w:r>
        <w:rPr>
          <w:rFonts w:ascii="Times New Roman" w:hAnsi="Times New Roman" w:cs="Times New Roman" w:eastAsia="Times New Roman" w:hint="default"/>
        </w:rPr>
        <w:t>2</w:t>
      </w:r>
      <w:r>
        <w:rPr/>
        <w:t>）金融资产分类和计量 </w:t>
      </w:r>
      <w:r>
        <w:rPr>
          <w:spacing w:val="-5"/>
        </w:rPr>
        <w:t>本集团的金融资产于初始确认时分为以下两类：应收款项、可供出售金融资产。金融资产在初始确认时以公允价值计量，</w:t>
      </w:r>
    </w:p>
    <w:p>
      <w:pPr>
        <w:pStyle w:val="BodyText"/>
        <w:spacing w:line="537" w:lineRule="auto" w:before="76"/>
        <w:ind w:left="512" w:right="6934" w:hanging="360"/>
        <w:jc w:val="left"/>
      </w:pPr>
      <w:r>
        <w:rPr/>
        <w:t>相关交易费用计入其初始确认金额。 应收款项</w:t>
      </w:r>
    </w:p>
    <w:p>
      <w:pPr>
        <w:pStyle w:val="BodyText"/>
        <w:spacing w:line="309" w:lineRule="auto" w:before="69"/>
        <w:ind w:right="193" w:firstLine="360"/>
        <w:jc w:val="both"/>
      </w:pPr>
      <w:r>
        <w:rPr>
          <w:spacing w:val="-2"/>
        </w:rPr>
        <w:t>应收款项，是指在活跃市场中没有报价、回收金额固定或可确定的非衍生金融资产，包括应收账款和其他应收款等（附</w:t>
      </w:r>
      <w:r>
        <w:rPr/>
        <w:t> </w:t>
      </w:r>
      <w:r>
        <w:rPr>
          <w:spacing w:val="-2"/>
        </w:rPr>
        <w:t>注三、</w:t>
      </w:r>
      <w:r>
        <w:rPr>
          <w:rFonts w:ascii="Times New Roman" w:hAnsi="Times New Roman" w:cs="Times New Roman" w:eastAsia="Times New Roman" w:hint="default"/>
          <w:spacing w:val="-2"/>
        </w:rPr>
        <w:t>10</w:t>
      </w:r>
      <w:r>
        <w:rPr>
          <w:spacing w:val="-2"/>
        </w:rPr>
        <w:t>）。应收款项采用实际利率法，按摊余成本进行后续计量，在终止确认、发生减值或摊销时产生的利得或损失，计</w:t>
      </w:r>
      <w:r>
        <w:rPr>
          <w:spacing w:val="-72"/>
        </w:rPr>
        <w:t> </w:t>
      </w:r>
      <w:r>
        <w:rPr>
          <w:spacing w:val="-72"/>
        </w:rPr>
      </w:r>
      <w:r>
        <w:rPr/>
        <w:t>入当期损益。</w:t>
      </w:r>
    </w:p>
    <w:p>
      <w:pPr>
        <w:pStyle w:val="BodyText"/>
        <w:spacing w:line="528" w:lineRule="exact" w:before="28"/>
        <w:ind w:left="512" w:right="94"/>
        <w:jc w:val="left"/>
      </w:pPr>
      <w:r>
        <w:rPr/>
        <w:t>可供出售金融资产 可供出售金融资产，是指初始确认时即指定为可供出售的非衍生金融资产，以及除上述金融资产类别以外的金融资产。</w:t>
      </w:r>
    </w:p>
    <w:p>
      <w:pPr>
        <w:pStyle w:val="BodyText"/>
        <w:spacing w:line="316" w:lineRule="auto"/>
        <w:ind w:right="193"/>
        <w:jc w:val="both"/>
      </w:pPr>
      <w:r>
        <w:rPr>
          <w:spacing w:val="-2"/>
        </w:rPr>
        <w:t>可供出售金融资产采用公允价值进行后续计量，其折溢价采用实际利率法摊销并确认为利息收入。除减值损失及外币货币性</w:t>
      </w:r>
      <w:r>
        <w:rPr>
          <w:spacing w:val="-64"/>
        </w:rPr>
        <w:t> </w:t>
      </w:r>
      <w:r>
        <w:rPr>
          <w:spacing w:val="-64"/>
        </w:rPr>
      </w:r>
      <w:r>
        <w:rPr>
          <w:spacing w:val="-2"/>
        </w:rPr>
        <w:t>金融资产的汇兑差额确认为当期损益外，可供出售金融资产的公允价值变动确认为其他综合收益并计入资本公积，在该金融</w:t>
      </w:r>
      <w:r>
        <w:rPr>
          <w:spacing w:val="-64"/>
        </w:rPr>
        <w:t> </w:t>
      </w:r>
      <w:r>
        <w:rPr>
          <w:spacing w:val="-64"/>
        </w:rPr>
      </w:r>
      <w:r>
        <w:rPr/>
        <w:t>资产终止确认时转出，计入当期损益。与可供出售金融资产相关的股利或利息收入，计入当期损益。</w:t>
      </w:r>
    </w:p>
    <w:p>
      <w:pPr>
        <w:spacing w:line="240" w:lineRule="auto" w:before="12"/>
        <w:rPr>
          <w:rFonts w:ascii="宋体" w:hAnsi="宋体" w:cs="宋体" w:eastAsia="宋体" w:hint="default"/>
          <w:sz w:val="17"/>
          <w:szCs w:val="17"/>
        </w:rPr>
      </w:pPr>
    </w:p>
    <w:p>
      <w:pPr>
        <w:pStyle w:val="BodyText"/>
        <w:spacing w:line="316" w:lineRule="auto"/>
        <w:ind w:right="186" w:firstLine="360"/>
        <w:jc w:val="left"/>
      </w:pPr>
      <w:r>
        <w:rPr>
          <w:spacing w:val="-2"/>
        </w:rPr>
        <w:t>对于在活跃市场中没有报价且其公允价值不能可靠计量的权益工具投资，以及与该权益工具挂钩并须通过交付该权益工</w:t>
      </w:r>
      <w:r>
        <w:rPr/>
        <w:t> 具结算的衍生金融资产，按成本计量。</w:t>
      </w:r>
    </w:p>
    <w:p>
      <w:pPr>
        <w:spacing w:line="240" w:lineRule="auto" w:before="12"/>
        <w:rPr>
          <w:rFonts w:ascii="宋体" w:hAnsi="宋体" w:cs="宋体" w:eastAsia="宋体" w:hint="default"/>
          <w:sz w:val="17"/>
          <w:szCs w:val="17"/>
        </w:rPr>
      </w:pPr>
    </w:p>
    <w:p>
      <w:pPr>
        <w:pStyle w:val="BodyText"/>
        <w:spacing w:line="240" w:lineRule="auto"/>
        <w:ind w:left="512" w:right="186"/>
        <w:jc w:val="left"/>
      </w:pPr>
      <w:r>
        <w:rPr/>
        <w:t>（</w:t>
      </w:r>
      <w:r>
        <w:rPr>
          <w:rFonts w:ascii="Times New Roman" w:hAnsi="Times New Roman" w:cs="Times New Roman" w:eastAsia="Times New Roman" w:hint="default"/>
        </w:rPr>
        <w:t>3</w:t>
      </w:r>
      <w:r>
        <w:rPr/>
        <w:t>）金融负债分类和计量</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0" w:firstLine="360"/>
        <w:jc w:val="left"/>
      </w:pPr>
      <w:r>
        <w:rPr>
          <w:spacing w:val="-2"/>
        </w:rPr>
        <w:t>本集团的金融负债于初始确认时分类为其他金融负债。对于未划分为以公允价值计量且其变动计入当期损益的金融负债</w:t>
      </w:r>
      <w:r>
        <w:rPr/>
        <w:t> 的，相关交易费用计入其初始确认金额。</w:t>
      </w:r>
    </w:p>
    <w:p>
      <w:pPr>
        <w:spacing w:line="240" w:lineRule="auto" w:before="12"/>
        <w:rPr>
          <w:rFonts w:ascii="宋体" w:hAnsi="宋体" w:cs="宋体" w:eastAsia="宋体" w:hint="default"/>
          <w:sz w:val="17"/>
          <w:szCs w:val="17"/>
        </w:rPr>
      </w:pPr>
    </w:p>
    <w:p>
      <w:pPr>
        <w:pStyle w:val="BodyText"/>
        <w:spacing w:line="316" w:lineRule="auto"/>
        <w:ind w:right="291" w:firstLine="360"/>
        <w:jc w:val="both"/>
      </w:pPr>
      <w:r>
        <w:rPr>
          <w:spacing w:val="-2"/>
        </w:rPr>
        <w:t>与在活跃市场中没有报价、公允价值不能可靠计量的权益工具挂钩并须通过交付该权益工具结算的衍生金融负债，按照</w:t>
      </w:r>
      <w:r>
        <w:rPr/>
        <w:t> </w:t>
      </w: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spacing w:line="240" w:lineRule="auto" w:before="12"/>
        <w:rPr>
          <w:rFonts w:ascii="宋体" w:hAnsi="宋体" w:cs="宋体" w:eastAsia="宋体" w:hint="default"/>
          <w:sz w:val="17"/>
          <w:szCs w:val="17"/>
        </w:rPr>
      </w:pPr>
    </w:p>
    <w:p>
      <w:pPr>
        <w:pStyle w:val="BodyText"/>
        <w:spacing w:line="508" w:lineRule="auto"/>
        <w:ind w:left="512" w:right="5144"/>
        <w:jc w:val="left"/>
      </w:pPr>
      <w:r>
        <w:rPr/>
        <w:t>（</w:t>
      </w:r>
      <w:r>
        <w:rPr>
          <w:rFonts w:ascii="Times New Roman" w:hAnsi="Times New Roman" w:cs="Times New Roman" w:eastAsia="Times New Roman" w:hint="default"/>
        </w:rPr>
        <w:t>4</w:t>
      </w:r>
      <w:r>
        <w:rPr/>
        <w:t>）金融工具的公允价值 金融资产和金融负债的公允价值确定方法见附注三、</w:t>
      </w:r>
      <w:r>
        <w:rPr>
          <w:rFonts w:ascii="Times New Roman" w:hAnsi="Times New Roman" w:cs="Times New Roman" w:eastAsia="Times New Roman" w:hint="default"/>
        </w:rPr>
        <w:t>9</w:t>
      </w:r>
      <w:r>
        <w:rPr/>
        <w:t>。</w:t>
      </w:r>
    </w:p>
    <w:p>
      <w:pPr>
        <w:pStyle w:val="BodyText"/>
        <w:spacing w:line="240" w:lineRule="auto" w:before="55"/>
        <w:ind w:left="512" w:right="0"/>
        <w:jc w:val="left"/>
      </w:pPr>
      <w:r>
        <w:rPr/>
        <w:t>（</w:t>
      </w:r>
      <w:r>
        <w:rPr>
          <w:rFonts w:ascii="Times New Roman" w:hAnsi="Times New Roman" w:cs="Times New Roman" w:eastAsia="Times New Roman" w:hint="default"/>
        </w:rPr>
        <w:t>5</w:t>
      </w:r>
      <w:r>
        <w:rPr/>
        <w:t>）金融资产减值</w:t>
      </w:r>
    </w:p>
    <w:p>
      <w:pPr>
        <w:spacing w:line="240" w:lineRule="auto" w:before="4"/>
        <w:rPr>
          <w:rFonts w:ascii="宋体" w:hAnsi="宋体" w:cs="宋体" w:eastAsia="宋体" w:hint="default"/>
          <w:sz w:val="21"/>
          <w:szCs w:val="21"/>
        </w:rPr>
      </w:pPr>
    </w:p>
    <w:p>
      <w:pPr>
        <w:pStyle w:val="BodyText"/>
        <w:spacing w:line="316" w:lineRule="auto"/>
        <w:ind w:right="0" w:firstLine="360"/>
        <w:jc w:val="left"/>
      </w:pPr>
      <w:r>
        <w:rPr>
          <w:spacing w:val="-2"/>
        </w:rPr>
        <w:t>除了以公允价值计量且其变动计入当期损益的金融资产外，本集团于资产负债表日对其他金融资产的账面价值进行检查，</w:t>
      </w:r>
      <w:r>
        <w:rPr/>
        <w:t> 有客观证据表明该金融资产发生减值的，计提减值准备。表明金融资产发生减值的客观证据，是指金融资产初始确认后实际 发生的、对该金融资产的预计未来现金流量有影响，且企业能够对该影响进行可靠计量的事项。</w:t>
      </w:r>
    </w:p>
    <w:p>
      <w:pPr>
        <w:spacing w:line="240" w:lineRule="auto" w:before="12"/>
        <w:rPr>
          <w:rFonts w:ascii="宋体" w:hAnsi="宋体" w:cs="宋体" w:eastAsia="宋体" w:hint="default"/>
          <w:sz w:val="17"/>
          <w:szCs w:val="17"/>
        </w:rPr>
      </w:pPr>
    </w:p>
    <w:p>
      <w:pPr>
        <w:pStyle w:val="BodyText"/>
        <w:spacing w:line="240" w:lineRule="auto"/>
        <w:ind w:left="512" w:right="0"/>
        <w:jc w:val="left"/>
      </w:pPr>
      <w:r>
        <w:rPr/>
        <w:t>金融资产发生减值的客观证据，包括下列可观察到的情形：</w:t>
      </w:r>
    </w:p>
    <w:p>
      <w:pPr>
        <w:spacing w:line="240" w:lineRule="auto" w:before="5"/>
        <w:rPr>
          <w:rFonts w:ascii="宋体" w:hAnsi="宋体" w:cs="宋体" w:eastAsia="宋体" w:hint="default"/>
          <w:sz w:val="22"/>
          <w:szCs w:val="22"/>
        </w:rPr>
      </w:pPr>
    </w:p>
    <w:p>
      <w:pPr>
        <w:pStyle w:val="BodyText"/>
        <w:spacing w:line="240" w:lineRule="auto"/>
        <w:ind w:left="512" w:right="0"/>
        <w:jc w:val="left"/>
      </w:pPr>
      <w:r>
        <w:rPr/>
        <w:t>①发行方或债务人发生严重财务困难；</w:t>
      </w:r>
    </w:p>
    <w:p>
      <w:pPr>
        <w:spacing w:line="240" w:lineRule="auto" w:before="5"/>
        <w:rPr>
          <w:rFonts w:ascii="宋体" w:hAnsi="宋体" w:cs="宋体" w:eastAsia="宋体" w:hint="default"/>
          <w:sz w:val="22"/>
          <w:szCs w:val="22"/>
        </w:rPr>
      </w:pPr>
    </w:p>
    <w:p>
      <w:pPr>
        <w:pStyle w:val="BodyText"/>
        <w:spacing w:line="240" w:lineRule="auto"/>
        <w:ind w:left="512" w:right="0"/>
        <w:jc w:val="left"/>
      </w:pPr>
      <w:r>
        <w:rPr/>
        <w:t>②债务人违反了合同条款，如偿付利息或本金发生违约或逾期等；</w:t>
      </w:r>
    </w:p>
    <w:p>
      <w:pPr>
        <w:spacing w:line="240" w:lineRule="auto" w:before="5"/>
        <w:rPr>
          <w:rFonts w:ascii="宋体" w:hAnsi="宋体" w:cs="宋体" w:eastAsia="宋体" w:hint="default"/>
          <w:sz w:val="22"/>
          <w:szCs w:val="22"/>
        </w:rPr>
      </w:pPr>
    </w:p>
    <w:p>
      <w:pPr>
        <w:pStyle w:val="BodyText"/>
        <w:spacing w:line="240" w:lineRule="auto"/>
        <w:ind w:left="512" w:right="0"/>
        <w:jc w:val="left"/>
      </w:pPr>
      <w:r>
        <w:rPr/>
        <w:t>③本集团出于经济或法律等方面因素的考虑，对发生财务困难的债务人作出让步；</w:t>
      </w:r>
    </w:p>
    <w:p>
      <w:pPr>
        <w:spacing w:line="240" w:lineRule="auto" w:before="5"/>
        <w:rPr>
          <w:rFonts w:ascii="宋体" w:hAnsi="宋体" w:cs="宋体" w:eastAsia="宋体" w:hint="default"/>
          <w:sz w:val="22"/>
          <w:szCs w:val="22"/>
        </w:rPr>
      </w:pPr>
    </w:p>
    <w:p>
      <w:pPr>
        <w:pStyle w:val="BodyText"/>
        <w:spacing w:line="240" w:lineRule="auto"/>
        <w:ind w:left="512" w:right="0"/>
        <w:jc w:val="left"/>
      </w:pPr>
      <w:r>
        <w:rPr/>
        <w:t>④债务人很可能倒闭或者进行其他财务重组；</w:t>
      </w:r>
    </w:p>
    <w:p>
      <w:pPr>
        <w:spacing w:line="240" w:lineRule="auto" w:before="5"/>
        <w:rPr>
          <w:rFonts w:ascii="宋体" w:hAnsi="宋体" w:cs="宋体" w:eastAsia="宋体" w:hint="default"/>
          <w:sz w:val="22"/>
          <w:szCs w:val="22"/>
        </w:rPr>
      </w:pPr>
    </w:p>
    <w:p>
      <w:pPr>
        <w:pStyle w:val="BodyText"/>
        <w:spacing w:line="240" w:lineRule="auto"/>
        <w:ind w:left="512" w:right="0"/>
        <w:jc w:val="left"/>
      </w:pPr>
      <w:r>
        <w:rPr/>
        <w:t>⑤因发行方发生重大财务困难，导致金融资产无法在活跃市场继续交易；</w:t>
      </w:r>
    </w:p>
    <w:p>
      <w:pPr>
        <w:spacing w:line="240" w:lineRule="auto" w:before="5"/>
        <w:rPr>
          <w:rFonts w:ascii="宋体" w:hAnsi="宋体" w:cs="宋体" w:eastAsia="宋体" w:hint="default"/>
          <w:sz w:val="22"/>
          <w:szCs w:val="22"/>
        </w:rPr>
      </w:pPr>
    </w:p>
    <w:p>
      <w:pPr>
        <w:pStyle w:val="BodyText"/>
        <w:spacing w:line="316" w:lineRule="auto"/>
        <w:ind w:right="0"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spacing w:line="240" w:lineRule="auto" w:before="12"/>
        <w:rPr>
          <w:rFonts w:ascii="宋体" w:hAnsi="宋体" w:cs="宋体" w:eastAsia="宋体" w:hint="default"/>
          <w:sz w:val="17"/>
          <w:szCs w:val="17"/>
        </w:rPr>
      </w:pPr>
    </w:p>
    <w:p>
      <w:pPr>
        <w:pStyle w:val="BodyText"/>
        <w:spacing w:line="240" w:lineRule="auto"/>
        <w:ind w:left="572"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该组金融资产的债务人支付能力逐步恶化；</w:t>
      </w:r>
    </w:p>
    <w:p>
      <w:pPr>
        <w:spacing w:line="240" w:lineRule="auto" w:before="4"/>
        <w:rPr>
          <w:rFonts w:ascii="宋体" w:hAnsi="宋体" w:cs="宋体" w:eastAsia="宋体" w:hint="default"/>
          <w:sz w:val="21"/>
          <w:szCs w:val="21"/>
        </w:rPr>
      </w:pPr>
    </w:p>
    <w:p>
      <w:pPr>
        <w:pStyle w:val="BodyText"/>
        <w:spacing w:line="240" w:lineRule="auto"/>
        <w:ind w:left="572"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债务人所在国家或地区经济出现了可能导致该组金融资产无法支付的状况；</w:t>
      </w:r>
    </w:p>
    <w:p>
      <w:pPr>
        <w:spacing w:line="240" w:lineRule="auto" w:before="4"/>
        <w:rPr>
          <w:rFonts w:ascii="宋体" w:hAnsi="宋体" w:cs="宋体" w:eastAsia="宋体" w:hint="default"/>
          <w:sz w:val="21"/>
          <w:szCs w:val="21"/>
        </w:rPr>
      </w:pPr>
    </w:p>
    <w:p>
      <w:pPr>
        <w:pStyle w:val="BodyText"/>
        <w:spacing w:line="240" w:lineRule="auto"/>
        <w:ind w:left="512" w:right="0"/>
        <w:jc w:val="left"/>
      </w:pPr>
      <w:r>
        <w:rPr/>
        <w:t>⑦债务人经营所处的技术、市场、经济或法律环境等发生重大不利变化，使权益工具投资人可能无法收回投资成本；</w:t>
      </w:r>
    </w:p>
    <w:p>
      <w:pPr>
        <w:spacing w:line="240" w:lineRule="auto" w:before="5"/>
        <w:rPr>
          <w:rFonts w:ascii="宋体" w:hAnsi="宋体" w:cs="宋体" w:eastAsia="宋体" w:hint="default"/>
          <w:sz w:val="22"/>
          <w:szCs w:val="22"/>
        </w:rPr>
      </w:pPr>
    </w:p>
    <w:p>
      <w:pPr>
        <w:pStyle w:val="BodyText"/>
        <w:spacing w:line="316" w:lineRule="auto"/>
        <w:ind w:right="0" w:firstLine="360"/>
        <w:jc w:val="left"/>
      </w:pPr>
      <w:r>
        <w:rPr>
          <w:spacing w:val="-2"/>
        </w:rPr>
        <w:t>⑧权益工具投资的公允价值发生严重或非暂时性下跌，如权益工具投资于资产负债表日的公允价值低于其初始投资成本</w:t>
      </w:r>
      <w:r>
        <w:rPr/>
        <w:t> 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w:t>
      </w:r>
    </w:p>
    <w:p>
      <w:pPr>
        <w:spacing w:line="240" w:lineRule="auto" w:before="6"/>
        <w:rPr>
          <w:rFonts w:ascii="宋体" w:hAnsi="宋体" w:cs="宋体" w:eastAsia="宋体" w:hint="default"/>
          <w:sz w:val="16"/>
          <w:szCs w:val="16"/>
        </w:rPr>
      </w:pPr>
    </w:p>
    <w:p>
      <w:pPr>
        <w:pStyle w:val="BodyText"/>
        <w:spacing w:line="300" w:lineRule="auto"/>
        <w:ind w:right="0" w:firstLine="360"/>
        <w:jc w:val="left"/>
      </w:pPr>
      <w:r>
        <w:rPr>
          <w:spacing w:val="-2"/>
        </w:rPr>
        <w:t>低于其初始投资成本持续时间超过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个月）是指，权益工具投资公允价值月度均值连续</w:t>
      </w:r>
      <w:r>
        <w:rPr>
          <w:rFonts w:ascii="Times New Roman" w:hAnsi="Times New Roman" w:cs="Times New Roman" w:eastAsia="Times New Roman" w:hint="default"/>
          <w:spacing w:val="-2"/>
        </w:rPr>
        <w:t>12</w:t>
      </w:r>
      <w:r>
        <w:rPr>
          <w:spacing w:val="-2"/>
        </w:rPr>
        <w:t>个月均低于其初始</w:t>
      </w:r>
      <w:r>
        <w:rPr/>
        <w:t> 投资成本</w:t>
      </w:r>
    </w:p>
    <w:p>
      <w:pPr>
        <w:spacing w:line="240" w:lineRule="auto" w:before="12"/>
        <w:rPr>
          <w:rFonts w:ascii="宋体" w:hAnsi="宋体" w:cs="宋体" w:eastAsia="宋体" w:hint="default"/>
          <w:sz w:val="18"/>
          <w:szCs w:val="18"/>
        </w:rPr>
      </w:pPr>
    </w:p>
    <w:p>
      <w:pPr>
        <w:pStyle w:val="BodyText"/>
        <w:spacing w:line="537" w:lineRule="auto"/>
        <w:ind w:left="512" w:right="6134"/>
        <w:jc w:val="left"/>
      </w:pPr>
      <w:r>
        <w:rPr/>
        <w:t>⑨其他表明金融资产发生减值的客观证据。 以摊余成本计量的金融资产</w:t>
      </w:r>
    </w:p>
    <w:p>
      <w:pPr>
        <w:pStyle w:val="BodyText"/>
        <w:spacing w:line="316" w:lineRule="auto" w:before="69"/>
        <w:ind w:right="293" w:firstLine="360"/>
        <w:jc w:val="both"/>
      </w:pPr>
      <w:r>
        <w:rPr>
          <w:spacing w:val="-2"/>
        </w:rPr>
        <w:t>如果有客观证据表明该金融资产发生减值，则将该金融资产的账面价值减记至预计未来现金流量（不包括尚未发生的未</w:t>
      </w:r>
      <w:r>
        <w:rPr/>
        <w:t> </w:t>
      </w: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spacing w:after="0" w:line="316" w:lineRule="auto"/>
        <w:jc w:val="both"/>
        <w:sectPr>
          <w:pgSz w:w="11910" w:h="16840"/>
          <w:pgMar w:header="745" w:footer="982" w:top="1060" w:bottom="1180" w:left="980" w:right="840"/>
        </w:sectPr>
      </w:pPr>
    </w:p>
    <w:p>
      <w:pPr>
        <w:spacing w:line="240" w:lineRule="auto" w:before="9"/>
        <w:rPr>
          <w:rFonts w:ascii="宋体" w:hAnsi="宋体" w:cs="宋体" w:eastAsia="宋体" w:hint="default"/>
          <w:sz w:val="25"/>
          <w:szCs w:val="25"/>
        </w:rPr>
      </w:pPr>
    </w:p>
    <w:p>
      <w:pPr>
        <w:pStyle w:val="BodyText"/>
        <w:spacing w:line="316" w:lineRule="auto" w:before="44"/>
        <w:ind w:right="153" w:firstLine="360"/>
        <w:jc w:val="both"/>
      </w:pPr>
      <w:bookmarkStart w:name="11、应收款项" w:id="168"/>
      <w:bookmarkEnd w:id="168"/>
      <w:r>
        <w:rPr/>
      </w:r>
      <w:bookmarkStart w:name="（1）单项金额重大并单独计提坏账准备的应收款项" w:id="169"/>
      <w:bookmarkEnd w:id="169"/>
      <w:r>
        <w:rPr/>
      </w: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before="18"/>
        <w:ind w:right="147"/>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spacing w:line="240" w:lineRule="auto" w:before="12"/>
        <w:rPr>
          <w:rFonts w:ascii="宋体" w:hAnsi="宋体" w:cs="宋体" w:eastAsia="宋体" w:hint="default"/>
          <w:sz w:val="17"/>
          <w:szCs w:val="17"/>
        </w:rPr>
      </w:pPr>
    </w:p>
    <w:p>
      <w:pPr>
        <w:pStyle w:val="BodyText"/>
        <w:spacing w:line="316" w:lineRule="auto"/>
        <w:ind w:right="151"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4"/>
        </w:rPr>
        <w:t> </w:t>
      </w:r>
      <w:r>
        <w:rPr>
          <w:spacing w:val="-64"/>
        </w:rPr>
      </w:r>
      <w:r>
        <w:rPr/>
        <w:t>情况下该金融资产在转回日的摊余成本。</w:t>
      </w:r>
    </w:p>
    <w:p>
      <w:pPr>
        <w:pStyle w:val="BodyText"/>
        <w:spacing w:line="528" w:lineRule="exact" w:before="22"/>
        <w:ind w:left="512" w:right="147"/>
        <w:jc w:val="left"/>
      </w:pPr>
      <w:r>
        <w:rPr/>
        <w:t>可供出售金融资产 </w:t>
      </w:r>
      <w:r>
        <w:rPr>
          <w:spacing w:val="-2"/>
        </w:rPr>
        <w:t>如果有客观证据表明该金融资产发生减值，原直接计入资本公积的因公允价值下降形成的累计损失，予以转出，计入当</w:t>
      </w:r>
    </w:p>
    <w:p>
      <w:pPr>
        <w:pStyle w:val="BodyText"/>
        <w:spacing w:line="316" w:lineRule="auto"/>
        <w:ind w:right="147"/>
        <w:jc w:val="left"/>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spacing w:line="240" w:lineRule="auto" w:before="12"/>
        <w:rPr>
          <w:rFonts w:ascii="宋体" w:hAnsi="宋体" w:cs="宋体" w:eastAsia="宋体" w:hint="default"/>
          <w:sz w:val="17"/>
          <w:szCs w:val="17"/>
        </w:rPr>
      </w:pPr>
    </w:p>
    <w:p>
      <w:pPr>
        <w:pStyle w:val="BodyText"/>
        <w:spacing w:line="316" w:lineRule="auto"/>
        <w:ind w:right="153"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事项有关的，原确认的减值损失予以转回，计入当期损益。可供出售权益工具投资发生的减值损失，不通过损益转回。</w:t>
      </w:r>
    </w:p>
    <w:p>
      <w:pPr>
        <w:pStyle w:val="BodyText"/>
        <w:spacing w:line="528" w:lineRule="exact" w:before="22"/>
        <w:ind w:left="512" w:right="147"/>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ind w:right="147"/>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w:t>
      </w:r>
    </w:p>
    <w:p>
      <w:pPr>
        <w:spacing w:line="240" w:lineRule="auto" w:before="12"/>
        <w:rPr>
          <w:rFonts w:ascii="宋体" w:hAnsi="宋体" w:cs="宋体" w:eastAsia="宋体" w:hint="default"/>
          <w:sz w:val="17"/>
          <w:szCs w:val="17"/>
        </w:rPr>
      </w:pPr>
    </w:p>
    <w:p>
      <w:pPr>
        <w:pStyle w:val="BodyText"/>
        <w:spacing w:line="508" w:lineRule="auto"/>
        <w:ind w:left="512" w:right="2214"/>
        <w:jc w:val="left"/>
      </w:pPr>
      <w:r>
        <w:rPr/>
        <w:t>（</w:t>
      </w:r>
      <w:r>
        <w:rPr>
          <w:rFonts w:ascii="Times New Roman" w:hAnsi="Times New Roman" w:cs="Times New Roman" w:eastAsia="Times New Roman" w:hint="default"/>
        </w:rPr>
        <w:t>5</w:t>
      </w:r>
      <w:r>
        <w:rPr/>
        <w:t>）金融资产转移 金融资产转移，是指将金融资产让与或交付给该金融资产发行方以外的另一方（转入方）。</w:t>
      </w:r>
    </w:p>
    <w:p>
      <w:pPr>
        <w:pStyle w:val="BodyText"/>
        <w:spacing w:line="316" w:lineRule="auto" w:before="90"/>
        <w:ind w:right="153" w:firstLine="360"/>
        <w:jc w:val="both"/>
      </w:pPr>
      <w:r>
        <w:rPr>
          <w:spacing w:val="-2"/>
        </w:rPr>
        <w:t>本集团已将金融资产所有权上几乎所有的风险和报酬转移给转入方的，终止确认该金融资产；保留了金融资产所有权上</w:t>
      </w:r>
      <w:r>
        <w:rPr/>
        <w:t> 几乎所有的风险和报酬的，不终止确认该金融资产。</w:t>
      </w:r>
    </w:p>
    <w:p>
      <w:pPr>
        <w:spacing w:line="240" w:lineRule="auto" w:before="12"/>
        <w:rPr>
          <w:rFonts w:ascii="宋体" w:hAnsi="宋体" w:cs="宋体" w:eastAsia="宋体" w:hint="default"/>
          <w:sz w:val="17"/>
          <w:szCs w:val="17"/>
        </w:rPr>
      </w:pPr>
    </w:p>
    <w:p>
      <w:pPr>
        <w:pStyle w:val="BodyText"/>
        <w:spacing w:line="316" w:lineRule="auto"/>
        <w:ind w:right="151" w:firstLine="360"/>
        <w:jc w:val="both"/>
      </w:pPr>
      <w:r>
        <w:rPr>
          <w:spacing w:val="-2"/>
        </w:rPr>
        <w:t>本集团既没有转移也没有保留金融资产所有权上几乎所有的风险和报酬的，分别下列情况处理：放弃了对该金融资产控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528" w:lineRule="exact" w:before="22"/>
        <w:ind w:left="512" w:right="147"/>
        <w:jc w:val="left"/>
      </w:pPr>
      <w:r>
        <w:rPr/>
        <w:t>（</w:t>
      </w:r>
      <w:r>
        <w:rPr>
          <w:rFonts w:ascii="Times New Roman" w:hAnsi="Times New Roman" w:cs="Times New Roman" w:eastAsia="Times New Roman" w:hint="default"/>
        </w:rPr>
        <w:t>6</w:t>
      </w:r>
      <w:r>
        <w:rPr/>
        <w:t>）金融资产和金融负债的抵销 </w:t>
      </w:r>
      <w:r>
        <w:rPr>
          <w:spacing w:val="-2"/>
        </w:rPr>
        <w:t>当本集团具有抵销已确认金融资产和金融负债的法定权利，且目前可执行该种法定权利，同时本集团计划以净额结算或</w:t>
      </w:r>
    </w:p>
    <w:p>
      <w:pPr>
        <w:pStyle w:val="BodyText"/>
        <w:spacing w:line="316" w:lineRule="auto"/>
        <w:ind w:right="147"/>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spacing w:line="240" w:lineRule="auto" w:before="12"/>
        <w:rPr>
          <w:rFonts w:ascii="宋体" w:hAnsi="宋体" w:cs="宋体" w:eastAsia="宋体" w:hint="default"/>
          <w:sz w:val="22"/>
          <w:szCs w:val="22"/>
        </w:rPr>
      </w:pPr>
    </w:p>
    <w:p>
      <w:pPr>
        <w:pStyle w:val="Heading3"/>
        <w:spacing w:line="240" w:lineRule="auto"/>
        <w:ind w:right="791"/>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万元（含</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万元）以上的应收款项为单项 金额重大的应收款项。</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1339"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791"/>
        <w:jc w:val="left"/>
        <w:rPr>
          <w:b w:val="0"/>
          <w:bCs w:val="0"/>
        </w:rPr>
      </w:pPr>
      <w:bookmarkStart w:name="12、存货" w:id="170"/>
      <w:bookmarkEnd w:id="170"/>
      <w:r>
        <w:rPr>
          <w:b w:val="0"/>
          <w:bCs w:val="0"/>
        </w:rPr>
      </w:r>
      <w:r>
        <w:rPr/>
        <w:t>（</w:t>
      </w:r>
      <w:r>
        <w:rPr>
          <w:rFonts w:ascii="Times New Roman" w:hAnsi="Times New Roman" w:cs="Times New Roman" w:eastAsia="Times New Roman" w:hint="default"/>
        </w:rPr>
        <w:t>2</w:t>
      </w:r>
      <w:bookmarkStart w:name="（2）按信用风险特征组合计提坏账准备的应收款项" w:id="171"/>
      <w:bookmarkEnd w:id="171"/>
      <w:r>
        <w:rPr>
          <w:rFonts w:ascii="Times New Roman" w:hAnsi="Times New Roman" w:cs="Times New Roman" w:eastAsia="Times New Roman" w:hint="default"/>
        </w:rPr>
      </w:r>
      <w:r>
        <w:rPr/>
        <w:t>）按信用风险特征组合计提坏账准备的应收款项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791"/>
        <w:jc w:val="left"/>
      </w:pPr>
      <w:r>
        <w:rPr/>
        <w:t>组合中，采用账龄分析法计提坏账准备的：</w:t>
      </w:r>
    </w:p>
    <w:p>
      <w:pPr>
        <w:pStyle w:val="BodyText"/>
        <w:spacing w:line="240" w:lineRule="auto" w:before="117"/>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791"/>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bookmarkStart w:name="（3）单项金额不重大但单独计提坏账准备的应收款项" w:id="172"/>
            <w:bookmarkEnd w:id="172"/>
            <w:r>
              <w:rPr/>
            </w: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508" w:lineRule="auto"/>
        <w:ind w:right="1134"/>
        <w:jc w:val="left"/>
      </w:pPr>
      <w:r>
        <w:rPr/>
        <w:t>（</w:t>
      </w:r>
      <w:r>
        <w:rPr>
          <w:rFonts w:ascii="Times New Roman" w:hAnsi="Times New Roman" w:cs="Times New Roman" w:eastAsia="Times New Roman" w:hint="default"/>
        </w:rPr>
        <w:t>1</w:t>
      </w:r>
      <w:r>
        <w:rPr/>
        <w:t>）存货的分类 本集团存货分为库存商品、发出商品、在建开发产品、已完工开发产品和意图出售而暂时出租的开发产品等。</w:t>
      </w:r>
    </w:p>
    <w:p>
      <w:pPr>
        <w:pStyle w:val="BodyText"/>
        <w:spacing w:line="508" w:lineRule="auto" w:before="90"/>
        <w:ind w:right="1314"/>
        <w:jc w:val="left"/>
      </w:pPr>
      <w:r>
        <w:rPr/>
        <w:t>（</w:t>
      </w:r>
      <w:r>
        <w:rPr>
          <w:rFonts w:ascii="Times New Roman" w:hAnsi="Times New Roman" w:cs="Times New Roman" w:eastAsia="Times New Roman" w:hint="default"/>
        </w:rPr>
        <w:t>2</w:t>
      </w:r>
      <w:r>
        <w:rPr/>
        <w:t>）发出存货的计价方法 本集团存货取得时按实际成本计价。原材料、在产品、库存商品、发出商品等发出时采用加权平均法计价。</w:t>
      </w:r>
    </w:p>
    <w:p>
      <w:pPr>
        <w:spacing w:after="0" w:line="508"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53"/>
        <w:jc w:val="both"/>
      </w:pPr>
      <w:r>
        <w:rPr>
          <w:spacing w:val="-2"/>
        </w:rPr>
        <w:t>开发产品的实际成本包括土地出让金、基础配套设施支出、建筑安装工程支出、开发项目完工之前所发生的借款费用及开发</w:t>
      </w:r>
      <w:r>
        <w:rPr>
          <w:spacing w:val="-65"/>
        </w:rPr>
        <w:t> </w:t>
      </w:r>
      <w:r>
        <w:rPr>
          <w:spacing w:val="-65"/>
        </w:rPr>
      </w:r>
      <w:r>
        <w:rPr/>
        <w:t>过程中的其他相关费用。开发产品发出时，采用个别计价法确定其实际成本。</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21"/>
          <w:szCs w:val="21"/>
        </w:rPr>
      </w:pPr>
    </w:p>
    <w:p>
      <w:pPr>
        <w:pStyle w:val="BodyText"/>
        <w:spacing w:line="316" w:lineRule="auto"/>
        <w:ind w:right="151"/>
        <w:jc w:val="both"/>
      </w:pP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316" w:lineRule="auto"/>
        <w:ind w:right="151"/>
        <w:jc w:val="both"/>
      </w:pPr>
      <w:r>
        <w:rPr>
          <w:spacing w:val="-2"/>
        </w:rPr>
        <w:t>资产负债表日，存货成本高于其可变现净值的，计提存货跌价准备。本集团通常按照单个存货项目计提存货跌价准备，资产</w:t>
      </w:r>
      <w:r>
        <w:rPr>
          <w:spacing w:val="-65"/>
        </w:rPr>
        <w:t> </w:t>
      </w:r>
      <w:r>
        <w:rPr>
          <w:spacing w:val="-65"/>
        </w:rPr>
      </w:r>
      <w:r>
        <w:rPr/>
        <w:t>负债表日，以前减记存货价值的影响因素已经消失的，存货跌价准备在原已计提的金额内转回。</w:t>
      </w:r>
    </w:p>
    <w:p>
      <w:pPr>
        <w:spacing w:line="240" w:lineRule="auto" w:before="12"/>
        <w:rPr>
          <w:rFonts w:ascii="宋体" w:hAnsi="宋体" w:cs="宋体" w:eastAsia="宋体" w:hint="default"/>
          <w:sz w:val="17"/>
          <w:szCs w:val="17"/>
        </w:rPr>
      </w:pPr>
    </w:p>
    <w:p>
      <w:pPr>
        <w:pStyle w:val="BodyText"/>
        <w:spacing w:line="508" w:lineRule="auto"/>
        <w:ind w:right="6714"/>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508" w:lineRule="auto" w:before="90"/>
        <w:ind w:right="5994"/>
        <w:jc w:val="left"/>
      </w:pPr>
      <w:r>
        <w:rPr/>
        <w:t>（</w:t>
      </w:r>
      <w:r>
        <w:rPr>
          <w:rFonts w:ascii="Times New Roman" w:hAnsi="Times New Roman" w:cs="Times New Roman" w:eastAsia="Times New Roman" w:hint="default"/>
        </w:rPr>
        <w:t>5</w:t>
      </w:r>
      <w:r>
        <w:rPr/>
        <w:t>）低值易耗品摊销方法 本集团低值易耗品领用时采用一次转销法摊销。</w:t>
      </w:r>
    </w:p>
    <w:p>
      <w:pPr>
        <w:pStyle w:val="Heading3"/>
        <w:spacing w:line="240" w:lineRule="auto" w:before="154"/>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jc w:val="both"/>
      </w:pPr>
      <w:r>
        <w:rPr>
          <w:spacing w:val="-2"/>
        </w:rPr>
        <w:t>本集团长期股权投资包括对被投资单位实施控制、</w:t>
      </w:r>
      <w:bookmarkStart w:name="13、划分为持有待售资产" w:id="173"/>
      <w:bookmarkEnd w:id="173"/>
      <w:r>
        <w:rPr>
          <w:spacing w:val="-2"/>
        </w:rPr>
        <w:t>重大影响的权益性投资</w:t>
      </w:r>
      <w:r>
        <w:rPr>
          <w:spacing w:val="-2"/>
        </w:rPr>
        <w:t>。</w:t>
      </w:r>
      <w:bookmarkStart w:name="14、长期股权投资" w:id="174"/>
      <w:bookmarkEnd w:id="174"/>
      <w:r>
        <w:rPr>
          <w:spacing w:val="-2"/>
        </w:rPr>
        <w:t>本集团能够对被投资单位施加重大影响的</w:t>
      </w:r>
      <w:r>
        <w:rPr>
          <w:spacing w:val="-2"/>
        </w:rPr>
        <w:t>，为本</w:t>
      </w:r>
      <w:r>
        <w:rPr>
          <w:spacing w:val="-63"/>
        </w:rPr>
        <w:t> </w:t>
      </w:r>
      <w:r>
        <w:rPr>
          <w:spacing w:val="-63"/>
        </w:rPr>
      </w:r>
      <w:r>
        <w:rPr/>
        <w:t>集团的联营企业。</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）投资成本确定</w:t>
      </w:r>
    </w:p>
    <w:p>
      <w:pPr>
        <w:spacing w:line="240" w:lineRule="auto" w:before="4"/>
        <w:rPr>
          <w:rFonts w:ascii="宋体" w:hAnsi="宋体" w:cs="宋体" w:eastAsia="宋体" w:hint="default"/>
          <w:sz w:val="21"/>
          <w:szCs w:val="21"/>
        </w:rPr>
      </w:pPr>
    </w:p>
    <w:p>
      <w:pPr>
        <w:pStyle w:val="BodyText"/>
        <w:spacing w:line="316" w:lineRule="auto"/>
        <w:ind w:right="153"/>
        <w:jc w:val="both"/>
      </w:pPr>
      <w:r>
        <w:rPr>
          <w:spacing w:val="-2"/>
        </w:rPr>
        <w:t>对于企业合并形成的长期股权投资：同一控制下企业合并取得的长期股权投资，在合并日按照取得被合并方所有者权益在最</w:t>
      </w:r>
      <w:r>
        <w:rPr>
          <w:spacing w:val="-64"/>
        </w:rPr>
        <w:t> </w:t>
      </w:r>
      <w:r>
        <w:rPr>
          <w:spacing w:val="-64"/>
        </w:rPr>
      </w:r>
      <w:r>
        <w:rPr>
          <w:spacing w:val="-2"/>
        </w:rPr>
        <w:t>终控制方合并财务报表中的账面价值份额作为投资成本；非同一控制下企业合并取得的长期股权投资，按照合并成本作为长</w:t>
      </w:r>
      <w:r>
        <w:rPr>
          <w:spacing w:val="-64"/>
        </w:rPr>
        <w:t> </w:t>
      </w:r>
      <w:r>
        <w:rPr>
          <w:spacing w:val="-64"/>
        </w:rPr>
      </w:r>
      <w:r>
        <w:rPr/>
        <w:t>期股权投资的投资成本。</w:t>
      </w:r>
    </w:p>
    <w:p>
      <w:pPr>
        <w:spacing w:line="240" w:lineRule="auto" w:before="12"/>
        <w:rPr>
          <w:rFonts w:ascii="宋体" w:hAnsi="宋体" w:cs="宋体" w:eastAsia="宋体" w:hint="default"/>
          <w:sz w:val="17"/>
          <w:szCs w:val="17"/>
        </w:rPr>
      </w:pPr>
    </w:p>
    <w:p>
      <w:pPr>
        <w:pStyle w:val="BodyText"/>
        <w:spacing w:line="316" w:lineRule="auto"/>
        <w:ind w:right="153"/>
        <w:jc w:val="both"/>
      </w:pPr>
      <w:r>
        <w:rPr>
          <w:spacing w:val="-2"/>
        </w:rPr>
        <w:t>对于以企业合并以外的其他方式取得的长期股权投资：支付现金取得的长期股权投资，按照实际支付的购买价款作为初始投</w:t>
      </w:r>
      <w:r>
        <w:rPr>
          <w:spacing w:val="-64"/>
        </w:rPr>
        <w:t> </w:t>
      </w:r>
      <w:r>
        <w:rPr>
          <w:spacing w:val="-64"/>
        </w:rPr>
      </w:r>
      <w:r>
        <w:rPr/>
        <w:t>资成本；发行权益性证券取得的长期股权投资，以发行权益性证券的公允价值作为初始投资成本。</w:t>
      </w:r>
    </w:p>
    <w:p>
      <w:pPr>
        <w:spacing w:line="240" w:lineRule="auto" w:before="12"/>
        <w:rPr>
          <w:rFonts w:ascii="宋体" w:hAnsi="宋体" w:cs="宋体" w:eastAsia="宋体" w:hint="default"/>
          <w:sz w:val="17"/>
          <w:szCs w:val="17"/>
        </w:rPr>
      </w:pPr>
    </w:p>
    <w:p>
      <w:pPr>
        <w:pStyle w:val="BodyText"/>
        <w:spacing w:line="508" w:lineRule="auto"/>
        <w:ind w:right="153"/>
        <w:jc w:val="both"/>
      </w:pPr>
      <w:r>
        <w:rPr/>
        <w:t>（</w:t>
      </w:r>
      <w:r>
        <w:rPr>
          <w:rFonts w:ascii="Times New Roman" w:hAnsi="Times New Roman" w:cs="Times New Roman" w:eastAsia="Times New Roman" w:hint="default"/>
        </w:rPr>
        <w:t>2</w:t>
      </w:r>
      <w:r>
        <w:rPr/>
        <w:t>）后续计量及损益确认方法 本集团能够对被投资单位实施控制的长期股权投资采用成本法核算；对联营企业投资采用权益法核算。</w:t>
      </w:r>
    </w:p>
    <w:p>
      <w:pPr>
        <w:pStyle w:val="BodyText"/>
        <w:spacing w:line="316" w:lineRule="auto" w:before="90"/>
        <w:ind w:right="153"/>
        <w:jc w:val="both"/>
      </w:pP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w:t>
      </w:r>
    </w:p>
    <w:p>
      <w:pPr>
        <w:spacing w:line="240" w:lineRule="auto" w:before="12"/>
        <w:rPr>
          <w:rFonts w:ascii="宋体" w:hAnsi="宋体" w:cs="宋体" w:eastAsia="宋体" w:hint="default"/>
          <w:sz w:val="17"/>
          <w:szCs w:val="17"/>
        </w:rPr>
      </w:pPr>
    </w:p>
    <w:p>
      <w:pPr>
        <w:pStyle w:val="BodyText"/>
        <w:spacing w:line="316" w:lineRule="auto"/>
        <w:ind w:right="153"/>
        <w:jc w:val="both"/>
      </w:pPr>
      <w:r>
        <w:rPr>
          <w:spacing w:val="-2"/>
        </w:rPr>
        <w:t>采用权益法核算的长期股权投资，初始投资成本大于投资时应享有被投资单位可辨认净资产公允价值份额的，不调整长期股</w:t>
      </w:r>
      <w:r>
        <w:rPr>
          <w:spacing w:val="-64"/>
        </w:rPr>
        <w:t> </w:t>
      </w:r>
      <w:r>
        <w:rPr>
          <w:spacing w:val="-64"/>
        </w:rPr>
      </w:r>
      <w:r>
        <w:rPr>
          <w:spacing w:val="-2"/>
        </w:rPr>
        <w:t>权投资的投资成本；初始投资成本小于投资时应享有被投资单位可辨认净资产公允价值份额的，对长期股权投资的账面价值</w:t>
      </w:r>
      <w:r>
        <w:rPr>
          <w:spacing w:val="-64"/>
        </w:rPr>
        <w:t> </w:t>
      </w:r>
      <w:r>
        <w:rPr>
          <w:spacing w:val="-64"/>
        </w:rPr>
      </w:r>
      <w:r>
        <w:rPr/>
        <w:t>进行调整，差额计入投资当期的损益。</w:t>
      </w:r>
    </w:p>
    <w:p>
      <w:pPr>
        <w:spacing w:line="240" w:lineRule="auto" w:before="12"/>
        <w:rPr>
          <w:rFonts w:ascii="宋体" w:hAnsi="宋体" w:cs="宋体" w:eastAsia="宋体" w:hint="default"/>
          <w:sz w:val="17"/>
          <w:szCs w:val="17"/>
        </w:rPr>
      </w:pPr>
    </w:p>
    <w:p>
      <w:pPr>
        <w:pStyle w:val="BodyText"/>
        <w:spacing w:line="240" w:lineRule="auto"/>
        <w:ind w:right="0"/>
        <w:jc w:val="both"/>
      </w:pPr>
      <w:r>
        <w:rPr/>
        <w:t>采用权益法核算时，按照应享有或应分担的被投资单位实现的净损益和其他综合收益的份额，分别确认投资收益和其他综合</w:t>
      </w:r>
    </w:p>
    <w:p>
      <w:pPr>
        <w:spacing w:after="0" w:line="24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90"/>
        <w:jc w:val="both"/>
      </w:pPr>
      <w:bookmarkStart w:name="15、投资性房地产" w:id="175"/>
      <w:bookmarkEnd w:id="175"/>
      <w:r>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价值并计入所有者权益。在确认应享有被投资单位净损益的份额时，以取得投资时被投资单位各项可辨认资产等的公允价值</w:t>
      </w:r>
      <w:r>
        <w:rPr>
          <w:spacing w:val="-64"/>
        </w:rPr>
        <w:t> </w:t>
      </w:r>
      <w:r>
        <w:rPr>
          <w:spacing w:val="-64"/>
        </w:rPr>
      </w:r>
      <w:r>
        <w:rPr/>
        <w:t>为基础，并按照本集团的会计政策及会计期间，对被投资单位的净利润进行调整后确认。</w:t>
      </w:r>
    </w:p>
    <w:p>
      <w:pPr>
        <w:spacing w:line="240" w:lineRule="auto" w:before="12"/>
        <w:rPr>
          <w:rFonts w:ascii="宋体" w:hAnsi="宋体" w:cs="宋体" w:eastAsia="宋体" w:hint="default"/>
          <w:sz w:val="17"/>
          <w:szCs w:val="17"/>
        </w:rPr>
      </w:pPr>
    </w:p>
    <w:p>
      <w:pPr>
        <w:pStyle w:val="BodyText"/>
        <w:spacing w:line="316" w:lineRule="auto"/>
        <w:ind w:right="190"/>
        <w:jc w:val="both"/>
      </w:pPr>
      <w:r>
        <w:rPr>
          <w:spacing w:val="-2"/>
        </w:rPr>
        <w:t>因追加投资等原因能够对被投资单位施加重大影响或实施共同控制但不构成控制的，按照原持有的股权投资的公允价值加上</w:t>
      </w:r>
      <w:r>
        <w:rPr>
          <w:spacing w:val="-64"/>
        </w:rPr>
        <w:t> </w:t>
      </w:r>
      <w:r>
        <w:rPr>
          <w:spacing w:val="-64"/>
        </w:rPr>
      </w:r>
      <w:r>
        <w:rPr>
          <w:spacing w:val="-2"/>
        </w:rPr>
        <w:t>新增投资成本之和，作为改按权益法核算的初始投资成本。原持有的股权投资分类为可供出售金融资产的，其公允价值与账</w:t>
      </w:r>
      <w:r>
        <w:rPr>
          <w:spacing w:val="-63"/>
        </w:rPr>
        <w:t> </w:t>
      </w:r>
      <w:r>
        <w:rPr>
          <w:spacing w:val="-63"/>
        </w:rPr>
      </w:r>
      <w:r>
        <w:rPr/>
        <w:t>面价值之间的差额，以及原计入其他综合收益的累计公允价值变动应当转入改按权益法核算的当期损益。</w:t>
      </w:r>
    </w:p>
    <w:p>
      <w:pPr>
        <w:spacing w:line="240" w:lineRule="auto" w:before="12"/>
        <w:rPr>
          <w:rFonts w:ascii="宋体" w:hAnsi="宋体" w:cs="宋体" w:eastAsia="宋体" w:hint="default"/>
          <w:sz w:val="17"/>
          <w:szCs w:val="17"/>
        </w:rPr>
      </w:pPr>
    </w:p>
    <w:p>
      <w:pPr>
        <w:pStyle w:val="BodyText"/>
        <w:spacing w:line="307" w:lineRule="auto"/>
        <w:ind w:right="106"/>
        <w:jc w:val="left"/>
      </w:pPr>
      <w:r>
        <w:rPr>
          <w:spacing w:val="-2"/>
        </w:rPr>
        <w:t>因处置部分股权投资等原因丧失了对被投资单位的共同控制或重大影响的，处置后的剩余股权应当改按《企业会计准则第</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15"/>
        </w:rPr>
        <w:t> </w:t>
      </w:r>
      <w:r>
        <w:rPr>
          <w:spacing w:val="-4"/>
        </w:rPr>
        <w:t>号</w:t>
      </w:r>
      <w:r>
        <w:rPr>
          <w:rFonts w:ascii="Times New Roman" w:hAnsi="Times New Roman" w:cs="Times New Roman" w:eastAsia="Times New Roman" w:hint="default"/>
          <w:spacing w:val="-4"/>
        </w:rPr>
        <w:t>—</w:t>
      </w:r>
      <w:r>
        <w:rPr>
          <w:spacing w:val="-4"/>
        </w:rPr>
        <w:t>金融工具确认和计量》进行会计处理，在丧失共同控制或重大影响之日的公允价值与账面价值之间的差额计入当期损益。</w:t>
      </w:r>
      <w:r>
        <w:rPr>
          <w:spacing w:val="-44"/>
        </w:rPr>
        <w:t> </w:t>
      </w:r>
      <w:r>
        <w:rPr>
          <w:spacing w:val="-44"/>
        </w:rPr>
      </w:r>
      <w:r>
        <w:rPr>
          <w:spacing w:val="-2"/>
        </w:rPr>
        <w:t>原股权投资因采用权益法核算而确认的其他综合收益，应当在终止采用权益法核算时采用与被投资单位直接处置相关资产或</w:t>
      </w:r>
      <w:r>
        <w:rPr>
          <w:spacing w:val="-64"/>
        </w:rPr>
        <w:t> </w:t>
      </w:r>
      <w:r>
        <w:rPr>
          <w:spacing w:val="-64"/>
        </w:rPr>
      </w:r>
      <w:r>
        <w:rPr/>
        <w:t>负债相同的基础进行会计处理；原股权投资相关的其他所有者权益变动转入当期损益。</w:t>
      </w:r>
    </w:p>
    <w:p>
      <w:pPr>
        <w:spacing w:line="240" w:lineRule="auto" w:before="6"/>
        <w:rPr>
          <w:rFonts w:ascii="宋体" w:hAnsi="宋体" w:cs="宋体" w:eastAsia="宋体" w:hint="default"/>
          <w:sz w:val="18"/>
          <w:szCs w:val="18"/>
        </w:rPr>
      </w:pPr>
    </w:p>
    <w:p>
      <w:pPr>
        <w:pStyle w:val="BodyText"/>
        <w:spacing w:line="312" w:lineRule="auto"/>
        <w:ind w:right="190"/>
        <w:jc w:val="both"/>
      </w:pP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6"/>
        </w:rPr>
        <w:t> </w:t>
      </w:r>
      <w:r>
        <w:rPr>
          <w:spacing w:val="-66"/>
        </w:rPr>
      </w:r>
      <w:r>
        <w:rPr>
          <w:spacing w:val="-2"/>
        </w:rPr>
        <w:t>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w:t>
      </w:r>
      <w:r>
        <w:rPr>
          <w:spacing w:val="-62"/>
        </w:rPr>
        <w:t> </w:t>
      </w:r>
      <w:r>
        <w:rPr>
          <w:spacing w:val="-62"/>
        </w:rPr>
      </w:r>
      <w:r>
        <w:rPr/>
        <w:t>制之日的公允价值与账面价值间的差额计入当期损益。</w:t>
      </w:r>
    </w:p>
    <w:p>
      <w:pPr>
        <w:spacing w:line="240" w:lineRule="auto" w:before="3"/>
        <w:rPr>
          <w:rFonts w:ascii="宋体" w:hAnsi="宋体" w:cs="宋体" w:eastAsia="宋体" w:hint="default"/>
          <w:sz w:val="18"/>
          <w:szCs w:val="18"/>
        </w:rPr>
      </w:pPr>
    </w:p>
    <w:p>
      <w:pPr>
        <w:pStyle w:val="BodyText"/>
        <w:spacing w:line="316" w:lineRule="auto"/>
        <w:ind w:right="193"/>
        <w:jc w:val="both"/>
      </w:pPr>
      <w:r>
        <w:rPr>
          <w:spacing w:val="-2"/>
        </w:rPr>
        <w:t>本集团与联营企业及合营企业之间发生的未实现内部交易损益按照持股比例计算归属于本集团的部分，在抵销基础上确认投</w:t>
      </w:r>
      <w:r>
        <w:rPr>
          <w:spacing w:val="-64"/>
        </w:rPr>
        <w:t> </w:t>
      </w:r>
      <w:r>
        <w:rPr>
          <w:spacing w:val="-64"/>
        </w:rPr>
      </w:r>
      <w:r>
        <w:rPr/>
        <w:t>资损益。但本集团与被投资单位发生的未实现内部交易损失，属于所转让资产减值损失的，不予以抵销。</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4"/>
        <w:rPr>
          <w:rFonts w:ascii="宋体" w:hAnsi="宋体" w:cs="宋体" w:eastAsia="宋体" w:hint="default"/>
          <w:sz w:val="21"/>
          <w:szCs w:val="21"/>
        </w:rPr>
      </w:pPr>
    </w:p>
    <w:p>
      <w:pPr>
        <w:pStyle w:val="BodyText"/>
        <w:spacing w:line="316" w:lineRule="auto"/>
        <w:ind w:right="190"/>
        <w:jc w:val="both"/>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能决策。在判断是否存在共同控制时，首先判断所有参与方或参与方组合是否集体控制该安排，如果所有参与方或一组参与</w:t>
      </w:r>
      <w:r>
        <w:rPr>
          <w:spacing w:val="-63"/>
        </w:rPr>
        <w:t> </w:t>
      </w:r>
      <w:r>
        <w:rPr>
          <w:spacing w:val="-63"/>
        </w:rPr>
      </w:r>
      <w:r>
        <w:rPr>
          <w:spacing w:val="-2"/>
        </w:rPr>
        <w:t>方必须一致行动才能决定某项安排的相关活动，则认为所有参与方或一组参与方集体控制该安排。其次再判断该安排相关活</w:t>
      </w:r>
      <w:r>
        <w:rPr>
          <w:spacing w:val="-64"/>
        </w:rPr>
        <w:t> </w:t>
      </w:r>
      <w:r>
        <w:rPr>
          <w:spacing w:val="-64"/>
        </w:rPr>
      </w:r>
      <w:r>
        <w:rPr>
          <w:spacing w:val="-2"/>
        </w:rPr>
        <w:t>动的决策是否必须经过这些集体控制该安排的参与方一致同意。如果存在两个或两个以上的参与方组合能够集体控制某项安</w:t>
      </w:r>
      <w:r>
        <w:rPr>
          <w:spacing w:val="-64"/>
        </w:rPr>
        <w:t> </w:t>
      </w:r>
      <w:r>
        <w:rPr>
          <w:spacing w:val="-64"/>
        </w:rPr>
      </w:r>
      <w:r>
        <w:rPr/>
        <w:t>排的，不构成共同控制。判断是否存在共同控制时，不考虑享有的保护性权利。</w:t>
      </w:r>
    </w:p>
    <w:p>
      <w:pPr>
        <w:spacing w:line="240" w:lineRule="auto" w:before="12"/>
        <w:rPr>
          <w:rFonts w:ascii="宋体" w:hAnsi="宋体" w:cs="宋体" w:eastAsia="宋体" w:hint="default"/>
          <w:sz w:val="17"/>
          <w:szCs w:val="17"/>
        </w:rPr>
      </w:pPr>
    </w:p>
    <w:p>
      <w:pPr>
        <w:pStyle w:val="BodyText"/>
        <w:spacing w:line="316" w:lineRule="auto"/>
        <w:ind w:right="193"/>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spacing w:line="240" w:lineRule="auto" w:before="12"/>
        <w:rPr>
          <w:rFonts w:ascii="宋体" w:hAnsi="宋体" w:cs="宋体" w:eastAsia="宋体" w:hint="default"/>
          <w:sz w:val="17"/>
          <w:szCs w:val="17"/>
        </w:rPr>
      </w:pPr>
    </w:p>
    <w:p>
      <w:pPr>
        <w:pStyle w:val="BodyText"/>
        <w:spacing w:line="307" w:lineRule="auto"/>
        <w:ind w:right="19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的表决权股份时，除非有明确证据表明该种</w:t>
      </w:r>
      <w:r>
        <w:rPr>
          <w:spacing w:val="-87"/>
        </w:rPr>
        <w:t> </w:t>
      </w:r>
      <w:r>
        <w:rPr>
          <w:spacing w:val="-87"/>
        </w:rPr>
      </w:r>
      <w:r>
        <w:rPr>
          <w:spacing w:val="-2"/>
        </w:rPr>
        <w:t>情况下不能参与被投资单位的生产经营决策，不形成重大影响外，均确定对被投资单位具有重大影响；本集团拥有被投资单</w:t>
      </w:r>
      <w:r>
        <w:rPr>
          <w:spacing w:val="-63"/>
        </w:rPr>
        <w:t> </w:t>
      </w:r>
      <w:r>
        <w:rPr>
          <w:spacing w:val="-63"/>
        </w:rPr>
      </w:r>
      <w:r>
        <w:rPr>
          <w:spacing w:val="-1"/>
        </w:rPr>
        <w:t>位</w:t>
      </w:r>
      <w:r>
        <w:rPr>
          <w:rFonts w:ascii="Times New Roman" w:hAnsi="Times New Roman" w:cs="Times New Roman" w:eastAsia="Times New Roman" w:hint="default"/>
          <w:spacing w:val="-1"/>
        </w:rPr>
        <w:t>20%</w:t>
      </w:r>
      <w:r>
        <w:rPr>
          <w:spacing w:val="-1"/>
        </w:rPr>
        <w:t>（不含）以下的表决权股份，一般不认为对被投资单位具有重大影响，除非有明确证据表明该种情况下能够参与被投</w:t>
      </w:r>
      <w:r>
        <w:rPr/>
        <w:t> 资单位的生产经营决策，形成重大影响。</w:t>
      </w:r>
    </w:p>
    <w:p>
      <w:pPr>
        <w:spacing w:line="240" w:lineRule="auto" w:before="6"/>
        <w:rPr>
          <w:rFonts w:ascii="宋体" w:hAnsi="宋体" w:cs="宋体" w:eastAsia="宋体" w:hint="default"/>
          <w:sz w:val="18"/>
          <w:szCs w:val="18"/>
        </w:rPr>
      </w:pPr>
    </w:p>
    <w:p>
      <w:pPr>
        <w:pStyle w:val="BodyText"/>
        <w:spacing w:line="508" w:lineRule="auto"/>
        <w:ind w:right="3154"/>
        <w:jc w:val="left"/>
      </w:pPr>
      <w:r>
        <w:rPr/>
        <w:t>（</w:t>
      </w:r>
      <w:r>
        <w:rPr>
          <w:rFonts w:ascii="Times New Roman" w:hAnsi="Times New Roman" w:cs="Times New Roman" w:eastAsia="Times New Roman" w:hint="default"/>
        </w:rPr>
        <w:t>4</w:t>
      </w:r>
      <w:r>
        <w:rPr/>
        <w:t>）减值测试方法及减值准备计提方法 对子公司、联营企业及合营企业的投资，本集团计提资产减值的方法见附注三、</w:t>
      </w:r>
      <w:r>
        <w:rPr>
          <w:rFonts w:ascii="Times New Roman" w:hAnsi="Times New Roman" w:cs="Times New Roman" w:eastAsia="Times New Roman" w:hint="default"/>
        </w:rPr>
        <w:t>18</w:t>
      </w:r>
      <w:r>
        <w:rPr/>
        <w:t>。</w:t>
      </w:r>
    </w:p>
    <w:p>
      <w:pPr>
        <w:pStyle w:val="Heading3"/>
        <w:spacing w:line="240" w:lineRule="auto" w:before="120"/>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投资性房地产计量模式</w:t>
      </w:r>
    </w:p>
    <w:p>
      <w:pPr>
        <w:spacing w:after="0" w:line="240" w:lineRule="auto"/>
        <w:jc w:val="both"/>
        <w:sectPr>
          <w:footerReference w:type="default" r:id="rId25"/>
          <w:pgSz w:w="11910" w:h="16840"/>
          <w:pgMar w:footer="982" w:header="745"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16</w:t>
      </w:r>
      <w:bookmarkStart w:name="16、固定资产" w:id="176"/>
      <w:bookmarkEnd w:id="176"/>
      <w:r>
        <w:rPr>
          <w:rFonts w:ascii="Times New Roman" w:hAnsi="Times New Roman" w:cs="Times New Roman" w:eastAsia="Times New Roman" w:hint="default"/>
        </w:rPr>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jc w:val="both"/>
      </w:pPr>
      <w:bookmarkStart w:name="（1）确认条件" w:id="177"/>
      <w:bookmarkEnd w:id="177"/>
      <w:r>
        <w:rPr/>
      </w:r>
      <w:r>
        <w:rPr>
          <w:spacing w:val="-2"/>
        </w:rPr>
        <w:t>本集团固定资产是指为生产商品、提供劳务、出租或经营管理而持有的，使用寿命超过一个会计年度的有形资产。与该固定</w:t>
      </w:r>
      <w:r>
        <w:rPr>
          <w:spacing w:val="-64"/>
        </w:rPr>
        <w:t> </w:t>
      </w:r>
      <w:r>
        <w:rPr>
          <w:spacing w:val="-64"/>
        </w:rPr>
      </w:r>
      <w:r>
        <w:rPr>
          <w:spacing w:val="-2"/>
        </w:rPr>
        <w:t>资产有关的经济利益很可能流入企业，并且该固定资产的成本能够可靠地计量时，固定资产才能予以确认。本集团固定资产</w:t>
      </w:r>
      <w:r>
        <w:rPr>
          <w:spacing w:val="-63"/>
        </w:rPr>
        <w:t> </w:t>
      </w:r>
      <w:r>
        <w:rPr>
          <w:spacing w:val="-63"/>
        </w:rPr>
      </w:r>
      <w:r>
        <w:rPr/>
        <w:t>按照取得时的实际成本进行初始计量。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bookmarkStart w:name="（2）折旧方法" w:id="178"/>
            <w:bookmarkEnd w:id="178"/>
            <w:r>
              <w:rPr/>
            </w: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40" w:lineRule="auto" w:before="8"/>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791"/>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21"/>
          <w:szCs w:val="21"/>
        </w:rPr>
      </w:pPr>
    </w:p>
    <w:p>
      <w:pPr>
        <w:pStyle w:val="BodyText"/>
        <w:spacing w:line="316" w:lineRule="auto"/>
        <w:ind w:right="147"/>
        <w:jc w:val="left"/>
      </w:pPr>
      <w:r>
        <w:rPr>
          <w:spacing w:val="-2"/>
        </w:rPr>
        <w:t>本集团发生的借款费用，可直接归属于符合资本化条件的资产的购建或者生产的</w:t>
      </w:r>
      <w:bookmarkStart w:name="（3）融资租入固定资产的认定依据、计价和折旧方法" w:id="179"/>
      <w:bookmarkEnd w:id="179"/>
      <w:r>
        <w:rPr>
          <w:spacing w:val="-2"/>
        </w:rPr>
        <w:t>，</w:t>
      </w:r>
      <w:r>
        <w:rPr>
          <w:spacing w:val="-2"/>
        </w:rPr>
        <w:t>予以资本化，</w:t>
      </w:r>
      <w:bookmarkStart w:name="17、在建工程" w:id="180"/>
      <w:bookmarkEnd w:id="180"/>
      <w:r>
        <w:rPr>
          <w:spacing w:val="-2"/>
        </w:rPr>
      </w:r>
      <w:bookmarkStart w:name="18、借款费用" w:id="181"/>
      <w:bookmarkEnd w:id="181"/>
      <w:r>
        <w:rPr>
          <w:spacing w:val="-2"/>
        </w:rPr>
        <w:t>计入相关资产成本</w:t>
      </w:r>
      <w:r>
        <w:rPr>
          <w:spacing w:val="-2"/>
        </w:rPr>
        <w:t>；其他借</w:t>
      </w:r>
      <w:r>
        <w:rPr>
          <w:spacing w:val="-64"/>
        </w:rPr>
        <w:t> </w:t>
      </w:r>
      <w:r>
        <w:rPr>
          <w:spacing w:val="-64"/>
        </w:rPr>
      </w:r>
      <w:r>
        <w:rPr/>
        <w:t>款费用，在发生时根据其发生额确认为费用，计入当期损益。借款费用同时满足下列条件的，开始资本化：</w:t>
      </w:r>
    </w:p>
    <w:p>
      <w:pPr>
        <w:spacing w:line="240" w:lineRule="auto" w:before="12"/>
        <w:rPr>
          <w:rFonts w:ascii="宋体" w:hAnsi="宋体" w:cs="宋体" w:eastAsia="宋体" w:hint="default"/>
          <w:sz w:val="17"/>
          <w:szCs w:val="17"/>
        </w:rPr>
      </w:pPr>
    </w:p>
    <w:p>
      <w:pPr>
        <w:pStyle w:val="BodyText"/>
        <w:spacing w:line="316" w:lineRule="auto"/>
        <w:ind w:right="144"/>
        <w:jc w:val="left"/>
      </w:pPr>
      <w:r>
        <w:rPr/>
        <w:t>① 资产支出已经发生，资产支出包括为购建或者生产符合资本化条件的资产而以支付现金、转移非现金资产或者承担带息</w:t>
      </w:r>
      <w:r>
        <w:rPr>
          <w:spacing w:val="-85"/>
        </w:rPr>
        <w:t> </w:t>
      </w:r>
      <w:r>
        <w:rPr>
          <w:spacing w:val="-85"/>
        </w:rPr>
      </w:r>
      <w:r>
        <w:rPr/>
        <w:t>债务形式发生的支出；</w:t>
      </w:r>
    </w:p>
    <w:p>
      <w:pPr>
        <w:spacing w:line="240" w:lineRule="auto" w:before="12"/>
        <w:rPr>
          <w:rFonts w:ascii="宋体" w:hAnsi="宋体" w:cs="宋体" w:eastAsia="宋体" w:hint="default"/>
          <w:sz w:val="17"/>
          <w:szCs w:val="17"/>
        </w:rPr>
      </w:pPr>
    </w:p>
    <w:p>
      <w:pPr>
        <w:pStyle w:val="BodyText"/>
        <w:spacing w:line="240" w:lineRule="auto"/>
        <w:ind w:right="791"/>
        <w:jc w:val="left"/>
      </w:pPr>
      <w:r>
        <w:rPr/>
        <w:t>②</w:t>
      </w:r>
      <w:r>
        <w:rPr>
          <w:spacing w:val="-18"/>
        </w:rPr>
        <w:t> </w:t>
      </w:r>
      <w:r>
        <w:rPr/>
        <w:t>借款费用已经发生；</w:t>
      </w:r>
    </w:p>
    <w:p>
      <w:pPr>
        <w:spacing w:line="240" w:lineRule="auto" w:before="5"/>
        <w:rPr>
          <w:rFonts w:ascii="宋体" w:hAnsi="宋体" w:cs="宋体" w:eastAsia="宋体" w:hint="default"/>
          <w:sz w:val="22"/>
          <w:szCs w:val="22"/>
        </w:rPr>
      </w:pPr>
    </w:p>
    <w:p>
      <w:pPr>
        <w:pStyle w:val="BodyText"/>
        <w:spacing w:line="240" w:lineRule="auto"/>
        <w:ind w:right="791"/>
        <w:jc w:val="left"/>
      </w:pPr>
      <w:r>
        <w:rPr/>
        <w:t>③</w:t>
      </w:r>
      <w:r>
        <w:rPr>
          <w:spacing w:val="-18"/>
        </w:rPr>
        <w:t> </w:t>
      </w:r>
      <w:r>
        <w:rPr/>
        <w:t>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BodyText"/>
        <w:spacing w:line="240" w:lineRule="auto"/>
        <w:ind w:right="791"/>
        <w:jc w:val="left"/>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21"/>
          <w:szCs w:val="21"/>
        </w:rPr>
      </w:pPr>
    </w:p>
    <w:p>
      <w:pPr>
        <w:pStyle w:val="BodyText"/>
        <w:spacing w:line="316" w:lineRule="auto"/>
        <w:ind w:right="147"/>
        <w:jc w:val="left"/>
      </w:pP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w:t>
      </w:r>
    </w:p>
    <w:p>
      <w:pPr>
        <w:spacing w:line="240" w:lineRule="auto" w:before="12"/>
        <w:rPr>
          <w:rFonts w:ascii="宋体" w:hAnsi="宋体" w:cs="宋体" w:eastAsia="宋体" w:hint="default"/>
          <w:sz w:val="17"/>
          <w:szCs w:val="17"/>
        </w:rPr>
      </w:pPr>
    </w:p>
    <w:p>
      <w:pPr>
        <w:pStyle w:val="BodyText"/>
        <w:spacing w:line="240" w:lineRule="auto"/>
        <w:ind w:right="0"/>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p>
    <w:p>
      <w:pPr>
        <w:spacing w:after="0" w:line="240" w:lineRule="auto"/>
        <w:jc w:val="left"/>
        <w:sectPr>
          <w:footerReference w:type="default" r:id="rId26"/>
          <w:pgSz w:w="11910" w:h="16840"/>
          <w:pgMar w:footer="982" w:header="745" w:top="1060" w:bottom="1180" w:left="980" w:right="98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186"/>
        <w:jc w:val="left"/>
      </w:pPr>
      <w:bookmarkStart w:name="22、长期资产减值" w:id="182"/>
      <w:bookmarkEnd w:id="182"/>
      <w:r>
        <w:rPr/>
      </w:r>
      <w:r>
        <w:rPr/>
        <w:t>常中断期间的借款费用继续资本化。</w:t>
      </w:r>
    </w:p>
    <w:p>
      <w:pPr>
        <w:spacing w:line="240" w:lineRule="auto" w:before="5"/>
        <w:rPr>
          <w:rFonts w:ascii="宋体" w:hAnsi="宋体" w:cs="宋体" w:eastAsia="宋体" w:hint="default"/>
          <w:sz w:val="22"/>
          <w:szCs w:val="22"/>
        </w:rPr>
      </w:pPr>
    </w:p>
    <w:p>
      <w:pPr>
        <w:pStyle w:val="BodyText"/>
        <w:spacing w:line="240" w:lineRule="auto"/>
        <w:ind w:right="186"/>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4"/>
        <w:rPr>
          <w:rFonts w:ascii="宋体" w:hAnsi="宋体" w:cs="宋体" w:eastAsia="宋体" w:hint="default"/>
          <w:sz w:val="21"/>
          <w:szCs w:val="21"/>
        </w:rPr>
      </w:pPr>
    </w:p>
    <w:p>
      <w:pPr>
        <w:pStyle w:val="BodyText"/>
        <w:spacing w:line="316" w:lineRule="auto"/>
        <w:ind w:right="94"/>
        <w:jc w:val="left"/>
      </w:pP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w:t>
      </w:r>
      <w:r>
        <w:rPr>
          <w:spacing w:val="-83"/>
        </w:rPr>
        <w:t> </w:t>
      </w:r>
      <w:r>
        <w:rPr>
          <w:spacing w:val="-83"/>
        </w:rPr>
      </w:r>
      <w:r>
        <w:rPr/>
        <w:t>确定资本化金额。资本化率根据一般借款的加权平均利率计算确定。</w:t>
      </w:r>
    </w:p>
    <w:p>
      <w:pPr>
        <w:spacing w:line="240" w:lineRule="auto" w:before="12"/>
        <w:rPr>
          <w:rFonts w:ascii="宋体" w:hAnsi="宋体" w:cs="宋体" w:eastAsia="宋体" w:hint="default"/>
          <w:sz w:val="17"/>
          <w:szCs w:val="17"/>
        </w:rPr>
      </w:pPr>
    </w:p>
    <w:p>
      <w:pPr>
        <w:pStyle w:val="BodyText"/>
        <w:spacing w:line="240" w:lineRule="auto"/>
        <w:ind w:right="186"/>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pStyle w:val="Heading3"/>
        <w:spacing w:line="240" w:lineRule="auto" w:before="120"/>
        <w:ind w:right="186"/>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6"/>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6"/>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6"/>
        <w:jc w:val="left"/>
        <w:rPr>
          <w:b w:val="0"/>
          <w:bCs w:val="0"/>
        </w:rPr>
      </w:pPr>
      <w:r>
        <w:rPr/>
        <w:t>（</w:t>
      </w:r>
      <w:r>
        <w:rPr>
          <w:rFonts w:ascii="Times New Roman" w:hAnsi="Times New Roman" w:cs="Times New Roman" w:eastAsia="Times New Roman" w:hint="default"/>
        </w:rPr>
        <w:t>1</w:t>
      </w:r>
      <w:r>
        <w:rPr/>
        <w:t>）计价方法、使用寿命</w:t>
      </w:r>
      <w:bookmarkStart w:name="19、生物资产" w:id="183"/>
      <w:bookmarkEnd w:id="183"/>
      <w:r>
        <w:rPr/>
        <w:t>、减值测试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6"/>
        <w:jc w:val="left"/>
      </w:pPr>
      <w:bookmarkStart w:name="20、油气资产" w:id="184"/>
      <w:bookmarkEnd w:id="184"/>
      <w:r>
        <w:rPr/>
      </w:r>
      <w:bookmarkStart w:name="21、无形资产" w:id="185"/>
      <w:bookmarkEnd w:id="185"/>
      <w:r>
        <w:rPr/>
      </w:r>
      <w:r>
        <w:rPr/>
        <w:t>本集团无形资产包括计算机软件、自行开发的非专利技术等。</w:t>
      </w:r>
    </w:p>
    <w:p>
      <w:pPr>
        <w:spacing w:line="240" w:lineRule="auto" w:before="5"/>
        <w:rPr>
          <w:rFonts w:ascii="宋体" w:hAnsi="宋体" w:cs="宋体" w:eastAsia="宋体" w:hint="default"/>
          <w:sz w:val="22"/>
          <w:szCs w:val="22"/>
        </w:rPr>
      </w:pPr>
    </w:p>
    <w:p>
      <w:pPr>
        <w:pStyle w:val="BodyText"/>
        <w:spacing w:line="316" w:lineRule="auto"/>
        <w:ind w:right="94"/>
        <w:jc w:val="left"/>
      </w:pPr>
      <w:r>
        <w:rPr>
          <w:spacing w:val="-5"/>
        </w:rPr>
        <w:t>无形资产按照成本进行初始计量，</w:t>
      </w:r>
      <w:bookmarkStart w:name="（1）计价方法、使用寿命、减值测试" w:id="186"/>
      <w:bookmarkEnd w:id="186"/>
      <w:r>
        <w:rPr>
          <w:spacing w:val="-5"/>
        </w:rPr>
        <w:t>并于取得无形资产时分析判断其使用寿命</w:t>
      </w:r>
      <w:r>
        <w:rPr>
          <w:spacing w:val="-5"/>
        </w:rPr>
        <w:t>。使用寿命为有限的，自无形资产可供使用时起，</w:t>
      </w:r>
      <w:r>
        <w:rPr>
          <w:spacing w:val="-76"/>
        </w:rPr>
        <w:t> </w:t>
      </w:r>
      <w:r>
        <w:rPr>
          <w:spacing w:val="-76"/>
        </w:rPr>
      </w:r>
      <w:r>
        <w:rPr/>
        <w:t>采用能反映与该资产有关的经济利益的预期实现方式的摊销方法，在预计使用年限内摊销；无法可靠确定预期实现方式的，</w:t>
      </w:r>
      <w:r>
        <w:rPr>
          <w:spacing w:val="-83"/>
        </w:rPr>
        <w:t> </w:t>
      </w:r>
      <w:r>
        <w:rPr>
          <w:spacing w:val="-83"/>
        </w:rPr>
      </w:r>
      <w:r>
        <w:rPr/>
        <w:t>采用直线法摊销；使用寿命不确定的无形资产，不作摊销。</w:t>
      </w:r>
    </w:p>
    <w:p>
      <w:pPr>
        <w:spacing w:line="240" w:lineRule="auto" w:before="11"/>
        <w:rPr>
          <w:rFonts w:ascii="宋体" w:hAnsi="宋体" w:cs="宋体" w:eastAsia="宋体" w:hint="default"/>
          <w:sz w:val="22"/>
          <w:szCs w:val="22"/>
        </w:rPr>
      </w:pPr>
    </w:p>
    <w:p>
      <w:pPr>
        <w:spacing w:line="530" w:lineRule="auto" w:before="0"/>
        <w:ind w:left="152" w:right="3874"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74"/>
        <w:ind w:right="190"/>
        <w:jc w:val="both"/>
      </w:pPr>
      <w:r>
        <w:rPr>
          <w:spacing w:val="-5"/>
        </w:rPr>
        <w:t>开发阶段的支出，同时满足下列条件的，才能予以资本化，即：</w:t>
      </w:r>
      <w:bookmarkStart w:name="（2）内部研究开发支出会计政策" w:id="187"/>
      <w:bookmarkEnd w:id="187"/>
      <w:r>
        <w:rPr>
          <w:spacing w:val="-5"/>
        </w:rPr>
        <w:t>完成该无形资产以使其能够使用或出售在技术上具有可行性；</w:t>
      </w:r>
      <w:r>
        <w:rPr>
          <w:spacing w:val="-78"/>
        </w:rPr>
        <w:t> </w:t>
      </w:r>
      <w:r>
        <w:rPr>
          <w:spacing w:val="-78"/>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7"/>
        </w:rPr>
        <w:t> </w:t>
      </w:r>
      <w:r>
        <w:rPr>
          <w:spacing w:val="-67"/>
        </w:rPr>
      </w:r>
      <w:r>
        <w:rPr>
          <w:spacing w:val="-2"/>
        </w:rPr>
        <w:t>完成该无形资产的开发，并有能力使用或出售该无形资产；归属于该无形资产开发阶段的支出能够可靠地计量。不满足上述</w:t>
      </w:r>
      <w:r>
        <w:rPr>
          <w:spacing w:val="-63"/>
        </w:rPr>
        <w:t> </w:t>
      </w:r>
      <w:r>
        <w:rPr>
          <w:spacing w:val="-63"/>
        </w:rPr>
      </w:r>
      <w:r>
        <w:rPr/>
        <w:t>条件的开发支出计入当期损益。</w:t>
      </w:r>
    </w:p>
    <w:p>
      <w:pPr>
        <w:spacing w:line="240" w:lineRule="auto" w:before="12"/>
        <w:rPr>
          <w:rFonts w:ascii="宋体" w:hAnsi="宋体" w:cs="宋体" w:eastAsia="宋体" w:hint="default"/>
          <w:sz w:val="17"/>
          <w:szCs w:val="17"/>
        </w:rPr>
      </w:pPr>
    </w:p>
    <w:p>
      <w:pPr>
        <w:pStyle w:val="BodyText"/>
        <w:spacing w:line="537" w:lineRule="auto"/>
        <w:ind w:right="994"/>
        <w:jc w:val="left"/>
      </w:pPr>
      <w:r>
        <w:rPr/>
        <w:t>本集团研究开发项目在满足上述条件，通过技术可行性及经济可行性研究，形成项目立项后，进入开发阶段。 已资本化的开发阶段的支出在资产负债表上列示为开发支出，自该项目达到预定可使用状态之日转为无形资产。</w:t>
      </w:r>
    </w:p>
    <w:p>
      <w:pPr>
        <w:pStyle w:val="Heading3"/>
        <w:spacing w:line="240" w:lineRule="auto" w:before="133"/>
        <w:ind w:right="186"/>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86"/>
        <w:jc w:val="left"/>
      </w:pPr>
      <w:r>
        <w:rPr/>
        <w:t>对子公司、联营企业的长期股权投资、固定资产、在建工程、无形资产的资产减值，按以下方法确定：</w:t>
      </w:r>
    </w:p>
    <w:p>
      <w:pPr>
        <w:spacing w:line="240" w:lineRule="auto" w:before="5"/>
        <w:rPr>
          <w:rFonts w:ascii="宋体" w:hAnsi="宋体" w:cs="宋体" w:eastAsia="宋体" w:hint="default"/>
          <w:sz w:val="22"/>
          <w:szCs w:val="22"/>
        </w:rPr>
      </w:pPr>
    </w:p>
    <w:p>
      <w:pPr>
        <w:pStyle w:val="BodyText"/>
        <w:spacing w:line="316" w:lineRule="auto"/>
        <w:ind w:right="190"/>
        <w:jc w:val="both"/>
      </w:pPr>
      <w:r>
        <w:rPr>
          <w:spacing w:val="-2"/>
        </w:rPr>
        <w:t>于资产负债表日判断资产是否存在可能发生减值的迹象，存在减值迹象的，本集团将估计其可收回金额，进行减值测试。对</w:t>
      </w:r>
      <w:r>
        <w:rPr>
          <w:spacing w:val="-64"/>
        </w:rPr>
        <w:t> </w:t>
      </w:r>
      <w:r>
        <w:rPr>
          <w:spacing w:val="-64"/>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3"/>
        <w:jc w:val="both"/>
      </w:pPr>
      <w:bookmarkStart w:name="（3）辞退福利的会计处理方法" w:id="188"/>
      <w:bookmarkEnd w:id="188"/>
      <w:r>
        <w:rPr/>
      </w:r>
      <w:bookmarkStart w:name="（4）其他长期职工福利的会计处理方法" w:id="189"/>
      <w:bookmarkEnd w:id="189"/>
      <w:r>
        <w:rPr/>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right="193"/>
        <w:jc w:val="both"/>
      </w:pPr>
      <w:r>
        <w:rPr>
          <w:spacing w:val="-2"/>
        </w:rPr>
        <w:t>当资产或资产组的可收回金额低于其账面价值时，本集团将其账面价值减记至可收回金额，减记的金额计入当期损益，同时</w:t>
      </w:r>
      <w:r>
        <w:rPr>
          <w:spacing w:val="-65"/>
        </w:rPr>
        <w:t> </w:t>
      </w:r>
      <w:r>
        <w:rPr>
          <w:spacing w:val="-65"/>
        </w:rPr>
      </w:r>
      <w:r>
        <w:rPr/>
        <w:t>计提相应的资产减值准备。</w:t>
      </w:r>
    </w:p>
    <w:p>
      <w:pPr>
        <w:spacing w:line="240" w:lineRule="auto" w:before="12"/>
        <w:rPr>
          <w:rFonts w:ascii="宋体" w:hAnsi="宋体" w:cs="宋体" w:eastAsia="宋体" w:hint="default"/>
          <w:sz w:val="17"/>
          <w:szCs w:val="17"/>
        </w:rPr>
      </w:pPr>
    </w:p>
    <w:p>
      <w:pPr>
        <w:pStyle w:val="BodyText"/>
        <w:spacing w:line="240" w:lineRule="auto"/>
        <w:ind w:right="0"/>
        <w:jc w:val="both"/>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
        <w:jc w:val="both"/>
      </w:pPr>
      <w:bookmarkStart w:name="23、长期待摊费用" w:id="190"/>
      <w:bookmarkEnd w:id="190"/>
      <w:r>
        <w:rPr/>
      </w:r>
      <w:r>
        <w:rPr>
          <w:spacing w:val="-4"/>
        </w:rPr>
        <w:t>本集团发生的长期待摊费用按实际成本计价，并按预计受益期限平均摊销。对不能使以后会计期间受益的长期待摊费用项目，</w:t>
      </w:r>
      <w:r>
        <w:rPr>
          <w:spacing w:val="-44"/>
        </w:rPr>
        <w:t> </w:t>
      </w:r>
      <w:r>
        <w:rPr>
          <w:spacing w:val="-44"/>
        </w:rPr>
      </w:r>
      <w:r>
        <w:rPr/>
        <w:t>其摊余价值全部计入当期损益。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本集团在职工提供服务的会计期间，</w:t>
      </w:r>
      <w:bookmarkStart w:name="24、职工薪酬" w:id="191"/>
      <w:bookmarkEnd w:id="191"/>
      <w:r>
        <w:rPr>
          <w:spacing w:val="-2"/>
        </w:rPr>
        <w:t>将实际发生的职工工</w:t>
      </w:r>
      <w:r>
        <w:rPr>
          <w:spacing w:val="-2"/>
        </w:rPr>
        <w:t>资、</w:t>
      </w:r>
      <w:bookmarkStart w:name="（1）短期薪酬的会计处理方法" w:id="192"/>
      <w:bookmarkEnd w:id="192"/>
      <w:r>
        <w:rPr>
          <w:spacing w:val="-2"/>
        </w:rPr>
        <w:t>奖金</w:t>
      </w:r>
      <w:r>
        <w:rPr>
          <w:spacing w:val="-2"/>
        </w:rPr>
        <w:t>、按规定的基准和比例为职工缴纳的医疗保险费、工伤保</w:t>
      </w:r>
      <w:r>
        <w:rPr>
          <w:spacing w:val="-64"/>
        </w:rPr>
        <w:t> </w:t>
      </w:r>
      <w:r>
        <w:rPr>
          <w:spacing w:val="-64"/>
        </w:rPr>
      </w:r>
      <w:r>
        <w:rPr>
          <w:spacing w:val="-2"/>
        </w:rPr>
        <w:t>险费和生育保险费等社会保险费和住房公积金，确认为负债，并计入当期损益或相关资产成本。如果该负债预期在职工提供</w:t>
      </w:r>
      <w:r>
        <w:rPr>
          <w:spacing w:val="-63"/>
        </w:rPr>
        <w:t> </w:t>
      </w:r>
      <w:r>
        <w:rPr>
          <w:spacing w:val="-63"/>
        </w:rPr>
      </w:r>
      <w:r>
        <w:rPr/>
        <w:t>相关服务的年度报告期结束后十二个月内不能完全支付，且财务影响重大的，则该负债将以折现后的金额计量。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jc w:val="both"/>
      </w:pPr>
      <w:r>
        <w:rPr>
          <w:spacing w:val="-2"/>
        </w:rPr>
        <w:t>离职后福利计划包括设定提存计划和设定受益计划。其中，设定提存计划，是指向独立的</w:t>
      </w:r>
      <w:bookmarkStart w:name="（2）离职后福利的会计处理方法" w:id="193"/>
      <w:bookmarkEnd w:id="193"/>
      <w:r>
        <w:rPr>
          <w:spacing w:val="-2"/>
        </w:rPr>
        <w:t>基金缴存固定费用后</w:t>
      </w:r>
      <w:r>
        <w:rPr>
          <w:spacing w:val="-2"/>
        </w:rPr>
        <w:t>，企业不再承</w:t>
      </w:r>
      <w:r>
        <w:rPr>
          <w:spacing w:val="-64"/>
        </w:rPr>
        <w:t> </w:t>
      </w:r>
      <w:r>
        <w:rPr>
          <w:spacing w:val="-64"/>
        </w:rPr>
      </w:r>
      <w:r>
        <w:rPr/>
        <w:t>担进一步支付义务的离职后福利计划；设定受益计划，是指除设定提存计划以外的离职后福利计划。</w:t>
      </w:r>
    </w:p>
    <w:p>
      <w:pPr>
        <w:spacing w:line="240" w:lineRule="auto" w:before="12"/>
        <w:rPr>
          <w:rFonts w:ascii="宋体" w:hAnsi="宋体" w:cs="宋体" w:eastAsia="宋体" w:hint="default"/>
          <w:sz w:val="17"/>
          <w:szCs w:val="17"/>
        </w:rPr>
      </w:pPr>
    </w:p>
    <w:p>
      <w:pPr>
        <w:pStyle w:val="BodyText"/>
        <w:spacing w:line="537" w:lineRule="auto"/>
        <w:ind w:right="6214"/>
        <w:jc w:val="left"/>
      </w:pPr>
      <w:r>
        <w:rPr/>
        <w:t>设定提存计划 设定提存计划包括基本养老保险、失业保险。</w:t>
      </w:r>
    </w:p>
    <w:p>
      <w:pPr>
        <w:pStyle w:val="BodyText"/>
        <w:spacing w:line="240" w:lineRule="auto" w:before="69"/>
        <w:ind w:right="0"/>
        <w:jc w:val="both"/>
      </w:pPr>
      <w:r>
        <w:rPr/>
        <w:t>在职工提供服务的会计期间，根据设定提存计划计算的应缴存金额确认为负债，并计入当期损益或相关资产成本。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本集团向职工提供辞退福利的，在下列两者孰早日确认辞退福利产生的职工薪酬负债，并计入当期损益：本集团不能单方面</w:t>
      </w:r>
      <w:r>
        <w:rPr>
          <w:spacing w:val="-63"/>
        </w:rPr>
        <w:t> </w:t>
      </w:r>
      <w:r>
        <w:rPr>
          <w:spacing w:val="-63"/>
        </w:rPr>
      </w:r>
      <w:r>
        <w:rPr/>
        <w:t>撤回因解除劳动关系计划或裁减建议所提供的辞退福利时；本集团确认与涉及支付辞退福利的重组相关的成本或费用时。</w:t>
      </w:r>
    </w:p>
    <w:p>
      <w:pPr>
        <w:spacing w:line="240" w:lineRule="auto" w:before="12"/>
        <w:rPr>
          <w:rFonts w:ascii="宋体" w:hAnsi="宋体" w:cs="宋体" w:eastAsia="宋体" w:hint="default"/>
          <w:sz w:val="17"/>
          <w:szCs w:val="17"/>
        </w:rPr>
      </w:pPr>
    </w:p>
    <w:p>
      <w:pPr>
        <w:pStyle w:val="BodyText"/>
        <w:spacing w:line="316" w:lineRule="auto"/>
        <w:ind w:right="190"/>
        <w:jc w:val="both"/>
      </w:pPr>
      <w:r>
        <w:rPr>
          <w:spacing w:val="-2"/>
        </w:rPr>
        <w:t>实行职工内部退休计划的，在正式退休日之前的经济补偿，属于辞退福利，自职工停止提供服务日至正常退休日期间，拟支</w:t>
      </w:r>
      <w:r>
        <w:rPr>
          <w:spacing w:val="-65"/>
        </w:rPr>
        <w:t> </w:t>
      </w:r>
      <w:r>
        <w:rPr>
          <w:spacing w:val="-65"/>
        </w:rPr>
      </w:r>
      <w:r>
        <w:rPr>
          <w:spacing w:val="-2"/>
        </w:rPr>
        <w:t>付的内退职工工资和缴纳的社会保险费等一次性计入当期损益。正式退休日期之后的经济补偿（如正常养老退休金），按照</w:t>
      </w:r>
      <w:r>
        <w:rPr>
          <w:spacing w:val="-66"/>
        </w:rPr>
        <w:t> </w:t>
      </w:r>
      <w:r>
        <w:rPr>
          <w:spacing w:val="-66"/>
        </w:rPr>
      </w:r>
      <w:r>
        <w:rPr/>
        <w:t>离职后福利处理。</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after="0" w:line="240" w:lineRule="auto"/>
        <w:jc w:val="both"/>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25、预计负债" w:id="194"/>
      <w:bookmarkEnd w:id="194"/>
      <w:r>
        <w:rPr>
          <w:rFonts w:ascii="Times New Roman" w:hAnsi="Times New Roman" w:cs="Times New Roman" w:eastAsia="Times New Roman" w:hint="default"/>
        </w:rPr>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791"/>
        <w:jc w:val="left"/>
      </w:pPr>
      <w:r>
        <w:rPr/>
        <w:t>如果与或有事项相关的义务同时符合以下条件，本集团将其确认为预计负债：</w:t>
      </w:r>
    </w:p>
    <w:p>
      <w:pPr>
        <w:spacing w:line="240" w:lineRule="auto" w:before="5"/>
        <w:rPr>
          <w:rFonts w:ascii="宋体" w:hAnsi="宋体" w:cs="宋体" w:eastAsia="宋体" w:hint="default"/>
          <w:sz w:val="22"/>
          <w:szCs w:val="22"/>
        </w:rPr>
      </w:pPr>
    </w:p>
    <w:p>
      <w:pPr>
        <w:pStyle w:val="BodyText"/>
        <w:spacing w:line="240" w:lineRule="auto"/>
        <w:ind w:left="512" w:right="791"/>
        <w:jc w:val="left"/>
      </w:pPr>
      <w:r>
        <w:rPr/>
        <w:t>（</w:t>
      </w: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left="512" w:right="791"/>
        <w:jc w:val="left"/>
      </w:pPr>
      <w:r>
        <w:rPr/>
        <w:t>（</w:t>
      </w:r>
      <w:r>
        <w:rPr>
          <w:rFonts w:ascii="Times New Roman" w:hAnsi="Times New Roman" w:cs="Times New Roman" w:eastAsia="Times New Roman" w:hint="default"/>
        </w:rPr>
        <w:t>2</w:t>
      </w:r>
      <w:r>
        <w:rPr/>
        <w:t>）该义务的履行很可能导致经济利益流出本公司；</w:t>
      </w:r>
    </w:p>
    <w:p>
      <w:pPr>
        <w:spacing w:line="240" w:lineRule="auto" w:before="4"/>
        <w:rPr>
          <w:rFonts w:ascii="宋体" w:hAnsi="宋体" w:cs="宋体" w:eastAsia="宋体" w:hint="default"/>
          <w:sz w:val="21"/>
          <w:szCs w:val="21"/>
        </w:rPr>
      </w:pPr>
    </w:p>
    <w:p>
      <w:pPr>
        <w:pStyle w:val="BodyText"/>
        <w:spacing w:line="240" w:lineRule="auto"/>
        <w:ind w:left="512" w:right="791"/>
        <w:jc w:val="left"/>
      </w:pPr>
      <w:r>
        <w:rPr/>
        <w:t>（</w:t>
      </w:r>
      <w:r>
        <w:rPr>
          <w:rFonts w:ascii="Times New Roman" w:hAnsi="Times New Roman" w:cs="Times New Roman" w:eastAsia="Times New Roman" w:hint="default"/>
        </w:rPr>
        <w:t>3</w:t>
      </w:r>
      <w:r>
        <w:rPr/>
        <w:t>）该义务的金额能够可靠地计量。</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货币时间价值等因素。货币时间价值影响重大的，通过对相关未来现金流出进行折现后确定最佳估计数。本公司于资产负债</w:t>
      </w:r>
      <w:r>
        <w:rPr>
          <w:spacing w:val="-63"/>
        </w:rPr>
        <w:t> </w:t>
      </w:r>
      <w:r>
        <w:rPr>
          <w:spacing w:val="-63"/>
        </w:rPr>
      </w:r>
      <w:r>
        <w:rPr/>
        <w:t>表日对预计负债的账面价值进行复核，并对账面价值进行调整以反映当前最佳估计数。</w:t>
      </w:r>
    </w:p>
    <w:p>
      <w:pPr>
        <w:spacing w:line="240" w:lineRule="auto" w:before="12"/>
        <w:rPr>
          <w:rFonts w:ascii="宋体" w:hAnsi="宋体" w:cs="宋体" w:eastAsia="宋体" w:hint="default"/>
          <w:sz w:val="17"/>
          <w:szCs w:val="17"/>
        </w:rPr>
      </w:pPr>
    </w:p>
    <w:p>
      <w:pPr>
        <w:pStyle w:val="BodyText"/>
        <w:spacing w:line="316" w:lineRule="auto"/>
        <w:ind w:right="147" w:firstLine="360"/>
        <w:jc w:val="left"/>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791"/>
        <w:jc w:val="left"/>
      </w:pPr>
      <w:r>
        <w:rPr/>
        <w:t>（</w:t>
      </w:r>
      <w:r>
        <w:rPr>
          <w:rFonts w:ascii="Times New Roman" w:hAnsi="Times New Roman" w:cs="Times New Roman" w:eastAsia="Times New Roman" w:hint="default"/>
        </w:rPr>
        <w:t>1</w:t>
      </w:r>
      <w:r>
        <w:rPr/>
        <w:t>）一般原则</w:t>
      </w:r>
    </w:p>
    <w:p>
      <w:pPr>
        <w:pStyle w:val="BodyText"/>
        <w:spacing w:line="528" w:lineRule="exact" w:before="66"/>
        <w:ind w:left="512" w:right="147"/>
        <w:jc w:val="left"/>
      </w:pPr>
      <w:r>
        <w:rPr/>
        <w:t>①销售商品 </w:t>
      </w:r>
      <w:r>
        <w:rPr>
          <w:spacing w:val="-2"/>
        </w:rPr>
        <w:t>在已将商品所有权上的主要风险和报酬转移给购货方，</w:t>
      </w:r>
      <w:bookmarkStart w:name="26、股份支付" w:id="195"/>
      <w:bookmarkEnd w:id="195"/>
      <w:r>
        <w:rPr>
          <w:spacing w:val="-2"/>
        </w:rPr>
      </w:r>
      <w:bookmarkStart w:name="27、优先股、永续债等其他金融工具" w:id="196"/>
      <w:bookmarkEnd w:id="196"/>
      <w:r>
        <w:rPr>
          <w:spacing w:val="-2"/>
        </w:rPr>
      </w:r>
      <w:bookmarkStart w:name="28、收入" w:id="197"/>
      <w:bookmarkEnd w:id="197"/>
      <w:r>
        <w:rPr>
          <w:spacing w:val="-2"/>
        </w:rPr>
        <w:t>既没有保留通常与所有权相联系的继续管理权</w:t>
      </w:r>
      <w:r>
        <w:rPr>
          <w:spacing w:val="-2"/>
        </w:rPr>
        <w:t>，也没有对已售商</w:t>
      </w:r>
    </w:p>
    <w:p>
      <w:pPr>
        <w:pStyle w:val="BodyText"/>
        <w:spacing w:line="316" w:lineRule="auto"/>
        <w:ind w:right="147"/>
        <w:jc w:val="left"/>
      </w:pPr>
      <w:r>
        <w:rPr>
          <w:spacing w:val="-2"/>
        </w:rPr>
        <w:t>品实施有效控制，收入的金额能够可靠地计量，相关的经济利益很可能流入企业，相关的已发生或将发生的成本能够可靠地</w:t>
      </w:r>
      <w:r>
        <w:rPr>
          <w:spacing w:val="-63"/>
        </w:rPr>
        <w:t> </w:t>
      </w:r>
      <w:r>
        <w:rPr>
          <w:spacing w:val="-63"/>
        </w:rPr>
      </w:r>
      <w:r>
        <w:rPr/>
        <w:t>计量时，确认商品销售收入的实现。</w:t>
      </w:r>
    </w:p>
    <w:p>
      <w:pPr>
        <w:spacing w:line="240" w:lineRule="auto" w:before="12"/>
        <w:rPr>
          <w:rFonts w:ascii="宋体" w:hAnsi="宋体" w:cs="宋体" w:eastAsia="宋体" w:hint="default"/>
          <w:sz w:val="17"/>
          <w:szCs w:val="17"/>
        </w:rPr>
      </w:pPr>
    </w:p>
    <w:p>
      <w:pPr>
        <w:pStyle w:val="BodyText"/>
        <w:spacing w:line="537" w:lineRule="auto"/>
        <w:ind w:left="512" w:right="1494"/>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300" w:lineRule="auto" w:before="69"/>
        <w:ind w:right="147" w:firstLine="360"/>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 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spacing w:line="240" w:lineRule="auto" w:before="6"/>
        <w:rPr>
          <w:rFonts w:ascii="宋体" w:hAnsi="宋体" w:cs="宋体" w:eastAsia="宋体" w:hint="default"/>
          <w:sz w:val="17"/>
          <w:szCs w:val="17"/>
        </w:rPr>
      </w:pPr>
    </w:p>
    <w:p>
      <w:pPr>
        <w:pStyle w:val="BodyText"/>
        <w:spacing w:line="316" w:lineRule="auto"/>
        <w:ind w:right="147" w:firstLine="360"/>
        <w:jc w:val="left"/>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spacing w:after="0" w:line="316"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537" w:lineRule="auto" w:before="44"/>
        <w:ind w:left="512" w:right="1894"/>
        <w:jc w:val="left"/>
      </w:pPr>
      <w:r>
        <w:rPr/>
        <w:t>③让渡资产使用权 与资产使用权让渡相关的经济利益能够流入及收入的金额能够可靠地计量时，本集团确认收入。</w:t>
      </w:r>
    </w:p>
    <w:p>
      <w:pPr>
        <w:pStyle w:val="BodyText"/>
        <w:spacing w:line="518" w:lineRule="auto" w:before="69"/>
        <w:ind w:left="512" w:right="4234"/>
        <w:jc w:val="left"/>
      </w:pPr>
      <w:r>
        <w:rPr/>
        <w:t>（</w:t>
      </w:r>
      <w:r>
        <w:rPr>
          <w:rFonts w:ascii="Times New Roman" w:hAnsi="Times New Roman" w:cs="Times New Roman" w:eastAsia="Times New Roman" w:hint="default"/>
        </w:rPr>
        <w:t>2</w:t>
      </w:r>
      <w:r>
        <w:rPr/>
        <w:t>）收入确认的具体方法 本集团软件业务收入确认的具体方法如下： </w:t>
      </w:r>
      <w:r>
        <w:rPr>
          <w:rFonts w:ascii="Times New Roman" w:hAnsi="Times New Roman" w:cs="Times New Roman" w:eastAsia="Times New Roman" w:hint="default"/>
        </w:rPr>
        <w:t>A</w:t>
      </w:r>
      <w:r>
        <w:rPr/>
        <w:t>、自行开发软件销售收入的确认原则 自行开发软件收入包括自制开发的软件产品收入和定制软件收入。</w:t>
      </w:r>
    </w:p>
    <w:p>
      <w:pPr>
        <w:pStyle w:val="BodyText"/>
        <w:spacing w:line="316" w:lineRule="auto" w:before="83"/>
        <w:ind w:right="190" w:firstLine="360"/>
        <w:jc w:val="both"/>
      </w:pPr>
      <w:r>
        <w:rPr>
          <w:spacing w:val="-2"/>
        </w:rPr>
        <w:t>自制开发的软件产品是指拥有自主知识产权，无差异化、可批量复制的软件产品，无需根据用户需求进行定制。本公司</w:t>
      </w:r>
      <w:r>
        <w:rPr/>
        <w:t> </w:t>
      </w:r>
      <w:r>
        <w:rPr>
          <w:spacing w:val="-2"/>
        </w:rPr>
        <w:t>销售的自制开发软件产品实质上就是销售不转让所有权的商品，公司在将软件产品移交给购买方时，在会计上按照销售商品</w:t>
      </w:r>
      <w:r>
        <w:rPr>
          <w:spacing w:val="-64"/>
        </w:rPr>
        <w:t> </w:t>
      </w:r>
      <w:r>
        <w:rPr>
          <w:spacing w:val="-64"/>
        </w:rPr>
      </w:r>
      <w:r>
        <w:rPr>
          <w:spacing w:val="-2"/>
        </w:rPr>
        <w:t>收入确认标准确认本业务的收入，即：本公司在已将自行开发的软件产品的主要风险和报酬转移给购货方；公司既没有保留</w:t>
      </w:r>
      <w:r>
        <w:rPr>
          <w:spacing w:val="-66"/>
        </w:rPr>
        <w:t> </w:t>
      </w:r>
      <w:r>
        <w:rPr>
          <w:spacing w:val="-66"/>
        </w:rPr>
      </w:r>
      <w:r>
        <w:rPr>
          <w:spacing w:val="-2"/>
        </w:rPr>
        <w:t>通常与之相联系的继续管理权，也没有对已售出的商品实施有效控制；与交易相关的经济利益能够流入企业；相关的收入和</w:t>
      </w:r>
      <w:r>
        <w:rPr>
          <w:spacing w:val="-63"/>
        </w:rPr>
        <w:t> </w:t>
      </w:r>
      <w:r>
        <w:rPr>
          <w:spacing w:val="-63"/>
        </w:rPr>
      </w:r>
      <w:r>
        <w:rPr/>
        <w:t>成本能可靠计量时，确认收入实现。</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定制软件是指根据与客户签订的技术开发、技术转让合同，对用户的业务进行充分实地调查，并根据用户的实际需求进</w:t>
      </w:r>
      <w:r>
        <w:rPr/>
        <w:t> </w:t>
      </w:r>
      <w:r>
        <w:rPr>
          <w:spacing w:val="-2"/>
        </w:rPr>
        <w:t>行专门的软件设计与开发，由此开发出来的软件不具有通用性。定制软件业务实质上是提供劳务，公司按照劳务收入确认原</w:t>
      </w:r>
      <w:r>
        <w:rPr>
          <w:spacing w:val="-63"/>
        </w:rPr>
        <w:t> </w:t>
      </w:r>
      <w:r>
        <w:rPr>
          <w:spacing w:val="-63"/>
        </w:rPr>
      </w:r>
      <w:r>
        <w:rPr/>
        <w:t>则进行确认：</w:t>
      </w:r>
    </w:p>
    <w:p>
      <w:pPr>
        <w:spacing w:line="240" w:lineRule="auto" w:before="12"/>
        <w:rPr>
          <w:rFonts w:ascii="宋体" w:hAnsi="宋体" w:cs="宋体" w:eastAsia="宋体" w:hint="default"/>
          <w:sz w:val="17"/>
          <w:szCs w:val="17"/>
        </w:rPr>
      </w:pPr>
    </w:p>
    <w:p>
      <w:pPr>
        <w:pStyle w:val="BodyText"/>
        <w:spacing w:line="300" w:lineRule="auto"/>
        <w:ind w:right="193" w:firstLine="360"/>
        <w:jc w:val="both"/>
      </w:pPr>
      <w:r>
        <w:rPr>
          <w:rFonts w:ascii="Times New Roman" w:hAnsi="Times New Roman" w:cs="Times New Roman" w:eastAsia="Times New Roman" w:hint="default"/>
        </w:rPr>
        <w:t>1</w:t>
      </w:r>
      <w:r>
        <w:rPr/>
        <w:t>）软件项目在同一会计年度内开始并完成的，在软件成果的使用权已经提供，收到价款或取得收取款项的证据时，确 认收入；</w:t>
      </w:r>
    </w:p>
    <w:p>
      <w:pPr>
        <w:spacing w:line="240" w:lineRule="auto" w:before="12"/>
        <w:rPr>
          <w:rFonts w:ascii="宋体" w:hAnsi="宋体" w:cs="宋体" w:eastAsia="宋体" w:hint="default"/>
          <w:sz w:val="18"/>
          <w:szCs w:val="18"/>
        </w:rPr>
      </w:pPr>
    </w:p>
    <w:p>
      <w:pPr>
        <w:pStyle w:val="BodyText"/>
        <w:spacing w:line="309" w:lineRule="auto"/>
        <w:ind w:right="190" w:firstLine="360"/>
        <w:jc w:val="both"/>
      </w:pPr>
      <w:r>
        <w:rPr>
          <w:rFonts w:ascii="Times New Roman" w:hAnsi="Times New Roman" w:cs="Times New Roman" w:eastAsia="Times New Roman" w:hint="default"/>
        </w:rPr>
        <w:t>2</w:t>
      </w:r>
      <w:r>
        <w:rPr/>
        <w:t>）软件项目的开始和完成分属不同的会计年度的，在合同的总收入、项目的完成程度能够可靠地确定，与项目有关的 </w:t>
      </w:r>
      <w:r>
        <w:rPr>
          <w:spacing w:val="-2"/>
        </w:rPr>
        <w:t>价款能够流入，已经发生的成本和完成该项软件将要发生的成本能够可靠地计量时，在资产负债表日按完工百分比法（工程</w:t>
      </w:r>
      <w:r>
        <w:rPr>
          <w:spacing w:val="-63"/>
        </w:rPr>
        <w:t> </w:t>
      </w:r>
      <w:r>
        <w:rPr>
          <w:spacing w:val="-63"/>
        </w:rPr>
      </w:r>
      <w:r>
        <w:rPr/>
        <w:t>完工进度）确认软件收入；</w:t>
      </w:r>
    </w:p>
    <w:p>
      <w:pPr>
        <w:spacing w:line="240" w:lineRule="auto" w:before="5"/>
        <w:rPr>
          <w:rFonts w:ascii="宋体" w:hAnsi="宋体" w:cs="宋体" w:eastAsia="宋体" w:hint="default"/>
          <w:sz w:val="18"/>
          <w:szCs w:val="18"/>
        </w:rPr>
      </w:pPr>
    </w:p>
    <w:p>
      <w:pPr>
        <w:pStyle w:val="BodyText"/>
        <w:spacing w:line="312" w:lineRule="auto"/>
        <w:ind w:right="190" w:firstLine="360"/>
        <w:jc w:val="both"/>
      </w:pPr>
      <w:r>
        <w:rPr>
          <w:rFonts w:ascii="Times New Roman" w:hAnsi="Times New Roman" w:cs="Times New Roman" w:eastAsia="Times New Roman" w:hint="default"/>
        </w:rPr>
        <w:t>3</w:t>
      </w:r>
      <w:r>
        <w:rPr/>
        <w:t>）对在资产负债表日软件开发劳务成果不能可靠估计的定制软件项目，如果已经发生的成本预计能够得到补偿，应按 </w:t>
      </w:r>
      <w:r>
        <w:rPr>
          <w:spacing w:val="-2"/>
        </w:rPr>
        <w:t>能够得到补偿的收入金额确认收入，并按相同的金额结转成本；如果已经发生的成本预计不能全部得到补偿，应按能够得到</w:t>
      </w:r>
      <w:r>
        <w:rPr>
          <w:spacing w:val="-63"/>
        </w:rPr>
        <w:t> </w:t>
      </w:r>
      <w:r>
        <w:rPr>
          <w:spacing w:val="-63"/>
        </w:rPr>
      </w:r>
      <w:r>
        <w:rPr>
          <w:spacing w:val="-2"/>
        </w:rPr>
        <w:t>补偿的收入金额确认收入，并按已发生的成本结转成本，确认的收入金额小于已经发生的成本的差额，确认为损失；如果已</w:t>
      </w:r>
      <w:r>
        <w:rPr>
          <w:spacing w:val="-64"/>
        </w:rPr>
        <w:t> </w:t>
      </w:r>
      <w:r>
        <w:rPr>
          <w:spacing w:val="-64"/>
        </w:rPr>
      </w:r>
      <w:r>
        <w:rPr/>
        <w:t>发生的成本全部不能得到补偿，则不应确认收入，但应将已发生的成本确认为费用。</w:t>
      </w:r>
    </w:p>
    <w:p>
      <w:pPr>
        <w:spacing w:line="240" w:lineRule="auto" w:before="3"/>
        <w:rPr>
          <w:rFonts w:ascii="宋体" w:hAnsi="宋体" w:cs="宋体" w:eastAsia="宋体" w:hint="default"/>
          <w:sz w:val="18"/>
          <w:szCs w:val="18"/>
        </w:rPr>
      </w:pPr>
    </w:p>
    <w:p>
      <w:pPr>
        <w:pStyle w:val="BodyText"/>
        <w:spacing w:line="240" w:lineRule="auto"/>
        <w:ind w:left="512" w:right="186"/>
        <w:jc w:val="left"/>
      </w:pPr>
      <w:r>
        <w:rPr/>
        <w:t>对系统集成中包含自行开发软件产品的销售收入，按以下系统集成的收入确认原则确认。</w:t>
      </w:r>
    </w:p>
    <w:p>
      <w:pPr>
        <w:pStyle w:val="BodyText"/>
        <w:spacing w:line="510" w:lineRule="atLeast" w:before="31"/>
        <w:ind w:left="512" w:right="186"/>
        <w:jc w:val="left"/>
      </w:pPr>
      <w:r>
        <w:rPr>
          <w:rFonts w:ascii="Times New Roman" w:hAnsi="Times New Roman" w:cs="Times New Roman" w:eastAsia="Times New Roman" w:hint="default"/>
        </w:rPr>
        <w:t>B</w:t>
      </w:r>
      <w:r>
        <w:rPr/>
        <w:t>、系统集成收入确认原则 </w:t>
      </w:r>
      <w:r>
        <w:rPr>
          <w:spacing w:val="-2"/>
        </w:rPr>
        <w:t>系统集成包括外购商品、软件产品的销售与安装。公司在已将外购商品、软件产品所有权上的主要风险和报酬转移给购</w:t>
      </w:r>
    </w:p>
    <w:p>
      <w:pPr>
        <w:pStyle w:val="BodyText"/>
        <w:spacing w:line="316" w:lineRule="auto" w:before="76"/>
        <w:ind w:right="94"/>
        <w:jc w:val="left"/>
      </w:pPr>
      <w:r>
        <w:rPr>
          <w:spacing w:val="-2"/>
        </w:rPr>
        <w:t>货方；公司既没有保留通常与所有权相联系的继续管理权，也没有对已售出的商品实施有效控制；系统安装调试完毕已投入</w:t>
      </w:r>
      <w:r>
        <w:rPr>
          <w:spacing w:val="-63"/>
        </w:rPr>
        <w:t> </w:t>
      </w:r>
      <w:r>
        <w:rPr>
          <w:spacing w:val="-63"/>
        </w:rPr>
      </w:r>
      <w:r>
        <w:rPr/>
        <w:t>试运行或取得购货方的初验报告；与交易相关的经济利益能够流入企业；相关的收入和成本能可靠计量时，确认收入实现。</w:t>
      </w:r>
    </w:p>
    <w:p>
      <w:pPr>
        <w:spacing w:line="240" w:lineRule="auto" w:before="12"/>
        <w:rPr>
          <w:rFonts w:ascii="宋体" w:hAnsi="宋体" w:cs="宋体" w:eastAsia="宋体" w:hint="default"/>
          <w:sz w:val="17"/>
          <w:szCs w:val="17"/>
        </w:rPr>
      </w:pPr>
    </w:p>
    <w:p>
      <w:pPr>
        <w:pStyle w:val="BodyText"/>
        <w:spacing w:line="523" w:lineRule="auto"/>
        <w:ind w:left="512" w:right="454"/>
        <w:jc w:val="left"/>
      </w:pPr>
      <w:r>
        <w:rPr>
          <w:rFonts w:ascii="Times New Roman" w:hAnsi="Times New Roman" w:cs="Times New Roman" w:eastAsia="Times New Roman" w:hint="default"/>
        </w:rPr>
        <w:t>C</w:t>
      </w:r>
      <w:r>
        <w:rPr/>
        <w:t>、技术支持与维护收入确认原则 技术支持与维护主要指根据合同规定向用户提供的有偿后续服务，包括系统维护、技术应用与支持、产品升级等。 本公司根据与用户签订的相关合同签订的合同总额与服务期间，按提供服务的进度确认收入。</w:t>
      </w:r>
    </w:p>
    <w:p>
      <w:pPr>
        <w:pStyle w:val="BodyText"/>
        <w:spacing w:line="240" w:lineRule="auto" w:before="80"/>
        <w:ind w:left="512" w:right="186"/>
        <w:jc w:val="left"/>
      </w:pPr>
      <w:r>
        <w:rPr>
          <w:rFonts w:ascii="Times New Roman" w:hAnsi="Times New Roman" w:cs="Times New Roman" w:eastAsia="Times New Roman" w:hint="default"/>
        </w:rPr>
        <w:t>D</w:t>
      </w:r>
      <w:r>
        <w:rPr/>
        <w:t>、技术开发收入</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firstLine="360"/>
        <w:jc w:val="both"/>
      </w:pPr>
      <w:r>
        <w:rPr>
          <w:spacing w:val="-2"/>
        </w:rPr>
        <w:t>技术开发收入是指根据用户的需求，对自行研究开发的软件产品再次开发取得的收入。公司在劳务已经提供，收到价款</w:t>
      </w:r>
      <w:r>
        <w:rPr/>
        <w:t> 或取得收款的依据，于技术开发项目投入用户试运行或取得用户的初验报告后确认收入的实现。</w:t>
      </w:r>
    </w:p>
    <w:p>
      <w:pPr>
        <w:spacing w:line="240" w:lineRule="auto" w:before="10"/>
        <w:rPr>
          <w:rFonts w:ascii="宋体" w:hAnsi="宋体" w:cs="宋体" w:eastAsia="宋体" w:hint="default"/>
          <w:sz w:val="22"/>
          <w:szCs w:val="22"/>
        </w:rPr>
      </w:pPr>
    </w:p>
    <w:p>
      <w:pPr>
        <w:pStyle w:val="Heading3"/>
        <w:spacing w:line="240" w:lineRule="auto"/>
        <w:ind w:right="186"/>
        <w:jc w:val="left"/>
        <w:rPr>
          <w:b w:val="0"/>
          <w:bCs w:val="0"/>
        </w:rPr>
      </w:pPr>
      <w:r>
        <w:rPr>
          <w:rFonts w:ascii="Times New Roman" w:hAnsi="Times New Roman" w:cs="Times New Roman" w:eastAsia="Times New Roman" w:hint="default"/>
        </w:rPr>
        <w:t>29</w:t>
      </w:r>
      <w:bookmarkStart w:name="29、政府补助" w:id="198"/>
      <w:bookmarkEnd w:id="198"/>
      <w:r>
        <w:rPr>
          <w:rFonts w:ascii="Times New Roman" w:hAnsi="Times New Roman" w:cs="Times New Roman" w:eastAsia="Times New Roman" w:hint="default"/>
        </w:rPr>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6"/>
        <w:jc w:val="left"/>
        <w:rPr>
          <w:b w:val="0"/>
          <w:bCs w:val="0"/>
        </w:rPr>
      </w:pPr>
      <w:r>
        <w:rPr/>
        <w:t>（</w:t>
      </w:r>
      <w:r>
        <w:rPr>
          <w:rFonts w:ascii="Times New Roman" w:hAnsi="Times New Roman" w:cs="Times New Roman" w:eastAsia="Times New Roman" w:hint="default"/>
        </w:rPr>
        <w:t>1</w:t>
      </w:r>
      <w:r>
        <w:rPr/>
        <w:t>）与资产相关的</w:t>
      </w:r>
      <w:bookmarkStart w:name="（1）与资产相关的政府补助判断依据及会计处理方法" w:id="199"/>
      <w:bookmarkEnd w:id="199"/>
      <w:r>
        <w:rPr/>
        <w:t>政府</w:t>
      </w:r>
      <w:r>
        <w:rPr/>
        <w:t>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5"/>
        </w:rPr>
        <w:t>与资产相关的政府补助，是指本集团取得的、用于购建或以其他方式形成长期资产的政府补助；与资产相关的政府补助，</w:t>
      </w:r>
      <w:r>
        <w:rPr/>
        <w:t> 确认为递延收益，并在相关资产使用期限内平均分配，计入当期损益。</w:t>
      </w:r>
    </w:p>
    <w:p>
      <w:pPr>
        <w:spacing w:line="240" w:lineRule="auto" w:before="10"/>
        <w:rPr>
          <w:rFonts w:ascii="宋体" w:hAnsi="宋体" w:cs="宋体" w:eastAsia="宋体" w:hint="default"/>
          <w:sz w:val="22"/>
          <w:szCs w:val="22"/>
        </w:rPr>
      </w:pPr>
    </w:p>
    <w:p>
      <w:pPr>
        <w:pStyle w:val="Heading3"/>
        <w:spacing w:line="240" w:lineRule="auto"/>
        <w:ind w:right="186"/>
        <w:jc w:val="left"/>
        <w:rPr>
          <w:b w:val="0"/>
          <w:bCs w:val="0"/>
        </w:rPr>
      </w:pPr>
      <w:r>
        <w:rPr/>
        <w:t>（</w:t>
      </w:r>
      <w:r>
        <w:rPr>
          <w:rFonts w:ascii="Times New Roman" w:hAnsi="Times New Roman" w:cs="Times New Roman" w:eastAsia="Times New Roman" w:hint="default"/>
        </w:rPr>
        <w:t>2</w:t>
      </w:r>
      <w:r>
        <w:rPr/>
        <w:t>）与收益相关的政府补</w:t>
      </w:r>
      <w:bookmarkStart w:name="（2）与收益相关的政府补助判断依据及会计处理方法" w:id="200"/>
      <w:bookmarkEnd w:id="200"/>
      <w:r>
        <w:rPr/>
        <w:t>助判断依据及会计</w:t>
      </w:r>
      <w:r>
        <w:rPr/>
        <w:t>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除了于资产相关的政府补助之外，其余均作为与收益相关的政府补助。与收益相关的政府补助，如果用于补偿已发生的</w:t>
      </w:r>
      <w:r>
        <w:rPr/>
        <w:t> </w:t>
      </w:r>
      <w:r>
        <w:rPr>
          <w:spacing w:val="-2"/>
        </w:rPr>
        <w:t>相关费用或损失，则计入当期损益；如果用于补偿以后期间的相关费用或损失，则计入递延收益，于费用确认期间计入当期</w:t>
      </w:r>
      <w:r>
        <w:rPr>
          <w:spacing w:val="-65"/>
        </w:rPr>
        <w:t> </w:t>
      </w:r>
      <w:r>
        <w:rPr>
          <w:spacing w:val="-65"/>
        </w:rPr>
      </w:r>
      <w:r>
        <w:rPr/>
        <w:t>损益。按照名义金额计量的政府补助，直接计入当期损益。</w:t>
      </w:r>
    </w:p>
    <w:p>
      <w:pPr>
        <w:spacing w:line="240" w:lineRule="auto" w:before="10"/>
        <w:rPr>
          <w:rFonts w:ascii="宋体" w:hAnsi="宋体" w:cs="宋体" w:eastAsia="宋体" w:hint="default"/>
          <w:sz w:val="22"/>
          <w:szCs w:val="22"/>
        </w:rPr>
      </w:pPr>
    </w:p>
    <w:p>
      <w:pPr>
        <w:pStyle w:val="Heading3"/>
        <w:spacing w:line="240" w:lineRule="auto"/>
        <w:ind w:right="186"/>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所得税包括当期所得税和递延所得税。</w:t>
      </w:r>
      <w:bookmarkStart w:name="30、递延所得税资产/递延所得税负债" w:id="201"/>
      <w:bookmarkEnd w:id="201"/>
      <w:r>
        <w:rPr>
          <w:spacing w:val="-2"/>
        </w:rPr>
        <w:t>除由于企业合并产生的调整商誉</w:t>
      </w:r>
      <w:r>
        <w:rPr>
          <w:spacing w:val="-2"/>
        </w:rPr>
        <w:t>，或与直接计入所有者权益的交易或者事项相关</w:t>
      </w:r>
      <w:r>
        <w:rPr/>
        <w:t> 的递延所得税计入所有者权益外，均作为所得税费用计入当期损益。</w:t>
      </w:r>
    </w:p>
    <w:p>
      <w:pPr>
        <w:spacing w:line="240" w:lineRule="auto" w:before="12"/>
        <w:rPr>
          <w:rFonts w:ascii="宋体" w:hAnsi="宋体" w:cs="宋体" w:eastAsia="宋体" w:hint="default"/>
          <w:sz w:val="17"/>
          <w:szCs w:val="17"/>
        </w:rPr>
      </w:pPr>
    </w:p>
    <w:p>
      <w:pPr>
        <w:pStyle w:val="BodyText"/>
        <w:spacing w:line="316" w:lineRule="auto"/>
        <w:ind w:right="193" w:firstLine="360"/>
        <w:jc w:val="both"/>
      </w:pPr>
      <w:r>
        <w:rPr>
          <w:spacing w:val="-2"/>
        </w:rPr>
        <w:t>本集团根据资产、负债于资产负债表日的账面价值与计税基础之间的暂时性差异，采用资产负债表债务法确认递延所得</w:t>
      </w:r>
      <w:r>
        <w:rPr/>
        <w:t> 税。</w:t>
      </w:r>
    </w:p>
    <w:p>
      <w:pPr>
        <w:spacing w:line="240" w:lineRule="auto" w:before="12"/>
        <w:rPr>
          <w:rFonts w:ascii="宋体" w:hAnsi="宋体" w:cs="宋体" w:eastAsia="宋体" w:hint="default"/>
          <w:sz w:val="17"/>
          <w:szCs w:val="17"/>
        </w:rPr>
      </w:pPr>
    </w:p>
    <w:p>
      <w:pPr>
        <w:pStyle w:val="BodyText"/>
        <w:spacing w:line="240" w:lineRule="auto"/>
        <w:ind w:left="512" w:right="186"/>
        <w:jc w:val="left"/>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22"/>
          <w:szCs w:val="22"/>
        </w:rPr>
      </w:pPr>
    </w:p>
    <w:p>
      <w:pPr>
        <w:pStyle w:val="BodyText"/>
        <w:spacing w:line="300" w:lineRule="auto"/>
        <w:ind w:right="193" w:firstLine="360"/>
        <w:jc w:val="both"/>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 生时既不影响会计利润也不影响应纳税所得额；</w:t>
      </w:r>
    </w:p>
    <w:p>
      <w:pPr>
        <w:spacing w:line="240" w:lineRule="auto" w:before="12"/>
        <w:rPr>
          <w:rFonts w:ascii="宋体" w:hAnsi="宋体" w:cs="宋体" w:eastAsia="宋体" w:hint="default"/>
          <w:sz w:val="18"/>
          <w:szCs w:val="18"/>
        </w:rPr>
      </w:pPr>
    </w:p>
    <w:p>
      <w:pPr>
        <w:pStyle w:val="BodyText"/>
        <w:spacing w:line="300" w:lineRule="auto"/>
        <w:ind w:right="193" w:firstLine="360"/>
        <w:jc w:val="both"/>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 时性差异在可预见的未来很可能不会转回。</w:t>
      </w:r>
    </w:p>
    <w:p>
      <w:pPr>
        <w:spacing w:line="240" w:lineRule="auto" w:before="12"/>
        <w:rPr>
          <w:rFonts w:ascii="宋体" w:hAnsi="宋体" w:cs="宋体" w:eastAsia="宋体" w:hint="default"/>
          <w:sz w:val="18"/>
          <w:szCs w:val="18"/>
        </w:rPr>
      </w:pPr>
    </w:p>
    <w:p>
      <w:pPr>
        <w:pStyle w:val="BodyText"/>
        <w:spacing w:line="316" w:lineRule="auto"/>
        <w:ind w:right="106"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spacing w:line="240" w:lineRule="auto" w:before="12"/>
        <w:rPr>
          <w:rFonts w:ascii="宋体" w:hAnsi="宋体" w:cs="宋体" w:eastAsia="宋体" w:hint="default"/>
          <w:sz w:val="17"/>
          <w:szCs w:val="17"/>
        </w:rPr>
      </w:pPr>
    </w:p>
    <w:p>
      <w:pPr>
        <w:pStyle w:val="BodyText"/>
        <w:spacing w:line="240" w:lineRule="auto"/>
        <w:ind w:left="512" w:right="186"/>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21"/>
          <w:szCs w:val="21"/>
        </w:rPr>
      </w:pPr>
    </w:p>
    <w:p>
      <w:pPr>
        <w:pStyle w:val="BodyText"/>
        <w:spacing w:line="300" w:lineRule="auto"/>
        <w:ind w:right="193" w:firstLine="360"/>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spacing w:line="240" w:lineRule="auto" w:before="12"/>
        <w:rPr>
          <w:rFonts w:ascii="宋体" w:hAnsi="宋体" w:cs="宋体" w:eastAsia="宋体" w:hint="default"/>
          <w:sz w:val="18"/>
          <w:szCs w:val="18"/>
        </w:rPr>
      </w:pPr>
    </w:p>
    <w:p>
      <w:pPr>
        <w:pStyle w:val="BodyText"/>
        <w:spacing w:line="316" w:lineRule="auto"/>
        <w:ind w:right="104" w:firstLine="360"/>
        <w:jc w:val="both"/>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spacing w:after="0" w:line="316" w:lineRule="auto"/>
        <w:jc w:val="both"/>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rFonts w:ascii="Times New Roman" w:hAnsi="Times New Roman" w:cs="Times New Roman" w:eastAsia="Times New Roman" w:hint="default"/>
        </w:rPr>
        <w:t>31</w:t>
      </w:r>
      <w:bookmarkStart w:name="31、租赁" w:id="202"/>
      <w:bookmarkEnd w:id="202"/>
      <w:r>
        <w:rPr>
          <w:rFonts w:ascii="Times New Roman" w:hAnsi="Times New Roman" w:cs="Times New Roman" w:eastAsia="Times New Roman" w:hint="default"/>
        </w:rPr>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1）经营租赁的会计处理方法" w:id="203"/>
      <w:bookmarkEnd w:id="203"/>
      <w:r>
        <w:rPr>
          <w:rFonts w:ascii="Times New Roman" w:hAnsi="Times New Roman" w:cs="Times New Roman" w:eastAsia="Times New Roman" w:hint="default"/>
        </w:rPr>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2</w:t>
      </w:r>
      <w:r>
        <w:rPr/>
        <w:t>）融资租赁的会</w:t>
      </w:r>
      <w:bookmarkStart w:name="（2）融资租赁的会计处理方法" w:id="204"/>
      <w:bookmarkEnd w:id="204"/>
      <w:r>
        <w:rPr/>
        <w:t>计处</w:t>
      </w:r>
      <w:r>
        <w:rPr/>
        <w:t>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32</w:t>
      </w:r>
      <w:r>
        <w:rPr/>
        <w:t>、其他重要的会计政策</w:t>
      </w:r>
      <w:bookmarkStart w:name="32、其他重要的会计政策和会计估计" w:id="205"/>
      <w:bookmarkEnd w:id="205"/>
      <w:r>
        <w:rPr/>
        <w:t>和会计估计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33、重要会计政策和会计估计变更" w:id="206"/>
            <w:bookmarkEnd w:id="206"/>
            <w:r>
              <w:rPr/>
            </w: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1）重要会计政策变更" w:id="207"/>
            <w:bookmarkEnd w:id="207"/>
            <w:r>
              <w:rPr/>
            </w:r>
            <w:r>
              <w:rPr>
                <w:rFonts w:ascii="宋体" w:hAnsi="宋体" w:cs="宋体" w:eastAsia="宋体" w:hint="default"/>
                <w:sz w:val="18"/>
                <w:szCs w:val="18"/>
              </w:rPr>
              <w:t>备注</w:t>
            </w:r>
          </w:p>
        </w:tc>
      </w:tr>
      <w:tr>
        <w:trPr>
          <w:trHeight w:val="6331"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月，财政部发布了《企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p>
          <w:p>
            <w:pPr>
              <w:pStyle w:val="TableParagraph"/>
              <w:spacing w:line="300" w:lineRule="auto" w:before="63"/>
              <w:ind w:left="24" w:right="96"/>
              <w:jc w:val="left"/>
              <w:rPr>
                <w:rFonts w:ascii="宋体" w:hAnsi="宋体" w:cs="宋体" w:eastAsia="宋体" w:hint="default"/>
                <w:sz w:val="18"/>
                <w:szCs w:val="18"/>
              </w:rPr>
            </w:pPr>
            <w:r>
              <w:rPr>
                <w:rFonts w:ascii="宋体" w:hAnsi="宋体" w:cs="宋体" w:eastAsia="宋体" w:hint="default"/>
                <w:sz w:val="18"/>
                <w:szCs w:val="18"/>
              </w:rPr>
              <w:t>（简称</w:t>
            </w:r>
            <w:r>
              <w:rPr>
                <w:rFonts w:ascii="宋体" w:hAnsi="宋体" w:cs="宋体" w:eastAsia="宋体" w:hint="default"/>
                <w:spacing w:val="1"/>
                <w:sz w:val="18"/>
                <w:szCs w:val="18"/>
              </w:rPr>
              <w:t> </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w:t>
            </w:r>
            <w:r>
              <w:rPr>
                <w:rFonts w:ascii="宋体" w:hAnsi="宋体" w:cs="宋体" w:eastAsia="宋体" w:hint="default"/>
                <w:sz w:val="18"/>
                <w:szCs w:val="18"/>
              </w:rPr>
              <w:t> 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w:t>
            </w:r>
            <w:r>
              <w:rPr>
                <w:rFonts w:ascii="宋体" w:hAnsi="宋体" w:cs="宋体" w:eastAsia="宋体" w:hint="default"/>
                <w:spacing w:val="-3"/>
                <w:sz w:val="18"/>
                <w:szCs w:val="18"/>
              </w:rPr>
              <w:t>排</w:t>
            </w:r>
            <w:r>
              <w:rPr>
                <w:rFonts w:ascii="宋体" w:hAnsi="宋体" w:cs="宋体" w:eastAsia="宋体" w:hint="default"/>
                <w:spacing w:val="-92"/>
                <w:sz w:val="18"/>
                <w:szCs w:val="18"/>
              </w:rPr>
              <w:t>》</w:t>
            </w:r>
            <w:r>
              <w:rPr>
                <w:rFonts w:ascii="宋体" w:hAnsi="宋体" w:cs="宋体" w:eastAsia="宋体" w:hint="default"/>
                <w:sz w:val="18"/>
                <w:szCs w:val="18"/>
              </w:rPr>
              <w:t>（简称</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号）和《企业会计准</w:t>
            </w:r>
          </w:p>
          <w:p>
            <w:pPr>
              <w:pStyle w:val="TableParagraph"/>
              <w:spacing w:line="300"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 </w:t>
            </w:r>
            <w:r>
              <w:rPr>
                <w:rFonts w:ascii="宋体" w:hAnsi="宋体" w:cs="宋体" w:eastAsia="宋体" w:hint="default"/>
                <w:spacing w:val="-19"/>
                <w:sz w:val="18"/>
                <w:szCs w:val="18"/>
              </w:rPr>
              <w:t>露》（简称</w:t>
            </w:r>
            <w:r>
              <w:rPr>
                <w:rFonts w:ascii="宋体" w:hAnsi="宋体" w:cs="宋体" w:eastAsia="宋体" w:hint="default"/>
                <w:spacing w:val="2"/>
                <w:sz w:val="18"/>
                <w:szCs w:val="18"/>
              </w:rPr>
              <w:t> </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号），修</w:t>
            </w:r>
            <w:r>
              <w:rPr>
                <w:rFonts w:ascii="宋体" w:hAnsi="宋体" w:cs="宋体" w:eastAsia="宋体" w:hint="default"/>
                <w:sz w:val="18"/>
                <w:szCs w:val="18"/>
              </w:rPr>
              <w:t> 订了《企业会计准则第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 </w:t>
            </w:r>
            <w:r>
              <w:rPr>
                <w:rFonts w:ascii="宋体" w:hAnsi="宋体" w:cs="宋体" w:eastAsia="宋体" w:hint="default"/>
                <w:spacing w:val="-14"/>
                <w:sz w:val="18"/>
                <w:szCs w:val="18"/>
              </w:rPr>
              <w:t>权投资》（简称</w:t>
            </w:r>
            <w:r>
              <w:rPr>
                <w:rFonts w:ascii="宋体" w:hAnsi="宋体" w:cs="宋体" w:eastAsia="宋体" w:hint="default"/>
                <w:spacing w:val="4"/>
                <w:sz w:val="18"/>
                <w:szCs w:val="18"/>
              </w:rPr>
              <w:t> </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1"/>
                <w:sz w:val="18"/>
                <w:szCs w:val="18"/>
              </w:rPr>
              <w:t>号）、</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（简称</w:t>
            </w:r>
            <w:r>
              <w:rPr>
                <w:rFonts w:ascii="宋体" w:hAnsi="宋体" w:cs="宋体" w:eastAsia="宋体" w:hint="default"/>
                <w:spacing w:val="1"/>
                <w:sz w:val="18"/>
                <w:szCs w:val="18"/>
              </w:rPr>
              <w:t> </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《企业会</w:t>
            </w:r>
            <w:r>
              <w:rPr>
                <w:rFonts w:ascii="宋体" w:hAnsi="宋体" w:cs="宋体" w:eastAsia="宋体" w:hint="default"/>
                <w:sz w:val="18"/>
                <w:szCs w:val="18"/>
              </w:rPr>
              <w:t> 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w:t>
            </w:r>
            <w:r>
              <w:rPr>
                <w:rFonts w:ascii="宋体" w:hAnsi="宋体" w:cs="宋体" w:eastAsia="宋体" w:hint="default"/>
                <w:spacing w:val="-3"/>
                <w:sz w:val="18"/>
                <w:szCs w:val="18"/>
              </w:rPr>
              <w:t>列</w:t>
            </w: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（简</w:t>
            </w:r>
            <w:r>
              <w:rPr>
                <w:rFonts w:ascii="宋体" w:hAnsi="宋体" w:cs="宋体" w:eastAsia="宋体" w:hint="default"/>
                <w:sz w:val="18"/>
                <w:szCs w:val="18"/>
              </w:rPr>
              <w:t> 称</w:t>
            </w:r>
            <w:r>
              <w:rPr>
                <w:rFonts w:ascii="宋体" w:hAnsi="宋体" w:cs="宋体" w:eastAsia="宋体" w:hint="default"/>
                <w:spacing w:val="1"/>
                <w:sz w:val="18"/>
                <w:szCs w:val="18"/>
              </w:rPr>
              <w:t> </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w:t>
            </w:r>
            <w:r>
              <w:rPr>
                <w:rFonts w:ascii="宋体" w:hAnsi="宋体" w:cs="宋体" w:eastAsia="宋体" w:hint="default"/>
                <w:sz w:val="18"/>
                <w:szCs w:val="18"/>
              </w:rPr>
              <w:t> 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w:t>
            </w:r>
            <w:r>
              <w:rPr>
                <w:rFonts w:ascii="宋体" w:hAnsi="宋体" w:cs="宋体" w:eastAsia="宋体" w:hint="default"/>
                <w:spacing w:val="-3"/>
                <w:sz w:val="18"/>
                <w:szCs w:val="18"/>
              </w:rPr>
              <w:t>表</w:t>
            </w:r>
            <w:r>
              <w:rPr>
                <w:rFonts w:ascii="宋体" w:hAnsi="宋体" w:cs="宋体" w:eastAsia="宋体" w:hint="default"/>
                <w:spacing w:val="-92"/>
                <w:sz w:val="18"/>
                <w:szCs w:val="18"/>
              </w:rPr>
              <w:t>》</w:t>
            </w:r>
            <w:r>
              <w:rPr>
                <w:rFonts w:ascii="宋体" w:hAnsi="宋体" w:cs="宋体" w:eastAsia="宋体" w:hint="default"/>
                <w:sz w:val="18"/>
                <w:szCs w:val="18"/>
              </w:rPr>
              <w:t>（简称</w:t>
            </w:r>
          </w:p>
          <w:p>
            <w:pPr>
              <w:pStyle w:val="TableParagraph"/>
              <w:spacing w:line="300" w:lineRule="auto" w:before="13"/>
              <w:ind w:left="24" w:right="19"/>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号）和《企业会计准</w:t>
            </w:r>
            <w:r>
              <w:rPr>
                <w:rFonts w:ascii="宋体" w:hAnsi="宋体" w:cs="宋体" w:eastAsia="宋体" w:hint="default"/>
                <w:sz w:val="18"/>
                <w:szCs w:val="18"/>
              </w:rPr>
              <w:t> 则第 </w:t>
            </w:r>
            <w:r>
              <w:rPr>
                <w:rFonts w:ascii="Times New Roman" w:hAnsi="Times New Roman" w:cs="Times New Roman" w:eastAsia="Times New Roman" w:hint="default"/>
                <w:sz w:val="18"/>
                <w:szCs w:val="18"/>
              </w:rPr>
              <w:t>37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金融工具列报》（简称</w:t>
            </w:r>
            <w:r>
              <w:rPr>
                <w:rFonts w:ascii="宋体" w:hAnsi="宋体" w:cs="宋体" w:eastAsia="宋体" w:hint="default"/>
                <w:spacing w:val="-34"/>
                <w:sz w:val="18"/>
                <w:szCs w:val="18"/>
              </w:rPr>
              <w:t> </w:t>
            </w:r>
            <w:r>
              <w:rPr>
                <w:rFonts w:ascii="宋体" w:hAnsi="宋体" w:cs="宋体" w:eastAsia="宋体" w:hint="default"/>
                <w:sz w:val="18"/>
                <w:szCs w:val="18"/>
              </w:rPr>
              <w:t>企</w:t>
            </w:r>
            <w:r>
              <w:rPr>
                <w:rFonts w:ascii="宋体" w:hAnsi="宋体" w:cs="宋体" w:eastAsia="宋体" w:hint="default"/>
                <w:sz w:val="18"/>
                <w:szCs w:val="18"/>
              </w:rPr>
              <w:t> 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号），除企业会计准则</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年年度及以后期间的财</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务报告中使用外，上述其他准则于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07" w:lineRule="auto"/>
              <w:ind w:left="23" w:right="19"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日召开第三届董事会第 十二次会议，审议通过了《关于会计政 </w:t>
            </w:r>
            <w:r>
              <w:rPr>
                <w:rFonts w:ascii="宋体" w:hAnsi="宋体" w:cs="宋体" w:eastAsia="宋体" w:hint="default"/>
                <w:spacing w:val="-12"/>
                <w:sz w:val="18"/>
                <w:szCs w:val="18"/>
              </w:rPr>
              <w:t>策变更的议案》。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791"/>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财务报表列报》的变化对列报前期财务报表项目及金额的影响如下：</w:t>
      </w:r>
    </w:p>
    <w:p>
      <w:pPr>
        <w:spacing w:line="240" w:lineRule="auto" w:before="1"/>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327"/>
        <w:gridCol w:w="2321"/>
        <w:gridCol w:w="2383"/>
        <w:gridCol w:w="2254"/>
      </w:tblGrid>
      <w:tr>
        <w:trPr>
          <w:trHeight w:val="427" w:hRule="exact"/>
        </w:trPr>
        <w:tc>
          <w:tcPr>
            <w:tcW w:w="2327"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321"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会计政策变更内容</w:t>
            </w:r>
          </w:p>
        </w:tc>
        <w:tc>
          <w:tcPr>
            <w:tcW w:w="46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日财务报表影响</w:t>
            </w:r>
          </w:p>
        </w:tc>
      </w:tr>
      <w:tr>
        <w:trPr>
          <w:trHeight w:val="427" w:hRule="exact"/>
        </w:trPr>
        <w:tc>
          <w:tcPr>
            <w:tcW w:w="2327" w:type="dxa"/>
            <w:vMerge/>
            <w:tcBorders>
              <w:left w:val="single" w:sz="6" w:space="0" w:color="000000"/>
              <w:bottom w:val="single" w:sz="6" w:space="0" w:color="000000"/>
              <w:right w:val="single" w:sz="6" w:space="0" w:color="000000"/>
            </w:tcBorders>
          </w:tcPr>
          <w:p>
            <w:pPr/>
          </w:p>
        </w:tc>
        <w:tc>
          <w:tcPr>
            <w:tcW w:w="2321" w:type="dxa"/>
            <w:vMerge/>
            <w:tcBorders>
              <w:left w:val="single" w:sz="6" w:space="0" w:color="000000"/>
              <w:bottom w:val="single" w:sz="6" w:space="0" w:color="000000"/>
              <w:right w:val="single" w:sz="6" w:space="0" w:color="000000"/>
            </w:tcBorders>
          </w:tcPr>
          <w:p>
            <w:pP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影响金额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323"/>
        <w:gridCol w:w="2321"/>
        <w:gridCol w:w="2383"/>
        <w:gridCol w:w="2254"/>
      </w:tblGrid>
      <w:tr>
        <w:trPr>
          <w:trHeight w:val="427" w:hRule="exact"/>
        </w:trPr>
        <w:tc>
          <w:tcPr>
            <w:tcW w:w="2323" w:type="dxa"/>
            <w:vMerge w:val="restart"/>
            <w:tcBorders>
              <w:top w:val="single" w:sz="6" w:space="0" w:color="000000"/>
              <w:left w:val="single" w:sz="6" w:space="0" w:color="000000"/>
              <w:right w:val="single" w:sz="6" w:space="0" w:color="000000"/>
            </w:tcBorders>
          </w:tcPr>
          <w:p>
            <w:pPr>
              <w:pStyle w:val="TableParagraph"/>
              <w:spacing w:line="300" w:lineRule="auto" w:before="58"/>
              <w:ind w:left="4" w:right="-39"/>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 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2321" w:type="dxa"/>
            <w:vMerge w:val="restart"/>
            <w:tcBorders>
              <w:top w:val="single" w:sz="6" w:space="0" w:color="000000"/>
              <w:left w:val="single" w:sz="6" w:space="0" w:color="000000"/>
              <w:right w:val="single" w:sz="6"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Times New Roman" w:hAnsi="Times New Roman" w:cs="Times New Roman" w:eastAsia="Times New Roman" w:hint="default"/>
                <w:sz w:val="18"/>
                <w:szCs w:val="18"/>
              </w:rPr>
              <w:t>1</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12,609,833.33</w:t>
            </w:r>
          </w:p>
        </w:tc>
      </w:tr>
      <w:tr>
        <w:trPr>
          <w:trHeight w:val="427" w:hRule="exact"/>
        </w:trPr>
        <w:tc>
          <w:tcPr>
            <w:tcW w:w="2323" w:type="dxa"/>
            <w:vMerge/>
            <w:tcBorders>
              <w:left w:val="single" w:sz="6" w:space="0" w:color="000000"/>
              <w:bottom w:val="single" w:sz="6" w:space="0" w:color="000000"/>
              <w:right w:val="single" w:sz="6" w:space="0" w:color="000000"/>
            </w:tcBorders>
          </w:tcPr>
          <w:p>
            <w:pPr/>
          </w:p>
        </w:tc>
        <w:tc>
          <w:tcPr>
            <w:tcW w:w="2321" w:type="dxa"/>
            <w:vMerge/>
            <w:tcBorders>
              <w:left w:val="single" w:sz="6" w:space="0" w:color="000000"/>
              <w:bottom w:val="single" w:sz="6" w:space="0" w:color="000000"/>
              <w:right w:val="single" w:sz="6" w:space="0" w:color="000000"/>
            </w:tcBorders>
          </w:tcPr>
          <w:p>
            <w:pP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-12,609,833.33</w:t>
            </w:r>
          </w:p>
        </w:tc>
      </w:tr>
    </w:tbl>
    <w:p>
      <w:pPr>
        <w:pStyle w:val="BodyText"/>
        <w:spacing w:line="300" w:lineRule="auto" w:before="49"/>
        <w:ind w:right="218"/>
        <w:jc w:val="left"/>
      </w:pPr>
      <w:r>
        <w:rPr/>
        <w:t>注</w:t>
      </w:r>
      <w:r>
        <w:rPr>
          <w:rFonts w:ascii="Times New Roman" w:hAnsi="Times New Roman" w:cs="Times New Roman" w:eastAsia="Times New Roman" w:hint="default"/>
        </w:rPr>
        <w:t>1</w:t>
      </w:r>
      <w:r>
        <w:rPr/>
        <w:t>：按照《企业会计准则第 </w:t>
      </w:r>
      <w:r>
        <w:rPr>
          <w:rFonts w:ascii="Times New Roman" w:hAnsi="Times New Roman" w:cs="Times New Roman" w:eastAsia="Times New Roman" w:hint="default"/>
        </w:rPr>
        <w:t>30 </w:t>
      </w:r>
      <w:r>
        <w:rPr/>
        <w:t>号</w:t>
      </w:r>
      <w:r>
        <w:rPr>
          <w:rFonts w:ascii="Times New Roman" w:hAnsi="Times New Roman" w:cs="Times New Roman" w:eastAsia="Times New Roman" w:hint="default"/>
        </w:rPr>
        <w:t>——</w:t>
      </w:r>
      <w:r>
        <w:rPr/>
        <w:t>财务报表列报（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年修订）》及应用指南的相关规定，将递延收益在财务报表 科目单独披露。</w:t>
      </w:r>
    </w:p>
    <w:p>
      <w:pPr>
        <w:spacing w:line="240" w:lineRule="auto" w:before="7"/>
        <w:rPr>
          <w:rFonts w:ascii="宋体" w:hAnsi="宋体" w:cs="宋体" w:eastAsia="宋体" w:hint="default"/>
          <w:sz w:val="23"/>
          <w:szCs w:val="23"/>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）重要会计估计</w:t>
      </w:r>
      <w:bookmarkStart w:name="（2）重要会计估计变更" w:id="208"/>
      <w:bookmarkEnd w:id="208"/>
      <w:r>
        <w:rPr/>
        <w:t>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3"/>
        <w:rPr>
          <w:rFonts w:ascii="宋体" w:hAnsi="宋体" w:cs="宋体" w:eastAsia="宋体" w:hint="default"/>
          <w:sz w:val="25"/>
          <w:szCs w:val="25"/>
        </w:rPr>
      </w:pPr>
    </w:p>
    <w:p>
      <w:pPr>
        <w:pStyle w:val="Heading2"/>
        <w:spacing w:line="240" w:lineRule="auto"/>
        <w:ind w:right="791"/>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bookmarkStart w:name="34、其他" w:id="209"/>
            <w:bookmarkEnd w:id="209"/>
            <w:r>
              <w:rPr/>
            </w:r>
            <w:bookmarkStart w:name="六、税项" w:id="210"/>
            <w:bookmarkEnd w:id="210"/>
            <w:r>
              <w:rPr/>
            </w: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1、主要税种及税率" w:id="211"/>
            <w:bookmarkEnd w:id="211"/>
            <w:r>
              <w:rPr/>
            </w:r>
            <w:r>
              <w:rPr>
                <w:rFonts w:ascii="宋体" w:hAnsi="宋体" w:cs="宋体" w:eastAsia="宋体" w:hint="default"/>
                <w:sz w:val="18"/>
                <w:szCs w:val="18"/>
              </w:rPr>
              <w:t>税率</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791"/>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河南豫础置业有限公司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沈阳榕基信息技术有限公司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河南裕德信置业公司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86"/>
        <w:jc w:val="left"/>
        <w:rPr>
          <w:b w:val="0"/>
          <w:bCs w:val="0"/>
        </w:rPr>
      </w:pPr>
      <w:bookmarkStart w:name="3、其他" w:id="212"/>
      <w:bookmarkEnd w:id="212"/>
      <w:r>
        <w:rPr>
          <w:b w:val="0"/>
          <w:bCs w:val="0"/>
        </w:rPr>
      </w:r>
      <w:bookmarkStart w:name="七、合并财务报表项目注释" w:id="213"/>
      <w:bookmarkEnd w:id="213"/>
      <w:r>
        <w:rPr>
          <w:b w:val="0"/>
          <w:bCs w:val="0"/>
        </w:rPr>
      </w:r>
      <w:bookmarkStart w:name="1、货币资金"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jc w:val="left"/>
      </w:pPr>
      <w:r>
        <w:rPr/>
        <w:t>（</w:t>
      </w:r>
      <w:r>
        <w:rPr>
          <w:rFonts w:ascii="Times New Roman" w:hAnsi="Times New Roman" w:cs="Times New Roman" w:eastAsia="Times New Roman" w:hint="default"/>
        </w:rPr>
        <w:t>1</w:t>
      </w:r>
      <w:r>
        <w:rPr/>
        <w:t>）增值税 </w:t>
      </w:r>
      <w:r>
        <w:rPr>
          <w:spacing w:val="-5"/>
        </w:rPr>
        <w:t>公司本部、</w:t>
      </w:r>
      <w:bookmarkStart w:name="2、税收优惠" w:id="215"/>
      <w:bookmarkEnd w:id="215"/>
      <w:r>
        <w:rPr>
          <w:spacing w:val="-5"/>
        </w:rPr>
        <w:t>上海榕基软件开发有限公</w:t>
      </w:r>
      <w:r>
        <w:rPr>
          <w:spacing w:val="-5"/>
        </w:rPr>
        <w:t>司（以下简称上海榕基公司）、浙江榕基信息技术有限公司（以下简称浙江榕基公司）、</w:t>
      </w:r>
      <w:r>
        <w:rPr>
          <w:spacing w:val="-79"/>
        </w:rPr>
        <w:t> </w:t>
      </w:r>
      <w:r>
        <w:rPr>
          <w:spacing w:val="-79"/>
        </w:rPr>
      </w:r>
      <w:r>
        <w:rPr>
          <w:spacing w:val="-2"/>
        </w:rPr>
        <w:t>福州创华电气自动化有限公司（以下简称福州创华公司）、福建榕基软件工程有限公司（以下简称榕基软件工程公司）、榕</w:t>
      </w:r>
      <w:r>
        <w:rPr>
          <w:spacing w:val="-70"/>
        </w:rPr>
        <w:t> </w:t>
      </w:r>
      <w:r>
        <w:rPr>
          <w:spacing w:val="-70"/>
        </w:rPr>
      </w:r>
      <w:r>
        <w:rPr>
          <w:spacing w:val="-2"/>
        </w:rPr>
        <w:t>基五一（北京）信息技术有限公司（以下简称北京五一公司）、河南榕基信息技术有限公司（以下简称河南榕基公司）、北</w:t>
      </w:r>
      <w:r>
        <w:rPr>
          <w:spacing w:val="-65"/>
        </w:rPr>
        <w:t> </w:t>
      </w:r>
      <w:r>
        <w:rPr>
          <w:spacing w:val="-65"/>
        </w:rPr>
      </w:r>
      <w:r>
        <w:rPr/>
        <w:t>京中榕基信息技术有限公司（以下简称北京中榕基公司）、马鞍山榕基软件信息科技有限公司（以下简称马鞍山榕基公司）</w:t>
      </w:r>
      <w:r>
        <w:rPr>
          <w:spacing w:val="-86"/>
        </w:rPr>
        <w:t> </w:t>
      </w:r>
      <w:r>
        <w:rPr>
          <w:spacing w:val="-86"/>
        </w:rPr>
      </w:r>
      <w:r>
        <w:rPr/>
        <w:t>均为增值税一般纳税人，其中公司本部、上海榕基公司、浙江榕基公司、河南榕基公司、北京五一公司、马鞍山榕基公司、</w:t>
      </w:r>
      <w:r>
        <w:rPr>
          <w:spacing w:val="-86"/>
        </w:rPr>
        <w:t> </w:t>
      </w:r>
      <w:r>
        <w:rPr>
          <w:spacing w:val="-86"/>
        </w:rPr>
      </w:r>
      <w:r>
        <w:rPr>
          <w:spacing w:val="-2"/>
        </w:rPr>
        <w:t>福州创华公司及榕基软件工程公司均被认定为软件企业，根据《国务院关于印发进一步鼓励软件产业和集成电路产业发展若</w:t>
      </w:r>
      <w:r>
        <w:rPr>
          <w:spacing w:val="-64"/>
        </w:rPr>
        <w:t> </w:t>
      </w:r>
      <w:r>
        <w:rPr>
          <w:spacing w:val="-64"/>
        </w:rPr>
      </w:r>
      <w:r>
        <w:rPr>
          <w:spacing w:val="-5"/>
        </w:rPr>
        <w:t>干政策的通知》（国发〔</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4</w:t>
      </w:r>
      <w:r>
        <w:rPr>
          <w:spacing w:val="-5"/>
        </w:rPr>
        <w:t>号），财政部、国家税务总局《关于软件产品增值税政策的通知》（财税〔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100</w:t>
      </w:r>
      <w:r>
        <w:rPr>
          <w:spacing w:val="-5"/>
        </w:rPr>
        <w:t>号），</w:t>
      </w:r>
      <w:r>
        <w:rPr>
          <w:spacing w:val="-61"/>
        </w:rPr>
        <w:t> </w:t>
      </w:r>
      <w:r>
        <w:rPr>
          <w:spacing w:val="-61"/>
        </w:rPr>
      </w:r>
      <w:r>
        <w:rPr>
          <w:spacing w:val="-3"/>
        </w:rPr>
        <w:t>自</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日起，本公司销售自行开发生产的软件产品，经主管税务部门审核后，实际税负超过</w:t>
      </w:r>
      <w:r>
        <w:rPr>
          <w:rFonts w:ascii="Times New Roman" w:hAnsi="Times New Roman" w:cs="Times New Roman" w:eastAsia="Times New Roman" w:hint="default"/>
          <w:spacing w:val="-3"/>
        </w:rPr>
        <w:t>3%</w:t>
      </w:r>
      <w:r>
        <w:rPr>
          <w:spacing w:val="-3"/>
        </w:rPr>
        <w:t>的部分实行即征即退。</w:t>
      </w:r>
    </w:p>
    <w:p>
      <w:pPr>
        <w:pStyle w:val="BodyText"/>
        <w:spacing w:line="319" w:lineRule="auto" w:before="38"/>
        <w:ind w:right="184"/>
        <w:jc w:val="left"/>
      </w:pPr>
      <w:r>
        <w:rPr/>
        <w:t>（</w:t>
      </w:r>
      <w:r>
        <w:rPr>
          <w:rFonts w:ascii="Times New Roman" w:hAnsi="Times New Roman" w:cs="Times New Roman" w:eastAsia="Times New Roman" w:hint="default"/>
        </w:rPr>
        <w:t>2</w:t>
      </w:r>
      <w:r>
        <w:rPr/>
        <w:t>）企业所得税 </w:t>
      </w:r>
      <w:r>
        <w:rPr>
          <w:rFonts w:ascii="Times New Roman" w:hAnsi="Times New Roman" w:cs="Times New Roman" w:eastAsia="Times New Roman" w:hint="default"/>
        </w:rPr>
        <w:t>1</w:t>
      </w:r>
      <w:r>
        <w:rPr/>
        <w:t>）根据《中华人民共和国企业所得税法》（主席令第</w:t>
      </w:r>
      <w:r>
        <w:rPr>
          <w:rFonts w:ascii="Times New Roman" w:hAnsi="Times New Roman" w:cs="Times New Roman" w:eastAsia="Times New Roman" w:hint="default"/>
        </w:rPr>
        <w:t>63</w:t>
      </w:r>
      <w:r>
        <w:rPr/>
        <w:t>号），科技部、财政部、国家税务总局下发的《关于印发〈高新技 术企业认定管理办法〉的通知》（国科发火〔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号）的规定，国家需要重点扶持的高新技术企业，减按</w:t>
      </w:r>
      <w:r>
        <w:rPr>
          <w:rFonts w:ascii="Times New Roman" w:hAnsi="Times New Roman" w:cs="Times New Roman" w:eastAsia="Times New Roman" w:hint="default"/>
        </w:rPr>
        <w:t>15%</w:t>
      </w:r>
      <w:r>
        <w:rPr/>
        <w:t>的税率</w:t>
      </w:r>
    </w:p>
    <w:p>
      <w:pPr>
        <w:pStyle w:val="BodyText"/>
        <w:spacing w:line="319" w:lineRule="auto"/>
        <w:ind w:right="184" w:hanging="1"/>
        <w:jc w:val="left"/>
      </w:pPr>
      <w:r>
        <w:rPr/>
        <w:t>征收企业所得税。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日，福建榕基软件股份有限公司取得有效期为</w:t>
      </w:r>
      <w:r>
        <w:rPr>
          <w:rFonts w:ascii="Times New Roman" w:hAnsi="Times New Roman" w:cs="Times New Roman" w:eastAsia="Times New Roman" w:hint="default"/>
        </w:rPr>
        <w:t>3</w:t>
      </w:r>
      <w:r>
        <w:rPr/>
        <w:t>年的《高新技术企业证书》。 </w:t>
      </w:r>
      <w:r>
        <w:rPr>
          <w:spacing w:val="-2"/>
        </w:rPr>
        <w:t>福建榕基软件股份有限公司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2014</w:t>
      </w:r>
      <w:r>
        <w:rPr>
          <w:spacing w:val="-2"/>
        </w:rPr>
        <w:t>年被认定为国家规划布局内重点软件企业，根据财政部、国家税务总局下发的《关</w:t>
      </w:r>
      <w:r>
        <w:rPr>
          <w:spacing w:val="-60"/>
        </w:rPr>
        <w:t> </w:t>
      </w:r>
      <w:r>
        <w:rPr>
          <w:spacing w:val="-60"/>
        </w:rPr>
      </w:r>
      <w:r>
        <w:rPr>
          <w:spacing w:val="-4"/>
        </w:rPr>
        <w:t>于企业所得税若干优惠政策的通知》</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[2008]1</w:t>
      </w:r>
      <w:r>
        <w:rPr>
          <w:spacing w:val="-4"/>
        </w:rPr>
        <w:t>号</w:t>
      </w:r>
      <w:r>
        <w:rPr>
          <w:rFonts w:ascii="Times New Roman" w:hAnsi="Times New Roman" w:cs="Times New Roman" w:eastAsia="Times New Roman" w:hint="default"/>
          <w:spacing w:val="-4"/>
        </w:rPr>
        <w:t>)</w:t>
      </w:r>
      <w:r>
        <w:rPr>
          <w:spacing w:val="-4"/>
        </w:rPr>
        <w:t>规定：国家规划布局内的重点软件生产企业，如当年未享受免税优惠的，</w:t>
      </w:r>
    </w:p>
    <w:p>
      <w:pPr>
        <w:pStyle w:val="BodyText"/>
        <w:spacing w:line="246" w:lineRule="exact"/>
        <w:ind w:right="186"/>
        <w:jc w:val="left"/>
      </w:pPr>
      <w:r>
        <w:rPr/>
        <w:t>减按</w:t>
      </w:r>
      <w:r>
        <w:rPr>
          <w:rFonts w:ascii="Times New Roman" w:hAnsi="Times New Roman" w:cs="Times New Roman" w:eastAsia="Times New Roman" w:hint="default"/>
        </w:rPr>
        <w:t>10</w:t>
      </w:r>
      <w:r>
        <w:rPr/>
        <w:t>％的税率征收企业所得税。</w:t>
      </w:r>
    </w:p>
    <w:p>
      <w:pPr>
        <w:pStyle w:val="BodyText"/>
        <w:spacing w:line="240" w:lineRule="auto" w:before="103"/>
        <w:ind w:right="18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日，浙江榕基公司取得有效期为</w:t>
      </w:r>
      <w:r>
        <w:rPr>
          <w:rFonts w:ascii="Times New Roman" w:hAnsi="Times New Roman" w:cs="Times New Roman" w:eastAsia="Times New Roman" w:hint="default"/>
        </w:rPr>
        <w:t>3</w:t>
      </w:r>
      <w:r>
        <w:rPr/>
        <w:t>年的《高新技术企业证书》，</w:t>
      </w:r>
      <w:r>
        <w:rPr>
          <w:rFonts w:ascii="Times New Roman" w:hAnsi="Times New Roman" w:cs="Times New Roman" w:eastAsia="Times New Roman" w:hint="default"/>
        </w:rPr>
        <w:t>2014</w:t>
      </w:r>
      <w:r>
        <w:rPr/>
        <w:t>年享受</w:t>
      </w:r>
      <w:r>
        <w:rPr>
          <w:rFonts w:ascii="Times New Roman" w:hAnsi="Times New Roman" w:cs="Times New Roman" w:eastAsia="Times New Roman" w:hint="default"/>
        </w:rPr>
        <w:t>15%</w:t>
      </w:r>
      <w:r>
        <w:rPr/>
        <w:t>的优惠企业所得税税率。</w:t>
      </w:r>
    </w:p>
    <w:p>
      <w:pPr>
        <w:pStyle w:val="BodyText"/>
        <w:spacing w:line="300" w:lineRule="auto" w:before="103"/>
        <w:ind w:right="192"/>
        <w:jc w:val="both"/>
      </w:pPr>
      <w:r>
        <w:rPr>
          <w:rFonts w:ascii="Times New Roman" w:hAnsi="Times New Roman" w:cs="Times New Roman" w:eastAsia="Times New Roman" w:hint="default"/>
          <w:spacing w:val="-1"/>
        </w:rPr>
        <w:t>3</w:t>
      </w:r>
      <w:r>
        <w:rPr>
          <w:spacing w:val="-1"/>
        </w:rPr>
        <w:t>）根据财政部、国家税务总局《关于企业所得税若干优惠政策》（财税</w:t>
      </w:r>
      <w:r>
        <w:rPr>
          <w:rFonts w:ascii="Times New Roman" w:hAnsi="Times New Roman" w:cs="Times New Roman" w:eastAsia="Times New Roman" w:hint="default"/>
          <w:spacing w:val="-1"/>
        </w:rPr>
        <w:t>[2008]1</w:t>
      </w:r>
      <w:r>
        <w:rPr>
          <w:spacing w:val="-1"/>
        </w:rPr>
        <w:t>号）规定：我国境内新办软件生产企业经认</w:t>
      </w:r>
      <w:r>
        <w:rPr>
          <w:spacing w:val="-61"/>
        </w:rPr>
        <w:t> </w:t>
      </w:r>
      <w:r>
        <w:rPr>
          <w:spacing w:val="-61"/>
        </w:rPr>
      </w:r>
      <w:r>
        <w:rPr>
          <w:spacing w:val="-2"/>
        </w:rPr>
        <w:t>定后，自获利年度起，第一年和第二年免征企业所得税，第三年至第五年减半征收企业所得税。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月，福建榕基软件</w:t>
      </w:r>
      <w:r>
        <w:rPr>
          <w:spacing w:val="-64"/>
        </w:rPr>
        <w:t> </w:t>
      </w:r>
      <w:r>
        <w:rPr>
          <w:spacing w:val="-64"/>
        </w:rPr>
      </w:r>
      <w:r>
        <w:rPr>
          <w:spacing w:val="-2"/>
        </w:rPr>
        <w:t>工程有限公司被认定为软件企业，自</w:t>
      </w:r>
      <w:r>
        <w:rPr>
          <w:rFonts w:ascii="Times New Roman" w:hAnsi="Times New Roman" w:cs="Times New Roman" w:eastAsia="Times New Roman" w:hint="default"/>
          <w:spacing w:val="-2"/>
        </w:rPr>
        <w:t>2011</w:t>
      </w:r>
      <w:r>
        <w:rPr>
          <w:spacing w:val="-2"/>
        </w:rPr>
        <w:t>年起享受</w:t>
      </w:r>
      <w:r>
        <w:rPr>
          <w:rFonts w:ascii="Times New Roman" w:hAnsi="Times New Roman" w:cs="Times New Roman" w:eastAsia="Times New Roman" w:hint="default"/>
          <w:spacing w:val="-2"/>
        </w:rPr>
        <w:t>“</w:t>
      </w:r>
      <w:r>
        <w:rPr>
          <w:spacing w:val="-2"/>
        </w:rPr>
        <w:t>免二减三</w:t>
      </w:r>
      <w:r>
        <w:rPr>
          <w:rFonts w:ascii="Times New Roman" w:hAnsi="Times New Roman" w:cs="Times New Roman" w:eastAsia="Times New Roman" w:hint="default"/>
          <w:spacing w:val="-2"/>
        </w:rPr>
        <w:t>”</w:t>
      </w:r>
      <w:r>
        <w:rPr>
          <w:spacing w:val="-2"/>
        </w:rPr>
        <w:t>的税收优惠。</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月，榕基五一（北京）信息技术有限公</w:t>
      </w:r>
      <w:r>
        <w:rPr>
          <w:spacing w:val="-42"/>
        </w:rPr>
        <w:t> </w:t>
      </w:r>
      <w:r>
        <w:rPr>
          <w:spacing w:val="-42"/>
        </w:rPr>
      </w:r>
      <w:r>
        <w:rPr>
          <w:spacing w:val="-3"/>
        </w:rPr>
        <w:t>司被认定为软件企业，自</w:t>
      </w:r>
      <w:r>
        <w:rPr>
          <w:rFonts w:ascii="Times New Roman" w:hAnsi="Times New Roman" w:cs="Times New Roman" w:eastAsia="Times New Roman" w:hint="default"/>
          <w:spacing w:val="-3"/>
        </w:rPr>
        <w:t>2012</w:t>
      </w:r>
      <w:r>
        <w:rPr>
          <w:spacing w:val="-3"/>
        </w:rPr>
        <w:t>年起享受</w:t>
      </w:r>
      <w:r>
        <w:rPr>
          <w:rFonts w:ascii="Times New Roman" w:hAnsi="Times New Roman" w:cs="Times New Roman" w:eastAsia="Times New Roman" w:hint="default"/>
          <w:spacing w:val="-3"/>
        </w:rPr>
        <w:t>“</w:t>
      </w:r>
      <w:r>
        <w:rPr>
          <w:spacing w:val="-3"/>
        </w:rPr>
        <w:t>免二减三</w:t>
      </w:r>
      <w:r>
        <w:rPr>
          <w:rFonts w:ascii="Times New Roman" w:hAnsi="Times New Roman" w:cs="Times New Roman" w:eastAsia="Times New Roman" w:hint="default"/>
          <w:spacing w:val="-3"/>
        </w:rPr>
        <w:t>”</w:t>
      </w:r>
      <w:r>
        <w:rPr>
          <w:spacing w:val="-3"/>
        </w:rPr>
        <w:t>的税收优惠。</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月，河南榕基信息技术有限公司被认定为软件企业，</w:t>
      </w:r>
      <w:r>
        <w:rPr>
          <w:spacing w:val="-69"/>
        </w:rPr>
        <w:t> </w:t>
      </w:r>
      <w:r>
        <w:rPr>
          <w:spacing w:val="-69"/>
        </w:rPr>
      </w:r>
      <w:r>
        <w:rPr>
          <w:spacing w:val="-2"/>
        </w:rPr>
        <w:t>自</w:t>
      </w:r>
      <w:r>
        <w:rPr>
          <w:rFonts w:ascii="Times New Roman" w:hAnsi="Times New Roman" w:cs="Times New Roman" w:eastAsia="Times New Roman" w:hint="default"/>
          <w:spacing w:val="-2"/>
        </w:rPr>
        <w:t>2012</w:t>
      </w:r>
      <w:r>
        <w:rPr>
          <w:spacing w:val="-2"/>
        </w:rPr>
        <w:t>年起享受</w:t>
      </w:r>
      <w:r>
        <w:rPr>
          <w:rFonts w:ascii="Times New Roman" w:hAnsi="Times New Roman" w:cs="Times New Roman" w:eastAsia="Times New Roman" w:hint="default"/>
          <w:spacing w:val="-2"/>
        </w:rPr>
        <w:t>“</w:t>
      </w:r>
      <w:r>
        <w:rPr>
          <w:spacing w:val="-2"/>
        </w:rPr>
        <w:t>免二减三</w:t>
      </w:r>
      <w:r>
        <w:rPr>
          <w:rFonts w:ascii="Times New Roman" w:hAnsi="Times New Roman" w:cs="Times New Roman" w:eastAsia="Times New Roman" w:hint="default"/>
          <w:spacing w:val="-2"/>
        </w:rPr>
        <w:t>”</w:t>
      </w:r>
      <w:r>
        <w:rPr>
          <w:spacing w:val="-2"/>
        </w:rPr>
        <w:t>的税收优惠。</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月，马鞍山榕基软件信息科技有限公司被认定为软件企业，自</w:t>
      </w:r>
      <w:r>
        <w:rPr>
          <w:rFonts w:ascii="Times New Roman" w:hAnsi="Times New Roman" w:cs="Times New Roman" w:eastAsia="Times New Roman" w:hint="default"/>
          <w:spacing w:val="-2"/>
        </w:rPr>
        <w:t>2012</w:t>
      </w:r>
      <w:r>
        <w:rPr>
          <w:spacing w:val="-2"/>
        </w:rPr>
        <w:t>年起享</w:t>
      </w:r>
      <w:r>
        <w:rPr>
          <w:spacing w:val="-41"/>
        </w:rPr>
        <w:t> </w:t>
      </w:r>
      <w:r>
        <w:rPr/>
        <w:t>受</w:t>
      </w:r>
      <w:r>
        <w:rPr>
          <w:rFonts w:ascii="Times New Roman" w:hAnsi="Times New Roman" w:cs="Times New Roman" w:eastAsia="Times New Roman" w:hint="default"/>
        </w:rPr>
        <w:t>“</w:t>
      </w:r>
      <w:r>
        <w:rPr/>
        <w:t>免二减三</w:t>
      </w:r>
      <w:r>
        <w:rPr>
          <w:rFonts w:ascii="Times New Roman" w:hAnsi="Times New Roman" w:cs="Times New Roman" w:eastAsia="Times New Roman" w:hint="default"/>
        </w:rPr>
        <w:t>”</w:t>
      </w:r>
      <w:r>
        <w:rPr/>
        <w:t>的税收优惠。</w:t>
      </w:r>
    </w:p>
    <w:p>
      <w:pPr>
        <w:spacing w:line="240" w:lineRule="auto" w:before="3"/>
        <w:rPr>
          <w:rFonts w:ascii="宋体" w:hAnsi="宋体" w:cs="宋体" w:eastAsia="宋体" w:hint="default"/>
          <w:sz w:val="22"/>
          <w:szCs w:val="22"/>
        </w:rPr>
      </w:pPr>
    </w:p>
    <w:p>
      <w:pPr>
        <w:pStyle w:val="Heading3"/>
        <w:spacing w:line="240" w:lineRule="auto"/>
        <w:ind w:right="186"/>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6"/>
        <w:jc w:val="left"/>
      </w:pPr>
      <w:r>
        <w:rPr/>
        <w:t>无。</w:t>
      </w:r>
    </w:p>
    <w:p>
      <w:pPr>
        <w:spacing w:line="240" w:lineRule="auto" w:before="3"/>
        <w:rPr>
          <w:rFonts w:ascii="宋体" w:hAnsi="宋体" w:cs="宋体" w:eastAsia="宋体" w:hint="default"/>
          <w:sz w:val="25"/>
          <w:szCs w:val="25"/>
        </w:rPr>
      </w:pPr>
    </w:p>
    <w:p>
      <w:pPr>
        <w:pStyle w:val="Heading2"/>
        <w:spacing w:line="240" w:lineRule="auto"/>
        <w:ind w:right="186"/>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6"/>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166,981.40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514,577.07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301,366,268.86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382,150,374.80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86,727,199.70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16,954,141.70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388,260,449.96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399,619,093.57</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1,599,516.72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1,593</w:t>
            </w:r>
            <w:r>
              <w:rPr>
                <w:rFonts w:ascii="Times New Roman"/>
                <w:spacing w:val="-1"/>
                <w:sz w:val="18"/>
              </w:rPr>
              <w:t> </w:t>
            </w:r>
            <w:r>
              <w:rPr>
                <w:rFonts w:ascii="Times New Roman"/>
                <w:sz w:val="18"/>
              </w:rPr>
              <w:t>,983.58</w:t>
            </w:r>
          </w:p>
        </w:tc>
      </w:tr>
    </w:tbl>
    <w:p>
      <w:pPr>
        <w:pStyle w:val="BodyText"/>
        <w:spacing w:line="240" w:lineRule="auto" w:before="49"/>
        <w:ind w:right="791"/>
        <w:jc w:val="left"/>
      </w:pPr>
      <w:bookmarkStart w:name="（2）期末公司已质押的应收票据" w:id="216"/>
      <w:bookmarkEnd w:id="216"/>
      <w:r>
        <w:rPr/>
      </w:r>
      <w:bookmarkStart w:name="（3）期末公司已背书或贴现且在资产负债表日尚未到期的应收票据" w:id="217"/>
      <w:bookmarkEnd w:id="217"/>
      <w:r>
        <w:rPr/>
      </w:r>
      <w:r>
        <w:rPr/>
        <w:t>其他说明</w:t>
      </w:r>
    </w:p>
    <w:p>
      <w:pPr>
        <w:pStyle w:val="BodyText"/>
        <w:spacing w:line="300" w:lineRule="auto" w:before="115"/>
        <w:ind w:right="147"/>
        <w:jc w:val="left"/>
      </w:pPr>
      <w:r>
        <w:rPr>
          <w:spacing w:val="-2"/>
        </w:rPr>
        <w:t>（</w:t>
      </w:r>
      <w:r>
        <w:rPr>
          <w:rFonts w:ascii="Times New Roman" w:hAnsi="Times New Roman" w:cs="Times New Roman" w:eastAsia="Times New Roman" w:hint="default"/>
          <w:spacing w:val="-2"/>
        </w:rPr>
        <w:t>1</w:t>
      </w:r>
      <w:r>
        <w:rPr>
          <w:spacing w:val="-2"/>
        </w:rPr>
        <w:t>）期末，其他货币资金中中定期存款</w:t>
      </w:r>
      <w:r>
        <w:rPr>
          <w:rFonts w:ascii="Times New Roman" w:hAnsi="Times New Roman" w:cs="Times New Roman" w:eastAsia="Times New Roman" w:hint="default"/>
          <w:spacing w:val="-2"/>
        </w:rPr>
        <w:t>52,623,400.00</w:t>
      </w:r>
      <w:r>
        <w:rPr>
          <w:spacing w:val="-2"/>
        </w:rPr>
        <w:t>元及保函保证金</w:t>
      </w:r>
      <w:r>
        <w:rPr>
          <w:rFonts w:ascii="Times New Roman" w:hAnsi="Times New Roman" w:cs="Times New Roman" w:eastAsia="Times New Roman" w:hint="default"/>
          <w:spacing w:val="-2"/>
        </w:rPr>
        <w:t>34,103,799.70</w:t>
      </w:r>
      <w:r>
        <w:rPr>
          <w:spacing w:val="-2"/>
        </w:rPr>
        <w:t>元本公司在编制现金流量表时未将其作为</w:t>
      </w:r>
      <w:r>
        <w:rPr>
          <w:spacing w:val="-50"/>
        </w:rPr>
        <w:t> </w:t>
      </w:r>
      <w:r>
        <w:rPr>
          <w:spacing w:val="-50"/>
        </w:rPr>
      </w:r>
      <w:r>
        <w:rPr/>
        <w:t>现金或现金等价物。</w:t>
      </w:r>
    </w:p>
    <w:p>
      <w:pPr>
        <w:pStyle w:val="BodyText"/>
        <w:spacing w:line="240" w:lineRule="auto" w:before="72"/>
        <w:ind w:right="791"/>
        <w:jc w:val="left"/>
      </w:pPr>
      <w:r>
        <w:rPr/>
        <w:t>（</w:t>
      </w:r>
      <w:r>
        <w:rPr>
          <w:rFonts w:ascii="Times New Roman" w:hAnsi="Times New Roman" w:cs="Times New Roman" w:eastAsia="Times New Roman" w:hint="default"/>
        </w:rPr>
        <w:t>2</w:t>
      </w:r>
      <w:r>
        <w:rPr/>
        <w:t>）期末，本公司不存在质押、冻结，或有潜在收回风险的款项。</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2</w:t>
      </w:r>
      <w:r>
        <w:rPr/>
        <w:t>、以公允价值计量且其变</w:t>
      </w:r>
      <w:bookmarkStart w:name="2、以公允价值计量且其变动计入当期损益的金融资产" w:id="218"/>
      <w:bookmarkEnd w:id="218"/>
      <w:r>
        <w:rPr/>
        <w:t>动计入当期损益的</w:t>
      </w:r>
      <w:r>
        <w:rPr/>
        <w:t>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衍生金融资产" w:id="219"/>
      <w:bookmarkEnd w:id="219"/>
      <w:r>
        <w:rPr/>
      </w:r>
      <w:bookmarkStart w:name="4、应收票据" w:id="220"/>
      <w:bookmarkEnd w:id="220"/>
      <w:r>
        <w:rPr/>
      </w:r>
      <w:bookmarkStart w:name="（1）应收票据分类列示" w:id="221"/>
      <w:bookmarkEnd w:id="22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17,701,639.15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24,950,351.00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17,701,639.15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24,950,351.00</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519,177.95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519,177.95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期末公司因出票人未履约而将其转应收账款的票据" w:id="222"/>
      <w:bookmarkEnd w:id="22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5、应收账款" w:id="223"/>
      <w:bookmarkEnd w:id="223"/>
      <w:r>
        <w:rPr/>
      </w:r>
      <w:bookmarkStart w:name="（1）应收账款分类披露" w:id="224"/>
      <w:bookmarkEnd w:id="22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85,673,4</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78.48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10,722,1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08.32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74,951,37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67,075,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469.02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8,436,160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58,639,308.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85,673,4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78.48</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10,722,1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08.32</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74,951,37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0.16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67,075,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469.02</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8,436,160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58,639,308.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8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4D4D4"/>
          </w:tcPr>
          <w:p>
            <w:pPr/>
          </w:p>
        </w:tc>
        <w:tc>
          <w:tcPr>
            <w:tcW w:w="23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1"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65,422,214.12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3,271,110.71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9,147,158.70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914,715.87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5,709,779.90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1,141,955.98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5,394,325.76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5,394,325.76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85,673,478.48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10,722,108.32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794"/>
        <w:jc w:val="left"/>
      </w:pPr>
      <w:r>
        <w:rPr/>
        <w:t>确定该组合依据的说明： 无。</w:t>
      </w:r>
    </w:p>
    <w:p>
      <w:pPr>
        <w:pStyle w:val="BodyText"/>
        <w:spacing w:line="240" w:lineRule="auto" w:before="29"/>
        <w:ind w:right="791"/>
        <w:jc w:val="left"/>
      </w:pPr>
      <w:r>
        <w:rPr/>
        <w:t>组合中，采用余额百分比法计提坏账准备的应收账款：</w:t>
      </w:r>
    </w:p>
    <w:p>
      <w:pPr>
        <w:pStyle w:val="BodyText"/>
        <w:spacing w:line="240" w:lineRule="auto" w:before="115"/>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5814"/>
        <w:jc w:val="left"/>
      </w:pPr>
      <w:r>
        <w:rPr/>
        <w:t>组合中，采用其他方法计提坏账准备的应收账款：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bookmarkStart w:name="（2）本期计提、收回或转回的坏账准备情况" w:id="225"/>
      <w:bookmarkEnd w:id="225"/>
      <w:r>
        <w:rPr>
          <w:rFonts w:ascii="Times New Roman" w:hAnsi="Times New Roman" w:cs="Times New Roman" w:eastAsia="Times New Roman" w:hint="default"/>
        </w:rPr>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9"/>
        <w:jc w:val="left"/>
      </w:pPr>
      <w:r>
        <w:rPr/>
        <w:t>本期计提坏账准备金额</w:t>
      </w:r>
      <w:r>
        <w:rPr>
          <w:spacing w:val="-47"/>
        </w:rPr>
        <w:t> </w:t>
      </w:r>
      <w:r>
        <w:rPr>
          <w:rFonts w:ascii="Times New Roman" w:hAnsi="Times New Roman" w:cs="Times New Roman" w:eastAsia="Times New Roman" w:hint="default"/>
        </w:rPr>
        <w:t>2,285,948.03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58" w:space="2369"/>
            <w:col w:w="112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本期实际核销的应收账款情况" w:id="226"/>
      <w:bookmarkEnd w:id="22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791"/>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49"/>
        <w:ind w:right="8154"/>
        <w:jc w:val="left"/>
      </w:pPr>
      <w:r>
        <w:rPr/>
        <w:t>应收账款核销说明：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2319"/>
        <w:gridCol w:w="1811"/>
        <w:gridCol w:w="2762"/>
        <w:gridCol w:w="2389"/>
      </w:tblGrid>
      <w:tr>
        <w:trPr>
          <w:trHeight w:val="785"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11" w:type="dxa"/>
            <w:tcBorders>
              <w:top w:val="single" w:sz="8" w:space="0" w:color="000000"/>
              <w:left w:val="nil" w:sz="6" w:space="0" w:color="auto"/>
              <w:bottom w:val="single" w:sz="8" w:space="0" w:color="000000"/>
              <w:right w:val="nil" w:sz="6" w:space="0" w:color="auto"/>
            </w:tcBorders>
          </w:tcPr>
          <w:p>
            <w:pPr>
              <w:pStyle w:val="TableParagraph"/>
              <w:spacing w:line="357" w:lineRule="auto" w:before="61"/>
              <w:ind w:left="13" w:right="1075"/>
              <w:jc w:val="left"/>
              <w:rPr>
                <w:rFonts w:ascii="宋体" w:hAnsi="宋体" w:cs="宋体" w:eastAsia="宋体" w:hint="default"/>
                <w:sz w:val="18"/>
                <w:szCs w:val="18"/>
              </w:rPr>
            </w:pPr>
            <w:r>
              <w:rPr>
                <w:rFonts w:ascii="宋体" w:hAnsi="宋体" w:cs="宋体" w:eastAsia="宋体" w:hint="default"/>
                <w:sz w:val="18"/>
                <w:szCs w:val="18"/>
              </w:rPr>
              <w:t>应收账款 期末余额</w:t>
            </w:r>
          </w:p>
        </w:tc>
        <w:tc>
          <w:tcPr>
            <w:tcW w:w="2762" w:type="dxa"/>
            <w:tcBorders>
              <w:top w:val="single" w:sz="8" w:space="0" w:color="000000"/>
              <w:left w:val="nil" w:sz="6" w:space="0" w:color="auto"/>
              <w:bottom w:val="single" w:sz="8" w:space="0" w:color="000000"/>
              <w:right w:val="nil" w:sz="6" w:space="0" w:color="auto"/>
            </w:tcBorders>
          </w:tcPr>
          <w:p>
            <w:pPr>
              <w:pStyle w:val="TableParagraph"/>
              <w:spacing w:line="314" w:lineRule="auto" w:before="61"/>
              <w:ind w:left="521"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 的比例</w:t>
            </w:r>
            <w:r>
              <w:rPr>
                <w:rFonts w:ascii="Times New Roman" w:hAnsi="Times New Roman" w:cs="Times New Roman" w:eastAsia="Times New Roman" w:hint="default"/>
                <w:sz w:val="18"/>
                <w:szCs w:val="18"/>
              </w:rPr>
              <w:t>%</w:t>
            </w:r>
          </w:p>
        </w:tc>
        <w:tc>
          <w:tcPr>
            <w:tcW w:w="2389" w:type="dxa"/>
            <w:tcBorders>
              <w:top w:val="single" w:sz="8" w:space="0" w:color="000000"/>
              <w:left w:val="nil" w:sz="6" w:space="0" w:color="auto"/>
              <w:bottom w:val="single" w:sz="8" w:space="0" w:color="000000"/>
              <w:right w:val="nil" w:sz="6" w:space="0" w:color="auto"/>
            </w:tcBorders>
          </w:tcPr>
          <w:p>
            <w:pPr>
              <w:pStyle w:val="TableParagraph"/>
              <w:spacing w:line="357" w:lineRule="auto" w:before="61"/>
              <w:ind w:left="80" w:right="1586"/>
              <w:jc w:val="left"/>
              <w:rPr>
                <w:rFonts w:ascii="宋体" w:hAnsi="宋体" w:cs="宋体" w:eastAsia="宋体" w:hint="default"/>
                <w:sz w:val="18"/>
                <w:szCs w:val="18"/>
              </w:rPr>
            </w:pPr>
            <w:bookmarkStart w:name="（4）按欠款方归集的期末余额前五名的应收账款情况" w:id="227"/>
            <w:bookmarkEnd w:id="227"/>
            <w:r>
              <w:rPr/>
            </w:r>
            <w:r>
              <w:rPr>
                <w:rFonts w:ascii="宋体" w:hAnsi="宋体" w:cs="宋体" w:eastAsia="宋体" w:hint="default"/>
                <w:sz w:val="18"/>
                <w:szCs w:val="18"/>
              </w:rPr>
              <w:t>坏账准备 期末余额</w:t>
            </w:r>
          </w:p>
        </w:tc>
      </w:tr>
      <w:tr>
        <w:trPr>
          <w:trHeight w:val="744"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316" w:lineRule="auto" w:before="58"/>
              <w:ind w:left="12" w:right="145"/>
              <w:jc w:val="left"/>
              <w:rPr>
                <w:rFonts w:ascii="宋体" w:hAnsi="宋体" w:cs="宋体" w:eastAsia="宋体" w:hint="default"/>
                <w:sz w:val="18"/>
                <w:szCs w:val="18"/>
              </w:rPr>
            </w:pPr>
            <w:r>
              <w:rPr>
                <w:rFonts w:ascii="宋体" w:hAnsi="宋体" w:cs="宋体" w:eastAsia="宋体" w:hint="default"/>
                <w:sz w:val="18"/>
                <w:szCs w:val="18"/>
              </w:rPr>
              <w:t>北京翰悦达科技股份有限公 司</w:t>
            </w:r>
          </w:p>
        </w:tc>
        <w:tc>
          <w:tcPr>
            <w:tcW w:w="1811"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13" w:right="0"/>
              <w:jc w:val="left"/>
              <w:rPr>
                <w:rFonts w:ascii="Times New Roman" w:hAnsi="Times New Roman" w:cs="Times New Roman" w:eastAsia="Times New Roman" w:hint="default"/>
                <w:sz w:val="18"/>
                <w:szCs w:val="18"/>
              </w:rPr>
            </w:pPr>
            <w:r>
              <w:rPr>
                <w:rFonts w:ascii="Times New Roman"/>
                <w:sz w:val="18"/>
              </w:rPr>
              <w:t>4,964,323.27</w:t>
            </w:r>
          </w:p>
        </w:tc>
        <w:tc>
          <w:tcPr>
            <w:tcW w:w="2762"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521" w:right="0"/>
              <w:jc w:val="left"/>
              <w:rPr>
                <w:rFonts w:ascii="Times New Roman" w:hAnsi="Times New Roman" w:cs="Times New Roman" w:eastAsia="Times New Roman" w:hint="default"/>
                <w:sz w:val="18"/>
                <w:szCs w:val="18"/>
              </w:rPr>
            </w:pPr>
            <w:r>
              <w:rPr>
                <w:rFonts w:ascii="Times New Roman"/>
                <w:sz w:val="18"/>
              </w:rPr>
              <w:t>5.79</w:t>
            </w:r>
          </w:p>
        </w:tc>
        <w:tc>
          <w:tcPr>
            <w:tcW w:w="2389"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80" w:right="0"/>
              <w:jc w:val="left"/>
              <w:rPr>
                <w:rFonts w:ascii="Times New Roman" w:hAnsi="Times New Roman" w:cs="Times New Roman" w:eastAsia="Times New Roman" w:hint="default"/>
                <w:sz w:val="18"/>
                <w:szCs w:val="18"/>
              </w:rPr>
            </w:pPr>
            <w:r>
              <w:rPr>
                <w:rFonts w:ascii="Times New Roman"/>
                <w:sz w:val="18"/>
              </w:rPr>
              <w:t>248,216.16</w:t>
            </w:r>
          </w:p>
        </w:tc>
      </w:tr>
      <w:tr>
        <w:trPr>
          <w:trHeight w:val="432"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811"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13" w:right="0"/>
              <w:jc w:val="left"/>
              <w:rPr>
                <w:rFonts w:ascii="Times New Roman" w:hAnsi="Times New Roman" w:cs="Times New Roman" w:eastAsia="Times New Roman" w:hint="default"/>
                <w:sz w:val="18"/>
                <w:szCs w:val="18"/>
              </w:rPr>
            </w:pPr>
            <w:r>
              <w:rPr>
                <w:rFonts w:ascii="Times New Roman"/>
                <w:sz w:val="18"/>
              </w:rPr>
              <w:t>4,390,198.71</w:t>
            </w:r>
          </w:p>
        </w:tc>
        <w:tc>
          <w:tcPr>
            <w:tcW w:w="2762"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521" w:right="0"/>
              <w:jc w:val="left"/>
              <w:rPr>
                <w:rFonts w:ascii="Times New Roman" w:hAnsi="Times New Roman" w:cs="Times New Roman" w:eastAsia="Times New Roman" w:hint="default"/>
                <w:sz w:val="18"/>
                <w:szCs w:val="18"/>
              </w:rPr>
            </w:pPr>
            <w:r>
              <w:rPr>
                <w:rFonts w:ascii="Times New Roman"/>
                <w:sz w:val="18"/>
              </w:rPr>
              <w:t>5.12</w:t>
            </w:r>
          </w:p>
        </w:tc>
        <w:tc>
          <w:tcPr>
            <w:tcW w:w="2389"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80" w:right="0"/>
              <w:jc w:val="left"/>
              <w:rPr>
                <w:rFonts w:ascii="Times New Roman" w:hAnsi="Times New Roman" w:cs="Times New Roman" w:eastAsia="Times New Roman" w:hint="default"/>
                <w:sz w:val="18"/>
                <w:szCs w:val="18"/>
              </w:rPr>
            </w:pPr>
            <w:r>
              <w:rPr>
                <w:rFonts w:ascii="Times New Roman"/>
                <w:sz w:val="18"/>
              </w:rPr>
              <w:t>219,509.94</w:t>
            </w:r>
          </w:p>
        </w:tc>
      </w:tr>
      <w:tr>
        <w:trPr>
          <w:trHeight w:val="1056"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300" w:lineRule="auto" w:before="58"/>
              <w:ind w:left="12"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福州市政务信息中心</w:t>
            </w:r>
            <w:r>
              <w:rPr>
                <w:rFonts w:ascii="Times New Roman" w:hAnsi="Times New Roman" w:cs="Times New Roman" w:eastAsia="Times New Roman" w:hint="default"/>
                <w:sz w:val="18"/>
                <w:szCs w:val="18"/>
              </w:rPr>
              <w:t>(</w:t>
            </w:r>
            <w:r>
              <w:rPr>
                <w:rFonts w:ascii="宋体" w:hAnsi="宋体" w:cs="宋体" w:eastAsia="宋体" w:hint="default"/>
                <w:sz w:val="18"/>
                <w:szCs w:val="18"/>
              </w:rPr>
              <w:t>福州市</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数字福州</w:t>
            </w:r>
            <w:r>
              <w:rPr>
                <w:rFonts w:ascii="Times New Roman" w:hAnsi="Times New Roman" w:cs="Times New Roman" w:eastAsia="Times New Roman" w:hint="default"/>
                <w:sz w:val="18"/>
                <w:szCs w:val="18"/>
              </w:rPr>
              <w:t>"</w:t>
            </w:r>
            <w:r>
              <w:rPr>
                <w:rFonts w:ascii="宋体" w:hAnsi="宋体" w:cs="宋体" w:eastAsia="宋体" w:hint="default"/>
                <w:sz w:val="18"/>
                <w:szCs w:val="18"/>
              </w:rPr>
              <w:t>建设领导小组办公 室</w:t>
            </w:r>
            <w:r>
              <w:rPr>
                <w:rFonts w:ascii="Times New Roman" w:hAnsi="Times New Roman" w:cs="Times New Roman" w:eastAsia="Times New Roman" w:hint="default"/>
                <w:sz w:val="18"/>
                <w:szCs w:val="18"/>
              </w:rPr>
              <w:t>)</w:t>
            </w:r>
          </w:p>
        </w:tc>
        <w:tc>
          <w:tcPr>
            <w:tcW w:w="1811"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13" w:right="0"/>
              <w:jc w:val="left"/>
              <w:rPr>
                <w:rFonts w:ascii="Times New Roman" w:hAnsi="Times New Roman" w:cs="Times New Roman" w:eastAsia="Times New Roman" w:hint="default"/>
                <w:sz w:val="18"/>
                <w:szCs w:val="18"/>
              </w:rPr>
            </w:pPr>
            <w:r>
              <w:rPr>
                <w:rFonts w:ascii="Times New Roman"/>
                <w:sz w:val="18"/>
              </w:rPr>
              <w:t>3,856,386.00</w:t>
            </w:r>
          </w:p>
        </w:tc>
        <w:tc>
          <w:tcPr>
            <w:tcW w:w="2762"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521" w:right="0"/>
              <w:jc w:val="left"/>
              <w:rPr>
                <w:rFonts w:ascii="Times New Roman" w:hAnsi="Times New Roman" w:cs="Times New Roman" w:eastAsia="Times New Roman" w:hint="default"/>
                <w:sz w:val="18"/>
                <w:szCs w:val="18"/>
              </w:rPr>
            </w:pPr>
            <w:r>
              <w:rPr>
                <w:rFonts w:ascii="Times New Roman"/>
                <w:sz w:val="18"/>
              </w:rPr>
              <w:t>4.50</w:t>
            </w:r>
          </w:p>
        </w:tc>
        <w:tc>
          <w:tcPr>
            <w:tcW w:w="2389"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80" w:right="0"/>
              <w:jc w:val="left"/>
              <w:rPr>
                <w:rFonts w:ascii="Times New Roman" w:hAnsi="Times New Roman" w:cs="Times New Roman" w:eastAsia="Times New Roman" w:hint="default"/>
                <w:sz w:val="18"/>
                <w:szCs w:val="18"/>
              </w:rPr>
            </w:pPr>
            <w:r>
              <w:rPr>
                <w:rFonts w:ascii="Times New Roman"/>
                <w:sz w:val="18"/>
              </w:rPr>
              <w:t>192,819.30</w:t>
            </w:r>
          </w:p>
        </w:tc>
      </w:tr>
      <w:tr>
        <w:trPr>
          <w:trHeight w:val="744"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316" w:lineRule="auto" w:before="58"/>
              <w:ind w:left="12" w:right="145"/>
              <w:jc w:val="left"/>
              <w:rPr>
                <w:rFonts w:ascii="宋体" w:hAnsi="宋体" w:cs="宋体" w:eastAsia="宋体" w:hint="default"/>
                <w:sz w:val="18"/>
                <w:szCs w:val="18"/>
              </w:rPr>
            </w:pPr>
            <w:r>
              <w:rPr>
                <w:rFonts w:ascii="宋体" w:hAnsi="宋体" w:cs="宋体" w:eastAsia="宋体" w:hint="default"/>
                <w:sz w:val="18"/>
                <w:szCs w:val="18"/>
              </w:rPr>
              <w:t>平潭综合实验区交通投资发 展有限公司</w:t>
            </w:r>
          </w:p>
        </w:tc>
        <w:tc>
          <w:tcPr>
            <w:tcW w:w="1811"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13" w:right="0"/>
              <w:jc w:val="left"/>
              <w:rPr>
                <w:rFonts w:ascii="Times New Roman" w:hAnsi="Times New Roman" w:cs="Times New Roman" w:eastAsia="Times New Roman" w:hint="default"/>
                <w:sz w:val="18"/>
                <w:szCs w:val="18"/>
              </w:rPr>
            </w:pPr>
            <w:r>
              <w:rPr>
                <w:rFonts w:ascii="Times New Roman"/>
                <w:sz w:val="18"/>
              </w:rPr>
              <w:t>3,244,000.00</w:t>
            </w:r>
          </w:p>
        </w:tc>
        <w:tc>
          <w:tcPr>
            <w:tcW w:w="2762"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521" w:right="0"/>
              <w:jc w:val="left"/>
              <w:rPr>
                <w:rFonts w:ascii="Times New Roman" w:hAnsi="Times New Roman" w:cs="Times New Roman" w:eastAsia="Times New Roman" w:hint="default"/>
                <w:sz w:val="18"/>
                <w:szCs w:val="18"/>
              </w:rPr>
            </w:pPr>
            <w:r>
              <w:rPr>
                <w:rFonts w:ascii="Times New Roman"/>
                <w:sz w:val="18"/>
              </w:rPr>
              <w:t>3.79</w:t>
            </w:r>
          </w:p>
        </w:tc>
        <w:tc>
          <w:tcPr>
            <w:tcW w:w="2389"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80" w:right="0"/>
              <w:jc w:val="left"/>
              <w:rPr>
                <w:rFonts w:ascii="Times New Roman" w:hAnsi="Times New Roman" w:cs="Times New Roman" w:eastAsia="Times New Roman" w:hint="default"/>
                <w:sz w:val="18"/>
                <w:szCs w:val="18"/>
              </w:rPr>
            </w:pPr>
            <w:r>
              <w:rPr>
                <w:rFonts w:ascii="Times New Roman"/>
                <w:sz w:val="18"/>
              </w:rPr>
              <w:t>162,200.00</w:t>
            </w:r>
          </w:p>
        </w:tc>
      </w:tr>
      <w:tr>
        <w:trPr>
          <w:trHeight w:val="744"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316" w:lineRule="auto" w:before="58"/>
              <w:ind w:left="12" w:right="145"/>
              <w:jc w:val="left"/>
              <w:rPr>
                <w:rFonts w:ascii="宋体" w:hAnsi="宋体" w:cs="宋体" w:eastAsia="宋体" w:hint="default"/>
                <w:sz w:val="18"/>
                <w:szCs w:val="18"/>
              </w:rPr>
            </w:pPr>
            <w:r>
              <w:rPr>
                <w:rFonts w:ascii="宋体" w:hAnsi="宋体" w:cs="宋体" w:eastAsia="宋体" w:hint="default"/>
                <w:sz w:val="18"/>
                <w:szCs w:val="18"/>
              </w:rPr>
              <w:t>北京飞利信电子技术有限公 司</w:t>
            </w:r>
          </w:p>
        </w:tc>
        <w:tc>
          <w:tcPr>
            <w:tcW w:w="1811"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13" w:right="0"/>
              <w:jc w:val="left"/>
              <w:rPr>
                <w:rFonts w:ascii="Times New Roman" w:hAnsi="Times New Roman" w:cs="Times New Roman" w:eastAsia="Times New Roman" w:hint="default"/>
                <w:sz w:val="18"/>
                <w:szCs w:val="18"/>
              </w:rPr>
            </w:pPr>
            <w:r>
              <w:rPr>
                <w:rFonts w:ascii="Times New Roman"/>
                <w:sz w:val="18"/>
              </w:rPr>
              <w:t>2,578,798.00</w:t>
            </w:r>
          </w:p>
        </w:tc>
        <w:tc>
          <w:tcPr>
            <w:tcW w:w="2762"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521" w:right="0"/>
              <w:jc w:val="left"/>
              <w:rPr>
                <w:rFonts w:ascii="Times New Roman" w:hAnsi="Times New Roman" w:cs="Times New Roman" w:eastAsia="Times New Roman" w:hint="default"/>
                <w:sz w:val="18"/>
                <w:szCs w:val="18"/>
              </w:rPr>
            </w:pPr>
            <w:r>
              <w:rPr>
                <w:rFonts w:ascii="Times New Roman"/>
                <w:sz w:val="18"/>
              </w:rPr>
              <w:t>3.01</w:t>
            </w:r>
          </w:p>
        </w:tc>
        <w:tc>
          <w:tcPr>
            <w:tcW w:w="2389"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80" w:right="0"/>
              <w:jc w:val="left"/>
              <w:rPr>
                <w:rFonts w:ascii="Times New Roman" w:hAnsi="Times New Roman" w:cs="Times New Roman" w:eastAsia="Times New Roman" w:hint="default"/>
                <w:sz w:val="18"/>
                <w:szCs w:val="18"/>
              </w:rPr>
            </w:pPr>
            <w:r>
              <w:rPr>
                <w:rFonts w:ascii="Times New Roman"/>
                <w:sz w:val="18"/>
              </w:rPr>
              <w:t>128,939.90</w:t>
            </w:r>
          </w:p>
        </w:tc>
      </w:tr>
      <w:tr>
        <w:trPr>
          <w:trHeight w:val="432" w:hRule="exact"/>
        </w:trPr>
        <w:tc>
          <w:tcPr>
            <w:tcW w:w="2319"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811"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253" w:right="0"/>
              <w:jc w:val="left"/>
              <w:rPr>
                <w:rFonts w:ascii="Times New Roman" w:hAnsi="Times New Roman" w:cs="Times New Roman" w:eastAsia="Times New Roman" w:hint="default"/>
                <w:sz w:val="18"/>
                <w:szCs w:val="18"/>
              </w:rPr>
            </w:pPr>
            <w:r>
              <w:rPr>
                <w:rFonts w:ascii="Times New Roman"/>
                <w:sz w:val="18"/>
              </w:rPr>
              <w:t>19,033,705.98</w:t>
            </w:r>
          </w:p>
        </w:tc>
        <w:tc>
          <w:tcPr>
            <w:tcW w:w="2762"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905" w:right="0"/>
              <w:jc w:val="left"/>
              <w:rPr>
                <w:rFonts w:ascii="Times New Roman" w:hAnsi="Times New Roman" w:cs="Times New Roman" w:eastAsia="Times New Roman" w:hint="default"/>
                <w:sz w:val="18"/>
                <w:szCs w:val="18"/>
              </w:rPr>
            </w:pPr>
            <w:r>
              <w:rPr>
                <w:rFonts w:ascii="Times New Roman"/>
                <w:sz w:val="18"/>
              </w:rPr>
              <w:t>22.21</w:t>
            </w:r>
          </w:p>
        </w:tc>
        <w:tc>
          <w:tcPr>
            <w:tcW w:w="2389" w:type="dxa"/>
            <w:tcBorders>
              <w:top w:val="single" w:sz="8" w:space="0" w:color="000000"/>
              <w:left w:val="nil" w:sz="6" w:space="0" w:color="auto"/>
              <w:bottom w:val="single" w:sz="8" w:space="0" w:color="000000"/>
              <w:right w:val="nil" w:sz="6" w:space="0" w:color="auto"/>
            </w:tcBorders>
          </w:tcPr>
          <w:p>
            <w:pPr>
              <w:pStyle w:val="TableParagraph"/>
              <w:spacing w:line="240" w:lineRule="auto" w:before="100"/>
              <w:ind w:left="320" w:right="0"/>
              <w:jc w:val="left"/>
              <w:rPr>
                <w:rFonts w:ascii="Times New Roman" w:hAnsi="Times New Roman" w:cs="Times New Roman" w:eastAsia="Times New Roman" w:hint="default"/>
                <w:sz w:val="18"/>
                <w:szCs w:val="18"/>
              </w:rPr>
            </w:pPr>
            <w:r>
              <w:rPr>
                <w:rFonts w:ascii="Times New Roman"/>
                <w:sz w:val="18"/>
              </w:rPr>
              <w:t>951,685.30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6</w:t>
      </w:r>
      <w:bookmarkStart w:name="（5）因金融资产转移而终止确认的应收账款" w:id="228"/>
      <w:bookmarkEnd w:id="228"/>
      <w:r>
        <w:rPr>
          <w:rFonts w:ascii="Times New Roman" w:hAnsi="Times New Roman" w:cs="Times New Roman" w:eastAsia="Times New Roman" w:hint="default"/>
        </w:rPr>
      </w:r>
      <w:bookmarkStart w:name="（6）转移应收账款且继续涉入形成的资产、负债金额" w:id="229"/>
      <w:bookmarkEnd w:id="229"/>
      <w:r>
        <w:rPr>
          <w:rFonts w:ascii="Times New Roman" w:hAnsi="Times New Roman" w:cs="Times New Roman" w:eastAsia="Times New Roman" w:hint="default"/>
        </w:rPr>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5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6、预付款项" w:id="230"/>
      <w:bookmarkEnd w:id="230"/>
      <w:r>
        <w:rPr/>
      </w:r>
      <w:bookmarkStart w:name="（1）预付款项按账龄列示" w:id="231"/>
      <w:bookmarkEnd w:id="23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20,769,456.30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18,207,815.04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85.95%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1,393,731.09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2,783,656.44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721,066.60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116,965.19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88,929.10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74,528.91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22,973,183.09</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21,182,965.58</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4917"/>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4092"/>
        <w:gridCol w:w="2820"/>
        <w:gridCol w:w="2369"/>
      </w:tblGrid>
      <w:tr>
        <w:trPr>
          <w:trHeight w:val="662" w:hRule="exact"/>
        </w:trPr>
        <w:tc>
          <w:tcPr>
            <w:tcW w:w="409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1365" w:right="730"/>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9"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1094" w:right="5" w:hanging="36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w:t>
            </w:r>
            <w:bookmarkStart w:name="（2）按预付对象归集的期末余额前五名的预付款情况" w:id="232"/>
            <w:bookmarkEnd w:id="232"/>
            <w:r>
              <w:rPr>
                <w:rFonts w:ascii="宋体" w:hAnsi="宋体" w:cs="宋体" w:eastAsia="宋体" w:hint="default"/>
                <w:b/>
                <w:bCs/>
                <w:sz w:val="18"/>
                <w:szCs w:val="18"/>
              </w:rPr>
              <w:t>期末</w:t>
            </w: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3" w:hRule="exact"/>
        </w:trPr>
        <w:tc>
          <w:tcPr>
            <w:tcW w:w="40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福建经纬之星电子科技有限公司</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864"/>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2369"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26.12</w:t>
            </w:r>
          </w:p>
        </w:tc>
      </w:tr>
      <w:tr>
        <w:trPr>
          <w:trHeight w:val="353" w:hRule="exact"/>
        </w:trPr>
        <w:tc>
          <w:tcPr>
            <w:tcW w:w="40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864"/>
              <w:jc w:val="right"/>
              <w:rPr>
                <w:rFonts w:ascii="Times New Roman" w:hAnsi="Times New Roman" w:cs="Times New Roman" w:eastAsia="Times New Roman" w:hint="default"/>
                <w:sz w:val="18"/>
                <w:szCs w:val="18"/>
              </w:rPr>
            </w:pPr>
            <w:r>
              <w:rPr>
                <w:rFonts w:ascii="Times New Roman"/>
                <w:spacing w:val="-1"/>
                <w:sz w:val="18"/>
              </w:rPr>
              <w:t>1,018,711.57</w:t>
            </w:r>
            <w:r>
              <w:rPr>
                <w:rFonts w:ascii="Times New Roman"/>
                <w:sz w:val="18"/>
              </w:rPr>
            </w:r>
          </w:p>
        </w:tc>
        <w:tc>
          <w:tcPr>
            <w:tcW w:w="2369"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4.43</w:t>
            </w:r>
            <w:r>
              <w:rPr>
                <w:rFonts w:ascii="Times New Roman"/>
                <w:sz w:val="18"/>
              </w:rPr>
            </w:r>
          </w:p>
        </w:tc>
      </w:tr>
      <w:tr>
        <w:trPr>
          <w:trHeight w:val="662" w:hRule="exact"/>
        </w:trPr>
        <w:tc>
          <w:tcPr>
            <w:tcW w:w="4092"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12" w:right="1003"/>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州分公司</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64"/>
              <w:jc w:val="right"/>
              <w:rPr>
                <w:rFonts w:ascii="Times New Roman" w:hAnsi="Times New Roman" w:cs="Times New Roman" w:eastAsia="Times New Roman" w:hint="default"/>
                <w:sz w:val="18"/>
                <w:szCs w:val="18"/>
              </w:rPr>
            </w:pPr>
            <w:r>
              <w:rPr>
                <w:rFonts w:ascii="Times New Roman"/>
                <w:sz w:val="18"/>
              </w:rPr>
              <w:t>701,093.20</w:t>
            </w:r>
          </w:p>
        </w:tc>
        <w:tc>
          <w:tcPr>
            <w:tcW w:w="2369"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3.05</w:t>
            </w:r>
            <w:r>
              <w:rPr>
                <w:rFonts w:ascii="Times New Roman"/>
                <w:sz w:val="18"/>
              </w:rPr>
            </w:r>
          </w:p>
        </w:tc>
      </w:tr>
      <w:tr>
        <w:trPr>
          <w:trHeight w:val="353" w:hRule="exact"/>
        </w:trPr>
        <w:tc>
          <w:tcPr>
            <w:tcW w:w="40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河南远翔科技发展有限公司</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864"/>
              <w:jc w:val="right"/>
              <w:rPr>
                <w:rFonts w:ascii="Times New Roman" w:hAnsi="Times New Roman" w:cs="Times New Roman" w:eastAsia="Times New Roman" w:hint="default"/>
                <w:sz w:val="18"/>
                <w:szCs w:val="18"/>
              </w:rPr>
            </w:pPr>
            <w:r>
              <w:rPr>
                <w:rFonts w:ascii="Times New Roman"/>
                <w:sz w:val="18"/>
              </w:rPr>
              <w:t>601,658.90</w:t>
            </w:r>
          </w:p>
        </w:tc>
        <w:tc>
          <w:tcPr>
            <w:tcW w:w="2369"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2.62</w:t>
            </w:r>
          </w:p>
        </w:tc>
      </w:tr>
      <w:tr>
        <w:trPr>
          <w:trHeight w:val="353" w:hRule="exact"/>
        </w:trPr>
        <w:tc>
          <w:tcPr>
            <w:tcW w:w="40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河南华众建筑安装工程有限公司</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864"/>
              <w:jc w:val="right"/>
              <w:rPr>
                <w:rFonts w:ascii="Times New Roman" w:hAnsi="Times New Roman" w:cs="Times New Roman" w:eastAsia="Times New Roman" w:hint="default"/>
                <w:sz w:val="18"/>
                <w:szCs w:val="18"/>
              </w:rPr>
            </w:pPr>
            <w:r>
              <w:rPr>
                <w:rFonts w:ascii="Times New Roman"/>
                <w:sz w:val="18"/>
              </w:rPr>
              <w:t>501,500.00</w:t>
            </w:r>
          </w:p>
        </w:tc>
        <w:tc>
          <w:tcPr>
            <w:tcW w:w="2369"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2.18</w:t>
            </w:r>
          </w:p>
        </w:tc>
      </w:tr>
      <w:tr>
        <w:trPr>
          <w:trHeight w:val="353" w:hRule="exact"/>
        </w:trPr>
        <w:tc>
          <w:tcPr>
            <w:tcW w:w="409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64"/>
              <w:jc w:val="right"/>
              <w:rPr>
                <w:rFonts w:ascii="Times New Roman" w:hAnsi="Times New Roman" w:cs="Times New Roman" w:eastAsia="Times New Roman" w:hint="default"/>
                <w:sz w:val="18"/>
                <w:szCs w:val="18"/>
              </w:rPr>
            </w:pPr>
            <w:r>
              <w:rPr>
                <w:rFonts w:ascii="Times New Roman"/>
                <w:spacing w:val="-1"/>
                <w:sz w:val="18"/>
              </w:rPr>
              <w:t>8,822,963.67</w:t>
            </w:r>
            <w:r>
              <w:rPr>
                <w:rFonts w:ascii="Times New Roman"/>
                <w:sz w:val="18"/>
              </w:rPr>
            </w:r>
          </w:p>
        </w:tc>
        <w:tc>
          <w:tcPr>
            <w:tcW w:w="2369"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38.40</w:t>
            </w:r>
          </w:p>
        </w:tc>
      </w:tr>
    </w:tbl>
    <w:p>
      <w:pPr>
        <w:spacing w:line="240" w:lineRule="auto" w:before="2"/>
        <w:rPr>
          <w:rFonts w:ascii="宋体" w:hAnsi="宋体" w:cs="宋体" w:eastAsia="宋体" w:hint="default"/>
          <w:b/>
          <w:bCs/>
          <w:sz w:val="24"/>
          <w:szCs w:val="24"/>
        </w:rPr>
      </w:pPr>
    </w:p>
    <w:p>
      <w:pPr>
        <w:pStyle w:val="BodyText"/>
        <w:spacing w:line="357" w:lineRule="auto" w:before="44"/>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9、其他应收款" w:id="233"/>
      <w:bookmarkEnd w:id="233"/>
      <w:r>
        <w:rPr>
          <w:b w:val="0"/>
          <w:bCs w:val="0"/>
        </w:rPr>
      </w:r>
      <w:bookmarkStart w:name="（1）其他应收款分类披露" w:id="234"/>
      <w:bookmarkEnd w:id="234"/>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7、应收利息" w:id="235"/>
      <w:bookmarkEnd w:id="235"/>
      <w:r>
        <w:rPr>
          <w:rFonts w:ascii="Times New Roman" w:hAnsi="Times New Roman" w:cs="Times New Roman" w:eastAsia="Times New Roman" w:hint="default"/>
        </w:rPr>
      </w:r>
      <w:bookmarkStart w:name="（1）应收利息分类" w:id="236"/>
      <w:bookmarkEnd w:id="236"/>
      <w:r>
        <w:rPr>
          <w:rFonts w:ascii="Times New Roman" w:hAnsi="Times New Roman" w:cs="Times New Roman" w:eastAsia="Times New Roman" w:hint="default"/>
        </w:rPr>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791,610.79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1,426,747.66</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791,610.79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1,426,747.66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bookmarkStart w:name="（2）重要逾期利息" w:id="237"/>
            <w:bookmarkEnd w:id="237"/>
            <w:r>
              <w:rPr/>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0"/>
        <w:ind w:right="85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8、应收股利" w:id="238"/>
      <w:bookmarkEnd w:id="238"/>
      <w:r>
        <w:rPr/>
      </w:r>
      <w:bookmarkStart w:name="（1）应收股利" w:id="239"/>
      <w:bookmarkEnd w:id="23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重要的账龄超过1年的应收股利" w:id="240"/>
      <w:bookmarkEnd w:id="24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6"/>
        <w:gridCol w:w="751"/>
        <w:gridCol w:w="761"/>
        <w:gridCol w:w="775"/>
        <w:gridCol w:w="740"/>
        <w:gridCol w:w="811"/>
        <w:gridCol w:w="642"/>
        <w:gridCol w:w="761"/>
        <w:gridCol w:w="814"/>
        <w:gridCol w:w="922"/>
        <w:gridCol w:w="943"/>
      </w:tblGrid>
      <w:tr>
        <w:trPr>
          <w:trHeight w:val="398" w:hRule="exact"/>
        </w:trPr>
        <w:tc>
          <w:tcPr>
            <w:tcW w:w="1646" w:type="dxa"/>
            <w:vMerge w:val="restart"/>
            <w:tcBorders>
              <w:top w:val="single" w:sz="4" w:space="0" w:color="000000"/>
              <w:left w:val="single" w:sz="4" w:space="0" w:color="000000"/>
              <w:right w:val="single" w:sz="4" w:space="0" w:color="000000"/>
            </w:tcBorders>
            <w:shd w:val="clear" w:color="auto" w:fill="D4D4D4"/>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4D4D4"/>
          </w:tcPr>
          <w:p>
            <w:pPr/>
          </w:p>
        </w:tc>
        <w:tc>
          <w:tcPr>
            <w:tcW w:w="151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1" w:type="dxa"/>
            <w:vMerge w:val="restart"/>
            <w:tcBorders>
              <w:top w:val="single" w:sz="4" w:space="0" w:color="000000"/>
              <w:left w:val="single" w:sz="4" w:space="0" w:color="000000"/>
              <w:right w:val="single" w:sz="4" w:space="0" w:color="000000"/>
            </w:tcBorders>
            <w:shd w:val="clear" w:color="auto" w:fill="D4D4D4"/>
          </w:tcPr>
          <w:p>
            <w:pPr/>
          </w:p>
        </w:tc>
        <w:tc>
          <w:tcPr>
            <w:tcW w:w="140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3"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4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512" w:type="dxa"/>
            <w:gridSpan w:val="2"/>
            <w:vMerge/>
            <w:tcBorders>
              <w:left w:val="single" w:sz="4" w:space="0" w:color="000000"/>
              <w:bottom w:val="single" w:sz="4" w:space="0" w:color="000000"/>
              <w:right w:val="single" w:sz="4" w:space="0" w:color="000000"/>
            </w:tcBorders>
            <w:shd w:val="clear" w:color="auto" w:fill="D4D4D4"/>
          </w:tcPr>
          <w:p>
            <w:pPr/>
          </w:p>
        </w:tc>
        <w:tc>
          <w:tcPr>
            <w:tcW w:w="1516" w:type="dxa"/>
            <w:gridSpan w:val="2"/>
            <w:vMerge/>
            <w:tcBorders>
              <w:left w:val="single" w:sz="4" w:space="0" w:color="000000"/>
              <w:bottom w:val="single" w:sz="4" w:space="0" w:color="000000"/>
              <w:right w:val="single" w:sz="4" w:space="0" w:color="000000"/>
            </w:tcBorders>
            <w:shd w:val="clear" w:color="auto" w:fill="D4D4D4"/>
          </w:tcPr>
          <w:p>
            <w:pPr/>
          </w:p>
        </w:tc>
        <w:tc>
          <w:tcPr>
            <w:tcW w:w="811" w:type="dxa"/>
            <w:vMerge/>
            <w:tcBorders>
              <w:left w:val="single" w:sz="4" w:space="0" w:color="000000"/>
              <w:bottom w:val="nil" w:sz="6" w:space="0" w:color="auto"/>
              <w:right w:val="single" w:sz="4" w:space="0" w:color="000000"/>
            </w:tcBorders>
            <w:shd w:val="clear" w:color="auto" w:fill="D4D4D4"/>
          </w:tcPr>
          <w:p>
            <w:pPr/>
          </w:p>
        </w:tc>
        <w:tc>
          <w:tcPr>
            <w:tcW w:w="1403" w:type="dxa"/>
            <w:gridSpan w:val="2"/>
            <w:vMerge/>
            <w:tcBorders>
              <w:left w:val="single" w:sz="4" w:space="0" w:color="000000"/>
              <w:bottom w:val="single" w:sz="4" w:space="0" w:color="000000"/>
              <w:right w:val="single" w:sz="4" w:space="0" w:color="000000"/>
            </w:tcBorders>
            <w:shd w:val="clear" w:color="auto" w:fill="D4D4D4"/>
          </w:tcPr>
          <w:p>
            <w:pPr/>
          </w:p>
        </w:tc>
        <w:tc>
          <w:tcPr>
            <w:tcW w:w="1735" w:type="dxa"/>
            <w:gridSpan w:val="2"/>
            <w:vMerge/>
            <w:tcBorders>
              <w:left w:val="single" w:sz="4" w:space="0" w:color="000000"/>
              <w:bottom w:val="single" w:sz="4" w:space="0" w:color="000000"/>
              <w:right w:val="single" w:sz="4" w:space="0" w:color="000000"/>
            </w:tcBorders>
            <w:shd w:val="clear" w:color="auto" w:fill="D4D4D4"/>
          </w:tcPr>
          <w:p>
            <w:pPr/>
          </w:p>
        </w:tc>
        <w:tc>
          <w:tcPr>
            <w:tcW w:w="943"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4D4D4"/>
          </w:tcPr>
          <w:p>
            <w:pPr/>
          </w:p>
        </w:tc>
        <w:tc>
          <w:tcPr>
            <w:tcW w:w="75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4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7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2"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22" w:type="dxa"/>
            <w:tcBorders>
              <w:top w:val="single" w:sz="4" w:space="0" w:color="000000"/>
              <w:left w:val="single" w:sz="4" w:space="0" w:color="000000"/>
              <w:bottom w:val="nil" w:sz="6" w:space="0" w:color="auto"/>
              <w:right w:val="single" w:sz="4" w:space="0" w:color="000000"/>
            </w:tcBorders>
            <w:shd w:val="clear" w:color="auto" w:fill="D4D4D4"/>
          </w:tcPr>
          <w:p>
            <w:pPr/>
          </w:p>
        </w:tc>
        <w:tc>
          <w:tcPr>
            <w:tcW w:w="94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4D4D4"/>
          </w:tcPr>
          <w:p>
            <w:pPr/>
          </w:p>
        </w:tc>
        <w:tc>
          <w:tcPr>
            <w:tcW w:w="75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4D4D4"/>
          </w:tcPr>
          <w:p>
            <w:pPr/>
          </w:p>
        </w:tc>
        <w:tc>
          <w:tcPr>
            <w:tcW w:w="811" w:type="dxa"/>
            <w:vMerge/>
            <w:tcBorders>
              <w:left w:val="single" w:sz="4" w:space="0" w:color="000000"/>
              <w:bottom w:val="nil" w:sz="6" w:space="0" w:color="auto"/>
              <w:right w:val="single" w:sz="4" w:space="0" w:color="000000"/>
            </w:tcBorders>
            <w:shd w:val="clear" w:color="auto" w:fill="D4D4D4"/>
          </w:tcPr>
          <w:p>
            <w:pPr/>
          </w:p>
        </w:tc>
        <w:tc>
          <w:tcPr>
            <w:tcW w:w="6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46" w:type="dxa"/>
            <w:vMerge/>
            <w:tcBorders>
              <w:left w:val="single" w:sz="4" w:space="0" w:color="000000"/>
              <w:right w:val="single" w:sz="4" w:space="0" w:color="000000"/>
            </w:tcBorders>
            <w:shd w:val="clear" w:color="auto" w:fill="D4D4D4"/>
          </w:tcPr>
          <w:p>
            <w:pPr/>
          </w:p>
        </w:tc>
        <w:tc>
          <w:tcPr>
            <w:tcW w:w="751"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75" w:type="dxa"/>
            <w:vMerge/>
            <w:tcBorders>
              <w:left w:val="single" w:sz="4" w:space="0" w:color="000000"/>
              <w:bottom w:val="nil" w:sz="6" w:space="0" w:color="auto"/>
              <w:right w:val="single" w:sz="4" w:space="0" w:color="000000"/>
            </w:tcBorders>
            <w:shd w:val="clear" w:color="auto" w:fill="D4D4D4"/>
          </w:tcPr>
          <w:p>
            <w:pPr/>
          </w:p>
        </w:tc>
        <w:tc>
          <w:tcPr>
            <w:tcW w:w="740" w:type="dxa"/>
            <w:vMerge/>
            <w:tcBorders>
              <w:left w:val="single" w:sz="4" w:space="0" w:color="000000"/>
              <w:right w:val="single" w:sz="4" w:space="0" w:color="000000"/>
            </w:tcBorders>
            <w:shd w:val="clear" w:color="auto" w:fill="D4D4D4"/>
          </w:tcPr>
          <w:p>
            <w:pPr/>
          </w:p>
        </w:tc>
        <w:tc>
          <w:tcPr>
            <w:tcW w:w="811" w:type="dxa"/>
            <w:vMerge w:val="restart"/>
            <w:tcBorders>
              <w:top w:val="nil" w:sz="6" w:space="0" w:color="auto"/>
              <w:left w:val="single" w:sz="4" w:space="0" w:color="000000"/>
              <w:right w:val="single" w:sz="4" w:space="0" w:color="000000"/>
            </w:tcBorders>
            <w:shd w:val="clear" w:color="auto" w:fill="D4D4D4"/>
          </w:tcPr>
          <w:p>
            <w:pPr/>
          </w:p>
        </w:tc>
        <w:tc>
          <w:tcPr>
            <w:tcW w:w="642"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22" w:type="dxa"/>
            <w:vMerge/>
            <w:tcBorders>
              <w:left w:val="single" w:sz="4" w:space="0" w:color="000000"/>
              <w:bottom w:val="nil" w:sz="6" w:space="0" w:color="auto"/>
              <w:right w:val="single" w:sz="4" w:space="0" w:color="000000"/>
            </w:tcBorders>
            <w:shd w:val="clear" w:color="auto" w:fill="D4D4D4"/>
          </w:tcPr>
          <w:p>
            <w:pPr/>
          </w:p>
        </w:tc>
        <w:tc>
          <w:tcPr>
            <w:tcW w:w="943"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4D4D4"/>
          </w:tcPr>
          <w:p>
            <w:pPr/>
          </w:p>
        </w:tc>
        <w:tc>
          <w:tcPr>
            <w:tcW w:w="7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5" w:type="dxa"/>
            <w:tcBorders>
              <w:top w:val="nil" w:sz="6" w:space="0" w:color="auto"/>
              <w:left w:val="single" w:sz="4" w:space="0" w:color="000000"/>
              <w:bottom w:val="single" w:sz="4" w:space="0" w:color="000000"/>
              <w:right w:val="single" w:sz="4" w:space="0" w:color="000000"/>
            </w:tcBorders>
            <w:shd w:val="clear" w:color="auto" w:fill="D4D4D4"/>
          </w:tcPr>
          <w:p>
            <w:pPr/>
          </w:p>
        </w:tc>
        <w:tc>
          <w:tcPr>
            <w:tcW w:w="740" w:type="dxa"/>
            <w:vMerge/>
            <w:tcBorders>
              <w:left w:val="single" w:sz="4" w:space="0" w:color="000000"/>
              <w:bottom w:val="single" w:sz="4" w:space="0" w:color="000000"/>
              <w:right w:val="single" w:sz="4" w:space="0" w:color="000000"/>
            </w:tcBorders>
            <w:shd w:val="clear" w:color="auto" w:fill="D4D4D4"/>
          </w:tcPr>
          <w:p>
            <w:pPr/>
          </w:p>
        </w:tc>
        <w:tc>
          <w:tcPr>
            <w:tcW w:w="811" w:type="dxa"/>
            <w:vMerge/>
            <w:tcBorders>
              <w:left w:val="single" w:sz="4" w:space="0" w:color="000000"/>
              <w:bottom w:val="single" w:sz="4" w:space="0" w:color="000000"/>
              <w:right w:val="single" w:sz="4" w:space="0" w:color="000000"/>
            </w:tcBorders>
            <w:shd w:val="clear" w:color="auto" w:fill="D4D4D4"/>
          </w:tcPr>
          <w:p>
            <w:pPr/>
          </w:p>
        </w:tc>
        <w:tc>
          <w:tcPr>
            <w:tcW w:w="64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22" w:type="dxa"/>
            <w:tcBorders>
              <w:top w:val="nil" w:sz="6" w:space="0" w:color="auto"/>
              <w:left w:val="single" w:sz="4" w:space="0" w:color="000000"/>
              <w:bottom w:val="single" w:sz="4" w:space="0" w:color="000000"/>
              <w:right w:val="single" w:sz="4" w:space="0" w:color="000000"/>
            </w:tcBorders>
            <w:shd w:val="clear" w:color="auto" w:fill="D4D4D4"/>
          </w:tcPr>
          <w:p>
            <w:pPr/>
          </w:p>
        </w:tc>
        <w:tc>
          <w:tcPr>
            <w:tcW w:w="94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10"/>
              <w:ind w:left="77" w:right="0"/>
              <w:jc w:val="left"/>
              <w:rPr>
                <w:rFonts w:ascii="Times New Roman" w:hAnsi="Times New Roman" w:cs="Times New Roman" w:eastAsia="Times New Roman" w:hint="default"/>
                <w:sz w:val="18"/>
                <w:szCs w:val="18"/>
              </w:rPr>
            </w:pPr>
            <w:r>
              <w:rPr>
                <w:rFonts w:ascii="Times New Roman"/>
                <w:sz w:val="18"/>
              </w:rPr>
              <w:t>29,681,3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5,627,28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18.96%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24,054,02</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0" w:right="0"/>
              <w:jc w:val="left"/>
              <w:rPr>
                <w:rFonts w:ascii="Times New Roman" w:hAnsi="Times New Roman" w:cs="Times New Roman" w:eastAsia="Times New Roman" w:hint="default"/>
                <w:sz w:val="18"/>
                <w:szCs w:val="18"/>
              </w:rPr>
            </w:pPr>
            <w:r>
              <w:rPr>
                <w:rFonts w:ascii="Times New Roman"/>
                <w:sz w:val="18"/>
              </w:rPr>
              <w:t>25,621,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3,962,958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15.47%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21,659,015.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674"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2" w:right="158"/>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05.20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4.39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0.81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973.72</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29</w:t>
            </w: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29,681,3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05.20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5,627,28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4.39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24,054,02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25,621,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973.72</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3,962,958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21,659,015.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bookmarkStart w:name="（3）本期实际核销的其他应收款情况" w:id="241"/>
      <w:bookmarkEnd w:id="241"/>
      <w:r>
        <w:rPr/>
      </w: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2"/>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19,618,819.89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976,228.30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4,718,200.81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471,820.09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1,456,310.62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291,262.12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3,887,973.88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3,887,973.88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29,681,305.20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5,627,284.39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794"/>
        <w:jc w:val="left"/>
      </w:pPr>
      <w:r>
        <w:rPr/>
        <w:t>确定该组合依据的说明： 无。</w:t>
      </w:r>
    </w:p>
    <w:p>
      <w:pPr>
        <w:pStyle w:val="BodyText"/>
        <w:spacing w:line="240" w:lineRule="auto" w:before="29"/>
        <w:ind w:right="791"/>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40" w:lineRule="auto" w:before="44"/>
        <w:ind w:right="-1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bookmarkStart w:name="（2）本期计提、收回或转回的坏账准备情况" w:id="242"/>
      <w:bookmarkEnd w:id="242"/>
      <w:r>
        <w:rPr/>
      </w:r>
      <w:r>
        <w:rPr/>
        <w:t>单位：</w:t>
      </w:r>
      <w:r>
        <w:rPr>
          <w:spacing w:val="1"/>
        </w:rPr>
        <w:t> </w:t>
      </w:r>
      <w:r>
        <w:rPr/>
        <w:t>元</w:t>
      </w:r>
    </w:p>
    <w:p>
      <w:pPr>
        <w:spacing w:after="0" w:line="240" w:lineRule="auto"/>
        <w:jc w:val="left"/>
        <w:sectPr>
          <w:type w:val="continuous"/>
          <w:pgSz w:w="11910" w:h="16840"/>
          <w:pgMar w:top="1060" w:bottom="1180" w:left="980" w:right="980"/>
          <w:cols w:num="2" w:equalWidth="0">
            <w:col w:w="5827" w:space="3000"/>
            <w:col w:w="112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791"/>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0"/>
        <w:ind w:right="7974"/>
        <w:jc w:val="left"/>
      </w:pPr>
      <w:bookmarkStart w:name="（6）涉及政府补助的应收款项" w:id="243"/>
      <w:bookmarkEnd w:id="243"/>
      <w:r>
        <w:rPr/>
      </w:r>
      <w:r>
        <w:rPr/>
        <w:t>其他应收款核销说明：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bookmarkStart w:name="（4）其他应收款按款项性质分类情况" w:id="244"/>
      <w:bookmarkEnd w:id="244"/>
      <w:r>
        <w:rPr>
          <w:rFonts w:ascii="Times New Roman" w:hAnsi="Times New Roman" w:cs="Times New Roman" w:eastAsia="Times New Roman" w:hint="default"/>
        </w:rPr>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8,622,063.54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5,625,800.20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15,849,147.27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12,910,274.51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1,062,818.85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1,008,228.43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4,147,275.54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6,077,670.58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29,681,305.20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25,621,973.72</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按欠款方归集的期末余额前五名的其他应收款情况" w:id="245"/>
      <w:bookmarkEnd w:id="24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福建省气象信息中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1,707,257.40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300" w:lineRule="auto" w:before="63"/>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1,168,800.00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w:t>
            </w:r>
            <w:r>
              <w:rPr>
                <w:rFonts w:ascii="宋体" w:hAnsi="宋体" w:cs="宋体" w:eastAsia="宋体" w:hint="default"/>
                <w:spacing w:val="-87"/>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538,457.40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596,897.40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福建省公路管理局 路网应急保障中心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827,807.10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41,390.36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河南省公安厅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691,612.45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34,580.62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温州市城市建设投 资集团有限公司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河南省洛阳监狱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625,755.85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2.11%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31,287.79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4,502,432.80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769,156.17</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right="791"/>
        <w:jc w:val="left"/>
      </w:pPr>
      <w:r>
        <w:rPr/>
        <w:t>无。</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3）存货期末余额含有借款费用资本化金额的说明" w:id="246"/>
      <w:bookmarkEnd w:id="246"/>
      <w:r>
        <w:rPr>
          <w:b w:val="0"/>
          <w:bCs w:val="0"/>
        </w:rPr>
      </w:r>
      <w:bookmarkStart w:name="（4）期末建造合同形成的已完工未结算资产情况" w:id="247"/>
      <w:bookmarkEnd w:id="24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8</w:t>
      </w:r>
      <w:bookmarkStart w:name="（7）因金融资产转移而终止确认的其他应收款" w:id="248"/>
      <w:bookmarkEnd w:id="248"/>
      <w:r>
        <w:rPr>
          <w:rFonts w:ascii="Times New Roman" w:hAnsi="Times New Roman" w:cs="Times New Roman" w:eastAsia="Times New Roman" w:hint="default"/>
        </w:rPr>
      </w:r>
      <w:bookmarkStart w:name="（8）转移其他应收款且继续涉入形成的资产、负债金额" w:id="249"/>
      <w:bookmarkEnd w:id="249"/>
      <w:r>
        <w:rPr>
          <w:rFonts w:ascii="Times New Roman" w:hAnsi="Times New Roman" w:cs="Times New Roman" w:eastAsia="Times New Roman" w:hint="default"/>
        </w:rPr>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10、存货" w:id="250"/>
      <w:bookmarkEnd w:id="250"/>
      <w:r>
        <w:rPr/>
      </w:r>
      <w:bookmarkStart w:name="（1）存货分类" w:id="251"/>
      <w:bookmarkEnd w:id="25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8,496,001.56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500,458.93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7,995,542.63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18,842,153.59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18,423,350.17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100,041,635.94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100,041,635.94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91,324,723.95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91,324,723.95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128,481,850.63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128,481,850.63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85,588,416.39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85,588,416.39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237,019,488.13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500,458.93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236,519,029.20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195,755,293.93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195,336,490.51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存货跌价准备" w:id="252"/>
      <w:bookmarkEnd w:id="25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204"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81,655.51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500,458.93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418,803.42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81,655.51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500,458.93</w:t>
            </w:r>
          </w:p>
        </w:tc>
      </w:tr>
    </w:tbl>
    <w:p>
      <w:pPr>
        <w:pStyle w:val="BodyText"/>
        <w:spacing w:line="240" w:lineRule="auto" w:before="8"/>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2）期末按公允价值计量的可供出售金融资产" w:id="253"/>
      <w:bookmarkEnd w:id="253"/>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1、划分为持有待售的资产" w:id="254"/>
      <w:bookmarkEnd w:id="254"/>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12</w:t>
      </w:r>
      <w:r>
        <w:rPr/>
        <w:t>、一年内到期的非流动</w:t>
      </w:r>
      <w:bookmarkStart w:name="12、一年内到期的非流动资产" w:id="255"/>
      <w:bookmarkEnd w:id="255"/>
      <w:r>
        <w:rPr/>
        <w:t>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3、其他流动资产" w:id="256"/>
      <w:bookmarkEnd w:id="25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7,426,948.71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7,185,878.48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银行短期理财产品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628,600,000.00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447,426,948.71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635,785,878.48</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14、可供出售金融资产" w:id="257"/>
      <w:bookmarkEnd w:id="257"/>
      <w:r>
        <w:rPr/>
      </w:r>
      <w:bookmarkStart w:name="（1）可供出售金融资产情况" w:id="258"/>
      <w:bookmarkEnd w:id="258"/>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4"/>
        <w:gridCol w:w="1198"/>
        <w:gridCol w:w="1195"/>
        <w:gridCol w:w="1248"/>
        <w:gridCol w:w="1368"/>
        <w:gridCol w:w="136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000"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7"/>
        <w:gridCol w:w="1915"/>
        <w:gridCol w:w="1915"/>
        <w:gridCol w:w="1915"/>
        <w:gridCol w:w="1915"/>
      </w:tblGrid>
      <w:tr>
        <w:trPr>
          <w:trHeight w:val="713" w:hRule="exact"/>
        </w:trPr>
        <w:tc>
          <w:tcPr>
            <w:tcW w:w="19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15" w:right="23" w:hanging="384"/>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1）持有至到期投资情况" w:id="259"/>
      <w:bookmarkEnd w:id="259"/>
      <w:r>
        <w:rPr>
          <w:b w:val="0"/>
          <w:bCs w:val="0"/>
        </w:rPr>
      </w:r>
      <w:bookmarkStart w:name="（2）期末重要的持有至到期投资" w:id="260"/>
      <w:bookmarkEnd w:id="26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期末按成本计量的可供出售金融资产" w:id="261"/>
      <w:bookmarkEnd w:id="26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0.31%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4</w:t>
      </w:r>
      <w:r>
        <w:rPr/>
        <w:t>）报告期内可供出售金</w:t>
      </w:r>
      <w:bookmarkStart w:name="（4）报告期内可供出售金融资产减值的变动情况" w:id="262"/>
      <w:bookmarkEnd w:id="262"/>
      <w:r>
        <w:rPr/>
        <w:t>融资产减值的变动</w:t>
      </w:r>
      <w:r>
        <w:rPr/>
        <w:t>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5"/>
        <w:gridCol w:w="1330"/>
        <w:gridCol w:w="1327"/>
        <w:gridCol w:w="1327"/>
        <w:gridCol w:w="1327"/>
        <w:gridCol w:w="1330"/>
      </w:tblGrid>
      <w:tr>
        <w:trPr>
          <w:trHeight w:val="715" w:hRule="exact"/>
        </w:trPr>
        <w:tc>
          <w:tcPr>
            <w:tcW w:w="16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9" w:right="24" w:hanging="452"/>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0" w:right="26" w:hanging="92"/>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9" w:right="29" w:hanging="452"/>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5</w:t>
      </w:r>
      <w:r>
        <w:rPr/>
        <w:t>）可供出售权益工具期末公允价值严重下跌或非</w:t>
      </w:r>
      <w:bookmarkStart w:name="（5）可供出售权益工具期末公允价值严重下跌或非暂时性下跌但未计提减值准备的相关说" w:id="263"/>
      <w:bookmarkEnd w:id="263"/>
      <w:r>
        <w:rPr/>
        <w:t>暂时性下跌但未计</w:t>
      </w:r>
      <w:r>
        <w:rPr/>
        <w:t>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0"/>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5、持有至到期投资" w:id="264"/>
      <w:bookmarkEnd w:id="26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054"/>
        <w:jc w:val="left"/>
      </w:pPr>
      <w:r>
        <w:rPr/>
        <w:t>无。 </w:t>
      </w:r>
      <w:bookmarkStart w:name="（3）本期重分类的持有至到期投资" w:id="265"/>
      <w:bookmarkEnd w:id="265"/>
      <w:r>
        <w:rPr/>
        <w:t>其他说明</w:t>
      </w:r>
      <w:r>
        <w:rPr/>
        <w:t>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）长期应收款情</w:t>
      </w:r>
      <w:bookmarkStart w:name="16、长期应收款" w:id="266"/>
      <w:bookmarkEnd w:id="266"/>
      <w:r>
        <w:rPr/>
        <w:t>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长期应收款情况" w:id="267"/>
      <w:bookmarkEnd w:id="26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）转移长期应收款且继续涉入形成的资产、</w:t>
      </w:r>
      <w:bookmarkStart w:name="（2）因金融资产转移而终止确认的长期应收款" w:id="268"/>
      <w:bookmarkEnd w:id="268"/>
      <w:r>
        <w:rPr/>
        <w:t>负</w:t>
      </w:r>
      <w:r>
        <w:rPr/>
        <w:t>债金额</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0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转移长期应收款且继续涉入形成的资产、负债金额" w:id="269"/>
      <w:bookmarkEnd w:id="269"/>
      <w:r>
        <w:rPr/>
      </w:r>
      <w:bookmarkStart w:name="17、长期股权投资" w:id="270"/>
      <w:bookmarkEnd w:id="270"/>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福建文鑫 莲业食品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31,119,02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4,527,600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506,010.9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27,097,43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福建亿榕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28,918,04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11,992,49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40,910,54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41"/>
              <w:jc w:val="left"/>
              <w:rPr>
                <w:rFonts w:ascii="宋体" w:hAnsi="宋体" w:cs="宋体" w:eastAsia="宋体" w:hint="default"/>
                <w:sz w:val="18"/>
                <w:szCs w:val="18"/>
              </w:rPr>
            </w:pPr>
            <w:r>
              <w:rPr>
                <w:rFonts w:ascii="宋体" w:hAnsi="宋体" w:cs="宋体" w:eastAsia="宋体" w:hint="default"/>
                <w:sz w:val="18"/>
                <w:szCs w:val="18"/>
              </w:rPr>
              <w:t>建宁县日 升投资有</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4,527,600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-245,650.</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4,281,949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60,037,07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4,527,600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4,527,600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12,252,85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72,289,92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60,037,07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4,527,600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4,527,600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12,252,85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72,289,92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791"/>
        <w:jc w:val="left"/>
      </w:pPr>
      <w:bookmarkStart w:name="（1）固定资产情况" w:id="271"/>
      <w:bookmarkEnd w:id="271"/>
      <w:r>
        <w:rPr/>
      </w:r>
      <w:r>
        <w:rPr/>
        <w:t>其他说明</w:t>
      </w:r>
    </w:p>
    <w:p>
      <w:pPr>
        <w:pStyle w:val="BodyText"/>
        <w:spacing w:line="300" w:lineRule="auto" w:before="115"/>
        <w:ind w:right="143"/>
        <w:jc w:val="left"/>
      </w:pPr>
      <w:r>
        <w:rPr>
          <w:spacing w:val="-1"/>
        </w:rPr>
        <w:t>注：根据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日被投资单位</w:t>
      </w:r>
      <w:r>
        <w:rPr>
          <w:rFonts w:ascii="Times New Roman" w:hAnsi="Times New Roman" w:cs="Times New Roman" w:eastAsia="Times New Roman" w:hint="default"/>
          <w:spacing w:val="-1"/>
        </w:rPr>
        <w:t>“</w:t>
      </w:r>
      <w:r>
        <w:rPr>
          <w:spacing w:val="-1"/>
        </w:rPr>
        <w:t>福建文鑫莲业食品有限公司</w:t>
      </w:r>
      <w:r>
        <w:rPr>
          <w:rFonts w:ascii="Times New Roman" w:hAnsi="Times New Roman" w:cs="Times New Roman" w:eastAsia="Times New Roman" w:hint="default"/>
          <w:spacing w:val="-1"/>
        </w:rPr>
        <w:t>”</w:t>
      </w:r>
      <w:r>
        <w:rPr>
          <w:spacing w:val="-1"/>
        </w:rPr>
        <w:t>通过的股东会决议，被投资单位</w:t>
      </w:r>
      <w:r>
        <w:rPr>
          <w:rFonts w:ascii="Times New Roman" w:hAnsi="Times New Roman" w:cs="Times New Roman" w:eastAsia="Times New Roman" w:hint="default"/>
          <w:spacing w:val="-1"/>
        </w:rPr>
        <w:t>“</w:t>
      </w:r>
      <w:r>
        <w:rPr>
          <w:spacing w:val="-1"/>
        </w:rPr>
        <w:t>福建文鑫莲业食品有限公</w:t>
      </w:r>
      <w:r>
        <w:rPr>
          <w:spacing w:val="-88"/>
        </w:rPr>
        <w:t> </w:t>
      </w:r>
      <w:r>
        <w:rPr/>
        <w:t>司</w:t>
      </w:r>
      <w:r>
        <w:rPr>
          <w:rFonts w:ascii="Times New Roman" w:hAnsi="Times New Roman" w:cs="Times New Roman" w:eastAsia="Times New Roman" w:hint="default"/>
        </w:rPr>
        <w:t>”</w:t>
      </w:r>
      <w:r>
        <w:rPr/>
        <w:t>采取派生分立的方式将原</w:t>
      </w:r>
      <w:r>
        <w:rPr>
          <w:rFonts w:ascii="Times New Roman" w:hAnsi="Times New Roman" w:cs="Times New Roman" w:eastAsia="Times New Roman" w:hint="default"/>
        </w:rPr>
        <w:t>“</w:t>
      </w:r>
      <w:r>
        <w:rPr/>
        <w:t>福建文鑫莲业食品有限公司</w:t>
      </w:r>
      <w:r>
        <w:rPr>
          <w:rFonts w:ascii="Times New Roman" w:hAnsi="Times New Roman" w:cs="Times New Roman" w:eastAsia="Times New Roman" w:hint="default"/>
        </w:rPr>
        <w:t>”</w:t>
      </w:r>
      <w:r>
        <w:rPr/>
        <w:t>分立为</w:t>
      </w:r>
      <w:r>
        <w:rPr>
          <w:rFonts w:ascii="Times New Roman" w:hAnsi="Times New Roman" w:cs="Times New Roman" w:eastAsia="Times New Roman" w:hint="default"/>
        </w:rPr>
        <w:t>“</w:t>
      </w:r>
      <w:r>
        <w:rPr/>
        <w:t>福建文鑫莲业食品有限公司</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建宁县日升投资有限公 司</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2"/>
          <w:szCs w:val="22"/>
        </w:rPr>
      </w:pPr>
    </w:p>
    <w:p>
      <w:pPr>
        <w:pStyle w:val="Heading3"/>
        <w:spacing w:line="240" w:lineRule="auto"/>
        <w:ind w:right="791"/>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）采用成本计量模式的</w:t>
      </w:r>
      <w:bookmarkStart w:name="18、投资性房地产" w:id="272"/>
      <w:bookmarkEnd w:id="272"/>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1）采用成本计量模式的投资性房地产" w:id="273"/>
      <w:bookmarkEnd w:id="273"/>
      <w:r>
        <w:rPr/>
      </w:r>
      <w:bookmarkStart w:name="（2）采用公允价值计量模式的投资性房地产" w:id="274"/>
      <w:bookmarkEnd w:id="274"/>
      <w:r>
        <w:rPr/>
      </w:r>
      <w:bookmarkStart w:name="（3）未办妥产权证书的投资性房地产情况" w:id="275"/>
      <w:bookmarkEnd w:id="27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49"/>
        <w:ind w:right="9054"/>
        <w:jc w:val="left"/>
      </w:pPr>
      <w:r>
        <w:rPr/>
        <w:t>其他说明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791"/>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9、固定资产" w:id="276"/>
      <w:bookmarkEnd w:id="27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8"/>
        <w:gridCol w:w="1208"/>
        <w:gridCol w:w="1195"/>
        <w:gridCol w:w="1195"/>
        <w:gridCol w:w="1195"/>
        <w:gridCol w:w="1286"/>
        <w:gridCol w:w="1368"/>
      </w:tblGrid>
      <w:tr>
        <w:trPr>
          <w:trHeight w:val="401" w:hRule="exact"/>
        </w:trPr>
        <w:tc>
          <w:tcPr>
            <w:tcW w:w="2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6,442,068.00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49,109,101.93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12,756,672.70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3,413,693.72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71,721,536.35</w:t>
            </w:r>
          </w:p>
        </w:tc>
      </w:tr>
      <w:tr>
        <w:trPr>
          <w:trHeight w:val="401" w:hRule="exact"/>
        </w:trPr>
        <w:tc>
          <w:tcPr>
            <w:tcW w:w="2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10,003,639.86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4,607,568.21</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108,857.62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14,720,065.69</w:t>
            </w:r>
          </w:p>
        </w:tc>
      </w:tr>
      <w:tr>
        <w:trPr>
          <w:trHeight w:val="403" w:hRule="exact"/>
        </w:trPr>
        <w:tc>
          <w:tcPr>
            <w:tcW w:w="2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10,003,639.86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4,607,568.21</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108,857.62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14,720,065.69</w:t>
            </w:r>
          </w:p>
        </w:tc>
      </w:tr>
      <w:tr>
        <w:trPr>
          <w:trHeight w:val="401" w:hRule="exact"/>
        </w:trPr>
        <w:tc>
          <w:tcPr>
            <w:tcW w:w="2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6,442,068.00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59,112,741.79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17,364,240.91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3,522,551.34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86,441,602.04</w:t>
            </w:r>
          </w:p>
        </w:tc>
      </w:tr>
      <w:tr>
        <w:trPr>
          <w:trHeight w:val="403" w:hRule="exact"/>
        </w:trPr>
        <w:tc>
          <w:tcPr>
            <w:tcW w:w="2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3,372,945.58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21,801,212.52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3,091,276.13</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2,665,482.85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30,930,917.08</w:t>
            </w:r>
          </w:p>
        </w:tc>
      </w:tr>
      <w:tr>
        <w:trPr>
          <w:trHeight w:val="401" w:hRule="exact"/>
        </w:trPr>
        <w:tc>
          <w:tcPr>
            <w:tcW w:w="2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305,998.32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9,170,261.43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1,298,466.61</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256,860.56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11,031,586.92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195"/>
        <w:gridCol w:w="1195"/>
        <w:gridCol w:w="1195"/>
        <w:gridCol w:w="1286"/>
        <w:gridCol w:w="1368"/>
      </w:tblGrid>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305,998.32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center"/>
              <w:rPr>
                <w:rFonts w:ascii="Times New Roman" w:hAnsi="Times New Roman" w:cs="Times New Roman" w:eastAsia="Times New Roman" w:hint="default"/>
                <w:sz w:val="18"/>
                <w:szCs w:val="18"/>
              </w:rPr>
            </w:pPr>
            <w:r>
              <w:rPr>
                <w:rFonts w:ascii="Times New Roman"/>
                <w:sz w:val="18"/>
              </w:rPr>
              <w:t>9,170,261.43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center"/>
              <w:rPr>
                <w:rFonts w:ascii="Times New Roman" w:hAnsi="Times New Roman" w:cs="Times New Roman" w:eastAsia="Times New Roman" w:hint="default"/>
                <w:sz w:val="18"/>
                <w:szCs w:val="18"/>
              </w:rPr>
            </w:pPr>
            <w:r>
              <w:rPr>
                <w:rFonts w:ascii="Times New Roman"/>
                <w:sz w:val="18"/>
              </w:rPr>
              <w:t>1,298,466.61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256,860.56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11,031,586.92</w:t>
            </w:r>
            <w:r>
              <w:rPr>
                <w:rFonts w:ascii="Times New Roman"/>
                <w:sz w:val="18"/>
              </w:rPr>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3,678,943.90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center"/>
              <w:rPr>
                <w:rFonts w:ascii="Times New Roman" w:hAnsi="Times New Roman" w:cs="Times New Roman" w:eastAsia="Times New Roman" w:hint="default"/>
                <w:sz w:val="18"/>
                <w:szCs w:val="18"/>
              </w:rPr>
            </w:pPr>
            <w:r>
              <w:rPr>
                <w:rFonts w:ascii="Times New Roman"/>
                <w:sz w:val="18"/>
              </w:rPr>
              <w:t>30,971,473.95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 w:right="0"/>
              <w:jc w:val="center"/>
              <w:rPr>
                <w:rFonts w:ascii="Times New Roman" w:hAnsi="Times New Roman" w:cs="Times New Roman" w:eastAsia="Times New Roman" w:hint="default"/>
                <w:sz w:val="18"/>
                <w:szCs w:val="18"/>
              </w:rPr>
            </w:pPr>
            <w:r>
              <w:rPr>
                <w:rFonts w:ascii="Times New Roman"/>
                <w:sz w:val="18"/>
              </w:rPr>
              <w:t>4,389,742.74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2,922,343.41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41,962,504.00</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2,763,124.10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28,141,267.84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12,974,498.17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600,207.93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44,479,098.04</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3,069,122.42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center"/>
              <w:rPr>
                <w:rFonts w:ascii="Times New Roman" w:hAnsi="Times New Roman" w:cs="Times New Roman" w:eastAsia="Times New Roman" w:hint="default"/>
                <w:sz w:val="18"/>
                <w:szCs w:val="18"/>
              </w:rPr>
            </w:pPr>
            <w:r>
              <w:rPr>
                <w:rFonts w:ascii="Times New Roman"/>
                <w:sz w:val="18"/>
              </w:rPr>
              <w:t>27,307,889.41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 w:right="0"/>
              <w:jc w:val="center"/>
              <w:rPr>
                <w:rFonts w:ascii="Times New Roman" w:hAnsi="Times New Roman" w:cs="Times New Roman" w:eastAsia="Times New Roman" w:hint="default"/>
                <w:sz w:val="18"/>
                <w:szCs w:val="18"/>
              </w:rPr>
            </w:pPr>
            <w:r>
              <w:rPr>
                <w:rFonts w:ascii="Times New Roman"/>
                <w:sz w:val="18"/>
              </w:rPr>
              <w:t>9,665,396.57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748,210.87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40,790,619.27</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1）在建工程情况" w:id="277"/>
      <w:bookmarkEnd w:id="277"/>
      <w:r>
        <w:rPr>
          <w:b w:val="0"/>
          <w:bCs w:val="0"/>
        </w:rPr>
      </w:r>
      <w:bookmarkStart w:name="（2）重要在建工程项目本期变动情况" w:id="278"/>
      <w:bookmarkEnd w:id="278"/>
      <w:r>
        <w:rPr>
          <w:b w:val="0"/>
          <w:bCs w:val="0"/>
        </w:rPr>
      </w:r>
      <w:r>
        <w:rPr/>
        <w:t>（</w:t>
      </w:r>
      <w:r>
        <w:rPr>
          <w:rFonts w:ascii="Times New Roman" w:hAnsi="Times New Roman" w:cs="Times New Roman" w:eastAsia="Times New Roman" w:hint="default"/>
        </w:rPr>
        <w:t>2</w:t>
      </w:r>
      <w:r>
        <w:rPr/>
        <w:t>）暂时闲置的固</w:t>
      </w:r>
      <w:bookmarkStart w:name="（2）暂时闲置的固定资产情况" w:id="279"/>
      <w:bookmarkEnd w:id="279"/>
      <w:r>
        <w:rPr/>
        <w:t>定资</w:t>
      </w:r>
      <w:r>
        <w:rPr/>
        <w:t>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）通过融资租赁租入的</w:t>
      </w:r>
      <w:bookmarkStart w:name="（3）通过融资租赁租入的固定资产情况" w:id="280"/>
      <w:bookmarkEnd w:id="280"/>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通过经营租赁租出的固定资产" w:id="281"/>
      <w:bookmarkEnd w:id="28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5）未办妥产权证书的固定资产情况" w:id="282"/>
      <w:bookmarkEnd w:id="28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0"/>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0、在建工程" w:id="283"/>
      <w:bookmarkEnd w:id="283"/>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6"/>
        <w:gridCol w:w="737"/>
        <w:gridCol w:w="736"/>
        <w:gridCol w:w="736"/>
        <w:gridCol w:w="725"/>
      </w:tblGrid>
      <w:tr>
        <w:trPr>
          <w:trHeight w:val="715"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93"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93" w:right="89"/>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92"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0"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92" w:right="92"/>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92" w:right="22" w:hanging="70"/>
              <w:jc w:val="left"/>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93" w:right="90"/>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674"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2）采用公允价值计量模式的生产性生物资产" w:id="284"/>
      <w:bookmarkEnd w:id="284"/>
      <w:r>
        <w:rPr>
          <w:b w:val="0"/>
          <w:bCs w:val="0"/>
        </w:rPr>
      </w:r>
      <w:bookmarkStart w:name="24、油气资产" w:id="285"/>
      <w:bookmarkEnd w:id="285"/>
      <w:r>
        <w:rPr>
          <w:b w:val="0"/>
          <w:bCs w:val="0"/>
        </w:rPr>
      </w:r>
      <w:bookmarkStart w:name="25、无形资产" w:id="286"/>
      <w:bookmarkEnd w:id="286"/>
      <w:r>
        <w:rPr>
          <w:b w:val="0"/>
          <w:bCs w:val="0"/>
        </w:rPr>
      </w:r>
      <w:bookmarkStart w:name="（1）无形资产情况" w:id="287"/>
      <w:bookmarkEnd w:id="287"/>
      <w:r>
        <w:rPr>
          <w:b w:val="0"/>
          <w:bCs w:val="0"/>
        </w:rPr>
      </w:r>
      <w:r>
        <w:rPr/>
        <w:t>（</w:t>
      </w:r>
      <w:r>
        <w:rPr>
          <w:rFonts w:ascii="Times New Roman" w:hAnsi="Times New Roman" w:cs="Times New Roman" w:eastAsia="Times New Roman" w:hint="default"/>
        </w:rPr>
        <w:t>3</w:t>
      </w:r>
      <w:bookmarkStart w:name="（3）本期计提在建工程减值准备情况" w:id="288"/>
      <w:bookmarkEnd w:id="288"/>
      <w:r>
        <w:rPr>
          <w:rFonts w:ascii="Times New Roman" w:hAnsi="Times New Roman" w:cs="Times New Roman" w:eastAsia="Times New Roman" w:hint="default"/>
        </w:rPr>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1、工程物资" w:id="289"/>
      <w:bookmarkEnd w:id="289"/>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2、固定资产清理" w:id="290"/>
      <w:bookmarkEnd w:id="29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3、生产性生物资产" w:id="291"/>
      <w:bookmarkEnd w:id="291"/>
      <w:r>
        <w:rPr/>
      </w:r>
      <w:bookmarkStart w:name="（1）采用成本计量模式的生产性生物资产" w:id="292"/>
      <w:bookmarkEnd w:id="292"/>
      <w:r>
        <w:rPr/>
      </w: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2"/>
        <w:gridCol w:w="1380"/>
        <w:gridCol w:w="1579"/>
      </w:tblGrid>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89,736,390.61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89,736,390.61</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41" w:right="0"/>
              <w:jc w:val="left"/>
              <w:rPr>
                <w:rFonts w:ascii="Times New Roman" w:hAnsi="Times New Roman" w:cs="Times New Roman" w:eastAsia="Times New Roman" w:hint="default"/>
                <w:sz w:val="18"/>
                <w:szCs w:val="18"/>
              </w:rPr>
            </w:pPr>
            <w:r>
              <w:rPr>
                <w:rFonts w:ascii="Times New Roman"/>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44,869,468.05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209,073,838.35</w:t>
            </w:r>
            <w:r>
              <w:rPr>
                <w:rFonts w:ascii="Times New Roman"/>
                <w:sz w:val="18"/>
              </w:rPr>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3,770,635.89</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167,975,006.19</w:t>
            </w:r>
            <w:r>
              <w:rPr>
                <w:rFonts w:ascii="Times New Roman"/>
                <w:sz w:val="18"/>
              </w:rPr>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41,098,832.16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41,098,832.16</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134,605,858.66</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298,810,228.96</w:t>
            </w:r>
            <w:r>
              <w:rPr>
                <w:rFonts w:ascii="Times New Roman"/>
                <w:sz w:val="18"/>
              </w:rPr>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43,971,617.72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43,971,617.72</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25,229,169.19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25,229,169.19</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25,229,169.19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25,229,169.19</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69,200,786.91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69,200,786.91</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41" w:right="0"/>
              <w:jc w:val="left"/>
              <w:rPr>
                <w:rFonts w:ascii="Times New Roman" w:hAnsi="Times New Roman" w:cs="Times New Roman" w:eastAsia="Times New Roman" w:hint="default"/>
                <w:sz w:val="18"/>
                <w:szCs w:val="18"/>
              </w:rPr>
            </w:pPr>
            <w:r>
              <w:rPr>
                <w:rFonts w:ascii="Times New Roman"/>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65,405,071.75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229,609,442.05</w:t>
            </w:r>
            <w:r>
              <w:rPr>
                <w:rFonts w:ascii="Times New Roman"/>
                <w:sz w:val="18"/>
              </w:rPr>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0"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45,764,772.89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45,764,772.89</w:t>
            </w:r>
          </w:p>
        </w:tc>
      </w:tr>
    </w:tbl>
    <w:p>
      <w:pPr>
        <w:pStyle w:val="BodyText"/>
        <w:spacing w:line="240" w:lineRule="auto" w:before="49"/>
        <w:ind w:right="791"/>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33.92%</w:t>
      </w:r>
      <w:r>
        <w:rPr/>
        <w:t>。</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未办妥产权证书的土地使用权情况" w:id="293"/>
      <w:bookmarkEnd w:id="293"/>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南湾办事处二号桥村地块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164,204,370.30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正在办理相关手续</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6、开发支出" w:id="294"/>
      <w:bookmarkEnd w:id="294"/>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3" w:hRule="exact"/>
        </w:trPr>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风险评估综合 管理系统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3,091,287.87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5,778,629.04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8,869,916.91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新一代电子政 务应用平台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284,971.74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6,420,356.72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6,705,328.46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协同任务管理 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1,913,752.72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4,819,620.67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6,733,373.39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质检行业企业 端软件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9,090,156.76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4,373,227.61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13,219,032.56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244,351.81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技术研发与创 新平台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3,735,696.95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1,835,483.89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5,571,180.84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18,115,866.04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23,227,317.93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41,098,832.16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244,351.81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357" w:lineRule="auto" w:before="49"/>
        <w:ind w:right="8874"/>
        <w:jc w:val="left"/>
      </w:pPr>
      <w:bookmarkStart w:name="29、递延所得税资产/递延所得税负债" w:id="295"/>
      <w:bookmarkEnd w:id="295"/>
      <w:r>
        <w:rPr/>
      </w:r>
      <w:bookmarkStart w:name="（1）未经抵销的递延所得税资产" w:id="296"/>
      <w:bookmarkEnd w:id="296"/>
      <w:r>
        <w:rPr/>
      </w: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7、商誉" w:id="297"/>
      <w:bookmarkEnd w:id="297"/>
      <w:r>
        <w:rPr/>
      </w:r>
      <w:bookmarkStart w:name="（1）商誉账面原值" w:id="298"/>
      <w:bookmarkEnd w:id="29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商誉减值准备" w:id="299"/>
      <w:bookmarkEnd w:id="29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357" w:lineRule="auto" w:before="49"/>
        <w:ind w:right="5094"/>
        <w:jc w:val="left"/>
      </w:pPr>
      <w:r>
        <w:rPr/>
        <w:t>说明商誉减值测试过程、参数及商誉减值损失的确认方法： 无。</w:t>
      </w:r>
    </w:p>
    <w:p>
      <w:pPr>
        <w:pStyle w:val="BodyText"/>
        <w:spacing w:line="357" w:lineRule="auto" w:before="2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8、长期待摊费用" w:id="300"/>
      <w:bookmarkEnd w:id="30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87,747.42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609,908.52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403,838.90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87,747.42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609,908.52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403,838.90</w:t>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2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16,849,851.64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2,606,128.78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12,817,922.14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1,440,028.18</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49,924,488.11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9,089,806.27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28,253,004.52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4,957,297.44</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6,177,777.74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926,666.66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3,394,375.43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339,437.54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72,952,117.49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12,622,601.71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44,465,302.09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6,736,763.16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30、其他非流动资产" w:id="301"/>
      <w:bookmarkEnd w:id="301"/>
      <w:r>
        <w:rPr>
          <w:b w:val="0"/>
          <w:bCs w:val="0"/>
        </w:rPr>
      </w:r>
      <w:r>
        <w:rPr/>
        <w:t>（</w:t>
      </w:r>
      <w:r>
        <w:rPr>
          <w:rFonts w:ascii="Times New Roman" w:hAnsi="Times New Roman" w:cs="Times New Roman" w:eastAsia="Times New Roman" w:hint="default"/>
        </w:rPr>
        <w:t>2</w:t>
      </w:r>
      <w:r>
        <w:rPr/>
        <w:t>）未经抵销的递</w:t>
      </w:r>
      <w:bookmarkStart w:name="（2）未经抵销的递延所得税负债" w:id="302"/>
      <w:bookmarkEnd w:id="302"/>
      <w:r>
        <w:rPr/>
        <w:t>延所</w:t>
      </w:r>
      <w:r>
        <w:rPr/>
        <w:t>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）以抵销后净额列示的递延所得税资产或负</w:t>
      </w:r>
      <w:bookmarkStart w:name="（3）以抵销后净额列示的递延所得税资产或负债" w:id="303"/>
      <w:bookmarkEnd w:id="303"/>
      <w:r>
        <w:rPr/>
        <w:t>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4"/>
        <w:gridCol w:w="1914"/>
        <w:gridCol w:w="1902"/>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0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00"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3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02" w:type="dxa"/>
            <w:vMerge/>
            <w:tcBorders>
              <w:left w:val="single" w:sz="4" w:space="0" w:color="000000"/>
              <w:right w:val="single" w:sz="4" w:space="0" w:color="000000"/>
            </w:tcBorders>
            <w:shd w:val="clear" w:color="auto" w:fill="D4D4D4"/>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0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02"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10"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12,622,601.71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6,736,763.16</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未确认递延所得税资产明细" w:id="304"/>
      <w:bookmarkEnd w:id="30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未确认递延所得税资产的可抵扣亏损将于以下年度到期" w:id="305"/>
      <w:bookmarkEnd w:id="305"/>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70,671,720.10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预付房屋、设备款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696,784.00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70,671,720.10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50,696,784.00</w:t>
            </w:r>
          </w:p>
        </w:tc>
      </w:tr>
    </w:tbl>
    <w:p>
      <w:pPr>
        <w:pStyle w:val="BodyText"/>
        <w:spacing w:line="240" w:lineRule="auto" w:before="49"/>
        <w:ind w:right="791"/>
        <w:jc w:val="left"/>
      </w:pPr>
      <w:r>
        <w:rPr/>
        <w:t>其他说明：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34、应付票据" w:id="306"/>
      <w:bookmarkEnd w:id="306"/>
      <w:r>
        <w:rPr/>
      </w: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31</w:t>
      </w:r>
      <w:bookmarkStart w:name="31、短期借款" w:id="307"/>
      <w:bookmarkEnd w:id="307"/>
      <w:r>
        <w:rPr>
          <w:rFonts w:ascii="Times New Roman" w:hAnsi="Times New Roman" w:cs="Times New Roman" w:eastAsia="Times New Roman" w:hint="default"/>
        </w:rPr>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1）短期借款分类" w:id="308"/>
      <w:bookmarkEnd w:id="308"/>
      <w:r>
        <w:rPr>
          <w:rFonts w:ascii="Times New Roman" w:hAnsi="Times New Roman" w:cs="Times New Roman" w:eastAsia="Times New Roman" w:hint="default"/>
        </w:rPr>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974"/>
        <w:jc w:val="left"/>
      </w:pPr>
      <w:r>
        <w:rPr/>
        <w:t>短期借款分类的说明：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791"/>
        <w:jc w:val="left"/>
      </w:pPr>
      <w:bookmarkStart w:name="（2）已逾期未偿还的短期借款情况" w:id="309"/>
      <w:bookmarkEnd w:id="309"/>
      <w:r>
        <w:rPr/>
      </w:r>
      <w:r>
        <w:rPr/>
        <w:t>本期末已逾期未偿还的短期借款总额为元，其中重要的已逾期未偿还的短期借款情况如下：</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2、以公允价值计量且其变动计入当期损益的金融负债" w:id="310"/>
      <w:bookmarkEnd w:id="31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bookmarkStart w:name="33、衍生金融负债" w:id="311"/>
      <w:bookmarkEnd w:id="311"/>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17,951,000.00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17,951,000.00</w:t>
            </w:r>
          </w:p>
        </w:tc>
      </w:tr>
    </w:tbl>
    <w:p>
      <w:pPr>
        <w:pStyle w:val="BodyText"/>
        <w:spacing w:line="240" w:lineRule="auto" w:before="49"/>
        <w:ind w:right="791"/>
        <w:jc w:val="left"/>
      </w:pPr>
      <w:r>
        <w:rPr/>
        <w:t>本期末已到期未支付的应付票据总额为</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3）期末建造合同形成的已结算未完工项目情况" w:id="312"/>
      <w:bookmarkEnd w:id="312"/>
      <w:r>
        <w:rPr>
          <w:b w:val="0"/>
          <w:bCs w:val="0"/>
        </w:rPr>
      </w:r>
      <w:r>
        <w:rPr>
          <w:rFonts w:ascii="Times New Roman" w:hAnsi="Times New Roman" w:cs="Times New Roman" w:eastAsia="Times New Roman" w:hint="default"/>
        </w:rPr>
        <w:t>35</w:t>
      </w:r>
      <w:bookmarkStart w:name="35、应付账款" w:id="313"/>
      <w:bookmarkEnd w:id="313"/>
      <w:r>
        <w:rPr>
          <w:rFonts w:ascii="Times New Roman" w:hAnsi="Times New Roman" w:cs="Times New Roman" w:eastAsia="Times New Roman" w:hint="default"/>
        </w:rPr>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1）应付账款列示" w:id="314"/>
      <w:bookmarkEnd w:id="314"/>
      <w:r>
        <w:rPr>
          <w:rFonts w:ascii="Times New Roman" w:hAnsi="Times New Roman" w:cs="Times New Roman" w:eastAsia="Times New Roman" w:hint="default"/>
        </w:rPr>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90,965,022.34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69,903,913.87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90,965,022.34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69,903,913.87</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w:t>
      </w:r>
      <w:bookmarkStart w:name="（2）账龄超过1年的重要应付账款" w:id="315"/>
      <w:bookmarkEnd w:id="315"/>
      <w:r>
        <w:rPr/>
        <w:t>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6、预收款项" w:id="316"/>
      <w:bookmarkEnd w:id="316"/>
      <w:r>
        <w:rPr/>
      </w:r>
      <w:bookmarkStart w:name="（1）预收款项列示" w:id="317"/>
      <w:bookmarkEnd w:id="317"/>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93,869,216.52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101,736,545.88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93,869,216.52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101,736,545.88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账龄超过1年的重要预收款项" w:id="318"/>
      <w:bookmarkEnd w:id="31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3）设定提存计划列示" w:id="319"/>
      <w:bookmarkEnd w:id="319"/>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37、应付职工薪酬" w:id="320"/>
      <w:bookmarkEnd w:id="320"/>
      <w:r>
        <w:rPr>
          <w:rFonts w:ascii="Times New Roman" w:hAnsi="Times New Roman" w:cs="Times New Roman" w:eastAsia="Times New Roman" w:hint="default"/>
        </w:rPr>
      </w:r>
      <w:bookmarkStart w:name="（1）应付职工薪酬列示" w:id="321"/>
      <w:bookmarkEnd w:id="321"/>
      <w:r>
        <w:rPr>
          <w:rFonts w:ascii="Times New Roman" w:hAnsi="Times New Roman" w:cs="Times New Roman" w:eastAsia="Times New Roman" w:hint="default"/>
        </w:rPr>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11,709,638.10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84,429,258.28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81,485,271.16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14,653,625.22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5,073,870.26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5,070,372.74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3,497.52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11,709,638.10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89,503,128.54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86,555,643.90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14,657,122.74</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短期薪酬列示" w:id="322"/>
      <w:bookmarkEnd w:id="32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10,330,361.01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76,915,379.74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73,877,709.81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13,368,030.94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1,910,355.08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1,910,355.08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2,349,376.10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2,332,762.88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16,613.22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2,063,631.00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2,049,640.92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13,990.08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109,077.89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108,448.95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628.94</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176,667.21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174,673.01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1,994.20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3,027,376.36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3,027,376.36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1,379,277.09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98,131.60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208,427.63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1,268,981.06</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128,639.40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128,639.40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11,709,638.10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84,429,258.28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81,485,271.16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14,653,625.22</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4,839,912.77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4,839,912.77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233,957.49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230,459.97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3,497.52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5,073,870.26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5,070,372.74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3,497.52</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40、应付股利" w:id="323"/>
      <w:bookmarkEnd w:id="323"/>
      <w:r>
        <w:rPr>
          <w:b w:val="0"/>
          <w:bCs w:val="0"/>
        </w:rPr>
      </w:r>
      <w:bookmarkStart w:name="41、其他应付款" w:id="324"/>
      <w:bookmarkEnd w:id="324"/>
      <w:r>
        <w:rPr>
          <w:b w:val="0"/>
          <w:bCs w:val="0"/>
        </w:rPr>
      </w:r>
      <w:bookmarkStart w:name="（1）按款项性质列示其他应付款" w:id="325"/>
      <w:bookmarkEnd w:id="32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8、应交税费" w:id="326"/>
      <w:bookmarkEnd w:id="32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318,433.08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149,401.56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-47,342.95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-445,664.69</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7,213,964.57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9,189,076.54</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159,390.88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122,423.34</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-470,831.48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-864,690.96</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-335,755.45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-605,268.61</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14,352.26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325,787.48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6,852,210.91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7,871,064.66</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9、应付利息" w:id="327"/>
      <w:bookmarkEnd w:id="327"/>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90,222.23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90,222.23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791"/>
        <w:jc w:val="left"/>
      </w:pPr>
      <w:r>
        <w:rPr/>
        <w:t>重要的已逾期未支付的利息情况：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49"/>
        <w:ind w:right="4015"/>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543,502.07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50,631.72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5,484,830.44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4,949,906.27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6,028,332.51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5,000,537.99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bookmarkStart w:name="（2）账龄超过1年的重要其他应付款" w:id="328"/>
      <w:bookmarkEnd w:id="328"/>
      <w:r>
        <w:rPr>
          <w:rFonts w:ascii="Times New Roman" w:hAnsi="Times New Roman" w:cs="Times New Roman" w:eastAsia="Times New Roman" w:hint="default"/>
          <w:spacing w:val="-2"/>
        </w:rPr>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2、划分为持有待售的负债" w:id="329"/>
      <w:bookmarkEnd w:id="32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3、一年内到期的非流动负债" w:id="330"/>
      <w:bookmarkEnd w:id="33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4、其他流动负债" w:id="331"/>
      <w:bookmarkEnd w:id="33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3,071,042.10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3,071,042.10</w:t>
            </w:r>
            <w:r>
              <w:rPr>
                <w:rFonts w:ascii="Times New Roman"/>
                <w:sz w:val="18"/>
              </w:rPr>
            </w:r>
          </w:p>
        </w:tc>
      </w:tr>
    </w:tbl>
    <w:p>
      <w:pPr>
        <w:pStyle w:val="BodyText"/>
        <w:spacing w:line="240" w:lineRule="auto" w:before="49"/>
        <w:ind w:right="791"/>
        <w:jc w:val="left"/>
      </w:pPr>
      <w:r>
        <w:rPr/>
        <w:t>短期应付债券的增减变动：</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7"/>
        <w:gridCol w:w="797"/>
        <w:gridCol w:w="797"/>
        <w:gridCol w:w="797"/>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49"/>
        <w:ind w:right="8874"/>
        <w:jc w:val="left"/>
      </w:pPr>
      <w:r>
        <w:rPr/>
        <w:t>其他说明： 无。</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45、长期借款" w:id="332"/>
      <w:bookmarkEnd w:id="332"/>
      <w:r>
        <w:rPr>
          <w:rFonts w:ascii="Times New Roman" w:hAnsi="Times New Roman" w:cs="Times New Roman" w:eastAsia="Times New Roman" w:hint="default"/>
        </w:rPr>
      </w:r>
      <w:bookmarkStart w:name="（1）长期借款分类" w:id="333"/>
      <w:bookmarkEnd w:id="333"/>
      <w:r>
        <w:rPr>
          <w:rFonts w:ascii="Times New Roman" w:hAnsi="Times New Roman" w:cs="Times New Roman" w:eastAsia="Times New Roman" w:hint="default"/>
        </w:rPr>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7974"/>
        <w:jc w:val="left"/>
      </w:pPr>
      <w:r>
        <w:rPr/>
        <w:t>长期借款分类的说明： 无。</w:t>
      </w:r>
    </w:p>
    <w:p>
      <w:pPr>
        <w:pStyle w:val="BodyText"/>
        <w:spacing w:line="357" w:lineRule="auto" w:before="27"/>
        <w:ind w:right="7614"/>
        <w:jc w:val="left"/>
      </w:pPr>
      <w:r>
        <w:rPr/>
        <w:t>其他说明，包括利率区间：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6、应付债券" w:id="334"/>
      <w:bookmarkEnd w:id="334"/>
      <w:r>
        <w:rPr/>
      </w:r>
      <w:bookmarkStart w:name="（1）应付债券" w:id="335"/>
      <w:bookmarkEnd w:id="33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）应付债券的增减变动（不包括划分为金融负债</w:t>
      </w:r>
      <w:bookmarkStart w:name="（2）应付债券的增减变动（不包括划分为金融负债的优先股、永续债等其他金融工具）" w:id="336"/>
      <w:bookmarkEnd w:id="336"/>
      <w:r>
        <w:rPr/>
        <w:t>的优先股、永续债</w:t>
      </w:r>
      <w:r>
        <w:rPr/>
        <w:t>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7"/>
        <w:gridCol w:w="797"/>
        <w:gridCol w:w="797"/>
        <w:gridCol w:w="797"/>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60" w:lineRule="auto" w:before="44"/>
        <w:ind w:right="-20"/>
        <w:jc w:val="left"/>
      </w:pPr>
      <w:r>
        <w:rPr/>
        <w:t>期末发行在外的优先股、永续债等其他金融工具基本情况 无。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bookmarkStart w:name="（3）可转换公司债券的转股条件、转股时间说明" w:id="337"/>
      <w:bookmarkEnd w:id="337"/>
      <w:r>
        <w:rPr/>
      </w:r>
      <w:bookmarkStart w:name="（4）划分为金融负债的其他金融工具说明" w:id="338"/>
      <w:bookmarkEnd w:id="338"/>
      <w:r>
        <w:rPr/>
      </w:r>
      <w:r>
        <w:rPr/>
        <w:t>单位：</w:t>
      </w:r>
      <w:r>
        <w:rPr>
          <w:spacing w:val="1"/>
        </w:rPr>
        <w:t> </w:t>
      </w:r>
      <w:r>
        <w:rPr/>
        <w:t>元</w:t>
      </w:r>
    </w:p>
    <w:p>
      <w:pPr>
        <w:spacing w:after="0" w:line="240" w:lineRule="auto"/>
        <w:jc w:val="left"/>
        <w:sectPr>
          <w:type w:val="continuous"/>
          <w:pgSz w:w="11910" w:h="16840"/>
          <w:pgMar w:top="1060" w:bottom="1180" w:left="980" w:right="980"/>
          <w:cols w:num="2" w:equalWidth="0">
            <w:col w:w="4653" w:space="417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6534"/>
        <w:jc w:val="left"/>
      </w:pPr>
      <w:r>
        <w:rPr/>
        <w:t>其他金融工具划分为金融负债的依据说明 无。</w:t>
      </w:r>
    </w:p>
    <w:p>
      <w:pPr>
        <w:pStyle w:val="BodyText"/>
        <w:spacing w:line="357" w:lineRule="auto" w:before="27"/>
        <w:ind w:right="9054"/>
        <w:jc w:val="left"/>
      </w:pPr>
      <w:r>
        <w:rPr/>
        <w:t>其他说明 无。</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49、专项应付款" w:id="339"/>
      <w:bookmarkEnd w:id="339"/>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47、长期应付款" w:id="340"/>
      <w:bookmarkEnd w:id="340"/>
      <w:r>
        <w:rPr>
          <w:rFonts w:ascii="Times New Roman" w:hAnsi="Times New Roman" w:cs="Times New Roman" w:eastAsia="Times New Roman" w:hint="default"/>
        </w:rPr>
      </w:r>
      <w:bookmarkStart w:name="（1）按款项性质列示长期应付款" w:id="341"/>
      <w:bookmarkEnd w:id="341"/>
      <w:r>
        <w:rPr>
          <w:rFonts w:ascii="Times New Roman" w:hAnsi="Times New Roman" w:cs="Times New Roman" w:eastAsia="Times New Roman" w:hint="default"/>
        </w:rPr>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8、长期应付职工薪酬" w:id="342"/>
      <w:bookmarkEnd w:id="342"/>
      <w:r>
        <w:rPr/>
      </w:r>
      <w:bookmarkStart w:name="（1）长期应付职工薪酬表" w:id="343"/>
      <w:bookmarkEnd w:id="343"/>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t>设定受益计划义务现值：</w:t>
      </w:r>
    </w:p>
    <w:p>
      <w:pPr>
        <w:pStyle w:val="BodyText"/>
        <w:spacing w:line="240" w:lineRule="auto" w:before="115"/>
        <w:ind w:left="0" w:right="153"/>
        <w:jc w:val="right"/>
      </w:pPr>
      <w:bookmarkStart w:name="（2）设定受益计划变动情况" w:id="344"/>
      <w:bookmarkEnd w:id="34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791"/>
        <w:jc w:val="left"/>
      </w:pPr>
      <w:r>
        <w:rPr/>
        <w:t>计划资产：</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791"/>
        <w:jc w:val="left"/>
      </w:pPr>
      <w:r>
        <w:rPr/>
        <w:t>设定受益计划净负债（净资产）</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2574"/>
        <w:jc w:val="left"/>
      </w:pPr>
      <w:r>
        <w:rPr/>
        <w:t>设定受益计划的内容及与之相关风险、对公司未来现金流量、时间和不确定性的影响说明： 无。</w:t>
      </w:r>
    </w:p>
    <w:p>
      <w:pPr>
        <w:pStyle w:val="BodyText"/>
        <w:spacing w:line="360" w:lineRule="auto" w:before="29"/>
        <w:ind w:right="5634"/>
        <w:jc w:val="left"/>
      </w:pPr>
      <w:r>
        <w:rPr/>
        <w:t>设定受益计划重大精算假设及敏感性分析结果说明：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52、其他非流动负债" w:id="345"/>
      <w:bookmarkEnd w:id="345"/>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0、预计负债" w:id="346"/>
      <w:bookmarkEnd w:id="34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49"/>
        <w:ind w:right="5094"/>
        <w:jc w:val="left"/>
      </w:pPr>
      <w:r>
        <w:rPr/>
        <w:t>其他说明，包括重要预计负债的相关重要假设、估计说明：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1、递延收益" w:id="347"/>
      <w:bookmarkEnd w:id="347"/>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12,609,833.33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869,555.56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37,310,277.77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12,609,833.33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25,570,000.00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869,555.56</w:t>
            </w:r>
          </w:p>
        </w:tc>
        <w:tc>
          <w:tcPr>
            <w:tcW w:w="1594"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37,310,277.77</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791"/>
        <w:jc w:val="left"/>
      </w:pPr>
      <w:r>
        <w:rPr/>
        <w:t>涉及政府补助的项目：</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首届福州市政府 质量奖奖励金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323,333.33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323,333.33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榕基马鞍山软 件园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 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12,286,500.00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18,770,000.00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31,056,500.00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榕基移动应用服 务平台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年国家物联 网发展专项补助 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5,060,000.00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第三批产业发展 专项资金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科技计划项目经 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55,555.56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444,444.44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12,609,833.33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869,555.56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37,310,277.77</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874"/>
        <w:jc w:val="left"/>
      </w:pPr>
      <w:bookmarkStart w:name="55、资本公积" w:id="348"/>
      <w:bookmarkEnd w:id="348"/>
      <w:r>
        <w:rPr/>
      </w: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53、股本" w:id="349"/>
      <w:bookmarkEnd w:id="349"/>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311,100,000.00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311,100,000.00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311,100,000.00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622,200,000.00</w:t>
            </w:r>
          </w:p>
        </w:tc>
      </w:tr>
    </w:tbl>
    <w:p>
      <w:pPr>
        <w:pStyle w:val="BodyText"/>
        <w:spacing w:line="240" w:lineRule="auto" w:before="49"/>
        <w:ind w:right="791"/>
        <w:jc w:val="left"/>
      </w:pPr>
      <w:r>
        <w:rPr/>
        <w:t>其他说明：</w:t>
      </w:r>
    </w:p>
    <w:p>
      <w:pPr>
        <w:pStyle w:val="BodyText"/>
        <w:spacing w:line="300" w:lineRule="auto" w:before="115"/>
        <w:ind w:right="147" w:hanging="1"/>
        <w:jc w:val="left"/>
      </w:pPr>
      <w:r>
        <w:rPr/>
        <w:t>注：</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 </w:t>
      </w:r>
      <w:r>
        <w:rPr/>
        <w:t>日召开的公司第三届董事会第四次会议、</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43"/>
        </w:rPr>
        <w:t> </w:t>
      </w:r>
      <w:r>
        <w:rPr/>
        <w:t>日召开的</w:t>
      </w:r>
      <w:r>
        <w:rPr>
          <w:rFonts w:ascii="Times New Roman" w:hAnsi="Times New Roman" w:cs="Times New Roman" w:eastAsia="Times New Roman" w:hint="default"/>
        </w:rPr>
        <w:t>2013</w:t>
      </w:r>
      <w:r>
        <w:rPr/>
        <w:t>年度股东大会审议通过了《关于公 司</w:t>
      </w:r>
      <w:r>
        <w:rPr>
          <w:rFonts w:ascii="Times New Roman" w:hAnsi="Times New Roman" w:cs="Times New Roman" w:eastAsia="Times New Roman" w:hint="default"/>
        </w:rPr>
        <w:t>2013</w:t>
      </w:r>
      <w:r>
        <w:rPr/>
        <w:t>年度利润分配方案的议案》，公司以截至</w:t>
      </w:r>
      <w:r>
        <w:rPr>
          <w:rFonts w:ascii="Times New Roman" w:hAnsi="Times New Roman" w:cs="Times New Roman" w:eastAsia="Times New Roman" w:hint="default"/>
        </w:rPr>
        <w:t>2013</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31,110.00</w:t>
      </w:r>
      <w:r>
        <w:rPr/>
        <w:t>万股为基数</w:t>
      </w:r>
      <w:r>
        <w:rPr>
          <w:rFonts w:ascii="Times New Roman" w:hAnsi="Times New Roman" w:cs="Times New Roman" w:eastAsia="Times New Roman" w:hint="default"/>
        </w:rPr>
        <w:t>,</w:t>
      </w:r>
      <w:r>
        <w:rPr/>
        <w:t>以资本公积转增股本方 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spacing w:line="240" w:lineRule="auto" w:before="5"/>
        <w:rPr>
          <w:rFonts w:ascii="宋体" w:hAnsi="宋体" w:cs="宋体" w:eastAsia="宋体" w:hint="default"/>
          <w:sz w:val="22"/>
          <w:szCs w:val="22"/>
        </w:rPr>
      </w:pPr>
    </w:p>
    <w:p>
      <w:pPr>
        <w:pStyle w:val="Heading3"/>
        <w:spacing w:line="240" w:lineRule="auto"/>
        <w:ind w:right="791"/>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）期末发行在外的优先股、永续债等其他金融工</w:t>
      </w:r>
      <w:bookmarkStart w:name="54、其他权益工具" w:id="350"/>
      <w:bookmarkEnd w:id="350"/>
      <w:r>
        <w:rPr/>
      </w:r>
      <w:bookmarkStart w:name="（1）期末发行在外的优先股、永续债等其他金融工具基本情况" w:id="351"/>
      <w:bookmarkEnd w:id="351"/>
      <w:r>
        <w:rPr/>
        <w:t>具基本情况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2）期末发行在外的优先股、永续债等金融工具变动情况表" w:id="352"/>
      <w:bookmarkEnd w:id="35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3654"/>
        <w:jc w:val="left"/>
      </w:pPr>
      <w:r>
        <w:rPr/>
        <w:t>其他权益工具本期增减变动情况、变动原因说明，以及相关会计处理的依据：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673,543,237.65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362,443,237.65</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1,199,513.23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1,199,513.23</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674,742,750.88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363,642,750.88</w:t>
            </w:r>
            <w:r>
              <w:rPr>
                <w:rFonts w:ascii="Times New Roman"/>
                <w:sz w:val="18"/>
              </w:rPr>
            </w:r>
          </w:p>
        </w:tc>
      </w:tr>
    </w:tbl>
    <w:p>
      <w:pPr>
        <w:pStyle w:val="BodyText"/>
        <w:spacing w:line="240" w:lineRule="auto" w:before="49"/>
        <w:ind w:right="791"/>
        <w:jc w:val="left"/>
      </w:pPr>
      <w:r>
        <w:rPr/>
        <w:t>其他说明，包括本期增减变动情况、变动原因说明：</w:t>
      </w:r>
    </w:p>
    <w:p>
      <w:pPr>
        <w:pStyle w:val="BodyText"/>
        <w:spacing w:line="300" w:lineRule="auto" w:before="117"/>
        <w:ind w:right="147" w:hanging="1"/>
        <w:jc w:val="left"/>
      </w:pPr>
      <w:r>
        <w:rPr/>
        <w:t>注：</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 </w:t>
      </w:r>
      <w:r>
        <w:rPr/>
        <w:t>日召开的公司第三届董事会第四次会议、</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43"/>
        </w:rPr>
        <w:t> </w:t>
      </w:r>
      <w:r>
        <w:rPr/>
        <w:t>日召开的</w:t>
      </w:r>
      <w:r>
        <w:rPr>
          <w:rFonts w:ascii="Times New Roman" w:hAnsi="Times New Roman" w:cs="Times New Roman" w:eastAsia="Times New Roman" w:hint="default"/>
        </w:rPr>
        <w:t>2013</w:t>
      </w:r>
      <w:r>
        <w:rPr/>
        <w:t>年度股东大会审议通过了《关于公 司</w:t>
      </w:r>
      <w:r>
        <w:rPr>
          <w:rFonts w:ascii="Times New Roman" w:hAnsi="Times New Roman" w:cs="Times New Roman" w:eastAsia="Times New Roman" w:hint="default"/>
        </w:rPr>
        <w:t>2013</w:t>
      </w:r>
      <w:r>
        <w:rPr/>
        <w:t>年度利润分配方案的议案》，公司以截至</w:t>
      </w:r>
      <w:r>
        <w:rPr>
          <w:rFonts w:ascii="Times New Roman" w:hAnsi="Times New Roman" w:cs="Times New Roman" w:eastAsia="Times New Roman" w:hint="default"/>
        </w:rPr>
        <w:t>2013</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31,110.00</w:t>
      </w:r>
      <w:r>
        <w:rPr/>
        <w:t>万股为基数</w:t>
      </w:r>
      <w:r>
        <w:rPr>
          <w:rFonts w:ascii="Times New Roman" w:hAnsi="Times New Roman" w:cs="Times New Roman" w:eastAsia="Times New Roman" w:hint="default"/>
        </w:rPr>
        <w:t>,</w:t>
      </w:r>
      <w:r>
        <w:rPr/>
        <w:t>以资本公积转增股本方</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59、盈余公积" w:id="353"/>
      <w:bookmarkEnd w:id="353"/>
      <w:r>
        <w:rPr/>
      </w:r>
      <w:r>
        <w:rPr/>
        <w:t>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56</w:t>
      </w:r>
      <w:bookmarkStart w:name="56、库存股" w:id="354"/>
      <w:bookmarkEnd w:id="354"/>
      <w:r>
        <w:rPr>
          <w:rFonts w:ascii="Times New Roman" w:hAnsi="Times New Roman" w:cs="Times New Roman" w:eastAsia="Times New Roman" w:hint="default"/>
        </w:rPr>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5634"/>
        <w:jc w:val="left"/>
      </w:pPr>
      <w:r>
        <w:rPr/>
        <w:t>其他说明，包括本期增减变动情况、变动原因说明：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791"/>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57、其他综合收益" w:id="355"/>
      <w:bookmarkEnd w:id="35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8"/>
        <w:gridCol w:w="1068"/>
        <w:gridCol w:w="936"/>
        <w:gridCol w:w="1150"/>
        <w:gridCol w:w="936"/>
        <w:gridCol w:w="936"/>
        <w:gridCol w:w="936"/>
        <w:gridCol w:w="797"/>
      </w:tblGrid>
      <w:tr>
        <w:trPr>
          <w:trHeight w:val="398" w:hRule="exact"/>
        </w:trPr>
        <w:tc>
          <w:tcPr>
            <w:tcW w:w="2798" w:type="dxa"/>
            <w:vMerge w:val="restart"/>
            <w:tcBorders>
              <w:top w:val="single" w:sz="4" w:space="0" w:color="000000"/>
              <w:left w:val="single" w:sz="4" w:space="0" w:color="000000"/>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4D4D4"/>
          </w:tcPr>
          <w:p>
            <w:pPr/>
          </w:p>
        </w:tc>
      </w:tr>
      <w:tr>
        <w:trPr>
          <w:trHeight w:val="120" w:hRule="exact"/>
        </w:trPr>
        <w:tc>
          <w:tcPr>
            <w:tcW w:w="2798"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1" w:right="26"/>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4D4D4"/>
          </w:tcPr>
          <w:p>
            <w:pPr/>
          </w:p>
        </w:tc>
      </w:tr>
      <w:tr>
        <w:trPr>
          <w:trHeight w:val="368"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4D4D4"/>
          </w:tcPr>
          <w:p>
            <w:pPr/>
          </w:p>
        </w:tc>
        <w:tc>
          <w:tcPr>
            <w:tcW w:w="1150" w:type="dxa"/>
            <w:vMerge/>
            <w:tcBorders>
              <w:left w:val="single" w:sz="4" w:space="0" w:color="000000"/>
              <w:right w:val="single" w:sz="4" w:space="0" w:color="000000"/>
            </w:tcBorders>
            <w:shd w:val="clear" w:color="auto" w:fill="D4D4D4"/>
          </w:tcPr>
          <w:p>
            <w:pPr/>
          </w:p>
        </w:tc>
        <w:tc>
          <w:tcPr>
            <w:tcW w:w="93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8" w:type="dxa"/>
            <w:vMerge w:val="restart"/>
            <w:tcBorders>
              <w:top w:val="nil" w:sz="6" w:space="0" w:color="auto"/>
              <w:left w:val="single" w:sz="4" w:space="0" w:color="000000"/>
              <w:right w:val="single" w:sz="4" w:space="0" w:color="000000"/>
            </w:tcBorders>
            <w:shd w:val="clear" w:color="auto" w:fill="D4D4D4"/>
          </w:tcPr>
          <w:p>
            <w:pPr/>
          </w:p>
        </w:tc>
        <w:tc>
          <w:tcPr>
            <w:tcW w:w="1068" w:type="dxa"/>
            <w:vMerge w:val="restart"/>
            <w:tcBorders>
              <w:top w:val="nil" w:sz="6" w:space="0" w:color="auto"/>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1150" w:type="dxa"/>
            <w:vMerge/>
            <w:tcBorders>
              <w:left w:val="single" w:sz="4" w:space="0" w:color="000000"/>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798"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150"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-489,454.69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-1,006,031.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-1,006,031.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-1,495,48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6.17</w:t>
            </w: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-489,454.69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-1,006,031.</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w:t>
            </w:r>
          </w:p>
        </w:tc>
        <w:tc>
          <w:tcPr>
            <w:tcW w:w="1150"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-1,006,031.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-1,495,48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6.17</w:t>
            </w:r>
          </w:p>
        </w:tc>
      </w:tr>
      <w:tr>
        <w:trPr>
          <w:trHeight w:val="391"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-489,454.69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-1,006,031.</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1150"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-1,006,031.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-1,495,48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6.17</w:t>
            </w:r>
          </w:p>
        </w:tc>
      </w:tr>
      <w:tr>
        <w:trPr>
          <w:trHeight w:val="394"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357" w:lineRule="auto" w:before="49"/>
        <w:ind w:right="3114"/>
        <w:jc w:val="left"/>
      </w:pPr>
      <w:r>
        <w:rPr/>
        <w:t>其他说明，包括对现金流量套期损益的有效部分转为被套期项目初始确认金额调整：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8、专项储备" w:id="356"/>
      <w:bookmarkEnd w:id="35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5634"/>
        <w:jc w:val="left"/>
      </w:pPr>
      <w:r>
        <w:rPr/>
        <w:t>其他说明，包括本期增减变动情况、变动原因说明：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791"/>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47,237,304.14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6,140,652.04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53,377,956.18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47,237,304.14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6,140,652.04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53,377,956.18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5274"/>
        <w:jc w:val="left"/>
      </w:pPr>
      <w:bookmarkStart w:name="62、营业税金及附加" w:id="357"/>
      <w:bookmarkEnd w:id="357"/>
      <w:r>
        <w:rPr/>
      </w:r>
      <w:r>
        <w:rPr/>
        <w:t>盈余公积说明，包括本期增减变动情况、变动原因说明：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60</w:t>
      </w:r>
      <w:bookmarkStart w:name="60、未分配利润" w:id="358"/>
      <w:bookmarkEnd w:id="358"/>
      <w:r>
        <w:rPr>
          <w:rFonts w:ascii="Times New Roman" w:hAnsi="Times New Roman" w:cs="Times New Roman" w:eastAsia="Times New Roman" w:hint="default"/>
        </w:rPr>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317,559,442.71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294,949,461.63</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317,559,442.71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294,949,461.63</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22,250,622.89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62,838,706.64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6,140,652.04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9,118,725.56</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15,555,000.00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31,110,000.00</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318,114,413.56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317,559,442.71</w:t>
            </w:r>
            <w:r>
              <w:rPr>
                <w:rFonts w:ascii="Times New Roman"/>
                <w:sz w:val="18"/>
              </w:rPr>
            </w:r>
          </w:p>
        </w:tc>
      </w:tr>
    </w:tbl>
    <w:p>
      <w:pPr>
        <w:pStyle w:val="BodyText"/>
        <w:spacing w:line="240" w:lineRule="auto" w:before="49"/>
        <w:ind w:right="791"/>
        <w:jc w:val="left"/>
      </w:pPr>
      <w:r>
        <w:rPr/>
        <w:t>调整期初未分配利润明细：</w:t>
      </w:r>
    </w:p>
    <w:p>
      <w:pPr>
        <w:pStyle w:val="BodyText"/>
        <w:spacing w:line="240" w:lineRule="auto" w:before="115"/>
        <w:ind w:right="791"/>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791"/>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1"/>
        <w:ind w:right="791"/>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791"/>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791"/>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1、营业收入和营业成本" w:id="359"/>
      <w:bookmarkEnd w:id="35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598,305,165.28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424,922,378.38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602,937,794.74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411,036,613.83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204,600.00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11,662.20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598,305,165.28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424,922,378.38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603,142,394.74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411,048,276.03</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436,345.75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1,084,337.34</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1,296,358.29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954,482.49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920,419.45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681,802.98</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2,653,123.49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2,720,622.81</w:t>
            </w:r>
            <w:r>
              <w:rPr>
                <w:rFonts w:ascii="Times New Roman"/>
                <w:sz w:val="18"/>
              </w:rPr>
            </w:r>
          </w:p>
        </w:tc>
      </w:tr>
    </w:tbl>
    <w:p>
      <w:pPr>
        <w:pStyle w:val="BodyText"/>
        <w:spacing w:line="240" w:lineRule="auto" w:before="49"/>
        <w:ind w:right="791"/>
        <w:jc w:val="left"/>
      </w:pPr>
      <w:r>
        <w:rPr/>
        <w:t>其他说明：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63</w:t>
      </w:r>
      <w:bookmarkStart w:name="63、销售费用" w:id="360"/>
      <w:bookmarkEnd w:id="360"/>
      <w:r>
        <w:rPr>
          <w:rFonts w:ascii="Times New Roman" w:hAnsi="Times New Roman" w:cs="Times New Roman" w:eastAsia="Times New Roman" w:hint="default"/>
        </w:rPr>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13,817,684.53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11,875,865.91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10,848,224.59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11,323,377.91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6,498,392.68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5,338,790.55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3,481,417.41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4,411,161.33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3,150,482.65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1,267,211.21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1,855,133.61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1,926,649.42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1,828,934.21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641,687.01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716,306.31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667,741.18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572,133.98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1,004,946.20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4,360,296.30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3,981,335.68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47,129,006.27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42,438,766.40</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64、管理费用" w:id="361"/>
      <w:bookmarkEnd w:id="36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38,266,075.33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37,619,588.39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34,761,368.96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28,327,065.22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27,462,994.08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20,232,752.62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9,556,918.80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6,022,827.21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9,197,200.84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9,581,055.39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8,273,106.30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4,937,133.59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7,179,177.23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4,917,881.08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3,984,161.83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2,711,431.19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3,315,863.23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2,121,222.53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1,335,704.01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1,596,299.12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6,036,356.82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9,478,435.28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149,368,927.43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127,545,691.62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1539" w:header="745" w:top="1060" w:bottom="1720" w:left="980" w:right="980"/>
          <w:pgNumType w:start="138"/>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68、投资收益" w:id="362"/>
      <w:bookmarkEnd w:id="362"/>
      <w:r>
        <w:rPr/>
      </w: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65</w:t>
      </w:r>
      <w:bookmarkStart w:name="65、财务费用" w:id="363"/>
      <w:bookmarkEnd w:id="363"/>
      <w:r>
        <w:rPr>
          <w:rFonts w:ascii="Times New Roman" w:hAnsi="Times New Roman" w:cs="Times New Roman" w:eastAsia="Times New Roman" w:hint="default"/>
        </w:rPr>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99,555.56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6,788,598.51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18,655,129.34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-39,858.85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42,477.15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286,448.53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152,927.05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-6,442,453.27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-18,459,725.14</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66、资产减值损失" w:id="364"/>
      <w:bookmarkEnd w:id="36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3,950,273.99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1,701,569.54</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81,655.51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4,031,929.50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1,701,569.54</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7、公允价值变动收益" w:id="365"/>
      <w:bookmarkEnd w:id="36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12,252,852.71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12,810,595.20</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24,293,468.96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8,163,733.45</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36,546,321.67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20,974,328.65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539" w:top="1060" w:bottom="172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r>
        <w:rPr/>
        <w:t>注：</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系购买银行短期理财产品的收益。</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69</w:t>
      </w:r>
      <w:bookmarkStart w:name="69、营业外收入" w:id="366"/>
      <w:bookmarkEnd w:id="366"/>
      <w:r>
        <w:rPr>
          <w:rFonts w:ascii="Times New Roman" w:hAnsi="Times New Roman" w:cs="Times New Roman" w:eastAsia="Times New Roman" w:hint="default"/>
        </w:rPr>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10,927,063.53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14,522,768.67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4,643,214.66</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15,383.42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11,878.54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15,383.42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10,942,446.95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14,534,647.21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4,658,598.08</w:t>
            </w:r>
            <w:r>
              <w:rPr>
                <w:rFonts w:ascii="Times New Roman"/>
                <w:sz w:val="18"/>
              </w:rPr>
            </w:r>
          </w:p>
        </w:tc>
      </w:tr>
    </w:tbl>
    <w:p>
      <w:pPr>
        <w:pStyle w:val="BodyText"/>
        <w:spacing w:line="240" w:lineRule="auto" w:before="49"/>
        <w:ind w:right="791"/>
        <w:jc w:val="left"/>
      </w:pPr>
      <w:r>
        <w:rPr/>
        <w:t>计入当期损益的政府补助：</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6,283,848.87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6,181,470.16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福建省软件骨干企业奖励补 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技术经纪补助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72,017.00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奖励金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老旧汽车补贴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高校毕业生就业创业专项经 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年福州市科学进步技术 三等奖</w:t>
            </w:r>
            <w:r>
              <w:rPr>
                <w:rFonts w:ascii="Times New Roman" w:hAnsi="Times New Roman" w:cs="Times New Roman" w:eastAsia="Times New Roman" w:hint="default"/>
                <w:sz w:val="18"/>
                <w:szCs w:val="18"/>
              </w:rPr>
              <w:t>-</w:t>
            </w:r>
            <w:r>
              <w:rPr>
                <w:rFonts w:ascii="宋体" w:hAnsi="宋体" w:cs="宋体" w:eastAsia="宋体" w:hint="default"/>
                <w:sz w:val="18"/>
                <w:szCs w:val="18"/>
              </w:rPr>
              <w:t>榕基司法管理信息系 统</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left"/>
              <w:rPr>
                <w:rFonts w:ascii="宋体" w:hAnsi="宋体" w:cs="宋体" w:eastAsia="宋体" w:hint="default"/>
                <w:sz w:val="18"/>
                <w:szCs w:val="18"/>
              </w:rPr>
            </w:pPr>
            <w:r>
              <w:rPr>
                <w:rFonts w:ascii="宋体" w:hAnsi="宋体" w:cs="宋体" w:eastAsia="宋体" w:hint="default"/>
                <w:spacing w:val="-1"/>
                <w:sz w:val="18"/>
                <w:szCs w:val="18"/>
              </w:rPr>
              <w:t>信息安全专项项目（</w:t>
            </w:r>
            <w:r>
              <w:rPr>
                <w:rFonts w:ascii="Times New Roman" w:hAnsi="Times New Roman" w:cs="Times New Roman" w:eastAsia="Times New Roman" w:hint="default"/>
                <w:spacing w:val="-1"/>
                <w:sz w:val="18"/>
                <w:szCs w:val="18"/>
              </w:rPr>
              <w:t>RJ-ICOM</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榕基内控运维管理系统研发 及产业化项目）</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4,033,333.33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鼓楼区服务业专项奖励金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海西产业人才高地领军人才、 海西创业英才配套补助经费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福州市科技项目计划经费拨 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榕基质检三电工程</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服务 平台研发及产业化项目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2,909,090.90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1,090,909.10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RJ-RMS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榕基风险管理系统</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222,222.22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无线信息服务平台（</w:t>
            </w:r>
            <w:r>
              <w:rPr>
                <w:rFonts w:ascii="Times New Roman" w:hAnsi="Times New Roman" w:cs="Times New Roman" w:eastAsia="Times New Roman" w:hint="default"/>
                <w:spacing w:val="-2"/>
                <w:sz w:val="18"/>
                <w:szCs w:val="18"/>
              </w:rPr>
              <w:t>RJ-WISP)</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360,627.19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基于物联网的行业链应用终</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footerReference w:type="default" r:id="rId28"/>
          <w:pgSz w:w="11910" w:h="16840"/>
          <w:pgMar w:footer="962" w:header="745" w:top="1060" w:bottom="1160" w:left="980" w:right="980"/>
          <w:pgNumType w:start="1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36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RJ-IOT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开发与产业化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首届福州市政府质量奖奖励 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福州市公务员局促进高校毕 业生就业创业专项经费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34,600.00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软件人才培训补助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159,000.00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雨山区财政局奖励款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创新型企业创新成果补助项 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榕基移动应用服务平台</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24,000.00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展会扶持资金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年中小企业开拓资金补 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专利申请和奖励经费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17,000.00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年福建省软人才实训基 地补贴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132,000.00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无线信息服务平台</w:t>
            </w:r>
            <w:r>
              <w:rPr>
                <w:rFonts w:ascii="Times New Roman" w:hAnsi="Times New Roman" w:cs="Times New Roman" w:eastAsia="Times New Roman" w:hint="default"/>
                <w:sz w:val="18"/>
                <w:szCs w:val="18"/>
              </w:rPr>
              <w:t>(RJ-WISP)</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121,951.20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年国家物联网发展专项 补助金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第三批产业发展专项资金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科技计划项目经费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55,555.56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科学进步奖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10,927,063.53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14,522,768.67</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874"/>
        <w:jc w:val="left"/>
      </w:pPr>
      <w:bookmarkStart w:name="70、营业外支出" w:id="367"/>
      <w:bookmarkEnd w:id="367"/>
      <w:r>
        <w:rPr/>
      </w:r>
      <w:r>
        <w:rPr/>
        <w:t>其他说明： 无。</w:t>
      </w:r>
    </w:p>
    <w:p>
      <w:pPr>
        <w:spacing w:line="240" w:lineRule="auto" w:before="2"/>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1,160,681.25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1,160,681.25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112,907.60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46,235.33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41,110.95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46,235.33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66,235.33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1,314,699.80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66,235.33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874"/>
        <w:jc w:val="left"/>
      </w:pPr>
      <w:bookmarkStart w:name="（1）收到的其他与经营活动有关的现金" w:id="368"/>
      <w:bookmarkEnd w:id="368"/>
      <w:r>
        <w:rPr/>
      </w: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71</w:t>
      </w:r>
      <w:bookmarkStart w:name="71、所得税费用" w:id="369"/>
      <w:bookmarkEnd w:id="369"/>
      <w:r>
        <w:rPr>
          <w:rFonts w:ascii="Times New Roman" w:hAnsi="Times New Roman" w:cs="Times New Roman" w:eastAsia="Times New Roman" w:hint="default"/>
        </w:rPr>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所得税费用表" w:id="370"/>
      <w:bookmarkEnd w:id="370"/>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7,983,021.15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11,355,429.56</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-5,885,838.55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-3,726,535.83</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2,097,182.60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7,628,893.73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会计利润与所得税费用调整过程" w:id="371"/>
      <w:bookmarkEnd w:id="37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24,064,786.77</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2,097,182.60</w:t>
            </w:r>
            <w:r>
              <w:rPr>
                <w:rFonts w:ascii="Times New Roman"/>
                <w:sz w:val="18"/>
              </w:rPr>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spacing w:line="544" w:lineRule="auto" w:before="0"/>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29</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791"/>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72、其他综合收益" w:id="372"/>
      <w:bookmarkEnd w:id="372"/>
      <w:r>
        <w:rPr/>
      </w:r>
      <w:bookmarkStart w:name="73、现金流量表项目" w:id="373"/>
      <w:bookmarkEnd w:id="373"/>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26,272,617.00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8,937,540.00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7,423,735.38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29,610,770.45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1,574,802.94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210,865.81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35,271,155.32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38,759,176.26</w:t>
            </w:r>
          </w:p>
        </w:tc>
      </w:tr>
    </w:tbl>
    <w:p>
      <w:pPr>
        <w:pStyle w:val="BodyText"/>
        <w:spacing w:line="357" w:lineRule="auto" w:before="49"/>
        <w:ind w:right="6534"/>
        <w:jc w:val="left"/>
      </w:pPr>
      <w:r>
        <w:rPr/>
        <w:t>收到的其他与经营活动有关的现金说明： 无。</w:t>
      </w:r>
    </w:p>
    <w:p>
      <w:pPr>
        <w:spacing w:after="0" w:line="357" w:lineRule="auto"/>
        <w:jc w:val="left"/>
        <w:sectPr>
          <w:pgSz w:w="11910" w:h="16840"/>
          <w:pgMar w:header="745" w:footer="96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6）支付的其他与筹资活动有关的现金" w:id="374"/>
      <w:bookmarkEnd w:id="37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支付的其他与经营活动有关的现金" w:id="375"/>
      <w:bookmarkEnd w:id="375"/>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销售费用付现支出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33,409,121.74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30,562,900.49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管理费用付现支出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60,650,091.80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49,113,693.56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6,900,906.09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4,234,949.34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29,773,058.00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12,626,360.00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130,733,177.63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96,537,903.39</w:t>
            </w:r>
          </w:p>
        </w:tc>
      </w:tr>
    </w:tbl>
    <w:p>
      <w:pPr>
        <w:pStyle w:val="BodyText"/>
        <w:spacing w:line="360" w:lineRule="auto" w:before="49"/>
        <w:ind w:right="6534"/>
        <w:jc w:val="left"/>
      </w:pPr>
      <w:r>
        <w:rPr/>
        <w:t>支付的其他与经营活动有关的现金说明：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收到的其他与投资活动有关的现金" w:id="376"/>
      <w:bookmarkEnd w:id="37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6534"/>
        <w:jc w:val="left"/>
      </w:pPr>
      <w:r>
        <w:rPr/>
        <w:t>收到的其他与投资活动有关的现金说明：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4）支付的其他与投资活动有关的现金" w:id="377"/>
      <w:bookmarkEnd w:id="37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6534"/>
        <w:jc w:val="left"/>
      </w:pPr>
      <w:r>
        <w:rPr/>
        <w:t>支付的其他与投资活动有关的现金说明：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收到的其他与筹资活动有关的现金" w:id="378"/>
      <w:bookmarkEnd w:id="37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6534"/>
        <w:jc w:val="left"/>
      </w:pPr>
      <w:r>
        <w:rPr/>
        <w:t>收到的其他与筹资活动有关的现金说明：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6534"/>
        <w:jc w:val="left"/>
      </w:pPr>
      <w:r>
        <w:rPr/>
        <w:t>支付的其他与筹资活动有关的现金说明： 无。</w:t>
      </w:r>
    </w:p>
    <w:p>
      <w:pPr>
        <w:spacing w:after="0" w:line="360" w:lineRule="auto"/>
        <w:jc w:val="left"/>
        <w:sectPr>
          <w:pgSz w:w="11910" w:h="16840"/>
          <w:pgMar w:header="745" w:footer="962" w:top="1060" w:bottom="1180" w:left="980" w:right="980"/>
        </w:sectPr>
      </w:pPr>
    </w:p>
    <w:p>
      <w:pPr>
        <w:spacing w:line="240" w:lineRule="auto" w:before="10"/>
        <w:rPr>
          <w:rFonts w:ascii="宋体" w:hAnsi="宋体" w:cs="宋体" w:eastAsia="宋体" w:hint="default"/>
          <w:sz w:val="24"/>
          <w:szCs w:val="24"/>
        </w:rPr>
      </w:pPr>
      <w:r>
        <w:rPr/>
        <w:pict>
          <v:group style="position:absolute;margin-left:223.320007pt;margin-top:383.099976pt;width:151.2pt;height:40.8pt;mso-position-horizontal-relative:page;mso-position-vertical-relative:page;z-index:-982288" coordorigin="4466,7662" coordsize="3024,816">
            <v:group style="position:absolute;left:4477;top:7673;width:2;height:392" coordorigin="4477,7673" coordsize="2,392">
              <v:shape style="position:absolute;left:4477;top:7673;width:2;height:392" coordorigin="4477,7673" coordsize="0,392" path="m4477,7673l4477,8064e" filled="false" stroked="true" strokeweight="1.08pt" strokecolor="#ffffff">
                <v:path arrowok="t"/>
              </v:shape>
            </v:group>
            <v:group style="position:absolute;left:4488;top:7673;width:3003;height:392" coordorigin="4488,7673" coordsize="3003,392">
              <v:shape style="position:absolute;left:4488;top:7673;width:3003;height:392" coordorigin="4488,7673" coordsize="3003,392" path="m4488,8064l7490,8064,7490,7673,4488,7673,4488,8064xe" filled="true" fillcolor="#ffffff" stroked="false">
                <v:path arrowok="t"/>
                <v:fill type="solid"/>
              </v:shape>
            </v:group>
            <v:group style="position:absolute;left:4477;top:8074;width:2;height:394" coordorigin="4477,8074" coordsize="2,394">
              <v:shape style="position:absolute;left:4477;top:8074;width:2;height:394" coordorigin="4477,8074" coordsize="0,394" path="m4477,8074l4477,8467e" filled="false" stroked="true" strokeweight="1.08pt" strokecolor="#ffffff">
                <v:path arrowok="t"/>
              </v:shape>
            </v:group>
            <v:group style="position:absolute;left:4488;top:8074;width:3003;height:394" coordorigin="4488,8074" coordsize="3003,394">
              <v:shape style="position:absolute;left:4488;top:8074;width:3003;height:394" coordorigin="4488,8074" coordsize="3003,394" path="m4488,8467l7490,8467,7490,8074,4488,8074,4488,8467xe" filled="true" fillcolor="#ffffff" stroked="false">
                <v:path arrowok="t"/>
                <v:fill type="solid"/>
              </v:shape>
            </v:group>
            <w10:wrap type="none"/>
          </v:group>
        </w:pict>
      </w:r>
    </w:p>
    <w:p>
      <w:pPr>
        <w:pStyle w:val="Heading3"/>
        <w:spacing w:line="240" w:lineRule="auto" w:before="36"/>
        <w:ind w:right="791"/>
        <w:jc w:val="left"/>
        <w:rPr>
          <w:b w:val="0"/>
          <w:bCs w:val="0"/>
        </w:rPr>
      </w:pPr>
      <w:bookmarkStart w:name="（2）本期支付的取得子公司的现金净额" w:id="379"/>
      <w:bookmarkEnd w:id="379"/>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74、现金流量表补充资料" w:id="380"/>
      <w:bookmarkEnd w:id="380"/>
      <w:r>
        <w:rPr>
          <w:rFonts w:ascii="Times New Roman" w:hAnsi="Times New Roman" w:cs="Times New Roman" w:eastAsia="Times New Roman" w:hint="default"/>
        </w:rPr>
      </w:r>
      <w:bookmarkStart w:name="（1）现金流量表补充资料" w:id="381"/>
      <w:bookmarkEnd w:id="381"/>
      <w:r>
        <w:rPr>
          <w:rFonts w:ascii="Times New Roman" w:hAnsi="Times New Roman" w:cs="Times New Roman" w:eastAsia="Times New Roman" w:hint="default"/>
        </w:rPr>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1054"/>
        <w:gridCol w:w="2015"/>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21,967,604.17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62,712,575.81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4,031,929.50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1,701,569.54</w:t>
            </w:r>
            <w:r>
              <w:rPr>
                <w:rFonts w:ascii="Times New Roman"/>
                <w:sz w:val="18"/>
              </w:rPr>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9,591,658.07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9,998,062.60</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25,229,169.19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19,779,946.36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609,908.52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768,247.45</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1,160,681.25</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99,555.56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-3,370.85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-36,546,321.67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-20,974,328.65</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-5,885,838.55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-3,695,688.14</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-30,847.69</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-41,264,194.20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-60,387,063.80</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-37,787,420.05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-9,013,992.41</w:t>
            </w:r>
            <w:r>
              <w:rPr>
                <w:rFonts w:ascii="Times New Roman"/>
                <w:sz w:val="18"/>
              </w:rPr>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16,797,809.29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55,124,764.60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-43,156,140.17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57,140,556.07</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1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04" w:type="dxa"/>
            <w:vMerge/>
            <w:tcBorders>
              <w:left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301,533,250.26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342,664,951.87</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342,664,951.87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727,558,646.26</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-41,131,701.61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-384,893,694.39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6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bookmarkStart w:name="76、所有权或使用权受到限制的资产" w:id="382"/>
      <w:bookmarkEnd w:id="382"/>
      <w:r>
        <w:rPr/>
      </w: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）本期收到的处</w:t>
      </w:r>
      <w:bookmarkStart w:name="（3）本期收到的处置子公司的现金净额" w:id="383"/>
      <w:bookmarkEnd w:id="383"/>
      <w:r>
        <w:rPr/>
        <w:t>置子</w:t>
      </w:r>
      <w:r>
        <w:rPr/>
        <w:t>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现金和现金等价物的构成" w:id="384"/>
      <w:bookmarkEnd w:id="384"/>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301,533,250.26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342,664,951.87</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166,981.40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514,577.07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301,366,268.86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342,150,374.80</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301,533,250.26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342,664,951.87</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39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3"/>
        <w:spacing w:line="240" w:lineRule="auto"/>
        <w:ind w:right="791"/>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bookmarkStart w:name="75、所有者权益变动表项目注释" w:id="385"/>
      <w:bookmarkEnd w:id="385"/>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34,103,799.70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52,623,400.00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86,727,199.70</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791"/>
        <w:jc w:val="left"/>
      </w:pPr>
      <w:r>
        <w:rPr/>
        <w:t>其他说明：</w:t>
      </w:r>
    </w:p>
    <w:p>
      <w:pPr>
        <w:spacing w:after="0" w:line="240" w:lineRule="auto"/>
        <w:jc w:val="left"/>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1、非同一控制下企业合并" w:id="386"/>
      <w:bookmarkEnd w:id="386"/>
      <w:r>
        <w:rPr/>
      </w:r>
      <w:bookmarkStart w:name="（1）本期发生的非同一控制下企业合并" w:id="387"/>
      <w:bookmarkEnd w:id="387"/>
      <w:r>
        <w:rPr/>
      </w:r>
      <w:bookmarkStart w:name="（2）合并成本及商誉" w:id="388"/>
      <w:bookmarkEnd w:id="388"/>
      <w:r>
        <w:rPr/>
      </w: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77</w:t>
      </w:r>
      <w:bookmarkStart w:name="77、外币货币性项目" w:id="389"/>
      <w:bookmarkEnd w:id="389"/>
      <w:r>
        <w:rPr>
          <w:rFonts w:ascii="Times New Roman" w:hAnsi="Times New Roman" w:cs="Times New Roman" w:eastAsia="Times New Roman" w:hint="default"/>
        </w:rPr>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1）外币货币性项目" w:id="390"/>
      <w:bookmarkEnd w:id="390"/>
      <w:r>
        <w:rPr>
          <w:rFonts w:ascii="Times New Roman" w:hAnsi="Times New Roman" w:cs="Times New Roman" w:eastAsia="Times New Roman" w:hint="default"/>
        </w:rPr>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2304"/>
        <w:gridCol w:w="2390"/>
        <w:gridCol w:w="2390"/>
      </w:tblGrid>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12,701,475.24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77,720,326.99</w:t>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2,026,696.42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1,598,800.00</w:t>
            </w:r>
            <w:r>
              <w:rPr>
                <w:rFonts w:ascii="Times New Roman"/>
                <w:sz w:val="18"/>
              </w:rPr>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56" w:lineRule="auto"/>
        <w:ind w:right="147"/>
        <w:jc w:val="left"/>
        <w:rPr>
          <w:b w:val="0"/>
          <w:bCs w:val="0"/>
        </w:rPr>
      </w:pPr>
      <w:r>
        <w:rPr/>
        <w:t>（</w:t>
      </w:r>
      <w:r>
        <w:rPr>
          <w:rFonts w:ascii="Times New Roman" w:hAnsi="Times New Roman" w:cs="Times New Roman" w:eastAsia="Times New Roman" w:hint="default"/>
        </w:rPr>
        <w:t>2</w:t>
      </w:r>
      <w:r>
        <w:rPr/>
        <w:t>）境外经营实体说明，包括对于重要的境外</w:t>
      </w:r>
      <w:bookmarkStart w:name="（2）境外经营实体说明，包括对于重要的境外经营实体，应披露其境外主要经营地、记账" w:id="391"/>
      <w:bookmarkEnd w:id="391"/>
      <w:r>
        <w:rPr/>
        <w:t>经营</w:t>
      </w:r>
      <w:r>
        <w:rPr/>
        <w:t>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3654"/>
        <w:jc w:val="left"/>
      </w:pPr>
      <w:bookmarkStart w:name="78、套期" w:id="392"/>
      <w:bookmarkEnd w:id="392"/>
      <w:r>
        <w:rPr/>
      </w:r>
      <w:r>
        <w:rPr/>
        <w:t>按照套期类别披露套期项目及相关套期工具、被套期风险的定性和定量信息：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79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3"/>
        <w:rPr>
          <w:rFonts w:ascii="宋体" w:hAnsi="宋体" w:cs="宋体" w:eastAsia="宋体" w:hint="default"/>
          <w:sz w:val="25"/>
          <w:szCs w:val="25"/>
        </w:rPr>
      </w:pPr>
    </w:p>
    <w:p>
      <w:pPr>
        <w:pStyle w:val="Heading2"/>
        <w:spacing w:line="240" w:lineRule="auto"/>
        <w:ind w:right="791"/>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79、其他" w:id="393"/>
      <w:bookmarkEnd w:id="393"/>
      <w:r>
        <w:rPr/>
      </w:r>
      <w:bookmarkStart w:name="八、合并范围的变更" w:id="394"/>
      <w:bookmarkEnd w:id="394"/>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357" w:lineRule="auto" w:before="50"/>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after="0" w:line="240" w:lineRule="auto"/>
        <w:jc w:val="left"/>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5094"/>
        <w:jc w:val="left"/>
      </w:pPr>
      <w:bookmarkStart w:name="2、同一控制下企业合并" w:id="395"/>
      <w:bookmarkEnd w:id="395"/>
      <w:r>
        <w:rPr/>
      </w:r>
      <w:bookmarkStart w:name="（1）本期发生的同一控制下企业合并" w:id="396"/>
      <w:bookmarkEnd w:id="396"/>
      <w:r>
        <w:rPr/>
      </w:r>
      <w:r>
        <w:rPr/>
        <w:t>合并成本公允价值的确定方法、或有对价及其变动的说明： 无。</w:t>
      </w:r>
    </w:p>
    <w:p>
      <w:pPr>
        <w:pStyle w:val="BodyText"/>
        <w:spacing w:line="357" w:lineRule="auto" w:before="27"/>
        <w:ind w:right="7614"/>
        <w:jc w:val="left"/>
      </w:pPr>
      <w:r>
        <w:rPr/>
        <w:t>大额商誉形成的主要原因： 无。</w:t>
      </w:r>
    </w:p>
    <w:p>
      <w:pPr>
        <w:pStyle w:val="BodyText"/>
        <w:spacing w:line="357" w:lineRule="auto" w:before="2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）被购买方于购</w:t>
      </w:r>
      <w:bookmarkStart w:name="（3）被购买方于购买日可辨认资产、负债" w:id="397"/>
      <w:bookmarkEnd w:id="397"/>
      <w:r>
        <w:rPr/>
        <w:t>买日</w:t>
      </w:r>
      <w:r>
        <w:rPr/>
        <w:t>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4"/>
        <w:jc w:val="left"/>
      </w:pPr>
      <w:r>
        <w:rPr/>
        <w:t>无。 可辨认资产、负债公允价值的确定方法： 无。 企业合并中承担的被购买方的或有负债：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）购买日之前持有的股权按照公允价值重新计量</w:t>
      </w:r>
      <w:bookmarkStart w:name="（4）购买日之前持有的股权按照公允价值重新计量产生的利得或损失" w:id="398"/>
      <w:bookmarkEnd w:id="398"/>
      <w:r>
        <w:rPr/>
        <w:t>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是否存在通过多次交易分步实现企业合并且在报告期内取得控制权的交易</w:t>
      </w:r>
    </w:p>
    <w:p>
      <w:pPr>
        <w:pStyle w:val="BodyText"/>
        <w:spacing w:line="240" w:lineRule="auto" w:before="117"/>
        <w:ind w:right="7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7"/>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w:t>
      </w:r>
      <w:bookmarkStart w:name="（5）购买日或合并当期期末无法合理确定合并对价或被购买方可辨认资产、负债公允价值" w:id="399"/>
      <w:bookmarkEnd w:id="399"/>
      <w:r>
        <w:rPr/>
        <w:t>负债公允价值的相</w:t>
      </w:r>
      <w:r>
        <w:rPr/>
        <w:t>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bookmarkStart w:name="（6）其他说明" w:id="400"/>
      <w:bookmarkEnd w:id="40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57" w:lineRule="auto" w:before="50"/>
        <w:ind w:right="8874"/>
        <w:jc w:val="left"/>
      </w:pPr>
      <w:r>
        <w:rPr/>
        <w:t>其他说明： 无。</w:t>
      </w:r>
    </w:p>
    <w:p>
      <w:pPr>
        <w:spacing w:after="0" w:line="357" w:lineRule="auto"/>
        <w:jc w:val="left"/>
        <w:sectPr>
          <w:pgSz w:w="11910" w:h="16840"/>
          <w:pgMar w:header="745" w:footer="96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4、处置子公司" w:id="401"/>
      <w:bookmarkEnd w:id="401"/>
      <w:r>
        <w:rPr>
          <w:b w:val="0"/>
          <w:bCs w:val="0"/>
        </w:rPr>
      </w:r>
      <w:bookmarkStart w:name="5、其他原因的合并范围变动" w:id="402"/>
      <w:bookmarkEnd w:id="402"/>
      <w:r>
        <w:rPr>
          <w:b w:val="0"/>
          <w:bCs w:val="0"/>
        </w:rPr>
      </w:r>
      <w:bookmarkStart w:name="6、其他" w:id="403"/>
      <w:bookmarkEnd w:id="40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4"/>
        <w:jc w:val="left"/>
      </w:pPr>
      <w:r>
        <w:rPr/>
        <w:t>无。 </w:t>
      </w:r>
      <w:bookmarkStart w:name="（2）合并成本" w:id="404"/>
      <w:bookmarkEnd w:id="404"/>
      <w:r>
        <w:rPr/>
        <w:t>或有对价及其变动的说明：</w:t>
      </w:r>
      <w:r>
        <w:rPr/>
        <w:t> 无。</w:t>
      </w:r>
    </w:p>
    <w:p>
      <w:pPr>
        <w:pStyle w:val="BodyText"/>
        <w:spacing w:line="357" w:lineRule="auto" w:before="2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）合并日被合并方资产</w:t>
      </w:r>
      <w:bookmarkStart w:name="（3）合并日被合并方资产、负债的账面价值" w:id="405"/>
      <w:bookmarkEnd w:id="405"/>
      <w:r>
        <w:rPr/>
        <w:t>、负债的账面价值</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534"/>
        <w:jc w:val="left"/>
      </w:pPr>
      <w:r>
        <w:rPr/>
        <w:t>无。 企业合并中承担的被合并方的或有负债： 无。</w:t>
      </w:r>
    </w:p>
    <w:p>
      <w:pPr>
        <w:pStyle w:val="BodyText"/>
        <w:spacing w:line="357" w:lineRule="auto" w:before="29"/>
        <w:ind w:right="85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7"/>
        <w:jc w:val="left"/>
      </w:pPr>
      <w:r>
        <w:rPr>
          <w:spacing w:val="-2"/>
        </w:rPr>
        <w:t>交易基本信息、交易构成反向购买的依据、上市公司保留的资产、</w:t>
      </w:r>
      <w:bookmarkStart w:name="3、反向购买" w:id="406"/>
      <w:bookmarkEnd w:id="406"/>
      <w:r>
        <w:rPr>
          <w:spacing w:val="-2"/>
        </w:rPr>
        <w:t>负债是否构成业务及其依据</w:t>
      </w:r>
      <w:r>
        <w:rPr>
          <w:spacing w:val="-2"/>
        </w:rPr>
        <w:t>、合并成本的确定、按照权益</w:t>
      </w:r>
      <w:r>
        <w:rPr>
          <w:spacing w:val="-67"/>
        </w:rPr>
        <w:t> </w:t>
      </w:r>
      <w:r>
        <w:rPr>
          <w:spacing w:val="-67"/>
        </w:rPr>
      </w:r>
      <w:r>
        <w:rPr/>
        <w:t>性交易处理时调整权益的金额及其计算：</w:t>
      </w:r>
    </w:p>
    <w:p>
      <w:pPr>
        <w:pStyle w:val="BodyText"/>
        <w:spacing w:line="240" w:lineRule="auto" w:before="59"/>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是否存在单次处置对子公司投资即丧失控制权的情形</w:t>
      </w:r>
    </w:p>
    <w:p>
      <w:pPr>
        <w:pStyle w:val="BodyText"/>
        <w:spacing w:line="338" w:lineRule="auto" w:before="117"/>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7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2934"/>
        <w:jc w:val="left"/>
      </w:pPr>
      <w:r>
        <w:rPr/>
        <w:t>说明其他原因导致的合并范围变动（如，新设子公司、清算子公司等）及其相关情况：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after="0" w:line="240" w:lineRule="auto"/>
        <w:jc w:val="left"/>
        <w:sectPr>
          <w:pgSz w:w="11910" w:h="16840"/>
          <w:pgMar w:header="745" w:footer="962" w:top="1060" w:bottom="1180" w:left="980" w:right="980"/>
        </w:sectPr>
      </w:pPr>
    </w:p>
    <w:p>
      <w:pPr>
        <w:spacing w:line="240" w:lineRule="auto" w:before="8"/>
        <w:rPr>
          <w:rFonts w:ascii="宋体" w:hAnsi="宋体" w:cs="宋体" w:eastAsia="宋体" w:hint="default"/>
          <w:sz w:val="23"/>
          <w:szCs w:val="23"/>
        </w:rPr>
      </w:pPr>
      <w:r>
        <w:rPr/>
        <w:pict>
          <v:shape style="position:absolute;margin-left:92.279999pt;margin-top:276.119995pt;width:101.05pt;height:15.6pt;mso-position-horizontal-relative:page;mso-position-vertical-relative:page;z-index:-982240" type="#_x0000_t202" filled="false" stroked="false">
            <v:textbox inset="0,0,0,0">
              <w:txbxContent>
                <w:p>
                  <w:pPr>
                    <w:pStyle w:val="BodyText"/>
                    <w:spacing w:line="240" w:lineRule="auto" w:before="49"/>
                    <w:ind w:left="0" w:right="0"/>
                    <w:jc w:val="left"/>
                  </w:pPr>
                  <w:r>
                    <w:rPr/>
                    <w:t>（北京）</w:t>
                  </w:r>
                </w:p>
              </w:txbxContent>
            </v:textbox>
            <w10:wrap type="none"/>
          </v:shape>
        </w:pict>
      </w:r>
    </w:p>
    <w:p>
      <w:pPr>
        <w:pStyle w:val="Heading2"/>
        <w:spacing w:line="240" w:lineRule="auto" w:before="26"/>
        <w:ind w:right="791"/>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bookmarkStart w:name="九、在其他主体中的权益" w:id="407"/>
      <w:bookmarkEnd w:id="407"/>
      <w:r>
        <w:rPr>
          <w:rFonts w:ascii="Times New Roman" w:hAnsi="Times New Roman" w:cs="Times New Roman" w:eastAsia="Times New Roman" w:hint="default"/>
        </w:rPr>
      </w:r>
      <w:bookmarkStart w:name="1、在子公司中的权益" w:id="408"/>
      <w:bookmarkEnd w:id="408"/>
      <w:r>
        <w:rPr>
          <w:rFonts w:ascii="Times New Roman" w:hAnsi="Times New Roman" w:cs="Times New Roman" w:eastAsia="Times New Roman" w:hint="default"/>
        </w:rPr>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1）企业集团的构成" w:id="409"/>
      <w:bookmarkEnd w:id="409"/>
      <w:r>
        <w:rPr>
          <w:rFonts w:ascii="Times New Roman" w:hAnsi="Times New Roman" w:cs="Times New Roman" w:eastAsia="Times New Roman" w:hint="default"/>
        </w:rPr>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榕基五一 信息技术有限公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67.8pt;height:15.6pt;mso-position-horizontal-relative:char;mso-position-vertical-relative:line" coordorigin="0,0" coordsize="1356,312">
                  <v:group style="position:absolute;left:0;top:0;width:1356;height:312" coordorigin="0,0" coordsize="1356,312">
                    <v:shape style="position:absolute;left:0;top:0;width:1356;height:312" coordorigin="0,0" coordsize="1356,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福建榕基投资有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信阳榕基信息技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榕基国际控股有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河南豫础置业有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福州创华电气自 动化系统有限公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pStyle w:val="BodyText"/>
        <w:spacing w:line="357" w:lineRule="auto" w:before="49"/>
        <w:ind w:right="5994"/>
        <w:jc w:val="left"/>
      </w:pPr>
      <w:r>
        <w:rPr/>
        <w:t>在子公司的持股比例不同于表决权比例的说明： 无。</w:t>
      </w:r>
    </w:p>
    <w:p>
      <w:pPr>
        <w:pStyle w:val="BodyText"/>
        <w:spacing w:line="357" w:lineRule="auto" w:before="29"/>
        <w:ind w:right="1854"/>
        <w:jc w:val="left"/>
      </w:pPr>
      <w:r>
        <w:rPr/>
        <w:t>持有半数或以下表决权但仍控制被投资单位、以及持有半数以上表决权但不控制被投资单位的依据： 无。</w:t>
      </w:r>
    </w:p>
    <w:p>
      <w:pPr>
        <w:pStyle w:val="BodyText"/>
        <w:spacing w:line="240" w:lineRule="auto" w:before="29"/>
        <w:ind w:right="791"/>
        <w:jc w:val="left"/>
      </w:pPr>
      <w:r>
        <w:rPr/>
        <w:t>对于纳入合并范围的重要的结构化主体，控制的依据：</w:t>
      </w:r>
    </w:p>
    <w:p>
      <w:pPr>
        <w:spacing w:after="0" w:line="240" w:lineRule="auto"/>
        <w:jc w:val="left"/>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pStyle w:val="BodyText"/>
        <w:spacing w:line="357" w:lineRule="auto" w:before="44"/>
        <w:ind w:right="6714"/>
        <w:jc w:val="left"/>
      </w:pPr>
      <w:r>
        <w:rPr/>
        <w:t>无。 确定公司是代理人还是委托人的依据： 无。</w:t>
      </w:r>
    </w:p>
    <w:p>
      <w:pPr>
        <w:pStyle w:val="BodyText"/>
        <w:spacing w:line="360"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）重要的非全资</w:t>
      </w:r>
      <w:bookmarkStart w:name="（2）重要的非全资子公司" w:id="410"/>
      <w:bookmarkEnd w:id="410"/>
      <w:r>
        <w:rPr/>
        <w:t>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浙江榕基信息技术有限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-283,018.72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542,842.48</w:t>
            </w:r>
          </w:p>
        </w:tc>
      </w:tr>
    </w:tbl>
    <w:p>
      <w:pPr>
        <w:pStyle w:val="BodyText"/>
        <w:spacing w:line="357" w:lineRule="auto" w:before="49"/>
        <w:ind w:right="5454"/>
        <w:jc w:val="left"/>
      </w:pPr>
      <w:r>
        <w:rPr/>
        <w:t>子公司少数股东的持股比例不同于表决权比例的说明： 无。</w:t>
      </w:r>
    </w:p>
    <w:p>
      <w:pPr>
        <w:pStyle w:val="BodyText"/>
        <w:spacing w:line="360"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重要非全资子公司的主要财务信息" w:id="411"/>
      <w:bookmarkEnd w:id="41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浙江榕 基信息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23,977,0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1,928,24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25,905,2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20,476,8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20,476,8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30,063,9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1,689,00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31,752,9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23,494,3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52.22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23,494,3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52.22</w:t>
            </w:r>
          </w:p>
        </w:tc>
      </w:tr>
    </w:tbl>
    <w:p>
      <w:pPr>
        <w:pStyle w:val="BodyText"/>
        <w:spacing w:line="240" w:lineRule="auto" w:before="49"/>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浙江榕基信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14,119,131.5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-2,830,187.23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-2,830,187.23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-14,097,554.1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12,608,823.1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-1,261,308.31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-1,261,308.31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-247,068.31</w:t>
            </w:r>
          </w:p>
        </w:tc>
      </w:tr>
    </w:tbl>
    <w:p>
      <w:pPr>
        <w:pStyle w:val="BodyText"/>
        <w:spacing w:line="360" w:lineRule="auto" w:before="49"/>
        <w:ind w:right="8874"/>
        <w:jc w:val="left"/>
      </w:pPr>
      <w:r>
        <w:rPr/>
        <w:t>其他说明： 无。</w:t>
      </w:r>
    </w:p>
    <w:p>
      <w:pPr>
        <w:spacing w:after="0" w:line="360" w:lineRule="auto"/>
        <w:jc w:val="left"/>
        <w:sectPr>
          <w:pgSz w:w="11910" w:h="16840"/>
          <w:pgMar w:header="745" w:footer="96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2）重要合营企业的主要财务信息" w:id="412"/>
      <w:bookmarkEnd w:id="41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5</w:t>
      </w:r>
      <w:bookmarkStart w:name="（4）使用企业集团资产和清偿企业集团债务的重大限制" w:id="413"/>
      <w:bookmarkEnd w:id="413"/>
      <w:r>
        <w:rPr>
          <w:rFonts w:ascii="Times New Roman" w:hAnsi="Times New Roman" w:cs="Times New Roman" w:eastAsia="Times New Roman" w:hint="default"/>
        </w:rPr>
      </w:r>
      <w:bookmarkStart w:name="（5）向纳入合并财务报表范围的结构化主体提供的财务支持或其他支持" w:id="414"/>
      <w:bookmarkEnd w:id="414"/>
      <w:r>
        <w:rPr>
          <w:rFonts w:ascii="Times New Roman" w:hAnsi="Times New Roman" w:cs="Times New Roman" w:eastAsia="Times New Roman" w:hint="default"/>
        </w:rPr>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w:t>
      </w:r>
      <w:r>
        <w:rPr/>
        <w:t>、在子公司的所有者权益</w:t>
      </w:r>
      <w:bookmarkStart w:name="2、在子公司的所有者权益份额发生变化且仍控制子公司的交易" w:id="415"/>
      <w:bookmarkEnd w:id="415"/>
      <w:r>
        <w:rPr/>
        <w:t>份额发生变化且仍</w:t>
      </w:r>
      <w:r>
        <w:rPr/>
        <w:t>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）在子公司所有者权益</w:t>
      </w:r>
      <w:bookmarkStart w:name="（1）在子公司所有者权益份额发生变化的情况说明" w:id="416"/>
      <w:bookmarkEnd w:id="416"/>
      <w:r>
        <w:rPr/>
        <w:t>份额发生变化的情</w:t>
      </w:r>
      <w:r>
        <w:rPr/>
        <w:t>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2</w:t>
      </w:r>
      <w:r>
        <w:rPr/>
        <w:t>）交易对于少数股东权益及归属于母公司所有者</w:t>
      </w:r>
      <w:bookmarkStart w:name="（2）交易对于少数股东权益及归属于母公司所有者权益的影响" w:id="417"/>
      <w:bookmarkEnd w:id="417"/>
      <w:r>
        <w:rPr/>
        <w:t>权益的影响</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0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bookmarkStart w:name="3、在合营安排或联营企业中的权益" w:id="418"/>
            <w:bookmarkEnd w:id="418"/>
            <w:r>
              <w:rPr/>
            </w: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47" w:right="47"/>
              <w:jc w:val="center"/>
              <w:rPr>
                <w:rFonts w:ascii="宋体" w:hAnsi="宋体" w:cs="宋体" w:eastAsia="宋体" w:hint="default"/>
                <w:sz w:val="18"/>
                <w:szCs w:val="18"/>
              </w:rPr>
            </w:pPr>
            <w:bookmarkStart w:name="（1）重要的合营企业或联营企业" w:id="419"/>
            <w:bookmarkEnd w:id="419"/>
            <w:r>
              <w:rPr/>
            </w: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福建文鑫莲业食 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建宁县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建宁县将屯工业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福建亿榕信息技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福建省福州市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49"/>
        <w:ind w:right="4914"/>
        <w:jc w:val="left"/>
      </w:pPr>
      <w:r>
        <w:rPr/>
        <w:t>在合营企业或联营企业的持股比例不同于表决权比例的说明： 无。</w:t>
      </w:r>
    </w:p>
    <w:p>
      <w:pPr>
        <w:spacing w:line="340" w:lineRule="auto" w:before="29"/>
        <w:ind w:left="152" w:right="237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w:t>
      </w:r>
      <w:r>
        <w:rPr>
          <w:rFonts w:ascii="宋体" w:hAnsi="宋体" w:cs="宋体" w:eastAsia="宋体" w:hint="default"/>
          <w:b/>
          <w:bCs/>
          <w:sz w:val="18"/>
          <w:szCs w:val="18"/>
        </w:rPr>
        <w:t>福建文鑫莲业食品有限公司董事会成员中的</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人由本公司委派。</w:t>
      </w:r>
      <w:r>
        <w:rPr>
          <w:rFonts w:ascii="宋体" w:hAnsi="宋体" w:cs="宋体" w:eastAsia="宋体" w:hint="default"/>
          <w:sz w:val="18"/>
          <w:szCs w:val="18"/>
        </w:rPr>
      </w:r>
    </w:p>
    <w:p>
      <w:pPr>
        <w:spacing w:line="240" w:lineRule="auto" w:before="10"/>
        <w:rPr>
          <w:rFonts w:ascii="宋体" w:hAnsi="宋体" w:cs="宋体" w:eastAsia="宋体" w:hint="default"/>
          <w:b/>
          <w:bCs/>
          <w:sz w:val="19"/>
          <w:szCs w:val="19"/>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054"/>
        <w:jc w:val="left"/>
        <w:rPr>
          <w:rFonts w:ascii="宋体" w:hAnsi="宋体" w:cs="宋体" w:eastAsia="宋体" w:hint="default"/>
        </w:rPr>
      </w:pPr>
      <w:r>
        <w:rPr/>
        <w:t>无。 其他说明 </w:t>
      </w:r>
      <w:r>
        <w:rPr>
          <w:rFonts w:ascii="宋体" w:hAnsi="宋体" w:cs="宋体" w:eastAsia="宋体" w:hint="default"/>
          <w:b/>
          <w:bCs/>
        </w:rPr>
        <w:t>无。</w:t>
      </w:r>
      <w:r>
        <w:rPr>
          <w:rFonts w:ascii="宋体" w:hAnsi="宋体" w:cs="宋体" w:eastAsia="宋体" w:hint="default"/>
        </w:rPr>
      </w:r>
    </w:p>
    <w:p>
      <w:pPr>
        <w:spacing w:after="0" w:line="360" w:lineRule="auto"/>
        <w:jc w:val="left"/>
        <w:rPr>
          <w:rFonts w:ascii="宋体" w:hAnsi="宋体" w:cs="宋体" w:eastAsia="宋体" w:hint="default"/>
        </w:rPr>
        <w:sectPr>
          <w:pgSz w:w="11910" w:h="16840"/>
          <w:pgMar w:header="745" w:footer="96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1702"/>
        <w:gridCol w:w="1569"/>
        <w:gridCol w:w="1759"/>
        <w:gridCol w:w="1772"/>
        <w:gridCol w:w="1814"/>
      </w:tblGrid>
      <w:tr>
        <w:trPr>
          <w:trHeight w:val="346" w:hRule="exact"/>
        </w:trPr>
        <w:tc>
          <w:tcPr>
            <w:tcW w:w="1702"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28"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08" w:right="0"/>
              <w:jc w:val="left"/>
              <w:rPr>
                <w:rFonts w:ascii="宋体" w:hAnsi="宋体" w:cs="宋体" w:eastAsia="宋体" w:hint="default"/>
                <w:sz w:val="18"/>
                <w:szCs w:val="18"/>
              </w:rPr>
            </w:pPr>
            <w:bookmarkStart w:name="（3）重要联营企业的主要财务信息" w:id="420"/>
            <w:bookmarkEnd w:id="420"/>
            <w:r>
              <w:rPr/>
            </w:r>
            <w:r>
              <w:rPr>
                <w:rFonts w:ascii="宋体" w:hAnsi="宋体" w:cs="宋体" w:eastAsia="宋体" w:hint="default"/>
                <w:sz w:val="18"/>
                <w:szCs w:val="18"/>
              </w:rPr>
              <w:t>福建文鑫莲业食品有限公司</w:t>
            </w:r>
          </w:p>
        </w:tc>
        <w:tc>
          <w:tcPr>
            <w:tcW w:w="35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457"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348" w:hRule="exact"/>
        </w:trPr>
        <w:tc>
          <w:tcPr>
            <w:tcW w:w="1702" w:type="dxa"/>
            <w:tcBorders>
              <w:top w:val="nil" w:sz="6" w:space="0" w:color="auto"/>
              <w:left w:val="nil" w:sz="6" w:space="0" w:color="auto"/>
              <w:bottom w:val="single" w:sz="6" w:space="0" w:color="000000"/>
              <w:right w:val="nil" w:sz="6" w:space="0" w:color="auto"/>
            </w:tcBorders>
          </w:tcPr>
          <w:p>
            <w:pP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60"/>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59"/>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86"/>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68"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46"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57"/>
              <w:jc w:val="right"/>
              <w:rPr>
                <w:rFonts w:ascii="Times New Roman" w:hAnsi="Times New Roman" w:cs="Times New Roman" w:eastAsia="Times New Roman" w:hint="default"/>
                <w:sz w:val="18"/>
                <w:szCs w:val="18"/>
              </w:rPr>
            </w:pPr>
            <w:r>
              <w:rPr>
                <w:rFonts w:ascii="Times New Roman"/>
                <w:spacing w:val="-1"/>
                <w:sz w:val="18"/>
              </w:rPr>
              <w:t>104,472,105.73</w:t>
            </w:r>
            <w:r>
              <w:rPr>
                <w:rFonts w:ascii="Times New Roman"/>
                <w:sz w:val="18"/>
              </w:rPr>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56"/>
              <w:jc w:val="right"/>
              <w:rPr>
                <w:rFonts w:ascii="Times New Roman" w:hAnsi="Times New Roman" w:cs="Times New Roman" w:eastAsia="Times New Roman" w:hint="default"/>
                <w:sz w:val="18"/>
                <w:szCs w:val="18"/>
              </w:rPr>
            </w:pPr>
            <w:r>
              <w:rPr>
                <w:rFonts w:ascii="Times New Roman"/>
                <w:spacing w:val="-1"/>
                <w:sz w:val="18"/>
              </w:rPr>
              <w:t>207,043,124.47</w:t>
            </w:r>
            <w:r>
              <w:rPr>
                <w:rFonts w:ascii="Times New Roman"/>
                <w:sz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83"/>
              <w:jc w:val="right"/>
              <w:rPr>
                <w:rFonts w:ascii="Times New Roman" w:hAnsi="Times New Roman" w:cs="Times New Roman" w:eastAsia="Times New Roman" w:hint="default"/>
                <w:sz w:val="18"/>
                <w:szCs w:val="18"/>
              </w:rPr>
            </w:pPr>
            <w:r>
              <w:rPr>
                <w:rFonts w:ascii="Times New Roman"/>
                <w:spacing w:val="-1"/>
                <w:sz w:val="18"/>
              </w:rPr>
              <w:t>291,221,128.64</w:t>
            </w:r>
            <w:r>
              <w:rPr>
                <w:rFonts w:ascii="Times New Roman"/>
                <w:sz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285" w:right="0"/>
              <w:jc w:val="left"/>
              <w:rPr>
                <w:rFonts w:ascii="Times New Roman" w:hAnsi="Times New Roman" w:cs="Times New Roman" w:eastAsia="Times New Roman" w:hint="default"/>
                <w:sz w:val="18"/>
                <w:szCs w:val="18"/>
              </w:rPr>
            </w:pPr>
            <w:r>
              <w:rPr>
                <w:rFonts w:ascii="Times New Roman"/>
                <w:sz w:val="18"/>
              </w:rPr>
              <w:t>155,118,659.79</w:t>
            </w:r>
          </w:p>
        </w:tc>
      </w:tr>
      <w:tr>
        <w:trPr>
          <w:trHeight w:val="348"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58"/>
              <w:jc w:val="right"/>
              <w:rPr>
                <w:rFonts w:ascii="Times New Roman" w:hAnsi="Times New Roman" w:cs="Times New Roman" w:eastAsia="Times New Roman" w:hint="default"/>
                <w:sz w:val="18"/>
                <w:szCs w:val="18"/>
              </w:rPr>
            </w:pPr>
            <w:r>
              <w:rPr>
                <w:rFonts w:ascii="Times New Roman"/>
                <w:spacing w:val="-1"/>
                <w:sz w:val="18"/>
              </w:rPr>
              <w:t>44,748,662.16</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58"/>
              <w:jc w:val="right"/>
              <w:rPr>
                <w:rFonts w:ascii="Times New Roman" w:hAnsi="Times New Roman" w:cs="Times New Roman" w:eastAsia="Times New Roman" w:hint="default"/>
                <w:sz w:val="18"/>
                <w:szCs w:val="18"/>
              </w:rPr>
            </w:pPr>
            <w:r>
              <w:rPr>
                <w:rFonts w:ascii="Times New Roman"/>
                <w:spacing w:val="-1"/>
                <w:sz w:val="18"/>
              </w:rPr>
              <w:t>30,787,141.44</w:t>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84"/>
              <w:jc w:val="right"/>
              <w:rPr>
                <w:rFonts w:ascii="Times New Roman" w:hAnsi="Times New Roman" w:cs="Times New Roman" w:eastAsia="Times New Roman" w:hint="default"/>
                <w:sz w:val="18"/>
                <w:szCs w:val="18"/>
              </w:rPr>
            </w:pPr>
            <w:r>
              <w:rPr>
                <w:rFonts w:ascii="Times New Roman"/>
                <w:spacing w:val="-1"/>
                <w:sz w:val="18"/>
              </w:rPr>
              <w:t>67,160,661.86</w:t>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76" w:right="0"/>
              <w:jc w:val="left"/>
              <w:rPr>
                <w:rFonts w:ascii="Times New Roman" w:hAnsi="Times New Roman" w:cs="Times New Roman" w:eastAsia="Times New Roman" w:hint="default"/>
                <w:sz w:val="18"/>
                <w:szCs w:val="18"/>
              </w:rPr>
            </w:pPr>
            <w:r>
              <w:rPr>
                <w:rFonts w:ascii="Times New Roman"/>
                <w:sz w:val="18"/>
              </w:rPr>
              <w:t>44,006,400.71</w:t>
            </w:r>
          </w:p>
        </w:tc>
      </w:tr>
      <w:tr>
        <w:trPr>
          <w:trHeight w:val="346"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57"/>
              <w:jc w:val="right"/>
              <w:rPr>
                <w:rFonts w:ascii="Times New Roman" w:hAnsi="Times New Roman" w:cs="Times New Roman" w:eastAsia="Times New Roman" w:hint="default"/>
                <w:sz w:val="18"/>
                <w:szCs w:val="18"/>
              </w:rPr>
            </w:pPr>
            <w:r>
              <w:rPr>
                <w:rFonts w:ascii="Times New Roman"/>
                <w:b/>
                <w:spacing w:val="-1"/>
                <w:sz w:val="18"/>
              </w:rPr>
              <w:t>149,220,767.89</w:t>
            </w:r>
            <w:r>
              <w:rPr>
                <w:rFonts w:ascii="Times New Roman"/>
                <w:sz w:val="18"/>
              </w:rPr>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356"/>
              <w:jc w:val="right"/>
              <w:rPr>
                <w:rFonts w:ascii="Times New Roman" w:hAnsi="Times New Roman" w:cs="Times New Roman" w:eastAsia="Times New Roman" w:hint="default"/>
                <w:sz w:val="18"/>
                <w:szCs w:val="18"/>
              </w:rPr>
            </w:pPr>
            <w:r>
              <w:rPr>
                <w:rFonts w:ascii="Times New Roman"/>
                <w:b/>
                <w:spacing w:val="-1"/>
                <w:sz w:val="18"/>
              </w:rPr>
              <w:t>237,830,265.91</w:t>
            </w:r>
            <w:r>
              <w:rPr>
                <w:rFonts w:ascii="Times New Roman"/>
                <w:sz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283"/>
              <w:jc w:val="right"/>
              <w:rPr>
                <w:rFonts w:ascii="Times New Roman" w:hAnsi="Times New Roman" w:cs="Times New Roman" w:eastAsia="Times New Roman" w:hint="default"/>
                <w:sz w:val="18"/>
                <w:szCs w:val="18"/>
              </w:rPr>
            </w:pPr>
            <w:r>
              <w:rPr>
                <w:rFonts w:ascii="Times New Roman"/>
                <w:b/>
                <w:spacing w:val="-1"/>
                <w:sz w:val="18"/>
              </w:rPr>
              <w:t>358,381,790.50</w:t>
            </w:r>
            <w:r>
              <w:rPr>
                <w:rFonts w:ascii="Times New Roman"/>
                <w:sz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left="285" w:right="0"/>
              <w:jc w:val="left"/>
              <w:rPr>
                <w:rFonts w:ascii="Times New Roman" w:hAnsi="Times New Roman" w:cs="Times New Roman" w:eastAsia="Times New Roman" w:hint="default"/>
                <w:sz w:val="18"/>
                <w:szCs w:val="18"/>
              </w:rPr>
            </w:pPr>
            <w:r>
              <w:rPr>
                <w:rFonts w:ascii="Times New Roman"/>
                <w:b/>
                <w:sz w:val="18"/>
              </w:rPr>
              <w:t>199,125,060.50</w:t>
            </w:r>
            <w:r>
              <w:rPr>
                <w:rFonts w:ascii="Times New Roman"/>
                <w:sz w:val="18"/>
              </w:rPr>
            </w:r>
          </w:p>
        </w:tc>
      </w:tr>
      <w:tr>
        <w:trPr>
          <w:trHeight w:val="348"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58"/>
              <w:jc w:val="right"/>
              <w:rPr>
                <w:rFonts w:ascii="Times New Roman" w:hAnsi="Times New Roman" w:cs="Times New Roman" w:eastAsia="Times New Roman" w:hint="default"/>
                <w:sz w:val="18"/>
                <w:szCs w:val="18"/>
              </w:rPr>
            </w:pPr>
            <w:r>
              <w:rPr>
                <w:rFonts w:ascii="Times New Roman"/>
                <w:spacing w:val="-1"/>
                <w:sz w:val="18"/>
              </w:rPr>
              <w:t>58,081,687.11</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56"/>
              <w:jc w:val="right"/>
              <w:rPr>
                <w:rFonts w:ascii="Times New Roman" w:hAnsi="Times New Roman" w:cs="Times New Roman" w:eastAsia="Times New Roman" w:hint="default"/>
                <w:sz w:val="18"/>
                <w:szCs w:val="18"/>
              </w:rPr>
            </w:pPr>
            <w:r>
              <w:rPr>
                <w:rFonts w:ascii="Times New Roman"/>
                <w:spacing w:val="-1"/>
                <w:sz w:val="18"/>
              </w:rPr>
              <w:t>117,707,039.90</w:t>
            </w:r>
            <w:r>
              <w:rPr>
                <w:rFonts w:ascii="Times New Roman"/>
                <w:sz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83"/>
              <w:jc w:val="right"/>
              <w:rPr>
                <w:rFonts w:ascii="Times New Roman" w:hAnsi="Times New Roman" w:cs="Times New Roman" w:eastAsia="Times New Roman" w:hint="default"/>
                <w:sz w:val="18"/>
                <w:szCs w:val="18"/>
              </w:rPr>
            </w:pPr>
            <w:r>
              <w:rPr>
                <w:rFonts w:ascii="Times New Roman"/>
                <w:spacing w:val="-1"/>
                <w:sz w:val="18"/>
              </w:rPr>
              <w:t>241,494,530.41</w:t>
            </w:r>
            <w:r>
              <w:rPr>
                <w:rFonts w:ascii="Times New Roman"/>
                <w:sz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116,502,063.04</w:t>
            </w:r>
          </w:p>
        </w:tc>
      </w:tr>
      <w:tr>
        <w:trPr>
          <w:trHeight w:val="348"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58"/>
              <w:jc w:val="right"/>
              <w:rPr>
                <w:rFonts w:ascii="Times New Roman" w:hAnsi="Times New Roman" w:cs="Times New Roman" w:eastAsia="Times New Roman" w:hint="default"/>
                <w:sz w:val="18"/>
                <w:szCs w:val="18"/>
              </w:rPr>
            </w:pPr>
            <w:r>
              <w:rPr>
                <w:rFonts w:ascii="Times New Roman"/>
                <w:spacing w:val="-1"/>
                <w:sz w:val="18"/>
              </w:rPr>
              <w:t>15,683,434.95</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58"/>
              <w:jc w:val="right"/>
              <w:rPr>
                <w:rFonts w:ascii="Times New Roman" w:hAnsi="Times New Roman" w:cs="Times New Roman" w:eastAsia="Times New Roman" w:hint="default"/>
                <w:sz w:val="18"/>
                <w:szCs w:val="18"/>
              </w:rPr>
            </w:pPr>
            <w:r>
              <w:rPr>
                <w:rFonts w:ascii="Times New Roman"/>
                <w:spacing w:val="-1"/>
                <w:sz w:val="18"/>
              </w:rPr>
              <w:t>11,805,319.21</w:t>
            </w:r>
          </w:p>
        </w:tc>
        <w:tc>
          <w:tcPr>
            <w:tcW w:w="1772" w:type="dxa"/>
            <w:tcBorders>
              <w:top w:val="single" w:sz="6" w:space="0" w:color="000000"/>
              <w:left w:val="nil" w:sz="6" w:space="0" w:color="auto"/>
              <w:bottom w:val="single" w:sz="6" w:space="0" w:color="000000"/>
              <w:right w:val="nil" w:sz="6" w:space="0" w:color="auto"/>
            </w:tcBorders>
          </w:tcPr>
          <w:p>
            <w:pPr/>
          </w:p>
        </w:tc>
        <w:tc>
          <w:tcPr>
            <w:tcW w:w="1814"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158"/>
              <w:jc w:val="right"/>
              <w:rPr>
                <w:rFonts w:ascii="Times New Roman" w:hAnsi="Times New Roman" w:cs="Times New Roman" w:eastAsia="Times New Roman" w:hint="default"/>
                <w:sz w:val="18"/>
                <w:szCs w:val="18"/>
              </w:rPr>
            </w:pPr>
            <w:r>
              <w:rPr>
                <w:rFonts w:ascii="Times New Roman"/>
                <w:b/>
                <w:spacing w:val="-1"/>
                <w:sz w:val="18"/>
              </w:rPr>
              <w:t>73,765,122.06</w:t>
            </w:r>
            <w:r>
              <w:rPr>
                <w:rFonts w:ascii="Times New Roman"/>
                <w:spacing w:val="-1"/>
                <w:sz w:val="18"/>
              </w:rPr>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right="356"/>
              <w:jc w:val="right"/>
              <w:rPr>
                <w:rFonts w:ascii="Times New Roman" w:hAnsi="Times New Roman" w:cs="Times New Roman" w:eastAsia="Times New Roman" w:hint="default"/>
                <w:sz w:val="18"/>
                <w:szCs w:val="18"/>
              </w:rPr>
            </w:pPr>
            <w:r>
              <w:rPr>
                <w:rFonts w:ascii="Times New Roman"/>
                <w:b/>
                <w:spacing w:val="-1"/>
                <w:sz w:val="18"/>
              </w:rPr>
              <w:t>129,512,359.11</w:t>
            </w:r>
            <w:r>
              <w:rPr>
                <w:rFonts w:ascii="Times New Roman"/>
                <w:sz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83"/>
              <w:jc w:val="right"/>
              <w:rPr>
                <w:rFonts w:ascii="Times New Roman" w:hAnsi="Times New Roman" w:cs="Times New Roman" w:eastAsia="Times New Roman" w:hint="default"/>
                <w:sz w:val="18"/>
                <w:szCs w:val="18"/>
              </w:rPr>
            </w:pPr>
            <w:r>
              <w:rPr>
                <w:rFonts w:ascii="Times New Roman"/>
                <w:spacing w:val="-1"/>
                <w:sz w:val="18"/>
              </w:rPr>
              <w:t>241,494,530.41</w:t>
            </w:r>
            <w:r>
              <w:rPr>
                <w:rFonts w:ascii="Times New Roman"/>
                <w:sz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4"/>
              <w:ind w:left="285" w:right="0"/>
              <w:jc w:val="left"/>
              <w:rPr>
                <w:rFonts w:ascii="Times New Roman" w:hAnsi="Times New Roman" w:cs="Times New Roman" w:eastAsia="Times New Roman" w:hint="default"/>
                <w:sz w:val="18"/>
                <w:szCs w:val="18"/>
              </w:rPr>
            </w:pPr>
            <w:r>
              <w:rPr>
                <w:rFonts w:ascii="Times New Roman"/>
                <w:b/>
                <w:sz w:val="18"/>
              </w:rPr>
              <w:t>116,502,063.04</w:t>
            </w:r>
            <w:r>
              <w:rPr>
                <w:rFonts w:ascii="Times New Roman"/>
                <w:sz w:val="18"/>
              </w:rPr>
            </w:r>
          </w:p>
        </w:tc>
      </w:tr>
      <w:tr>
        <w:trPr>
          <w:trHeight w:val="348"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58"/>
              <w:jc w:val="right"/>
              <w:rPr>
                <w:rFonts w:ascii="Times New Roman" w:hAnsi="Times New Roman" w:cs="Times New Roman" w:eastAsia="Times New Roman" w:hint="default"/>
                <w:sz w:val="18"/>
                <w:szCs w:val="18"/>
              </w:rPr>
            </w:pPr>
            <w:r>
              <w:rPr>
                <w:rFonts w:ascii="Times New Roman"/>
                <w:spacing w:val="-1"/>
                <w:sz w:val="18"/>
              </w:rPr>
              <w:t>75,455,645.83</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56"/>
              <w:jc w:val="right"/>
              <w:rPr>
                <w:rFonts w:ascii="Times New Roman" w:hAnsi="Times New Roman" w:cs="Times New Roman" w:eastAsia="Times New Roman" w:hint="default"/>
                <w:sz w:val="18"/>
                <w:szCs w:val="18"/>
              </w:rPr>
            </w:pPr>
            <w:r>
              <w:rPr>
                <w:rFonts w:ascii="Times New Roman"/>
                <w:spacing w:val="-1"/>
                <w:sz w:val="18"/>
              </w:rPr>
              <w:t>108,317,906.80</w:t>
            </w:r>
            <w:r>
              <w:rPr>
                <w:rFonts w:ascii="Times New Roman"/>
                <w:sz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83"/>
              <w:jc w:val="right"/>
              <w:rPr>
                <w:rFonts w:ascii="Times New Roman" w:hAnsi="Times New Roman" w:cs="Times New Roman" w:eastAsia="Times New Roman" w:hint="default"/>
                <w:sz w:val="18"/>
                <w:szCs w:val="18"/>
              </w:rPr>
            </w:pPr>
            <w:r>
              <w:rPr>
                <w:rFonts w:ascii="Times New Roman"/>
                <w:spacing w:val="-1"/>
                <w:sz w:val="18"/>
              </w:rPr>
              <w:t>116,887,260.09</w:t>
            </w:r>
            <w:r>
              <w:rPr>
                <w:rFonts w:ascii="Times New Roman"/>
                <w:sz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76" w:right="0"/>
              <w:jc w:val="left"/>
              <w:rPr>
                <w:rFonts w:ascii="Times New Roman" w:hAnsi="Times New Roman" w:cs="Times New Roman" w:eastAsia="Times New Roman" w:hint="default"/>
                <w:sz w:val="18"/>
                <w:szCs w:val="18"/>
              </w:rPr>
            </w:pPr>
            <w:r>
              <w:rPr>
                <w:rFonts w:ascii="Times New Roman"/>
                <w:sz w:val="18"/>
              </w:rPr>
              <w:t>82,622,997.46</w:t>
            </w:r>
          </w:p>
        </w:tc>
      </w:tr>
      <w:tr>
        <w:trPr>
          <w:trHeight w:val="346"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5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5"/>
                <w:sz w:val="18"/>
                <w:szCs w:val="18"/>
              </w:rPr>
              <w:t>：</w:t>
            </w:r>
            <w:r>
              <w:rPr>
                <w:rFonts w:ascii="宋体" w:hAnsi="宋体" w:cs="宋体" w:eastAsia="宋体" w:hint="default"/>
                <w:sz w:val="18"/>
                <w:szCs w:val="18"/>
              </w:rPr>
              <w:t>少数股东权益</w:t>
            </w:r>
          </w:p>
        </w:tc>
        <w:tc>
          <w:tcPr>
            <w:tcW w:w="1569" w:type="dxa"/>
            <w:tcBorders>
              <w:top w:val="single" w:sz="6" w:space="0" w:color="000000"/>
              <w:left w:val="nil" w:sz="6" w:space="0" w:color="auto"/>
              <w:bottom w:val="single" w:sz="6" w:space="0" w:color="000000"/>
              <w:right w:val="nil" w:sz="6" w:space="0" w:color="auto"/>
            </w:tcBorders>
          </w:tcPr>
          <w:p>
            <w:pP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56"/>
              <w:jc w:val="right"/>
              <w:rPr>
                <w:rFonts w:ascii="Times New Roman" w:hAnsi="Times New Roman" w:cs="Times New Roman" w:eastAsia="Times New Roman" w:hint="default"/>
                <w:sz w:val="18"/>
                <w:szCs w:val="18"/>
              </w:rPr>
            </w:pPr>
            <w:r>
              <w:rPr>
                <w:rFonts w:ascii="Times New Roman"/>
                <w:spacing w:val="-1"/>
                <w:sz w:val="18"/>
              </w:rPr>
              <w:t>1,881,574.05</w:t>
            </w:r>
            <w:r>
              <w:rPr>
                <w:rFonts w:ascii="Times New Roman"/>
                <w:sz w:val="18"/>
              </w:rPr>
            </w:r>
          </w:p>
        </w:tc>
        <w:tc>
          <w:tcPr>
            <w:tcW w:w="1772" w:type="dxa"/>
            <w:tcBorders>
              <w:top w:val="single" w:sz="6" w:space="0" w:color="000000"/>
              <w:left w:val="nil" w:sz="6" w:space="0" w:color="auto"/>
              <w:bottom w:val="single" w:sz="6" w:space="0" w:color="000000"/>
              <w:right w:val="nil" w:sz="6" w:space="0" w:color="auto"/>
            </w:tcBorders>
          </w:tcPr>
          <w:p>
            <w:pPr/>
          </w:p>
        </w:tc>
        <w:tc>
          <w:tcPr>
            <w:tcW w:w="1814" w:type="dxa"/>
            <w:tcBorders>
              <w:top w:val="single" w:sz="6" w:space="0" w:color="000000"/>
              <w:left w:val="nil" w:sz="6" w:space="0" w:color="auto"/>
              <w:bottom w:val="single" w:sz="6" w:space="0" w:color="000000"/>
              <w:right w:val="nil" w:sz="6" w:space="0" w:color="auto"/>
            </w:tcBorders>
          </w:tcPr>
          <w:p>
            <w:pPr/>
          </w:p>
        </w:tc>
      </w:tr>
      <w:tr>
        <w:trPr>
          <w:trHeight w:val="660"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2" w:right="7" w:firstLine="419"/>
              <w:jc w:val="left"/>
              <w:rPr>
                <w:rFonts w:ascii="宋体" w:hAnsi="宋体" w:cs="宋体" w:eastAsia="宋体" w:hint="default"/>
                <w:sz w:val="18"/>
                <w:szCs w:val="18"/>
              </w:rPr>
            </w:pPr>
            <w:r>
              <w:rPr>
                <w:rFonts w:ascii="宋体" w:hAnsi="宋体" w:cs="宋体" w:eastAsia="宋体" w:hint="default"/>
                <w:sz w:val="18"/>
                <w:szCs w:val="18"/>
              </w:rPr>
              <w:t>归属于母公司的 所有者权益</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58"/>
              <w:jc w:val="right"/>
              <w:rPr>
                <w:rFonts w:ascii="Times New Roman" w:hAnsi="Times New Roman" w:cs="Times New Roman" w:eastAsia="Times New Roman" w:hint="default"/>
                <w:sz w:val="18"/>
                <w:szCs w:val="18"/>
              </w:rPr>
            </w:pPr>
            <w:r>
              <w:rPr>
                <w:rFonts w:ascii="Times New Roman"/>
                <w:spacing w:val="-1"/>
                <w:sz w:val="18"/>
              </w:rPr>
              <w:t>75,455,645.83</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56"/>
              <w:jc w:val="right"/>
              <w:rPr>
                <w:rFonts w:ascii="Times New Roman" w:hAnsi="Times New Roman" w:cs="Times New Roman" w:eastAsia="Times New Roman" w:hint="default"/>
                <w:sz w:val="18"/>
                <w:szCs w:val="18"/>
              </w:rPr>
            </w:pPr>
            <w:r>
              <w:rPr>
                <w:rFonts w:ascii="Times New Roman"/>
                <w:spacing w:val="-1"/>
                <w:sz w:val="18"/>
              </w:rPr>
              <w:t>106,436,332.75</w:t>
            </w:r>
            <w:r>
              <w:rPr>
                <w:rFonts w:ascii="Times New Roman"/>
                <w:sz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83"/>
              <w:jc w:val="right"/>
              <w:rPr>
                <w:rFonts w:ascii="Times New Roman" w:hAnsi="Times New Roman" w:cs="Times New Roman" w:eastAsia="Times New Roman" w:hint="default"/>
                <w:sz w:val="18"/>
                <w:szCs w:val="18"/>
              </w:rPr>
            </w:pPr>
            <w:r>
              <w:rPr>
                <w:rFonts w:ascii="Times New Roman"/>
                <w:spacing w:val="-1"/>
                <w:sz w:val="18"/>
              </w:rPr>
              <w:t>116,887,260.09</w:t>
            </w:r>
            <w:r>
              <w:rPr>
                <w:rFonts w:ascii="Times New Roman"/>
                <w:sz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376" w:right="0"/>
              <w:jc w:val="left"/>
              <w:rPr>
                <w:rFonts w:ascii="Times New Roman" w:hAnsi="Times New Roman" w:cs="Times New Roman" w:eastAsia="Times New Roman" w:hint="default"/>
                <w:sz w:val="18"/>
                <w:szCs w:val="18"/>
              </w:rPr>
            </w:pPr>
            <w:r>
              <w:rPr>
                <w:rFonts w:ascii="Times New Roman"/>
                <w:sz w:val="18"/>
              </w:rPr>
              <w:t>82,622,997.46</w:t>
            </w:r>
          </w:p>
        </w:tc>
      </w:tr>
      <w:tr>
        <w:trPr>
          <w:trHeight w:val="660"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 w:right="2"/>
              <w:jc w:val="left"/>
              <w:rPr>
                <w:rFonts w:ascii="宋体" w:hAnsi="宋体" w:cs="宋体" w:eastAsia="宋体" w:hint="default"/>
                <w:sz w:val="18"/>
                <w:szCs w:val="18"/>
              </w:rPr>
            </w:pPr>
            <w:r>
              <w:rPr>
                <w:rFonts w:ascii="宋体" w:hAnsi="宋体" w:cs="宋体" w:eastAsia="宋体" w:hint="default"/>
                <w:spacing w:val="7"/>
                <w:sz w:val="18"/>
                <w:szCs w:val="18"/>
              </w:rPr>
              <w:t>按持股比例计算的净 </w:t>
            </w:r>
            <w:r>
              <w:rPr>
                <w:rFonts w:ascii="宋体" w:hAnsi="宋体" w:cs="宋体" w:eastAsia="宋体" w:hint="default"/>
                <w:sz w:val="18"/>
                <w:szCs w:val="18"/>
              </w:rPr>
              <w:t>资产份额</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58"/>
              <w:jc w:val="right"/>
              <w:rPr>
                <w:rFonts w:ascii="Times New Roman" w:hAnsi="Times New Roman" w:cs="Times New Roman" w:eastAsia="Times New Roman" w:hint="default"/>
                <w:sz w:val="18"/>
                <w:szCs w:val="18"/>
              </w:rPr>
            </w:pPr>
            <w:r>
              <w:rPr>
                <w:rFonts w:ascii="Times New Roman"/>
                <w:spacing w:val="-1"/>
                <w:sz w:val="18"/>
              </w:rPr>
              <w:t>11,318,346.87</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58"/>
              <w:jc w:val="right"/>
              <w:rPr>
                <w:rFonts w:ascii="Times New Roman" w:hAnsi="Times New Roman" w:cs="Times New Roman" w:eastAsia="Times New Roman" w:hint="default"/>
                <w:sz w:val="18"/>
                <w:szCs w:val="18"/>
              </w:rPr>
            </w:pPr>
            <w:r>
              <w:rPr>
                <w:rFonts w:ascii="Times New Roman"/>
                <w:spacing w:val="-1"/>
                <w:sz w:val="18"/>
              </w:rPr>
              <w:t>16,247,686.02</w:t>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84"/>
              <w:jc w:val="right"/>
              <w:rPr>
                <w:rFonts w:ascii="Times New Roman" w:hAnsi="Times New Roman" w:cs="Times New Roman" w:eastAsia="Times New Roman" w:hint="default"/>
                <w:sz w:val="18"/>
                <w:szCs w:val="18"/>
              </w:rPr>
            </w:pPr>
            <w:r>
              <w:rPr>
                <w:rFonts w:ascii="Times New Roman"/>
                <w:spacing w:val="-1"/>
                <w:sz w:val="18"/>
              </w:rPr>
              <w:t>40,910,541.04</w:t>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376" w:right="0"/>
              <w:jc w:val="left"/>
              <w:rPr>
                <w:rFonts w:ascii="Times New Roman" w:hAnsi="Times New Roman" w:cs="Times New Roman" w:eastAsia="Times New Roman" w:hint="default"/>
                <w:sz w:val="18"/>
                <w:szCs w:val="18"/>
              </w:rPr>
            </w:pPr>
            <w:r>
              <w:rPr>
                <w:rFonts w:ascii="Times New Roman"/>
                <w:sz w:val="18"/>
              </w:rPr>
              <w:t>28,918,049.11</w:t>
            </w:r>
          </w:p>
        </w:tc>
      </w:tr>
      <w:tr>
        <w:trPr>
          <w:trHeight w:val="658"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316" w:lineRule="auto" w:before="17"/>
              <w:ind w:left="12" w:right="0"/>
              <w:jc w:val="left"/>
              <w:rPr>
                <w:rFonts w:ascii="宋体" w:hAnsi="宋体" w:cs="宋体" w:eastAsia="宋体" w:hint="default"/>
                <w:sz w:val="18"/>
                <w:szCs w:val="18"/>
              </w:rPr>
            </w:pPr>
            <w:r>
              <w:rPr>
                <w:rFonts w:ascii="宋体" w:hAnsi="宋体" w:cs="宋体" w:eastAsia="宋体" w:hint="default"/>
                <w:b/>
                <w:bCs/>
                <w:spacing w:val="7"/>
                <w:w w:val="95"/>
                <w:sz w:val="18"/>
                <w:szCs w:val="18"/>
              </w:rPr>
              <w:t>对联营企业权益投资</w:t>
            </w:r>
            <w:r>
              <w:rPr>
                <w:rFonts w:ascii="宋体" w:hAnsi="宋体" w:cs="宋体" w:eastAsia="宋体" w:hint="default"/>
                <w:b/>
                <w:bCs/>
                <w:spacing w:val="-10"/>
                <w:w w:val="95"/>
                <w:sz w:val="18"/>
                <w:szCs w:val="18"/>
              </w:rPr>
              <w:t> </w:t>
            </w:r>
            <w:r>
              <w:rPr>
                <w:rFonts w:ascii="宋体" w:hAnsi="宋体" w:cs="宋体" w:eastAsia="宋体" w:hint="default"/>
                <w:b/>
                <w:bCs/>
                <w:spacing w:val="-10"/>
                <w:w w:val="95"/>
                <w:sz w:val="18"/>
                <w:szCs w:val="18"/>
              </w:rPr>
            </w:r>
            <w:r>
              <w:rPr>
                <w:rFonts w:ascii="宋体" w:hAnsi="宋体" w:cs="宋体" w:eastAsia="宋体" w:hint="default"/>
                <w:b/>
                <w:bCs/>
                <w:sz w:val="18"/>
                <w:szCs w:val="18"/>
              </w:rPr>
              <w:t>的账面价值</w:t>
            </w:r>
            <w:r>
              <w:rPr>
                <w:rFonts w:ascii="宋体" w:hAnsi="宋体" w:cs="宋体" w:eastAsia="宋体" w:hint="default"/>
                <w:sz w:val="18"/>
                <w:szCs w:val="18"/>
              </w:rPr>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58"/>
              <w:jc w:val="right"/>
              <w:rPr>
                <w:rFonts w:ascii="Times New Roman" w:hAnsi="Times New Roman" w:cs="Times New Roman" w:eastAsia="Times New Roman" w:hint="default"/>
                <w:sz w:val="18"/>
                <w:szCs w:val="18"/>
              </w:rPr>
            </w:pPr>
            <w:r>
              <w:rPr>
                <w:rFonts w:ascii="Times New Roman"/>
                <w:spacing w:val="-1"/>
                <w:sz w:val="18"/>
              </w:rPr>
              <w:t>27,097,438.44</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58"/>
              <w:jc w:val="right"/>
              <w:rPr>
                <w:rFonts w:ascii="Times New Roman" w:hAnsi="Times New Roman" w:cs="Times New Roman" w:eastAsia="Times New Roman" w:hint="default"/>
                <w:sz w:val="18"/>
                <w:szCs w:val="18"/>
              </w:rPr>
            </w:pPr>
            <w:r>
              <w:rPr>
                <w:rFonts w:ascii="Times New Roman"/>
                <w:spacing w:val="-1"/>
                <w:sz w:val="18"/>
              </w:rPr>
              <w:t>31,119,027.45</w:t>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84"/>
              <w:jc w:val="right"/>
              <w:rPr>
                <w:rFonts w:ascii="Times New Roman" w:hAnsi="Times New Roman" w:cs="Times New Roman" w:eastAsia="Times New Roman" w:hint="default"/>
                <w:sz w:val="18"/>
                <w:szCs w:val="18"/>
              </w:rPr>
            </w:pPr>
            <w:r>
              <w:rPr>
                <w:rFonts w:ascii="Times New Roman"/>
                <w:spacing w:val="-1"/>
                <w:sz w:val="18"/>
              </w:rPr>
              <w:t>40,910,541.04</w:t>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376" w:right="0"/>
              <w:jc w:val="left"/>
              <w:rPr>
                <w:rFonts w:ascii="Times New Roman" w:hAnsi="Times New Roman" w:cs="Times New Roman" w:eastAsia="Times New Roman" w:hint="default"/>
                <w:sz w:val="18"/>
                <w:szCs w:val="18"/>
              </w:rPr>
            </w:pPr>
            <w:r>
              <w:rPr>
                <w:rFonts w:ascii="Times New Roman"/>
                <w:sz w:val="18"/>
              </w:rPr>
              <w:t>28,918,049.11</w:t>
            </w:r>
          </w:p>
        </w:tc>
      </w:tr>
      <w:tr>
        <w:trPr>
          <w:trHeight w:val="348"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28"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51" w:right="0"/>
              <w:jc w:val="left"/>
              <w:rPr>
                <w:rFonts w:ascii="宋体" w:hAnsi="宋体" w:cs="宋体" w:eastAsia="宋体" w:hint="default"/>
                <w:sz w:val="18"/>
                <w:szCs w:val="18"/>
              </w:rPr>
            </w:pPr>
            <w:r>
              <w:rPr>
                <w:rFonts w:ascii="宋体" w:hAnsi="宋体" w:cs="宋体" w:eastAsia="宋体" w:hint="default"/>
                <w:sz w:val="18"/>
                <w:szCs w:val="18"/>
              </w:rPr>
              <w:t>福建文鑫莲业食品有限公司</w:t>
            </w:r>
          </w:p>
        </w:tc>
        <w:tc>
          <w:tcPr>
            <w:tcW w:w="3587"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598"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346" w:hRule="exact"/>
        </w:trPr>
        <w:tc>
          <w:tcPr>
            <w:tcW w:w="1702" w:type="dxa"/>
            <w:tcBorders>
              <w:top w:val="single" w:sz="6" w:space="0" w:color="000000"/>
              <w:left w:val="nil" w:sz="6" w:space="0" w:color="auto"/>
              <w:bottom w:val="single" w:sz="6" w:space="0" w:color="000000"/>
              <w:right w:val="nil" w:sz="6" w:space="0" w:color="auto"/>
            </w:tcBorders>
          </w:tcPr>
          <w:p>
            <w:pP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286"/>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348"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81" w:right="0"/>
              <w:jc w:val="left"/>
              <w:rPr>
                <w:rFonts w:ascii="Times New Roman" w:hAnsi="Times New Roman" w:cs="Times New Roman" w:eastAsia="Times New Roman" w:hint="default"/>
                <w:sz w:val="18"/>
                <w:szCs w:val="18"/>
              </w:rPr>
            </w:pPr>
            <w:r>
              <w:rPr>
                <w:rFonts w:ascii="Times New Roman"/>
                <w:sz w:val="18"/>
              </w:rPr>
              <w:t>127,474,302.80</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59" w:right="0"/>
              <w:jc w:val="left"/>
              <w:rPr>
                <w:rFonts w:ascii="Times New Roman" w:hAnsi="Times New Roman" w:cs="Times New Roman" w:eastAsia="Times New Roman" w:hint="default"/>
                <w:sz w:val="18"/>
                <w:szCs w:val="18"/>
              </w:rPr>
            </w:pPr>
            <w:r>
              <w:rPr>
                <w:rFonts w:ascii="Times New Roman"/>
                <w:sz w:val="18"/>
              </w:rPr>
              <w:t>140,527,365.33</w:t>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83"/>
              <w:jc w:val="right"/>
              <w:rPr>
                <w:rFonts w:ascii="Times New Roman" w:hAnsi="Times New Roman" w:cs="Times New Roman" w:eastAsia="Times New Roman" w:hint="default"/>
                <w:sz w:val="18"/>
                <w:szCs w:val="18"/>
              </w:rPr>
            </w:pPr>
            <w:r>
              <w:rPr>
                <w:rFonts w:ascii="Times New Roman"/>
                <w:spacing w:val="-1"/>
                <w:sz w:val="18"/>
              </w:rPr>
              <w:t>231,114,485.42</w:t>
            </w:r>
            <w:r>
              <w:rPr>
                <w:rFonts w:ascii="Times New Roman"/>
                <w:sz w:val="18"/>
              </w:rPr>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186,205,536.19</w:t>
            </w:r>
            <w:r>
              <w:rPr>
                <w:rFonts w:ascii="Times New Roman"/>
                <w:sz w:val="18"/>
              </w:rPr>
            </w:r>
          </w:p>
        </w:tc>
      </w:tr>
      <w:tr>
        <w:trPr>
          <w:trHeight w:val="346"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261" w:right="0"/>
              <w:jc w:val="left"/>
              <w:rPr>
                <w:rFonts w:ascii="Times New Roman" w:hAnsi="Times New Roman" w:cs="Times New Roman" w:eastAsia="Times New Roman" w:hint="default"/>
                <w:sz w:val="18"/>
                <w:szCs w:val="18"/>
              </w:rPr>
            </w:pPr>
            <w:r>
              <w:rPr>
                <w:rFonts w:ascii="Times New Roman"/>
                <w:sz w:val="18"/>
              </w:rPr>
              <w:t>3,373,406.62</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339" w:right="0"/>
              <w:jc w:val="left"/>
              <w:rPr>
                <w:rFonts w:ascii="Times New Roman" w:hAnsi="Times New Roman" w:cs="Times New Roman" w:eastAsia="Times New Roman" w:hint="default"/>
                <w:sz w:val="18"/>
                <w:szCs w:val="18"/>
              </w:rPr>
            </w:pPr>
            <w:r>
              <w:rPr>
                <w:rFonts w:ascii="Times New Roman"/>
                <w:sz w:val="18"/>
              </w:rPr>
              <w:t>8,418,217.91</w:t>
            </w:r>
          </w:p>
        </w:tc>
        <w:tc>
          <w:tcPr>
            <w:tcW w:w="177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84"/>
              <w:jc w:val="right"/>
              <w:rPr>
                <w:rFonts w:ascii="Times New Roman" w:hAnsi="Times New Roman" w:cs="Times New Roman" w:eastAsia="Times New Roman" w:hint="default"/>
                <w:sz w:val="18"/>
                <w:szCs w:val="18"/>
              </w:rPr>
            </w:pPr>
            <w:r>
              <w:rPr>
                <w:rFonts w:ascii="Times New Roman"/>
                <w:spacing w:val="-1"/>
                <w:sz w:val="18"/>
              </w:rPr>
              <w:t>34,264,262.63</w:t>
            </w:r>
          </w:p>
        </w:tc>
        <w:tc>
          <w:tcPr>
            <w:tcW w:w="181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30,026,193.57</w:t>
            </w:r>
          </w:p>
        </w:tc>
      </w:tr>
      <w:tr>
        <w:trPr>
          <w:trHeight w:val="273" w:hRule="exact"/>
        </w:trPr>
        <w:tc>
          <w:tcPr>
            <w:tcW w:w="170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261" w:right="0"/>
              <w:jc w:val="left"/>
              <w:rPr>
                <w:rFonts w:ascii="Times New Roman" w:hAnsi="Times New Roman" w:cs="Times New Roman" w:eastAsia="Times New Roman" w:hint="default"/>
                <w:sz w:val="18"/>
                <w:szCs w:val="18"/>
              </w:rPr>
            </w:pPr>
            <w:r>
              <w:rPr>
                <w:rFonts w:ascii="Times New Roman"/>
                <w:sz w:val="18"/>
              </w:rPr>
              <w:t>3,373,406.62</w:t>
            </w:r>
          </w:p>
        </w:tc>
        <w:tc>
          <w:tcPr>
            <w:tcW w:w="175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339" w:right="0"/>
              <w:jc w:val="left"/>
              <w:rPr>
                <w:rFonts w:ascii="Times New Roman" w:hAnsi="Times New Roman" w:cs="Times New Roman" w:eastAsia="Times New Roman" w:hint="default"/>
                <w:sz w:val="18"/>
                <w:szCs w:val="18"/>
              </w:rPr>
            </w:pPr>
            <w:r>
              <w:rPr>
                <w:rFonts w:ascii="Times New Roman"/>
                <w:sz w:val="18"/>
              </w:rPr>
              <w:t>8,418,217.91</w:t>
            </w:r>
          </w:p>
        </w:tc>
        <w:tc>
          <w:tcPr>
            <w:tcW w:w="1772"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284"/>
              <w:jc w:val="right"/>
              <w:rPr>
                <w:rFonts w:ascii="Times New Roman" w:hAnsi="Times New Roman" w:cs="Times New Roman" w:eastAsia="Times New Roman" w:hint="default"/>
                <w:sz w:val="18"/>
                <w:szCs w:val="18"/>
              </w:rPr>
            </w:pPr>
            <w:r>
              <w:rPr>
                <w:rFonts w:ascii="Times New Roman"/>
                <w:spacing w:val="-1"/>
                <w:sz w:val="18"/>
              </w:rPr>
              <w:t>34,264,262.63</w:t>
            </w:r>
          </w:p>
        </w:tc>
        <w:tc>
          <w:tcPr>
            <w:tcW w:w="1814"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30,026,193.57</w:t>
            </w:r>
          </w:p>
        </w:tc>
      </w:tr>
    </w:tbl>
    <w:p>
      <w:pPr>
        <w:spacing w:line="240" w:lineRule="auto" w:before="7"/>
        <w:rPr>
          <w:rFonts w:ascii="宋体" w:hAnsi="宋体" w:cs="宋体" w:eastAsia="宋体" w:hint="default"/>
          <w:b/>
          <w:bCs/>
          <w:sz w:val="5"/>
          <w:szCs w:val="5"/>
        </w:rPr>
      </w:pPr>
    </w:p>
    <w:p>
      <w:pPr>
        <w:pStyle w:val="BodyText"/>
        <w:spacing w:line="357" w:lineRule="auto" w:before="44"/>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不重要的合营企业和联营企业的汇总财务信息" w:id="421"/>
      <w:bookmarkEnd w:id="42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74"/>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-245,650.20</w:t>
            </w:r>
            <w:r>
              <w:rPr>
                <w:rFonts w:ascii="Times New Roman"/>
                <w:sz w:val="18"/>
              </w:rPr>
            </w:r>
          </w:p>
        </w:tc>
        <w:tc>
          <w:tcPr>
            <w:tcW w:w="31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after="0" w:line="357" w:lineRule="auto"/>
        <w:jc w:val="left"/>
        <w:sectPr>
          <w:pgSz w:w="11910" w:h="16840"/>
          <w:pgMar w:header="745" w:footer="96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5、在未纳入合并财务报表范围的结构化主体中的权益" w:id="422"/>
      <w:bookmarkEnd w:id="422"/>
      <w:r>
        <w:rPr>
          <w:b w:val="0"/>
          <w:bCs w:val="0"/>
        </w:rPr>
      </w:r>
      <w:bookmarkStart w:name="6、其他" w:id="423"/>
      <w:bookmarkEnd w:id="423"/>
      <w:r>
        <w:rPr>
          <w:b w:val="0"/>
          <w:bCs w:val="0"/>
        </w:rPr>
      </w:r>
      <w:bookmarkStart w:name="十、与金融工具相关的风险"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6</w:t>
      </w:r>
      <w:bookmarkStart w:name="（5）合营企业或联营企业向本公司转移资金的能力存在重大限制的说明" w:id="425"/>
      <w:bookmarkEnd w:id="425"/>
      <w:r>
        <w:rPr>
          <w:rFonts w:ascii="Times New Roman" w:hAnsi="Times New Roman" w:cs="Times New Roman" w:eastAsia="Times New Roman" w:hint="default"/>
        </w:rPr>
      </w:r>
      <w:bookmarkStart w:name="（6）合营企业或联营企业发生的超额亏损" w:id="426"/>
      <w:bookmarkEnd w:id="426"/>
      <w:r>
        <w:rPr>
          <w:rFonts w:ascii="Times New Roman" w:hAnsi="Times New Roman" w:cs="Times New Roman" w:eastAsia="Times New Roman" w:hint="default"/>
        </w:rPr>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8</w:t>
      </w:r>
      <w:r>
        <w:rPr/>
        <w:t>）与合营企业或联营企</w:t>
      </w:r>
      <w:bookmarkStart w:name="（7）与合营企业投资相关的未确认承诺" w:id="427"/>
      <w:bookmarkEnd w:id="427"/>
      <w:r>
        <w:rPr/>
        <w:t>业投资相关的或有</w:t>
      </w:r>
      <w:r>
        <w:rPr/>
        <w:t>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bookmarkStart w:name="（8）与合营企业或联营企业投资相关的或有负债" w:id="428"/>
            <w:bookmarkEnd w:id="428"/>
            <w:r>
              <w:rPr/>
            </w: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53" w:right="0"/>
              <w:jc w:val="left"/>
              <w:rPr>
                <w:rFonts w:ascii="宋体" w:hAnsi="宋体" w:cs="宋体" w:eastAsia="宋体" w:hint="default"/>
                <w:sz w:val="18"/>
                <w:szCs w:val="18"/>
              </w:rPr>
            </w:pPr>
            <w:bookmarkStart w:name="4、重要的共同经营" w:id="429"/>
            <w:bookmarkEnd w:id="429"/>
            <w:r>
              <w:rPr/>
            </w: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0"/>
        <w:ind w:right="4554"/>
        <w:jc w:val="left"/>
      </w:pPr>
      <w:r>
        <w:rPr/>
        <w:t>在共同经营中的持股比例或享有的份额不同于表决权比例的说明： 无。</w:t>
      </w:r>
    </w:p>
    <w:p>
      <w:pPr>
        <w:pStyle w:val="BodyText"/>
        <w:spacing w:line="357" w:lineRule="auto" w:before="29"/>
        <w:ind w:right="5814"/>
        <w:jc w:val="left"/>
      </w:pPr>
      <w:r>
        <w:rPr/>
        <w:t>共同经营为单独主体的，分类为共同经营的依据： 无。</w:t>
      </w:r>
    </w:p>
    <w:p>
      <w:pPr>
        <w:pStyle w:val="BodyText"/>
        <w:spacing w:line="360" w:lineRule="auto" w:before="29"/>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634"/>
        <w:jc w:val="left"/>
      </w:pPr>
      <w:r>
        <w:rPr/>
        <w:t>未纳入合并财务报表范围的结构化主体的相关说明：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3"/>
        <w:rPr>
          <w:rFonts w:ascii="宋体" w:hAnsi="宋体" w:cs="宋体" w:eastAsia="宋体" w:hint="default"/>
          <w:sz w:val="25"/>
          <w:szCs w:val="25"/>
        </w:rPr>
      </w:pPr>
    </w:p>
    <w:p>
      <w:pPr>
        <w:pStyle w:val="Heading2"/>
        <w:spacing w:line="240" w:lineRule="auto"/>
        <w:ind w:right="791"/>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91"/>
        <w:jc w:val="left"/>
      </w:pPr>
      <w:r>
        <w:rPr/>
        <w:t>本集团的金融工具导致的主要风险是市场风险、信用风险、流动性风险。</w:t>
      </w:r>
    </w:p>
    <w:p>
      <w:pPr>
        <w:spacing w:after="0" w:line="240" w:lineRule="auto"/>
        <w:jc w:val="left"/>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pStyle w:val="BodyText"/>
        <w:spacing w:line="328" w:lineRule="auto" w:before="44"/>
        <w:ind w:right="147"/>
        <w:jc w:val="left"/>
      </w:pPr>
      <w:r>
        <w:rPr/>
        <w:t>（</w:t>
      </w:r>
      <w:r>
        <w:rPr>
          <w:rFonts w:ascii="Times New Roman" w:hAnsi="Times New Roman" w:cs="Times New Roman" w:eastAsia="Times New Roman" w:hint="default"/>
        </w:rPr>
        <w:t>1</w:t>
      </w:r>
      <w:r>
        <w:rPr/>
        <w:t>）市场风险 </w:t>
      </w: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pStyle w:val="BodyText"/>
        <w:spacing w:line="338" w:lineRule="auto" w:before="48"/>
        <w:ind w:right="147"/>
        <w:jc w:val="left"/>
      </w:pPr>
      <w:r>
        <w:rPr/>
        <w:t>利率风险 </w:t>
      </w:r>
      <w:r>
        <w:rPr>
          <w:spacing w:val="-2"/>
        </w:rPr>
        <w:t>利率风险，是指金融工具的公允价值或未来现金流量因市场利率变动而发生波动的风险。利率风险可源于已确认的计息金融</w:t>
      </w:r>
      <w:r>
        <w:rPr>
          <w:spacing w:val="-64"/>
        </w:rPr>
        <w:t> </w:t>
      </w:r>
      <w:r>
        <w:rPr>
          <w:spacing w:val="-64"/>
        </w:rPr>
      </w:r>
      <w:r>
        <w:rPr/>
        <w:t>工具和未确认的金融工具。</w:t>
      </w:r>
    </w:p>
    <w:p>
      <w:pPr>
        <w:pStyle w:val="BodyText"/>
        <w:spacing w:line="357" w:lineRule="auto" w:before="43"/>
        <w:ind w:right="6354"/>
        <w:jc w:val="left"/>
      </w:pPr>
      <w:r>
        <w:rPr/>
        <w:t>本集团所承担的利率变动市场风险不重大。 汇率风险</w:t>
      </w:r>
    </w:p>
    <w:p>
      <w:pPr>
        <w:pStyle w:val="BodyText"/>
        <w:spacing w:line="338" w:lineRule="auto" w:before="29"/>
        <w:ind w:right="147"/>
        <w:jc w:val="left"/>
      </w:pP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 本集团的主要经营位于中国境内，主要业务以人民币结算。因此，本公司所承担的汇率变动市场风险不重大。</w:t>
      </w:r>
    </w:p>
    <w:p>
      <w:pPr>
        <w:pStyle w:val="BodyText"/>
        <w:spacing w:line="240" w:lineRule="auto" w:before="41"/>
        <w:ind w:right="791"/>
        <w:jc w:val="left"/>
      </w:pPr>
      <w:r>
        <w:rPr/>
        <w:t>本集团期末外币金融资产和外币金融负债列示见本附注五之</w:t>
      </w:r>
      <w:r>
        <w:rPr>
          <w:rFonts w:ascii="Times New Roman" w:hAnsi="Times New Roman" w:cs="Times New Roman" w:eastAsia="Times New Roman" w:hint="default"/>
        </w:rPr>
        <w:t>45</w:t>
      </w:r>
      <w:r>
        <w:rPr/>
        <w:t>、外币货币性项目。</w:t>
      </w:r>
    </w:p>
    <w:p>
      <w:pPr>
        <w:pStyle w:val="BodyText"/>
        <w:spacing w:line="348" w:lineRule="auto" w:before="103"/>
        <w:ind w:right="2934"/>
        <w:jc w:val="left"/>
      </w:pPr>
      <w:r>
        <w:rPr/>
        <w:t>（</w:t>
      </w:r>
      <w:r>
        <w:rPr>
          <w:rFonts w:ascii="Times New Roman" w:hAnsi="Times New Roman" w:cs="Times New Roman" w:eastAsia="Times New Roman" w:hint="default"/>
        </w:rPr>
        <w:t>2</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38" w:lineRule="auto" w:before="36"/>
        <w:ind w:right="147"/>
        <w:jc w:val="left"/>
      </w:pPr>
      <w:r>
        <w:rPr/>
        <w:t>本集团银行存款主要存放于国有银行和其它大中型上市银行，本集团预期银行存款不存在重大的信用风险。 </w:t>
      </w:r>
      <w:r>
        <w:rPr>
          <w:spacing w:val="-2"/>
        </w:rPr>
        <w:t>对于应收款项，本集团设定相关政策以控制信用风险敞口。本集团基于对债务人的财务状况、外部评级、从第三方获取担保</w:t>
      </w:r>
      <w:r>
        <w:rPr>
          <w:spacing w:val="-64"/>
        </w:rPr>
        <w:t> </w:t>
      </w:r>
      <w:r>
        <w:rPr>
          <w:spacing w:val="-64"/>
        </w:rPr>
      </w:r>
      <w:r>
        <w:rPr>
          <w:spacing w:val="-2"/>
        </w:rPr>
        <w:t>的可能性、信用记录及其它因素诸如目前市场状况等评估债务人的信用资质并设置相应欠款额度与信用期限。本集团会定期</w:t>
      </w:r>
    </w:p>
    <w:p>
      <w:pPr>
        <w:pStyle w:val="BodyText"/>
        <w:spacing w:line="338" w:lineRule="auto" w:before="2"/>
        <w:ind w:right="147"/>
        <w:jc w:val="left"/>
      </w:pPr>
      <w:r>
        <w:rPr>
          <w:spacing w:val="-2"/>
        </w:rPr>
        <w:t>对债务人信用记录进行监控，对于信用记录不良的债务人，本集团会采用书面催款、缩短信用期或取消信用期等方式，以确</w:t>
      </w:r>
      <w:r>
        <w:rPr>
          <w:spacing w:val="-65"/>
        </w:rPr>
        <w:t> </w:t>
      </w:r>
      <w:r>
        <w:rPr>
          <w:spacing w:val="-65"/>
        </w:rPr>
      </w:r>
      <w:r>
        <w:rPr/>
        <w:t>保本集团的整体信用风险在可控的范围内。 </w:t>
      </w:r>
      <w:r>
        <w:rPr>
          <w:spacing w:val="-2"/>
        </w:rPr>
        <w:t>本集团所承受的最大信用风险敞口为资产负债表中每项金融资产的账面金额。本集团没有提供任何其他可能令本集团承受信</w:t>
      </w:r>
    </w:p>
    <w:p>
      <w:pPr>
        <w:pStyle w:val="BodyText"/>
        <w:spacing w:line="240" w:lineRule="auto" w:before="2"/>
        <w:ind w:right="791"/>
        <w:jc w:val="left"/>
      </w:pPr>
      <w:r>
        <w:rPr/>
        <w:t>用风险的担保。</w:t>
      </w:r>
    </w:p>
    <w:p>
      <w:pPr>
        <w:pStyle w:val="BodyText"/>
        <w:spacing w:line="300" w:lineRule="auto" w:before="117"/>
        <w:ind w:right="204"/>
        <w:jc w:val="left"/>
      </w:pPr>
      <w:r>
        <w:rPr/>
        <w:t>本集团应收账款中，欠款金额前五大客户的应收账款占本集团应收账款总额的</w:t>
      </w:r>
      <w:r>
        <w:rPr>
          <w:rFonts w:ascii="Times New Roman" w:hAnsi="Times New Roman" w:cs="Times New Roman" w:eastAsia="Times New Roman" w:hint="default"/>
        </w:rPr>
        <w:t>22.21%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14.12%</w:t>
      </w:r>
      <w:r>
        <w:rPr/>
        <w:t>）；本集团其他应 收款中，欠款金额前五大公司的其他应收款占本集团其他应收款总额的</w:t>
      </w:r>
      <w:r>
        <w:rPr>
          <w:rFonts w:ascii="Times New Roman" w:hAnsi="Times New Roman" w:cs="Times New Roman" w:eastAsia="Times New Roman" w:hint="default"/>
        </w:rPr>
        <w:t>15.17%</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16.84%</w:t>
      </w:r>
      <w:r>
        <w:rPr/>
        <w:t>）。</w:t>
      </w:r>
    </w:p>
    <w:p>
      <w:pPr>
        <w:pStyle w:val="BodyText"/>
        <w:spacing w:line="338" w:lineRule="auto" w:before="53"/>
        <w:ind w:right="1674"/>
        <w:jc w:val="left"/>
      </w:pPr>
      <w:r>
        <w:rPr/>
        <w:t>（</w:t>
      </w:r>
      <w:r>
        <w:rPr>
          <w:rFonts w:ascii="Times New Roman" w:hAnsi="Times New Roman" w:cs="Times New Roman" w:eastAsia="Times New Roman" w:hint="default"/>
        </w:rPr>
        <w:t>3</w:t>
      </w:r>
      <w:r>
        <w:rPr/>
        <w:t>）流动性风险 流动性风险，是指本集团在履行以交付现金或其他金融资产的方式结算的义务时发生资金短缺的风险。</w:t>
      </w:r>
    </w:p>
    <w:p>
      <w:pPr>
        <w:pStyle w:val="BodyText"/>
        <w:spacing w:line="316" w:lineRule="auto" w:before="43"/>
        <w:ind w:right="147"/>
        <w:jc w:val="left"/>
      </w:pPr>
      <w:r>
        <w:rPr>
          <w:spacing w:val="-2"/>
        </w:rPr>
        <w:t>管理流动风险时，本集团保持管理层认为充分的现金及现金等价物并对其进行监控，以满足本集团经营需要，并降低现金流</w:t>
      </w:r>
      <w:r>
        <w:rPr>
          <w:spacing w:val="-63"/>
        </w:rPr>
        <w:t> </w:t>
      </w:r>
      <w:r>
        <w:rPr>
          <w:spacing w:val="-63"/>
        </w:rPr>
      </w:r>
      <w:r>
        <w:rPr/>
        <w:t>量波动的影响。</w:t>
      </w:r>
    </w:p>
    <w:p>
      <w:pPr>
        <w:pStyle w:val="BodyText"/>
        <w:spacing w:line="240" w:lineRule="auto" w:before="59"/>
        <w:ind w:right="791"/>
        <w:jc w:val="left"/>
      </w:pPr>
      <w:r>
        <w:rPr/>
        <w:t>期末本集团持有的金融负债按未折现剩余合同现金流量的到期期限分析如下（单位：人民币元）：</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75"/>
        <w:gridCol w:w="1630"/>
        <w:gridCol w:w="1190"/>
        <w:gridCol w:w="1252"/>
        <w:gridCol w:w="1056"/>
        <w:gridCol w:w="1142"/>
        <w:gridCol w:w="894"/>
      </w:tblGrid>
      <w:tr>
        <w:trPr>
          <w:trHeight w:val="353" w:hRule="exact"/>
        </w:trPr>
        <w:tc>
          <w:tcPr>
            <w:tcW w:w="9139" w:type="dxa"/>
            <w:gridSpan w:val="7"/>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564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665" w:hRule="exact"/>
        </w:trPr>
        <w:tc>
          <w:tcPr>
            <w:tcW w:w="197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b/>
                <w:bCs/>
                <w:sz w:val="18"/>
                <w:szCs w:val="18"/>
              </w:rPr>
              <w:t>资 产 项</w:t>
            </w:r>
            <w:r>
              <w:rPr>
                <w:rFonts w:ascii="宋体" w:hAnsi="宋体" w:cs="宋体" w:eastAsia="宋体" w:hint="default"/>
                <w:b/>
                <w:bCs/>
                <w:spacing w:val="-4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36"/>
              <w:jc w:val="right"/>
              <w:rPr>
                <w:rFonts w:ascii="宋体" w:hAnsi="宋体" w:cs="宋体" w:eastAsia="宋体" w:hint="default"/>
                <w:sz w:val="18"/>
                <w:szCs w:val="18"/>
              </w:rPr>
            </w:pPr>
            <w:r>
              <w:rPr>
                <w:rFonts w:ascii="宋体" w:hAnsi="宋体" w:cs="宋体" w:eastAsia="宋体" w:hint="default"/>
                <w:b/>
                <w:bCs/>
                <w:w w:val="95"/>
                <w:sz w:val="18"/>
                <w:szCs w:val="18"/>
              </w:rPr>
              <w:t>一个月以</w:t>
            </w:r>
            <w:r>
              <w:rPr>
                <w:rFonts w:ascii="宋体" w:hAnsi="宋体" w:cs="宋体" w:eastAsia="宋体" w:hint="default"/>
                <w:sz w:val="18"/>
                <w:szCs w:val="18"/>
              </w:rPr>
            </w:r>
          </w:p>
          <w:p>
            <w:pPr>
              <w:pStyle w:val="TableParagraph"/>
              <w:spacing w:line="240" w:lineRule="auto" w:before="76"/>
              <w:ind w:right="36"/>
              <w:jc w:val="right"/>
              <w:rPr>
                <w:rFonts w:ascii="宋体" w:hAnsi="宋体" w:cs="宋体" w:eastAsia="宋体" w:hint="default"/>
                <w:sz w:val="18"/>
                <w:szCs w:val="18"/>
              </w:rPr>
            </w:pPr>
            <w:r>
              <w:rPr>
                <w:rFonts w:ascii="宋体" w:hAnsi="宋体" w:cs="宋体" w:eastAsia="宋体" w:hint="default"/>
                <w:b/>
                <w:bCs/>
                <w:w w:val="99"/>
                <w:sz w:val="18"/>
                <w:szCs w:val="18"/>
              </w:rPr>
              <w:t>内</w:t>
            </w:r>
            <w:r>
              <w:rPr>
                <w:rFonts w:ascii="宋体" w:hAnsi="宋体" w:cs="宋体" w:eastAsia="宋体" w:hint="default"/>
                <w:sz w:val="18"/>
                <w:szCs w:val="18"/>
              </w:rPr>
            </w:r>
          </w:p>
        </w:tc>
        <w:tc>
          <w:tcPr>
            <w:tcW w:w="119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38" w:right="0"/>
              <w:jc w:val="left"/>
              <w:rPr>
                <w:rFonts w:ascii="宋体" w:hAnsi="宋体" w:cs="宋体" w:eastAsia="宋体" w:hint="default"/>
                <w:sz w:val="18"/>
                <w:szCs w:val="18"/>
              </w:rPr>
            </w:pPr>
            <w:r>
              <w:rPr>
                <w:rFonts w:ascii="宋体" w:hAnsi="宋体" w:cs="宋体" w:eastAsia="宋体" w:hint="default"/>
                <w:b/>
                <w:bCs/>
                <w:sz w:val="18"/>
                <w:szCs w:val="18"/>
              </w:rPr>
              <w:t>一个月至三个</w:t>
            </w:r>
            <w:r>
              <w:rPr>
                <w:rFonts w:ascii="宋体" w:hAnsi="宋体" w:cs="宋体" w:eastAsia="宋体" w:hint="default"/>
                <w:sz w:val="18"/>
                <w:szCs w:val="18"/>
              </w:rPr>
            </w:r>
          </w:p>
          <w:p>
            <w:pPr>
              <w:pStyle w:val="TableParagraph"/>
              <w:spacing w:line="240" w:lineRule="auto" w:before="76"/>
              <w:ind w:left="580" w:right="0"/>
              <w:jc w:val="left"/>
              <w:rPr>
                <w:rFonts w:ascii="宋体" w:hAnsi="宋体" w:cs="宋体" w:eastAsia="宋体" w:hint="default"/>
                <w:sz w:val="18"/>
                <w:szCs w:val="18"/>
              </w:rPr>
            </w:pPr>
            <w:r>
              <w:rPr>
                <w:rFonts w:ascii="宋体" w:hAnsi="宋体" w:cs="宋体" w:eastAsia="宋体" w:hint="default"/>
                <w:b/>
                <w:bCs/>
                <w:sz w:val="18"/>
                <w:szCs w:val="18"/>
              </w:rPr>
              <w:t>月以内</w:t>
            </w:r>
            <w:r>
              <w:rPr>
                <w:rFonts w:ascii="宋体" w:hAnsi="宋体" w:cs="宋体" w:eastAsia="宋体" w:hint="default"/>
                <w:sz w:val="18"/>
                <w:szCs w:val="18"/>
              </w:rPr>
            </w: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6" w:right="0"/>
              <w:jc w:val="left"/>
              <w:rPr>
                <w:rFonts w:ascii="宋体" w:hAnsi="宋体" w:cs="宋体" w:eastAsia="宋体" w:hint="default"/>
                <w:sz w:val="18"/>
                <w:szCs w:val="18"/>
              </w:rPr>
            </w:pPr>
            <w:r>
              <w:rPr>
                <w:rFonts w:ascii="宋体" w:hAnsi="宋体" w:cs="宋体" w:eastAsia="宋体" w:hint="default"/>
                <w:b/>
                <w:bCs/>
                <w:sz w:val="18"/>
                <w:szCs w:val="18"/>
              </w:rPr>
              <w:t>三个月至一年</w:t>
            </w:r>
            <w:r>
              <w:rPr>
                <w:rFonts w:ascii="宋体" w:hAnsi="宋体" w:cs="宋体" w:eastAsia="宋体" w:hint="default"/>
                <w:sz w:val="18"/>
                <w:szCs w:val="18"/>
              </w:rPr>
            </w:r>
          </w:p>
          <w:p>
            <w:pPr>
              <w:pStyle w:val="TableParagraph"/>
              <w:spacing w:line="240" w:lineRule="auto" w:before="76"/>
              <w:ind w:left="828" w:right="0"/>
              <w:jc w:val="left"/>
              <w:rPr>
                <w:rFonts w:ascii="宋体" w:hAnsi="宋体" w:cs="宋体" w:eastAsia="宋体" w:hint="default"/>
                <w:sz w:val="18"/>
                <w:szCs w:val="18"/>
              </w:rPr>
            </w:pPr>
            <w:r>
              <w:rPr>
                <w:rFonts w:ascii="宋体" w:hAnsi="宋体" w:cs="宋体" w:eastAsia="宋体" w:hint="default"/>
                <w:b/>
                <w:bCs/>
                <w:sz w:val="18"/>
                <w:szCs w:val="18"/>
              </w:rPr>
              <w:t>以内</w:t>
            </w:r>
            <w:r>
              <w:rPr>
                <w:rFonts w:ascii="宋体" w:hAnsi="宋体" w:cs="宋体" w:eastAsia="宋体" w:hint="default"/>
                <w:sz w:val="18"/>
                <w:szCs w:val="18"/>
              </w:rPr>
            </w:r>
          </w:p>
        </w:tc>
        <w:tc>
          <w:tcPr>
            <w:tcW w:w="105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b/>
                <w:bCs/>
                <w:sz w:val="18"/>
                <w:szCs w:val="18"/>
              </w:rPr>
              <w:t>一年至五年</w:t>
            </w:r>
            <w:r>
              <w:rPr>
                <w:rFonts w:ascii="宋体" w:hAnsi="宋体" w:cs="宋体" w:eastAsia="宋体" w:hint="default"/>
                <w:sz w:val="18"/>
                <w:szCs w:val="18"/>
              </w:rPr>
            </w:r>
          </w:p>
          <w:p>
            <w:pPr>
              <w:pStyle w:val="TableParagraph"/>
              <w:spacing w:line="240" w:lineRule="auto" w:before="76"/>
              <w:ind w:left="641" w:right="0"/>
              <w:jc w:val="left"/>
              <w:rPr>
                <w:rFonts w:ascii="宋体" w:hAnsi="宋体" w:cs="宋体" w:eastAsia="宋体" w:hint="default"/>
                <w:sz w:val="18"/>
                <w:szCs w:val="18"/>
              </w:rPr>
            </w:pPr>
            <w:r>
              <w:rPr>
                <w:rFonts w:ascii="宋体" w:hAnsi="宋体" w:cs="宋体" w:eastAsia="宋体" w:hint="default"/>
                <w:b/>
                <w:bCs/>
                <w:sz w:val="18"/>
                <w:szCs w:val="18"/>
              </w:rPr>
              <w:t>以内</w:t>
            </w:r>
            <w:r>
              <w:rPr>
                <w:rFonts w:ascii="宋体" w:hAnsi="宋体" w:cs="宋体" w:eastAsia="宋体" w:hint="default"/>
                <w:sz w:val="18"/>
                <w:szCs w:val="18"/>
              </w:rPr>
            </w:r>
          </w:p>
        </w:tc>
        <w:tc>
          <w:tcPr>
            <w:tcW w:w="1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49"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894"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370"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50" w:hRule="exact"/>
        </w:trPr>
        <w:tc>
          <w:tcPr>
            <w:tcW w:w="197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30" w:type="dxa"/>
            <w:tcBorders>
              <w:top w:val="single" w:sz="8" w:space="0" w:color="000000"/>
              <w:left w:val="nil" w:sz="6" w:space="0" w:color="auto"/>
              <w:bottom w:val="single" w:sz="8" w:space="0" w:color="000000"/>
              <w:right w:val="nil" w:sz="6" w:space="0" w:color="auto"/>
            </w:tcBorders>
          </w:tcPr>
          <w:p>
            <w:pPr/>
          </w:p>
        </w:tc>
        <w:tc>
          <w:tcPr>
            <w:tcW w:w="1190" w:type="dxa"/>
            <w:tcBorders>
              <w:top w:val="single" w:sz="8" w:space="0" w:color="000000"/>
              <w:left w:val="nil" w:sz="6" w:space="0" w:color="auto"/>
              <w:bottom w:val="single" w:sz="8" w:space="0" w:color="000000"/>
              <w:right w:val="nil" w:sz="6" w:space="0" w:color="auto"/>
            </w:tcBorders>
          </w:tcPr>
          <w:p>
            <w:pPr/>
          </w:p>
        </w:tc>
        <w:tc>
          <w:tcPr>
            <w:tcW w:w="1252" w:type="dxa"/>
            <w:tcBorders>
              <w:top w:val="single" w:sz="8" w:space="0" w:color="000000"/>
              <w:left w:val="nil" w:sz="6" w:space="0" w:color="auto"/>
              <w:bottom w:val="single" w:sz="8" w:space="0" w:color="000000"/>
              <w:right w:val="nil" w:sz="6" w:space="0" w:color="auto"/>
            </w:tcBorders>
          </w:tcPr>
          <w:p>
            <w:pPr/>
          </w:p>
        </w:tc>
        <w:tc>
          <w:tcPr>
            <w:tcW w:w="1056" w:type="dxa"/>
            <w:tcBorders>
              <w:top w:val="single" w:sz="8" w:space="0" w:color="000000"/>
              <w:left w:val="nil" w:sz="6" w:space="0" w:color="auto"/>
              <w:bottom w:val="single" w:sz="8" w:space="0" w:color="000000"/>
              <w:right w:val="nil" w:sz="6" w:space="0" w:color="auto"/>
            </w:tcBorders>
          </w:tcPr>
          <w:p>
            <w:pPr/>
          </w:p>
        </w:tc>
        <w:tc>
          <w:tcPr>
            <w:tcW w:w="2036" w:type="dxa"/>
            <w:gridSpan w:val="2"/>
            <w:tcBorders>
              <w:top w:val="single" w:sz="8" w:space="0" w:color="000000"/>
              <w:left w:val="nil" w:sz="6" w:space="0" w:color="auto"/>
              <w:bottom w:val="single" w:sz="8" w:space="0" w:color="000000"/>
              <w:right w:val="nil" w:sz="6" w:space="0" w:color="auto"/>
            </w:tcBorders>
          </w:tcPr>
          <w:p>
            <w:pPr/>
          </w:p>
        </w:tc>
      </w:tr>
      <w:tr>
        <w:trPr>
          <w:trHeight w:val="353" w:hRule="exact"/>
        </w:trPr>
        <w:tc>
          <w:tcPr>
            <w:tcW w:w="197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0" w:type="dxa"/>
            <w:tcBorders>
              <w:top w:val="single" w:sz="8" w:space="0" w:color="000000"/>
              <w:left w:val="nil" w:sz="6" w:space="0" w:color="auto"/>
              <w:bottom w:val="single" w:sz="8" w:space="0" w:color="000000"/>
              <w:right w:val="nil" w:sz="6" w:space="0" w:color="auto"/>
            </w:tcBorders>
          </w:tcPr>
          <w:p>
            <w:pPr/>
          </w:p>
        </w:tc>
        <w:tc>
          <w:tcPr>
            <w:tcW w:w="1190" w:type="dxa"/>
            <w:tcBorders>
              <w:top w:val="single" w:sz="8" w:space="0" w:color="000000"/>
              <w:left w:val="nil" w:sz="6" w:space="0" w:color="auto"/>
              <w:bottom w:val="single" w:sz="8" w:space="0" w:color="000000"/>
              <w:right w:val="nil" w:sz="6" w:space="0" w:color="auto"/>
            </w:tcBorders>
          </w:tcPr>
          <w:p>
            <w:pP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6" w:right="0"/>
              <w:jc w:val="center"/>
              <w:rPr>
                <w:rFonts w:ascii="Times New Roman" w:hAnsi="Times New Roman" w:cs="Times New Roman" w:eastAsia="Times New Roman" w:hint="default"/>
                <w:sz w:val="18"/>
                <w:szCs w:val="18"/>
              </w:rPr>
            </w:pPr>
            <w:r>
              <w:rPr>
                <w:rFonts w:ascii="Times New Roman"/>
                <w:sz w:val="18"/>
              </w:rPr>
              <w:t>80,000,000.00</w:t>
            </w:r>
          </w:p>
        </w:tc>
        <w:tc>
          <w:tcPr>
            <w:tcW w:w="1056" w:type="dxa"/>
            <w:tcBorders>
              <w:top w:val="single" w:sz="8" w:space="0" w:color="000000"/>
              <w:left w:val="nil" w:sz="6" w:space="0" w:color="auto"/>
              <w:bottom w:val="single" w:sz="8" w:space="0" w:color="000000"/>
              <w:right w:val="nil" w:sz="6" w:space="0" w:color="auto"/>
            </w:tcBorders>
          </w:tcPr>
          <w:p>
            <w:pPr/>
          </w:p>
        </w:tc>
        <w:tc>
          <w:tcPr>
            <w:tcW w:w="2036"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94" w:right="0"/>
              <w:jc w:val="left"/>
              <w:rPr>
                <w:rFonts w:ascii="Times New Roman" w:hAnsi="Times New Roman" w:cs="Times New Roman" w:eastAsia="Times New Roman" w:hint="default"/>
                <w:sz w:val="18"/>
                <w:szCs w:val="18"/>
              </w:rPr>
            </w:pPr>
            <w:r>
              <w:rPr>
                <w:rFonts w:ascii="Times New Roman"/>
                <w:sz w:val="18"/>
              </w:rPr>
              <w:t>80,000,000.00</w:t>
            </w:r>
          </w:p>
        </w:tc>
      </w:tr>
      <w:tr>
        <w:trPr>
          <w:trHeight w:val="353" w:hRule="exact"/>
        </w:trPr>
        <w:tc>
          <w:tcPr>
            <w:tcW w:w="197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0" w:type="dxa"/>
            <w:tcBorders>
              <w:top w:val="single" w:sz="8" w:space="0" w:color="000000"/>
              <w:left w:val="nil" w:sz="6" w:space="0" w:color="auto"/>
              <w:bottom w:val="single" w:sz="8" w:space="0" w:color="000000"/>
              <w:right w:val="nil" w:sz="6" w:space="0" w:color="auto"/>
            </w:tcBorders>
          </w:tcPr>
          <w:p>
            <w:pPr/>
          </w:p>
        </w:tc>
        <w:tc>
          <w:tcPr>
            <w:tcW w:w="1190" w:type="dxa"/>
            <w:tcBorders>
              <w:top w:val="single" w:sz="8" w:space="0" w:color="000000"/>
              <w:left w:val="nil" w:sz="6" w:space="0" w:color="auto"/>
              <w:bottom w:val="single" w:sz="8" w:space="0" w:color="000000"/>
              <w:right w:val="nil" w:sz="6" w:space="0" w:color="auto"/>
            </w:tcBorders>
          </w:tcPr>
          <w:p>
            <w:pP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96" w:right="0"/>
              <w:jc w:val="center"/>
              <w:rPr>
                <w:rFonts w:ascii="Times New Roman" w:hAnsi="Times New Roman" w:cs="Times New Roman" w:eastAsia="Times New Roman" w:hint="default"/>
                <w:sz w:val="18"/>
                <w:szCs w:val="18"/>
              </w:rPr>
            </w:pPr>
            <w:r>
              <w:rPr>
                <w:rFonts w:ascii="Times New Roman"/>
                <w:sz w:val="18"/>
              </w:rPr>
              <w:t>88,002,545.20</w:t>
            </w:r>
          </w:p>
        </w:tc>
        <w:tc>
          <w:tcPr>
            <w:tcW w:w="1056"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58" w:right="0"/>
              <w:jc w:val="left"/>
              <w:rPr>
                <w:rFonts w:ascii="Times New Roman" w:hAnsi="Times New Roman" w:cs="Times New Roman" w:eastAsia="Times New Roman" w:hint="default"/>
                <w:sz w:val="18"/>
                <w:szCs w:val="18"/>
              </w:rPr>
            </w:pPr>
            <w:r>
              <w:rPr>
                <w:rFonts w:ascii="Times New Roman"/>
                <w:sz w:val="18"/>
              </w:rPr>
              <w:t>2,962,477.14</w:t>
            </w:r>
          </w:p>
        </w:tc>
        <w:tc>
          <w:tcPr>
            <w:tcW w:w="2036"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994" w:right="0"/>
              <w:jc w:val="left"/>
              <w:rPr>
                <w:rFonts w:ascii="Times New Roman" w:hAnsi="Times New Roman" w:cs="Times New Roman" w:eastAsia="Times New Roman" w:hint="default"/>
                <w:sz w:val="18"/>
                <w:szCs w:val="18"/>
              </w:rPr>
            </w:pPr>
            <w:r>
              <w:rPr>
                <w:rFonts w:ascii="Times New Roman"/>
                <w:sz w:val="18"/>
              </w:rPr>
              <w:t>90,965,022.34</w:t>
            </w:r>
          </w:p>
        </w:tc>
      </w:tr>
      <w:tr>
        <w:trPr>
          <w:trHeight w:val="350" w:hRule="exact"/>
        </w:trPr>
        <w:tc>
          <w:tcPr>
            <w:tcW w:w="197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30" w:type="dxa"/>
            <w:tcBorders>
              <w:top w:val="single" w:sz="8" w:space="0" w:color="000000"/>
              <w:left w:val="nil" w:sz="6" w:space="0" w:color="auto"/>
              <w:bottom w:val="single" w:sz="8" w:space="0" w:color="000000"/>
              <w:right w:val="nil" w:sz="6" w:space="0" w:color="auto"/>
            </w:tcBorders>
          </w:tcPr>
          <w:p>
            <w:pPr/>
          </w:p>
        </w:tc>
        <w:tc>
          <w:tcPr>
            <w:tcW w:w="119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23" w:right="0"/>
              <w:jc w:val="center"/>
              <w:rPr>
                <w:rFonts w:ascii="Times New Roman" w:hAnsi="Times New Roman" w:cs="Times New Roman" w:eastAsia="Times New Roman" w:hint="default"/>
                <w:sz w:val="18"/>
                <w:szCs w:val="18"/>
              </w:rPr>
            </w:pPr>
            <w:r>
              <w:rPr>
                <w:rFonts w:ascii="Times New Roman"/>
                <w:sz w:val="18"/>
              </w:rPr>
              <w:t>14,657,122.74</w:t>
            </w:r>
          </w:p>
        </w:tc>
        <w:tc>
          <w:tcPr>
            <w:tcW w:w="1252" w:type="dxa"/>
            <w:tcBorders>
              <w:top w:val="single" w:sz="8" w:space="0" w:color="000000"/>
              <w:left w:val="nil" w:sz="6" w:space="0" w:color="auto"/>
              <w:bottom w:val="single" w:sz="8" w:space="0" w:color="000000"/>
              <w:right w:val="nil" w:sz="6" w:space="0" w:color="auto"/>
            </w:tcBorders>
          </w:tcPr>
          <w:p>
            <w:pPr/>
          </w:p>
        </w:tc>
        <w:tc>
          <w:tcPr>
            <w:tcW w:w="1056" w:type="dxa"/>
            <w:tcBorders>
              <w:top w:val="single" w:sz="8" w:space="0" w:color="000000"/>
              <w:left w:val="nil" w:sz="6" w:space="0" w:color="auto"/>
              <w:bottom w:val="single" w:sz="8" w:space="0" w:color="000000"/>
              <w:right w:val="nil" w:sz="6" w:space="0" w:color="auto"/>
            </w:tcBorders>
          </w:tcPr>
          <w:p>
            <w:pPr/>
          </w:p>
        </w:tc>
        <w:tc>
          <w:tcPr>
            <w:tcW w:w="2036"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60"/>
              <w:ind w:left="994" w:right="0"/>
              <w:jc w:val="left"/>
              <w:rPr>
                <w:rFonts w:ascii="Times New Roman" w:hAnsi="Times New Roman" w:cs="Times New Roman" w:eastAsia="Times New Roman" w:hint="default"/>
                <w:sz w:val="18"/>
                <w:szCs w:val="18"/>
              </w:rPr>
            </w:pPr>
            <w:r>
              <w:rPr>
                <w:rFonts w:ascii="Times New Roman"/>
                <w:sz w:val="18"/>
              </w:rPr>
              <w:t>14,657,122.74</w:t>
            </w:r>
          </w:p>
        </w:tc>
      </w:tr>
      <w:tr>
        <w:trPr>
          <w:trHeight w:val="353" w:hRule="exact"/>
        </w:trPr>
        <w:tc>
          <w:tcPr>
            <w:tcW w:w="197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0" w:type="dxa"/>
            <w:tcBorders>
              <w:top w:val="single" w:sz="8" w:space="0" w:color="000000"/>
              <w:left w:val="nil" w:sz="6" w:space="0" w:color="auto"/>
              <w:bottom w:val="single" w:sz="8" w:space="0" w:color="000000"/>
              <w:right w:val="nil" w:sz="6" w:space="0" w:color="auto"/>
            </w:tcBorders>
          </w:tcPr>
          <w:p>
            <w:pPr/>
          </w:p>
        </w:tc>
        <w:tc>
          <w:tcPr>
            <w:tcW w:w="1190" w:type="dxa"/>
            <w:tcBorders>
              <w:top w:val="single" w:sz="8" w:space="0" w:color="000000"/>
              <w:left w:val="nil" w:sz="6" w:space="0" w:color="auto"/>
              <w:bottom w:val="single" w:sz="8" w:space="0" w:color="000000"/>
              <w:right w:val="nil" w:sz="6" w:space="0" w:color="auto"/>
            </w:tcBorders>
          </w:tcPr>
          <w:p>
            <w:pPr/>
          </w:p>
        </w:tc>
        <w:tc>
          <w:tcPr>
            <w:tcW w:w="125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86" w:right="0"/>
              <w:jc w:val="center"/>
              <w:rPr>
                <w:rFonts w:ascii="Times New Roman" w:hAnsi="Times New Roman" w:cs="Times New Roman" w:eastAsia="Times New Roman" w:hint="default"/>
                <w:sz w:val="18"/>
                <w:szCs w:val="18"/>
              </w:rPr>
            </w:pPr>
            <w:r>
              <w:rPr>
                <w:rFonts w:ascii="Times New Roman"/>
                <w:sz w:val="18"/>
              </w:rPr>
              <w:t>4,314,759.24</w:t>
            </w:r>
          </w:p>
        </w:tc>
        <w:tc>
          <w:tcPr>
            <w:tcW w:w="105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8" w:right="0"/>
              <w:jc w:val="left"/>
              <w:rPr>
                <w:rFonts w:ascii="Times New Roman" w:hAnsi="Times New Roman" w:cs="Times New Roman" w:eastAsia="Times New Roman" w:hint="default"/>
                <w:sz w:val="18"/>
                <w:szCs w:val="18"/>
              </w:rPr>
            </w:pPr>
            <w:r>
              <w:rPr>
                <w:rFonts w:ascii="Times New Roman"/>
                <w:sz w:val="18"/>
              </w:rPr>
              <w:t>1,713,573.27</w:t>
            </w:r>
          </w:p>
        </w:tc>
        <w:tc>
          <w:tcPr>
            <w:tcW w:w="2036"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83" w:right="0"/>
              <w:jc w:val="left"/>
              <w:rPr>
                <w:rFonts w:ascii="Times New Roman" w:hAnsi="Times New Roman" w:cs="Times New Roman" w:eastAsia="Times New Roman" w:hint="default"/>
                <w:sz w:val="18"/>
                <w:szCs w:val="18"/>
              </w:rPr>
            </w:pPr>
            <w:r>
              <w:rPr>
                <w:rFonts w:ascii="Times New Roman"/>
                <w:sz w:val="18"/>
              </w:rPr>
              <w:t>6,028,332.51</w:t>
            </w:r>
          </w:p>
        </w:tc>
      </w:tr>
      <w:tr>
        <w:trPr>
          <w:trHeight w:val="350" w:hRule="exact"/>
        </w:trPr>
        <w:tc>
          <w:tcPr>
            <w:tcW w:w="1975" w:type="dxa"/>
            <w:tcBorders>
              <w:top w:val="single" w:sz="8" w:space="0" w:color="000000"/>
              <w:left w:val="nil" w:sz="6" w:space="0" w:color="auto"/>
              <w:bottom w:val="single" w:sz="6"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30" w:type="dxa"/>
            <w:tcBorders>
              <w:top w:val="single" w:sz="8" w:space="0" w:color="000000"/>
              <w:left w:val="nil" w:sz="6" w:space="0" w:color="auto"/>
              <w:bottom w:val="single" w:sz="6" w:space="0" w:color="000000"/>
              <w:right w:val="nil" w:sz="6" w:space="0" w:color="auto"/>
            </w:tcBorders>
          </w:tcPr>
          <w:p>
            <w:pPr/>
          </w:p>
        </w:tc>
        <w:tc>
          <w:tcPr>
            <w:tcW w:w="1190" w:type="dxa"/>
            <w:tcBorders>
              <w:top w:val="single" w:sz="8" w:space="0" w:color="000000"/>
              <w:left w:val="nil" w:sz="6" w:space="0" w:color="auto"/>
              <w:bottom w:val="single" w:sz="6" w:space="0" w:color="000000"/>
              <w:right w:val="nil" w:sz="6" w:space="0" w:color="auto"/>
            </w:tcBorders>
          </w:tcPr>
          <w:p>
            <w:pPr>
              <w:pStyle w:val="TableParagraph"/>
              <w:spacing w:line="240" w:lineRule="auto" w:before="64"/>
              <w:ind w:left="23" w:right="0"/>
              <w:jc w:val="center"/>
              <w:rPr>
                <w:rFonts w:ascii="Times New Roman" w:hAnsi="Times New Roman" w:cs="Times New Roman" w:eastAsia="Times New Roman" w:hint="default"/>
                <w:sz w:val="18"/>
                <w:szCs w:val="18"/>
              </w:rPr>
            </w:pPr>
            <w:r>
              <w:rPr>
                <w:rFonts w:ascii="Times New Roman"/>
                <w:b/>
                <w:sz w:val="18"/>
              </w:rPr>
              <w:t>14,657,122.74</w:t>
            </w:r>
            <w:r>
              <w:rPr>
                <w:rFonts w:ascii="Times New Roman"/>
                <w:sz w:val="18"/>
              </w:rPr>
            </w:r>
          </w:p>
        </w:tc>
        <w:tc>
          <w:tcPr>
            <w:tcW w:w="1252" w:type="dxa"/>
            <w:tcBorders>
              <w:top w:val="single" w:sz="8" w:space="0" w:color="000000"/>
              <w:left w:val="nil" w:sz="6" w:space="0" w:color="auto"/>
              <w:bottom w:val="single" w:sz="6" w:space="0" w:color="000000"/>
              <w:right w:val="nil" w:sz="6" w:space="0" w:color="auto"/>
            </w:tcBorders>
          </w:tcPr>
          <w:p>
            <w:pPr>
              <w:pStyle w:val="TableParagraph"/>
              <w:spacing w:line="240" w:lineRule="auto" w:before="64"/>
              <w:ind w:left="6" w:right="0"/>
              <w:jc w:val="center"/>
              <w:rPr>
                <w:rFonts w:ascii="Times New Roman" w:hAnsi="Times New Roman" w:cs="Times New Roman" w:eastAsia="Times New Roman" w:hint="default"/>
                <w:sz w:val="18"/>
                <w:szCs w:val="18"/>
              </w:rPr>
            </w:pPr>
            <w:r>
              <w:rPr>
                <w:rFonts w:ascii="Times New Roman"/>
                <w:b/>
                <w:sz w:val="18"/>
              </w:rPr>
              <w:t>172,317,304.44</w:t>
            </w:r>
            <w:r>
              <w:rPr>
                <w:rFonts w:ascii="Times New Roman"/>
                <w:sz w:val="18"/>
              </w:rPr>
            </w:r>
          </w:p>
        </w:tc>
        <w:tc>
          <w:tcPr>
            <w:tcW w:w="1056" w:type="dxa"/>
            <w:tcBorders>
              <w:top w:val="single" w:sz="8" w:space="0" w:color="000000"/>
              <w:left w:val="nil" w:sz="6" w:space="0" w:color="auto"/>
              <w:bottom w:val="single" w:sz="6" w:space="0" w:color="000000"/>
              <w:right w:val="nil" w:sz="6" w:space="0" w:color="auto"/>
            </w:tcBorders>
          </w:tcPr>
          <w:p>
            <w:pPr>
              <w:pStyle w:val="TableParagraph"/>
              <w:spacing w:line="240" w:lineRule="auto" w:before="64"/>
              <w:ind w:left="58" w:right="0"/>
              <w:jc w:val="left"/>
              <w:rPr>
                <w:rFonts w:ascii="Times New Roman" w:hAnsi="Times New Roman" w:cs="Times New Roman" w:eastAsia="Times New Roman" w:hint="default"/>
                <w:sz w:val="18"/>
                <w:szCs w:val="18"/>
              </w:rPr>
            </w:pPr>
            <w:r>
              <w:rPr>
                <w:rFonts w:ascii="Times New Roman"/>
                <w:b/>
                <w:sz w:val="18"/>
              </w:rPr>
              <w:t>4,676,050.41</w:t>
            </w:r>
            <w:r>
              <w:rPr>
                <w:rFonts w:ascii="Times New Roman"/>
                <w:sz w:val="18"/>
              </w:rPr>
            </w:r>
          </w:p>
        </w:tc>
        <w:tc>
          <w:tcPr>
            <w:tcW w:w="2036" w:type="dxa"/>
            <w:gridSpan w:val="2"/>
            <w:tcBorders>
              <w:top w:val="single" w:sz="8" w:space="0" w:color="000000"/>
              <w:left w:val="nil" w:sz="6" w:space="0" w:color="auto"/>
              <w:bottom w:val="single" w:sz="6" w:space="0" w:color="000000"/>
              <w:right w:val="nil" w:sz="6" w:space="0" w:color="auto"/>
            </w:tcBorders>
          </w:tcPr>
          <w:p>
            <w:pPr>
              <w:pStyle w:val="TableParagraph"/>
              <w:spacing w:line="240" w:lineRule="auto" w:before="64"/>
              <w:ind w:left="903" w:right="0"/>
              <w:jc w:val="left"/>
              <w:rPr>
                <w:rFonts w:ascii="Times New Roman" w:hAnsi="Times New Roman" w:cs="Times New Roman" w:eastAsia="Times New Roman" w:hint="default"/>
                <w:sz w:val="18"/>
                <w:szCs w:val="18"/>
              </w:rPr>
            </w:pPr>
            <w:r>
              <w:rPr>
                <w:rFonts w:ascii="Times New Roman"/>
                <w:b/>
                <w:sz w:val="18"/>
              </w:rPr>
              <w:t>191,650,477.59</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6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bookmarkStart w:name="6、持续的公允价值计量项目，本期内发生各层级之间转换的，转换的原因及确定转换时点" w:id="430"/>
      <w:bookmarkEnd w:id="430"/>
      <w:r>
        <w:rPr>
          <w:b w:val="0"/>
          <w:bCs w:val="0"/>
        </w:rPr>
      </w:r>
      <w:bookmarkStart w:name="7、本期内发生的估值技术变更及变更原因" w:id="431"/>
      <w:bookmarkEnd w:id="431"/>
      <w:r>
        <w:rPr>
          <w:b w:val="0"/>
          <w:bCs w:val="0"/>
        </w:rPr>
      </w:r>
      <w:bookmarkStart w:name="8、不以公允价值计量的金融资产和金融负债的公允价值情况" w:id="432"/>
      <w:bookmarkEnd w:id="432"/>
      <w:r>
        <w:rPr>
          <w:b w:val="0"/>
          <w:bCs w:val="0"/>
        </w:rPr>
      </w:r>
      <w:bookmarkStart w:name="9、其他" w:id="433"/>
      <w:bookmarkEnd w:id="433"/>
      <w:r>
        <w:rPr>
          <w:b w:val="0"/>
          <w:bCs w:val="0"/>
        </w:rPr>
      </w:r>
      <w:r>
        <w:rPr/>
        <w:t>十</w:t>
      </w:r>
      <w:bookmarkStart w:name="十一、公允价值的披露" w:id="434"/>
      <w:bookmarkEnd w:id="434"/>
      <w:r>
        <w:rPr/>
        <w:t>一</w:t>
      </w:r>
      <w:r>
        <w:rPr/>
        <w:t>、公允价值的披露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bookmarkStart w:name="1、以公允价值计量的资产和负债的期末公允价值" w:id="435"/>
      <w:bookmarkEnd w:id="435"/>
      <w:r>
        <w:rPr>
          <w:rFonts w:ascii="Times New Roman" w:hAnsi="Times New Roman" w:cs="Times New Roman" w:eastAsia="Times New Roman" w:hint="default"/>
        </w:rPr>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2</w:t>
      </w:r>
      <w:r>
        <w:rPr/>
        <w:t>、持续和非持续第一层次</w:t>
      </w:r>
      <w:bookmarkStart w:name="2、持续和非持续第一层次公允价值计量项目市价的确定依据" w:id="436"/>
      <w:bookmarkEnd w:id="436"/>
      <w:r>
        <w:rPr/>
        <w:t>公允价值计量项目</w:t>
      </w:r>
      <w:r>
        <w:rPr/>
        <w:t>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3</w:t>
      </w:r>
      <w:r>
        <w:rPr/>
        <w:t>、持续和非持续第二层次公允价值计量项目，采用</w:t>
      </w:r>
      <w:bookmarkStart w:name="3、持续和非持续第二层次公允价值计量项目，采用的估值技术和重要参数的定性及定量信" w:id="437"/>
      <w:bookmarkEnd w:id="437"/>
      <w:r>
        <w:rPr/>
        <w:t>的估值技术和重要</w:t>
      </w:r>
      <w:r>
        <w:rPr/>
        <w:t>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4</w:t>
      </w:r>
      <w:r>
        <w:rPr/>
        <w:t>、持续和非持续第三层次公允价值计量项目，采用</w:t>
      </w:r>
      <w:bookmarkStart w:name="4、持续和非持续第三层次公允价值计量项目，采用的估值技术和重要参数的定性及定量信" w:id="438"/>
      <w:bookmarkEnd w:id="438"/>
      <w:r>
        <w:rPr/>
        <w:t>的估值技术和重要</w:t>
      </w:r>
      <w:r>
        <w:rPr/>
        <w:t>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47"/>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w:t>
      </w:r>
      <w:bookmarkStart w:name="5、持续的第三层次公允价值计量项目，期初与期末账面价值间的调节信息及不可观察参数" w:id="439"/>
      <w:bookmarkEnd w:id="439"/>
      <w:r>
        <w:rPr/>
        <w:t>不可观察参数敏感</w:t>
      </w:r>
      <w:r>
        <w:rPr/>
        <w:t>性分析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after="0" w:line="240" w:lineRule="auto"/>
        <w:jc w:val="left"/>
        <w:sectPr>
          <w:pgSz w:w="11910" w:h="16840"/>
          <w:pgMar w:header="745" w:footer="96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bookmarkStart w:name="5、关联交易情况" w:id="440"/>
      <w:bookmarkEnd w:id="440"/>
      <w:r>
        <w:rPr>
          <w:b w:val="0"/>
          <w:bCs w:val="0"/>
        </w:rPr>
      </w:r>
      <w:bookmarkStart w:name="（1）购销商品、提供和接受劳务的关联交易" w:id="441"/>
      <w:bookmarkEnd w:id="441"/>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bookmarkStart w:name="十二、关联方及关联交易" w:id="442"/>
      <w:bookmarkEnd w:id="442"/>
      <w:r>
        <w:rPr>
          <w:rFonts w:ascii="Times New Roman" w:hAnsi="Times New Roman" w:cs="Times New Roman" w:eastAsia="Times New Roman" w:hint="default"/>
        </w:rPr>
      </w:r>
      <w:bookmarkStart w:name="1、本企业的母公司情况" w:id="443"/>
      <w:bookmarkEnd w:id="443"/>
      <w:r>
        <w:rPr>
          <w:rFonts w:ascii="Times New Roman" w:hAnsi="Times New Roman" w:cs="Times New Roman" w:eastAsia="Times New Roman" w:hint="default"/>
        </w:rPr>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23.09%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23.09%</w:t>
            </w:r>
          </w:p>
        </w:tc>
      </w:tr>
    </w:tbl>
    <w:p>
      <w:pPr>
        <w:pStyle w:val="BodyText"/>
        <w:spacing w:line="357" w:lineRule="auto" w:before="49"/>
        <w:ind w:right="7614"/>
        <w:jc w:val="left"/>
      </w:pPr>
      <w:r>
        <w:rPr/>
        <w:t>本企业的母公司情况的说明 无。 本企业最终控制方是鲁峰。 其他说明：</w:t>
      </w:r>
    </w:p>
    <w:p>
      <w:pPr>
        <w:pStyle w:val="BodyText"/>
        <w:spacing w:line="240" w:lineRule="auto" w:before="29"/>
        <w:ind w:right="791"/>
        <w:jc w:val="left"/>
      </w:pPr>
      <w:r>
        <w:rPr/>
        <w:t>无。</w:t>
      </w:r>
    </w:p>
    <w:p>
      <w:pPr>
        <w:spacing w:line="240" w:lineRule="auto" w:before="0"/>
        <w:rPr>
          <w:rFonts w:ascii="宋体" w:hAnsi="宋体" w:cs="宋体" w:eastAsia="宋体" w:hint="default"/>
          <w:sz w:val="18"/>
          <w:szCs w:val="18"/>
        </w:rPr>
      </w:pPr>
    </w:p>
    <w:p>
      <w:pPr>
        <w:spacing w:line="544" w:lineRule="auto" w:before="120"/>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9"/>
        <w:ind w:right="1314"/>
        <w:jc w:val="left"/>
      </w:pPr>
      <w:r>
        <w:rPr/>
        <w:t>本企业重要的合营或联营企业详见附注七、</w:t>
      </w:r>
      <w:r>
        <w:rPr>
          <w:rFonts w:ascii="Times New Roman" w:hAnsi="Times New Roman" w:cs="Times New Roman" w:eastAsia="Times New Roman" w:hint="default"/>
        </w:rPr>
        <w:t>2</w:t>
      </w:r>
      <w:r>
        <w:rPr/>
        <w:t>。 </w:t>
      </w:r>
      <w:bookmarkStart w:name="2、本企业的子公司情况" w:id="444"/>
      <w:bookmarkEnd w:id="444"/>
      <w:r>
        <w:rPr/>
      </w:r>
      <w:bookmarkStart w:name="3、本企业合营和联营企业情况" w:id="445"/>
      <w:bookmarkEnd w:id="445"/>
      <w:r>
        <w:rPr/>
        <w:t>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本集团持有其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相同的独立董事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79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3"/>
        <w:jc w:val="right"/>
      </w:pPr>
      <w:bookmarkStart w:name="4、其他关联方情况" w:id="446"/>
      <w:bookmarkEnd w:id="446"/>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6"/>
        <w:gridCol w:w="2258"/>
        <w:gridCol w:w="2258"/>
        <w:gridCol w:w="2654"/>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6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650,427.35</w:t>
            </w:r>
          </w:p>
        </w:tc>
      </w:tr>
    </w:tbl>
    <w:p>
      <w:pPr>
        <w:pStyle w:val="BodyText"/>
        <w:spacing w:line="240" w:lineRule="auto" w:before="49"/>
        <w:ind w:right="791"/>
        <w:jc w:val="left"/>
      </w:pPr>
      <w:bookmarkStart w:name="（4）关联担保情况" w:id="447"/>
      <w:bookmarkEnd w:id="447"/>
      <w:r>
        <w:rPr/>
      </w: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33,249,756.02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26,037,037.32</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122,222.22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3,493,149.57</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34,017.10</w:t>
            </w:r>
          </w:p>
        </w:tc>
      </w:tr>
    </w:tbl>
    <w:p>
      <w:pPr>
        <w:pStyle w:val="BodyText"/>
        <w:spacing w:line="357" w:lineRule="auto" w:before="49"/>
        <w:ind w:right="6354"/>
        <w:jc w:val="left"/>
      </w:pPr>
      <w:r>
        <w:rPr/>
        <w:t>购销商品、提供和接受劳务的关联交易说明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bookmarkStart w:name="（2）关联受托管理/承包及委托管理/出包情况" w:id="448"/>
      <w:bookmarkEnd w:id="448"/>
      <w:r>
        <w:rPr>
          <w:rFonts w:ascii="Times New Roman" w:hAnsi="Times New Roman" w:cs="Times New Roman" w:eastAsia="Times New Roman" w:hint="default"/>
        </w:rPr>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8"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62" w:top="1060" w:bottom="1180" w:left="980" w:right="98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2544" w:space="6283"/>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8"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49"/>
        <w:ind w:right="7924"/>
        <w:jc w:val="left"/>
      </w:pPr>
      <w:r>
        <w:rPr/>
        <w:t>关联管理</w:t>
      </w:r>
      <w:r>
        <w:rPr>
          <w:rFonts w:ascii="Times New Roman" w:hAnsi="Times New Roman" w:cs="Times New Roman" w:eastAsia="Times New Roman" w:hint="default"/>
        </w:rPr>
        <w:t>/</w:t>
      </w:r>
      <w:r>
        <w:rPr/>
        <w:t>出包情况说明 无。</w:t>
      </w:r>
    </w:p>
    <w:p>
      <w:pPr>
        <w:spacing w:line="240" w:lineRule="auto" w:before="7"/>
        <w:rPr>
          <w:rFonts w:ascii="宋体" w:hAnsi="宋体" w:cs="宋体" w:eastAsia="宋体" w:hint="default"/>
          <w:sz w:val="21"/>
          <w:szCs w:val="21"/>
        </w:rPr>
      </w:pPr>
    </w:p>
    <w:p>
      <w:pPr>
        <w:pStyle w:val="Heading3"/>
        <w:spacing w:line="240" w:lineRule="auto"/>
        <w:ind w:right="791"/>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791"/>
        <w:jc w:val="left"/>
      </w:pPr>
      <w:r>
        <w:rPr/>
        <w:t>本公司作为出租方：</w:t>
      </w:r>
    </w:p>
    <w:p>
      <w:pPr>
        <w:pStyle w:val="BodyText"/>
        <w:spacing w:line="240" w:lineRule="auto" w:before="115"/>
        <w:ind w:left="0" w:right="153"/>
        <w:jc w:val="right"/>
      </w:pPr>
      <w:bookmarkStart w:name="（3）关联租赁情况" w:id="449"/>
      <w:bookmarkEnd w:id="44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0"/>
        <w:ind w:right="791"/>
        <w:jc w:val="left"/>
      </w:pPr>
      <w:r>
        <w:rPr/>
        <w:t>本公司作为承租方：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60" w:lineRule="auto" w:before="49"/>
        <w:ind w:right="8334"/>
        <w:jc w:val="left"/>
      </w:pPr>
      <w:r>
        <w:rPr/>
        <w:t>关联租赁情况说明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本公司作为担保方</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bookmarkStart w:name="6、关联方应收应付款项" w:id="450"/>
      <w:bookmarkEnd w:id="450"/>
      <w:r>
        <w:rPr/>
      </w:r>
      <w:bookmarkStart w:name="（1）应收项目" w:id="451"/>
      <w:bookmarkEnd w:id="451"/>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791"/>
        <w:jc w:val="left"/>
      </w:pPr>
      <w:r>
        <w:rPr/>
        <w:t>本公司作为被担保方</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57" w:lineRule="auto" w:before="49"/>
        <w:ind w:right="8334"/>
        <w:jc w:val="left"/>
      </w:pPr>
      <w:r>
        <w:rPr/>
        <w:t>关联担保情况说明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关联方资金拆借" w:id="452"/>
      <w:bookmarkEnd w:id="45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关联方资产转让、债务重组情况" w:id="453"/>
      <w:bookmarkEnd w:id="453"/>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7）关键管理人员报酬" w:id="454"/>
      <w:bookmarkEnd w:id="454"/>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8）其他关联交易" w:id="455"/>
      <w:bookmarkEnd w:id="45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4,390,198.71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219,509.94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3,449,493.41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172,474.67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福建三钢闽光股份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205,485.00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10,274.25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6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1、股份支付总体情况" w:id="456"/>
      <w:bookmarkEnd w:id="456"/>
      <w:r>
        <w:rPr>
          <w:b w:val="0"/>
          <w:bCs w:val="0"/>
        </w:rPr>
      </w:r>
      <w:bookmarkStart w:name="2、以权益结算的股份支付情况" w:id="457"/>
      <w:bookmarkEnd w:id="457"/>
      <w:r>
        <w:rPr>
          <w:b w:val="0"/>
          <w:bCs w:val="0"/>
        </w:rPr>
      </w:r>
      <w:bookmarkStart w:name="3、以现金结算的股份支付情况" w:id="458"/>
      <w:bookmarkEnd w:id="458"/>
      <w:r>
        <w:rPr>
          <w:b w:val="0"/>
          <w:bCs w:val="0"/>
        </w:rPr>
      </w:r>
      <w:bookmarkStart w:name="4、股份支付的修改、终止情况" w:id="459"/>
      <w:bookmarkEnd w:id="459"/>
      <w:r>
        <w:rPr>
          <w:b w:val="0"/>
          <w:bCs w:val="0"/>
        </w:rPr>
      </w:r>
      <w:bookmarkStart w:name="5、其他" w:id="460"/>
      <w:bookmarkEnd w:id="460"/>
      <w:r>
        <w:rPr>
          <w:b w:val="0"/>
          <w:bCs w:val="0"/>
        </w:rPr>
      </w:r>
      <w:bookmarkStart w:name="十四、承诺及或有事项" w:id="461"/>
      <w:bookmarkEnd w:id="461"/>
      <w:r>
        <w:rPr>
          <w:b w:val="0"/>
          <w:bCs w:val="0"/>
        </w:rPr>
      </w:r>
      <w:bookmarkStart w:name="1、重要承诺事项" w:id="462"/>
      <w:bookmarkEnd w:id="462"/>
      <w:r>
        <w:rPr>
          <w:b w:val="0"/>
          <w:bCs w:val="0"/>
        </w:rPr>
      </w:r>
      <w:r>
        <w:rPr/>
        <w:t>（</w:t>
      </w:r>
      <w:r>
        <w:rPr>
          <w:rFonts w:ascii="Times New Roman" w:hAnsi="Times New Roman" w:cs="Times New Roman" w:eastAsia="Times New Roman" w:hint="default"/>
        </w:rPr>
        <w:t>2</w:t>
      </w:r>
      <w:bookmarkStart w:name="（2）应付项目" w:id="463"/>
      <w:bookmarkEnd w:id="463"/>
      <w:r>
        <w:rPr>
          <w:rFonts w:ascii="Times New Roman" w:hAnsi="Times New Roman" w:cs="Times New Roman" w:eastAsia="Times New Roman" w:hint="default"/>
        </w:rPr>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761,000.00</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791"/>
        <w:jc w:val="left"/>
        <w:rPr>
          <w:b w:val="0"/>
          <w:bCs w:val="0"/>
        </w:rPr>
      </w:pPr>
      <w:r>
        <w:rPr>
          <w:rFonts w:ascii="Times New Roman" w:hAnsi="Times New Roman" w:cs="Times New Roman" w:eastAsia="Times New Roman" w:hint="default"/>
        </w:rPr>
        <w:t>2</w:t>
      </w:r>
      <w:r>
        <w:rPr/>
        <w:t>、以权益结算的股份支付</w:t>
      </w:r>
      <w:bookmarkStart w:name="7、关联方承诺" w:id="464"/>
      <w:bookmarkEnd w:id="464"/>
      <w:r>
        <w:rPr/>
        <w:t>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7"/>
        <w:ind w:right="791"/>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3"/>
        <w:rPr>
          <w:rFonts w:ascii="宋体" w:hAnsi="宋体" w:cs="宋体" w:eastAsia="宋体" w:hint="default"/>
          <w:sz w:val="25"/>
          <w:szCs w:val="25"/>
        </w:rPr>
      </w:pPr>
    </w:p>
    <w:p>
      <w:pPr>
        <w:pStyle w:val="Heading2"/>
        <w:spacing w:line="240" w:lineRule="auto"/>
        <w:ind w:right="791"/>
        <w:jc w:val="left"/>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5259"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w:t>
      </w:r>
      <w:r>
        <w:rPr>
          <w:rFonts w:ascii="宋体" w:hAnsi="宋体" w:cs="宋体" w:eastAsia="宋体" w:hint="default"/>
          <w:b/>
          <w:bCs/>
          <w:sz w:val="18"/>
          <w:szCs w:val="18"/>
        </w:rPr>
        <w:t>截至</w:t>
      </w: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日，本集团不存在应披</w:t>
      </w:r>
      <w:bookmarkStart w:name="8、其他" w:id="465"/>
      <w:bookmarkEnd w:id="465"/>
      <w:r>
        <w:rPr>
          <w:rFonts w:ascii="宋体" w:hAnsi="宋体" w:cs="宋体" w:eastAsia="宋体" w:hint="default"/>
          <w:b/>
          <w:bCs/>
          <w:sz w:val="18"/>
          <w:szCs w:val="18"/>
        </w:rPr>
        <w:t>露的</w:t>
      </w:r>
      <w:r>
        <w:rPr>
          <w:rFonts w:ascii="宋体" w:hAnsi="宋体" w:cs="宋体" w:eastAsia="宋体" w:hint="default"/>
          <w:b/>
          <w:bCs/>
          <w:sz w:val="18"/>
          <w:szCs w:val="18"/>
        </w:rPr>
        <w:t>承</w:t>
      </w:r>
      <w:bookmarkStart w:name="十三、股份支付" w:id="466"/>
      <w:bookmarkEnd w:id="466"/>
      <w:r>
        <w:rPr>
          <w:rFonts w:ascii="宋体" w:hAnsi="宋体" w:cs="宋体" w:eastAsia="宋体" w:hint="default"/>
          <w:b/>
          <w:bCs/>
          <w:sz w:val="18"/>
          <w:szCs w:val="18"/>
        </w:rPr>
        <w:t>诺事</w:t>
      </w:r>
      <w:r>
        <w:rPr>
          <w:rFonts w:ascii="宋体" w:hAnsi="宋体" w:cs="宋体" w:eastAsia="宋体" w:hint="default"/>
          <w:b/>
          <w:bCs/>
          <w:sz w:val="18"/>
          <w:szCs w:val="18"/>
        </w:rPr>
        <w:t>项。</w:t>
      </w:r>
      <w:r>
        <w:rPr>
          <w:rFonts w:ascii="宋体" w:hAnsi="宋体" w:cs="宋体" w:eastAsia="宋体" w:hint="default"/>
          <w:sz w:val="18"/>
          <w:szCs w:val="18"/>
        </w:rPr>
      </w:r>
    </w:p>
    <w:p>
      <w:pPr>
        <w:spacing w:after="0" w:line="357" w:lineRule="auto"/>
        <w:jc w:val="left"/>
        <w:rPr>
          <w:rFonts w:ascii="宋体" w:hAnsi="宋体" w:cs="宋体" w:eastAsia="宋体" w:hint="default"/>
          <w:sz w:val="18"/>
          <w:szCs w:val="18"/>
        </w:rPr>
        <w:sectPr>
          <w:pgSz w:w="11910" w:h="16840"/>
          <w:pgMar w:header="745" w:footer="96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791"/>
        <w:jc w:val="left"/>
        <w:rPr>
          <w:b w:val="0"/>
          <w:bCs w:val="0"/>
        </w:rPr>
      </w:pPr>
      <w:bookmarkStart w:name="2、利润分配情况" w:id="467"/>
      <w:bookmarkEnd w:id="467"/>
      <w:r>
        <w:rPr>
          <w:b w:val="0"/>
          <w:bCs w:val="0"/>
        </w:rPr>
      </w:r>
      <w:r>
        <w:rPr>
          <w:rFonts w:ascii="Times New Roman" w:hAnsi="Times New Roman" w:cs="Times New Roman" w:eastAsia="Times New Roman" w:hint="default"/>
        </w:rPr>
        <w:t>2</w:t>
      </w:r>
      <w:bookmarkStart w:name="2、或有事项" w:id="468"/>
      <w:bookmarkEnd w:id="468"/>
      <w:r>
        <w:rPr>
          <w:rFonts w:ascii="Times New Roman" w:hAnsi="Times New Roman" w:cs="Times New Roman" w:eastAsia="Times New Roman" w:hint="default"/>
        </w:rPr>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1）资产负债表日存在的重要或有事项" w:id="469"/>
      <w:bookmarkEnd w:id="469"/>
      <w:r>
        <w:rPr>
          <w:rFonts w:ascii="Times New Roman" w:hAnsi="Times New Roman" w:cs="Times New Roman" w:eastAsia="Times New Roman" w:hint="default"/>
        </w:rPr>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48" w:lineRule="auto"/>
        <w:ind w:right="4239"/>
        <w:jc w:val="left"/>
      </w:pPr>
      <w:r>
        <w:rPr/>
        <w:t>开出保函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日，本公司共开出保函金额人民币</w:t>
      </w:r>
      <w:r>
        <w:rPr>
          <w:rFonts w:ascii="Times New Roman" w:hAnsi="Times New Roman" w:cs="Times New Roman" w:eastAsia="Times New Roman" w:hint="default"/>
        </w:rPr>
        <w:t>34,103,799.70</w:t>
      </w:r>
      <w:r>
        <w:rPr/>
        <w:t>元。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日，本集团不存在其他应披露的或有事项。</w:t>
      </w:r>
    </w:p>
    <w:p>
      <w:pPr>
        <w:spacing w:line="240" w:lineRule="auto" w:before="4"/>
        <w:rPr>
          <w:rFonts w:ascii="宋体" w:hAnsi="宋体" w:cs="宋体" w:eastAsia="宋体" w:hint="default"/>
          <w:sz w:val="19"/>
          <w:szCs w:val="19"/>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）公司没有需要披露的</w:t>
      </w:r>
      <w:bookmarkStart w:name="（2）公司没有需要披露的重要或有事项，也应予以说明" w:id="470"/>
      <w:bookmarkEnd w:id="470"/>
      <w:r>
        <w:rPr/>
        <w:t>重要或有事项，也</w:t>
      </w:r>
      <w:r>
        <w:rPr/>
        <w:t>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3"/>
        <w:rPr>
          <w:rFonts w:ascii="宋体" w:hAnsi="宋体" w:cs="宋体" w:eastAsia="宋体" w:hint="default"/>
          <w:sz w:val="25"/>
          <w:szCs w:val="25"/>
        </w:rPr>
      </w:pPr>
    </w:p>
    <w:p>
      <w:pPr>
        <w:pStyle w:val="Heading2"/>
        <w:spacing w:line="240" w:lineRule="auto"/>
        <w:ind w:right="791"/>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其他" w:id="471"/>
      <w:bookmarkEnd w:id="471"/>
      <w:r>
        <w:rPr/>
      </w:r>
      <w:bookmarkStart w:name="十五、资产负债表日后事项" w:id="472"/>
      <w:bookmarkEnd w:id="472"/>
      <w:r>
        <w:rPr/>
      </w:r>
      <w:bookmarkStart w:name="1、重要的非调整事项" w:id="473"/>
      <w:bookmarkEnd w:id="473"/>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2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24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vMerge/>
            <w:tcBorders>
              <w:left w:val="single" w:sz="4" w:space="0" w:color="000000"/>
              <w:right w:val="single" w:sz="4" w:space="0" w:color="000000"/>
            </w:tcBorders>
            <w:shd w:val="clear" w:color="auto" w:fill="D4D4D4"/>
          </w:tcPr>
          <w:p>
            <w:pPr/>
          </w:p>
        </w:tc>
        <w:tc>
          <w:tcPr>
            <w:tcW w:w="23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565" w:hRule="exact"/>
        </w:trPr>
        <w:tc>
          <w:tcPr>
            <w:tcW w:w="24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9" w:space="0" w:color="D4D4D4"/>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日，本公</w:t>
            </w:r>
          </w:p>
          <w:p>
            <w:pPr>
              <w:pStyle w:val="TableParagraph"/>
              <w:spacing w:line="309" w:lineRule="auto" w:before="63"/>
              <w:ind w:left="17" w:right="17"/>
              <w:jc w:val="left"/>
              <w:rPr>
                <w:rFonts w:ascii="宋体" w:hAnsi="宋体" w:cs="宋体" w:eastAsia="宋体" w:hint="default"/>
                <w:sz w:val="18"/>
                <w:szCs w:val="18"/>
              </w:rPr>
            </w:pPr>
            <w:r>
              <w:rPr>
                <w:rFonts w:ascii="宋体" w:hAnsi="宋体" w:cs="宋体" w:eastAsia="宋体" w:hint="default"/>
                <w:sz w:val="18"/>
                <w:szCs w:val="18"/>
              </w:rPr>
              <w:t>司进行了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 短期融资券的发行，发行总 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万元人民币，募集</w:t>
            </w:r>
            <w:r>
              <w:rPr>
                <w:rFonts w:ascii="宋体" w:hAnsi="宋体" w:cs="宋体" w:eastAsia="宋体" w:hint="default"/>
                <w:sz w:val="18"/>
                <w:szCs w:val="18"/>
              </w:rPr>
              <w:t> 资金现已全额到账。本次发 行采用主承销商簿记建档、 集中配售、指定账户收款的 </w:t>
            </w:r>
            <w:r>
              <w:rPr>
                <w:rFonts w:ascii="宋体" w:hAnsi="宋体" w:cs="宋体" w:eastAsia="宋体" w:hint="default"/>
                <w:spacing w:val="-5"/>
                <w:sz w:val="18"/>
                <w:szCs w:val="18"/>
              </w:rPr>
              <w:t>方式。该债券简称</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闽榕基</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CP001”</w:t>
            </w:r>
            <w:r>
              <w:rPr>
                <w:rFonts w:ascii="宋体" w:hAnsi="宋体" w:cs="宋体" w:eastAsia="宋体" w:hint="default"/>
                <w:sz w:val="18"/>
                <w:szCs w:val="18"/>
              </w:rPr>
              <w:t>，期限为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天，票</w:t>
            </w:r>
          </w:p>
          <w:p>
            <w:pPr>
              <w:pStyle w:val="TableParagraph"/>
              <w:spacing w:line="240" w:lineRule="auto" w:before="5"/>
              <w:ind w:left="17" w:right="0"/>
              <w:jc w:val="left"/>
              <w:rPr>
                <w:rFonts w:ascii="宋体" w:hAnsi="宋体" w:cs="宋体" w:eastAsia="宋体" w:hint="default"/>
                <w:sz w:val="18"/>
                <w:szCs w:val="18"/>
              </w:rPr>
            </w:pPr>
            <w:r>
              <w:rPr>
                <w:rFonts w:ascii="宋体" w:hAnsi="宋体" w:cs="宋体" w:eastAsia="宋体" w:hint="default"/>
                <w:sz w:val="18"/>
                <w:szCs w:val="18"/>
              </w:rPr>
              <w:t>面价格为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元，票面利率</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2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2" w:right="0"/>
              <w:jc w:val="left"/>
              <w:rPr>
                <w:rFonts w:ascii="Times New Roman" w:hAnsi="Times New Roman" w:cs="Times New Roman" w:eastAsia="Times New Roman" w:hint="default"/>
                <w:sz w:val="18"/>
                <w:szCs w:val="18"/>
              </w:rPr>
            </w:pPr>
            <w:r>
              <w:rPr>
                <w:rFonts w:ascii="Times New Roman"/>
                <w:sz w:val="18"/>
              </w:rPr>
              <w:t>50,000,000.00</w:t>
            </w:r>
          </w:p>
        </w:tc>
        <w:tc>
          <w:tcPr>
            <w:tcW w:w="2390"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4" w:type="dxa"/>
            <w:vMerge/>
            <w:tcBorders>
              <w:left w:val="single" w:sz="9" w:space="0" w:color="D4D4D4"/>
              <w:right w:val="single" w:sz="4" w:space="0" w:color="000000"/>
            </w:tcBorders>
          </w:tcPr>
          <w:p>
            <w:pP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1565" w:hRule="exact"/>
        </w:trPr>
        <w:tc>
          <w:tcPr>
            <w:tcW w:w="24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9" w:space="0" w:color="D4D4D4"/>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9,333,000.00</w:t>
            </w:r>
            <w:r>
              <w:rPr>
                <w:rFonts w:ascii="Times New Roman"/>
                <w:sz w:val="18"/>
              </w:rPr>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6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bookmarkStart w:name="4、年金计划" w:id="474"/>
      <w:bookmarkEnd w:id="474"/>
      <w:r>
        <w:rPr>
          <w:b w:val="0"/>
          <w:bCs w:val="0"/>
        </w:rPr>
      </w:r>
      <w:bookmarkStart w:name="5、终止经营" w:id="475"/>
      <w:bookmarkEnd w:id="47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bookmarkStart w:name="3、销售退回" w:id="476"/>
      <w:bookmarkEnd w:id="476"/>
      <w:r>
        <w:rPr>
          <w:rFonts w:ascii="Times New Roman" w:hAnsi="Times New Roman" w:cs="Times New Roman" w:eastAsia="Times New Roman" w:hint="default"/>
          <w:b/>
          <w:bCs/>
          <w:spacing w:val="-1"/>
          <w:sz w:val="21"/>
          <w:szCs w:val="21"/>
        </w:rPr>
      </w:r>
      <w:bookmarkStart w:name="4、其他资产负债表日后事项说明" w:id="477"/>
      <w:bookmarkEnd w:id="477"/>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w:t>
      </w:r>
      <w:bookmarkStart w:name="十六、其他重要事项" w:id="478"/>
      <w:bookmarkEnd w:id="478"/>
      <w:r>
        <w:rPr>
          <w:rFonts w:ascii="宋体" w:hAnsi="宋体" w:cs="宋体" w:eastAsia="宋体" w:hint="default"/>
          <w:b/>
          <w:bCs/>
          <w:sz w:val="24"/>
          <w:szCs w:val="24"/>
        </w:rPr>
        <w:t>要</w:t>
      </w:r>
      <w:r>
        <w:rPr>
          <w:rFonts w:ascii="宋体" w:hAnsi="宋体" w:cs="宋体" w:eastAsia="宋体" w:hint="default"/>
          <w:b/>
          <w:bCs/>
          <w:sz w:val="24"/>
          <w:szCs w:val="24"/>
        </w:rPr>
        <w:t>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791"/>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前期会计差错更正" w:id="479"/>
      <w:bookmarkEnd w:id="479"/>
      <w:r>
        <w:rPr/>
      </w:r>
      <w:bookmarkStart w:name="（1）追溯重述法" w:id="480"/>
      <w:bookmarkEnd w:id="480"/>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未来适用法" w:id="481"/>
            <w:bookmarkEnd w:id="481"/>
            <w:r>
              <w:rPr/>
            </w: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2、债务重组" w:id="482"/>
      <w:bookmarkEnd w:id="482"/>
      <w:r>
        <w:rPr/>
      </w:r>
      <w:bookmarkStart w:name="3、资产置换" w:id="483"/>
      <w:bookmarkEnd w:id="483"/>
      <w:r>
        <w:rPr/>
      </w:r>
      <w:bookmarkStart w:name="（1）非货币性资产交换" w:id="484"/>
      <w:bookmarkEnd w:id="484"/>
      <w:r>
        <w:rPr/>
      </w:r>
      <w:bookmarkStart w:name="（2）其他资产置换" w:id="485"/>
      <w:bookmarkEnd w:id="48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357" w:lineRule="auto" w:before="49"/>
        <w:ind w:right="9054"/>
        <w:jc w:val="left"/>
      </w:pPr>
      <w:r>
        <w:rPr/>
        <w:t>其他说明 无。</w:t>
      </w:r>
    </w:p>
    <w:p>
      <w:pPr>
        <w:spacing w:after="0" w:line="357" w:lineRule="auto"/>
        <w:jc w:val="left"/>
        <w:sectPr>
          <w:pgSz w:w="11910" w:h="16840"/>
          <w:pgMar w:header="745" w:footer="96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bookmarkStart w:name="6、分部信息" w:id="486"/>
      <w:bookmarkEnd w:id="486"/>
      <w:r>
        <w:rPr>
          <w:rFonts w:ascii="Times New Roman" w:hAnsi="Times New Roman" w:cs="Times New Roman" w:eastAsia="Times New Roman" w:hint="default"/>
        </w:rPr>
      </w:r>
      <w:bookmarkStart w:name="（1）报告分部的确定依据与会计政策" w:id="487"/>
      <w:bookmarkEnd w:id="487"/>
      <w:r>
        <w:rPr>
          <w:rFonts w:ascii="Times New Roman" w:hAnsi="Times New Roman" w:cs="Times New Roman" w:eastAsia="Times New Roman" w:hint="default"/>
        </w:rPr>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2</w:t>
      </w:r>
      <w:r>
        <w:rPr/>
        <w:t>）报告分部的财</w:t>
      </w:r>
      <w:bookmarkStart w:name="（2）报告分部的财务信息" w:id="488"/>
      <w:bookmarkEnd w:id="488"/>
      <w:r>
        <w:rPr/>
        <w:t>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）公司无报告分部的，</w:t>
      </w:r>
      <w:bookmarkStart w:name="（3）公司无报告分部的，或者不能披露各报告分部的资产总额和负债总额的，应说明原因" w:id="489"/>
      <w:bookmarkEnd w:id="489"/>
      <w:r>
        <w:rPr/>
        <w:t>或者不能披露各报</w:t>
      </w:r>
      <w:r>
        <w:rPr/>
        <w:t>告分部的资产总额和负债总额的，应说明原因。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7</w:t>
      </w:r>
      <w:r>
        <w:rPr/>
        <w:t>、其他对投资者决策有影</w:t>
      </w:r>
      <w:bookmarkStart w:name="（4）其他说明" w:id="490"/>
      <w:bookmarkEnd w:id="490"/>
      <w:r>
        <w:rPr/>
        <w:t>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3"/>
        <w:rPr>
          <w:rFonts w:ascii="宋体" w:hAnsi="宋体" w:cs="宋体" w:eastAsia="宋体" w:hint="default"/>
          <w:sz w:val="25"/>
          <w:szCs w:val="25"/>
        </w:rPr>
      </w:pPr>
    </w:p>
    <w:p>
      <w:pPr>
        <w:pStyle w:val="Heading2"/>
        <w:spacing w:line="240" w:lineRule="auto"/>
        <w:ind w:right="791"/>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7、其他对投资者决策有影响的重要交易和事项" w:id="491"/>
      <w:bookmarkEnd w:id="491"/>
      <w:r>
        <w:rPr/>
      </w:r>
      <w:bookmarkStart w:name="8、其他" w:id="492"/>
      <w:bookmarkEnd w:id="492"/>
      <w:r>
        <w:rPr/>
      </w:r>
      <w:bookmarkStart w:name="十七、母公司财务报表主要项目注释" w:id="493"/>
      <w:bookmarkEnd w:id="493"/>
      <w:r>
        <w:rPr/>
      </w:r>
      <w:bookmarkStart w:name="1、应收账款" w:id="494"/>
      <w:bookmarkEnd w:id="494"/>
      <w:r>
        <w:rPr/>
      </w:r>
      <w:r>
        <w:rPr/>
        <w:t>单位：</w:t>
      </w:r>
      <w:r>
        <w:rPr>
          <w:spacing w:val="1"/>
        </w:rPr>
        <w:t> </w:t>
      </w:r>
      <w:bookmarkStart w:name="（1）应收账款分类披露" w:id="495"/>
      <w:bookmarkEnd w:id="495"/>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72,773,1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15.63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8,438,10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64,335,00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51,201,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168.17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6,689,663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44,511,504.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72,773,1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15.63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8,438,10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9.92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11.60%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64,335,00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5.71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51,201,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168.17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6,689,663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13.07%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44,511,504.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791"/>
        <w:jc w:val="left"/>
      </w:pPr>
      <w:r>
        <w:rPr/>
        <w:t>期末单项金额重大并单项计提坏账准备的应收账款：</w:t>
      </w:r>
    </w:p>
    <w:p>
      <w:pPr>
        <w:spacing w:after="0" w:line="240" w:lineRule="auto"/>
        <w:jc w:val="left"/>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62" w:top="1060" w:bottom="1180" w:left="980" w:right="980"/>
        </w:sectPr>
      </w:pPr>
    </w:p>
    <w:p>
      <w:pPr>
        <w:pStyle w:val="BodyText"/>
        <w:spacing w:line="340" w:lineRule="auto" w:before="44"/>
        <w:ind w:right="-20"/>
        <w:jc w:val="left"/>
      </w:pPr>
      <w:bookmarkStart w:name="（3）本期实际核销的应收账款情况" w:id="496"/>
      <w:bookmarkEnd w:id="496"/>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36,292,211.33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1,814,610.57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6,195,877.00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619,587.70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3,147,929.44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629,585.89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5,374,325.76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5,374,325.76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51,010,343.53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8,438,109.92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11.60%</w:t>
            </w:r>
            <w:r>
              <w:rPr>
                <w:rFonts w:ascii="Times New Roman"/>
                <w:sz w:val="18"/>
              </w:rPr>
            </w:r>
          </w:p>
        </w:tc>
      </w:tr>
    </w:tbl>
    <w:p>
      <w:pPr>
        <w:pStyle w:val="BodyText"/>
        <w:spacing w:line="357" w:lineRule="auto" w:before="49"/>
        <w:ind w:right="5454"/>
        <w:jc w:val="left"/>
      </w:pPr>
      <w:r>
        <w:rPr/>
        <w:t>确定该组合依据的说明： 该组合为除合并范围内关联方的客户。 组合中，采用余额百分比法计提坏账准备的应收账款：</w:t>
      </w:r>
    </w:p>
    <w:p>
      <w:pPr>
        <w:pStyle w:val="BodyText"/>
        <w:spacing w:line="350" w:lineRule="auto" w:before="26"/>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11"/>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40" w:lineRule="auto" w:before="44"/>
        <w:ind w:right="-9"/>
        <w:jc w:val="left"/>
      </w:pPr>
      <w:r>
        <w:rPr/>
        <w:t>本期计提坏账准备金额</w:t>
      </w:r>
      <w:r>
        <w:rPr>
          <w:spacing w:val="-47"/>
        </w:rPr>
        <w:t> </w:t>
      </w:r>
      <w:r>
        <w:rPr>
          <w:rFonts w:ascii="Times New Roman" w:hAnsi="Times New Roman" w:cs="Times New Roman" w:eastAsia="Times New Roman" w:hint="default"/>
        </w:rPr>
        <w:t>1,748,446.36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bookmarkStart w:name="（2）本期计提、收回或转回的坏账准备情况" w:id="497"/>
      <w:bookmarkEnd w:id="497"/>
      <w:r>
        <w:rPr/>
      </w:r>
      <w:r>
        <w:rPr/>
        <w:t>单位：</w:t>
      </w:r>
      <w:r>
        <w:rPr>
          <w:spacing w:val="1"/>
        </w:rPr>
        <w:t> </w:t>
      </w:r>
      <w:r>
        <w:rPr/>
        <w:t>元</w:t>
      </w:r>
    </w:p>
    <w:p>
      <w:pPr>
        <w:spacing w:after="0" w:line="240" w:lineRule="auto"/>
        <w:jc w:val="left"/>
        <w:sectPr>
          <w:type w:val="continuous"/>
          <w:pgSz w:w="11910" w:h="16840"/>
          <w:pgMar w:top="1060" w:bottom="1180" w:left="980" w:right="980"/>
          <w:cols w:num="2" w:equalWidth="0">
            <w:col w:w="6458" w:space="2369"/>
            <w:col w:w="112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791"/>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0"/>
        <w:ind w:right="8154"/>
        <w:jc w:val="left"/>
      </w:pPr>
      <w:r>
        <w:rPr/>
        <w:t>应收账款核销说明： 无。</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908"/>
        <w:gridCol w:w="1813"/>
        <w:gridCol w:w="3000"/>
        <w:gridCol w:w="1574"/>
      </w:tblGrid>
      <w:tr>
        <w:trPr>
          <w:trHeight w:val="662" w:hRule="exact"/>
        </w:trPr>
        <w:tc>
          <w:tcPr>
            <w:tcW w:w="2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b/>
                <w:bCs/>
                <w:sz w:val="18"/>
                <w:szCs w:val="18"/>
              </w:rPr>
              <w:t>单</w:t>
            </w:r>
            <w:bookmarkStart w:name="（4）按欠款方归集的期末余额前五名的应收账款情况" w:id="498"/>
            <w:bookmarkEnd w:id="498"/>
            <w:r>
              <w:rPr>
                <w:rFonts w:ascii="宋体" w:hAnsi="宋体" w:cs="宋体" w:eastAsia="宋体" w:hint="default"/>
                <w:b/>
                <w:bCs/>
                <w:sz w:val="18"/>
                <w:szCs w:val="18"/>
              </w:rPr>
              <w:t>位名称</w:t>
            </w:r>
            <w:r>
              <w:rPr>
                <w:rFonts w:ascii="宋体" w:hAnsi="宋体" w:cs="宋体" w:eastAsia="宋体" w:hint="default"/>
                <w:sz w:val="18"/>
                <w:szCs w:val="18"/>
              </w:rPr>
            </w:r>
          </w:p>
        </w:tc>
        <w:tc>
          <w:tcPr>
            <w:tcW w:w="1813"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1016" w:right="72"/>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b/>
                <w:bCs/>
                <w:sz w:val="18"/>
                <w:szCs w:val="18"/>
              </w:rPr>
              <w:t>占应收账款期末余额合计数</w:t>
            </w:r>
            <w:r>
              <w:rPr>
                <w:rFonts w:ascii="宋体" w:hAnsi="宋体" w:cs="宋体" w:eastAsia="宋体" w:hint="default"/>
                <w:sz w:val="18"/>
                <w:szCs w:val="18"/>
              </w:rPr>
            </w:r>
          </w:p>
          <w:p>
            <w:pPr>
              <w:pStyle w:val="TableParagraph"/>
              <w:spacing w:line="240" w:lineRule="auto" w:before="76"/>
              <w:ind w:left="152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4"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842" w:right="7"/>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65" w:hRule="exact"/>
        </w:trPr>
        <w:tc>
          <w:tcPr>
            <w:tcW w:w="2908" w:type="dxa"/>
            <w:tcBorders>
              <w:top w:val="single" w:sz="8" w:space="0" w:color="000000"/>
              <w:left w:val="nil" w:sz="6" w:space="0" w:color="auto"/>
              <w:bottom w:val="single" w:sz="8" w:space="0" w:color="000000"/>
              <w:right w:val="nil" w:sz="6" w:space="0" w:color="auto"/>
            </w:tcBorders>
          </w:tcPr>
          <w:p>
            <w:pPr>
              <w:pStyle w:val="TableParagraph"/>
              <w:spacing w:line="316" w:lineRule="auto" w:before="20"/>
              <w:ind w:left="26" w:right="579"/>
              <w:jc w:val="left"/>
              <w:rPr>
                <w:rFonts w:ascii="宋体" w:hAnsi="宋体" w:cs="宋体" w:eastAsia="宋体" w:hint="default"/>
                <w:sz w:val="18"/>
                <w:szCs w:val="18"/>
              </w:rPr>
            </w:pPr>
            <w:r>
              <w:rPr>
                <w:rFonts w:ascii="宋体" w:hAnsi="宋体" w:cs="宋体" w:eastAsia="宋体" w:hint="default"/>
                <w:spacing w:val="-4"/>
                <w:sz w:val="18"/>
                <w:szCs w:val="18"/>
              </w:rPr>
              <w:t>榕基五一（北京）信息技术有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81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205"/>
              <w:jc w:val="right"/>
              <w:rPr>
                <w:rFonts w:ascii="Times New Roman" w:hAnsi="Times New Roman" w:cs="Times New Roman" w:eastAsia="Times New Roman" w:hint="default"/>
                <w:sz w:val="18"/>
                <w:szCs w:val="18"/>
              </w:rPr>
            </w:pPr>
            <w:r>
              <w:rPr>
                <w:rFonts w:ascii="Times New Roman"/>
                <w:spacing w:val="-1"/>
                <w:sz w:val="18"/>
              </w:rPr>
              <w:t>13,690,000.00</w:t>
            </w:r>
          </w:p>
        </w:tc>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751"/>
              <w:jc w:val="right"/>
              <w:rPr>
                <w:rFonts w:ascii="Times New Roman" w:hAnsi="Times New Roman" w:cs="Times New Roman" w:eastAsia="Times New Roman" w:hint="default"/>
                <w:sz w:val="18"/>
                <w:szCs w:val="18"/>
              </w:rPr>
            </w:pPr>
            <w:r>
              <w:rPr>
                <w:rFonts w:ascii="Times New Roman"/>
                <w:sz w:val="18"/>
              </w:rPr>
              <w:t>18.81</w:t>
            </w:r>
          </w:p>
        </w:tc>
        <w:tc>
          <w:tcPr>
            <w:tcW w:w="1574" w:type="dxa"/>
            <w:tcBorders>
              <w:top w:val="single" w:sz="8" w:space="0" w:color="000000"/>
              <w:left w:val="nil" w:sz="6" w:space="0" w:color="auto"/>
              <w:bottom w:val="single" w:sz="8" w:space="0" w:color="000000"/>
              <w:right w:val="nil" w:sz="6" w:space="0" w:color="auto"/>
            </w:tcBorders>
          </w:tcPr>
          <w:p>
            <w:pPr/>
          </w:p>
        </w:tc>
      </w:tr>
      <w:tr>
        <w:trPr>
          <w:trHeight w:val="353" w:hRule="exact"/>
        </w:trPr>
        <w:tc>
          <w:tcPr>
            <w:tcW w:w="2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813"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04"/>
              <w:jc w:val="right"/>
              <w:rPr>
                <w:rFonts w:ascii="Times New Roman" w:hAnsi="Times New Roman" w:cs="Times New Roman" w:eastAsia="Times New Roman" w:hint="default"/>
                <w:sz w:val="18"/>
                <w:szCs w:val="18"/>
              </w:rPr>
            </w:pPr>
            <w:r>
              <w:rPr>
                <w:rFonts w:ascii="Times New Roman"/>
                <w:spacing w:val="-1"/>
                <w:sz w:val="18"/>
              </w:rPr>
              <w:t>5,828,847.10</w:t>
            </w:r>
            <w:r>
              <w:rPr>
                <w:rFonts w:ascii="Times New Roman"/>
                <w:sz w:val="18"/>
              </w:rPr>
            </w:r>
          </w:p>
        </w:tc>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54"/>
              <w:jc w:val="right"/>
              <w:rPr>
                <w:rFonts w:ascii="Times New Roman" w:hAnsi="Times New Roman" w:cs="Times New Roman" w:eastAsia="Times New Roman" w:hint="default"/>
                <w:sz w:val="18"/>
                <w:szCs w:val="18"/>
              </w:rPr>
            </w:pPr>
            <w:r>
              <w:rPr>
                <w:rFonts w:ascii="Times New Roman"/>
                <w:spacing w:val="-1"/>
                <w:sz w:val="18"/>
              </w:rPr>
              <w:t>8.01</w:t>
            </w:r>
            <w:r>
              <w:rPr>
                <w:rFonts w:ascii="Times New Roman"/>
                <w:sz w:val="18"/>
              </w:rPr>
            </w:r>
          </w:p>
        </w:tc>
        <w:tc>
          <w:tcPr>
            <w:tcW w:w="1574" w:type="dxa"/>
            <w:tcBorders>
              <w:top w:val="single" w:sz="8" w:space="0" w:color="000000"/>
              <w:left w:val="nil" w:sz="6" w:space="0" w:color="auto"/>
              <w:bottom w:val="single" w:sz="8" w:space="0" w:color="000000"/>
              <w:right w:val="nil" w:sz="6" w:space="0" w:color="auto"/>
            </w:tcBorders>
          </w:tcPr>
          <w:p>
            <w:pPr/>
          </w:p>
        </w:tc>
      </w:tr>
      <w:tr>
        <w:trPr>
          <w:trHeight w:val="350" w:hRule="exact"/>
        </w:trPr>
        <w:tc>
          <w:tcPr>
            <w:tcW w:w="2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福州市政务信息中心</w:t>
            </w:r>
          </w:p>
        </w:tc>
        <w:tc>
          <w:tcPr>
            <w:tcW w:w="1813"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04"/>
              <w:jc w:val="right"/>
              <w:rPr>
                <w:rFonts w:ascii="Times New Roman" w:hAnsi="Times New Roman" w:cs="Times New Roman" w:eastAsia="Times New Roman" w:hint="default"/>
                <w:sz w:val="18"/>
                <w:szCs w:val="18"/>
              </w:rPr>
            </w:pPr>
            <w:r>
              <w:rPr>
                <w:rFonts w:ascii="Times New Roman"/>
                <w:spacing w:val="-1"/>
                <w:sz w:val="18"/>
              </w:rPr>
              <w:t>3,856,386.00</w:t>
            </w:r>
            <w:r>
              <w:rPr>
                <w:rFonts w:ascii="Times New Roman"/>
                <w:sz w:val="18"/>
              </w:rPr>
            </w:r>
          </w:p>
        </w:tc>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54"/>
              <w:jc w:val="right"/>
              <w:rPr>
                <w:rFonts w:ascii="Times New Roman" w:hAnsi="Times New Roman" w:cs="Times New Roman" w:eastAsia="Times New Roman" w:hint="default"/>
                <w:sz w:val="18"/>
                <w:szCs w:val="18"/>
              </w:rPr>
            </w:pPr>
            <w:r>
              <w:rPr>
                <w:rFonts w:ascii="Times New Roman"/>
                <w:spacing w:val="-1"/>
                <w:sz w:val="18"/>
              </w:rPr>
              <w:t>5.30</w:t>
            </w:r>
            <w:r>
              <w:rPr>
                <w:rFonts w:ascii="Times New Roman"/>
                <w:sz w:val="18"/>
              </w:rPr>
            </w:r>
          </w:p>
        </w:tc>
        <w:tc>
          <w:tcPr>
            <w:tcW w:w="157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192,819.30</w:t>
            </w:r>
          </w:p>
        </w:tc>
      </w:tr>
      <w:tr>
        <w:trPr>
          <w:trHeight w:val="353" w:hRule="exact"/>
        </w:trPr>
        <w:tc>
          <w:tcPr>
            <w:tcW w:w="290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813"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204"/>
              <w:jc w:val="right"/>
              <w:rPr>
                <w:rFonts w:ascii="Times New Roman" w:hAnsi="Times New Roman" w:cs="Times New Roman" w:eastAsia="Times New Roman" w:hint="default"/>
                <w:sz w:val="18"/>
                <w:szCs w:val="18"/>
              </w:rPr>
            </w:pPr>
            <w:r>
              <w:rPr>
                <w:rFonts w:ascii="Times New Roman"/>
                <w:spacing w:val="-1"/>
                <w:sz w:val="18"/>
              </w:rPr>
              <w:t>3,577,478.71</w:t>
            </w:r>
            <w:r>
              <w:rPr>
                <w:rFonts w:ascii="Times New Roman"/>
                <w:sz w:val="18"/>
              </w:rPr>
            </w:r>
          </w:p>
        </w:tc>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754"/>
              <w:jc w:val="right"/>
              <w:rPr>
                <w:rFonts w:ascii="Times New Roman" w:hAnsi="Times New Roman" w:cs="Times New Roman" w:eastAsia="Times New Roman" w:hint="default"/>
                <w:sz w:val="18"/>
                <w:szCs w:val="18"/>
              </w:rPr>
            </w:pPr>
            <w:r>
              <w:rPr>
                <w:rFonts w:ascii="Times New Roman"/>
                <w:spacing w:val="-1"/>
                <w:sz w:val="18"/>
              </w:rPr>
              <w:t>4.92</w:t>
            </w:r>
            <w:r>
              <w:rPr>
                <w:rFonts w:ascii="Times New Roman"/>
                <w:sz w:val="18"/>
              </w:rPr>
            </w:r>
          </w:p>
        </w:tc>
        <w:tc>
          <w:tcPr>
            <w:tcW w:w="1574"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178,873.94</w:t>
            </w:r>
          </w:p>
        </w:tc>
      </w:tr>
      <w:tr>
        <w:trPr>
          <w:trHeight w:val="665" w:hRule="exact"/>
        </w:trPr>
        <w:tc>
          <w:tcPr>
            <w:tcW w:w="2908" w:type="dxa"/>
            <w:tcBorders>
              <w:top w:val="single" w:sz="8" w:space="0" w:color="000000"/>
              <w:left w:val="nil" w:sz="6" w:space="0" w:color="auto"/>
              <w:bottom w:val="single" w:sz="8" w:space="0" w:color="000000"/>
              <w:right w:val="nil" w:sz="6" w:space="0" w:color="auto"/>
            </w:tcBorders>
          </w:tcPr>
          <w:p>
            <w:pPr>
              <w:pStyle w:val="TableParagraph"/>
              <w:spacing w:line="316" w:lineRule="auto" w:before="17"/>
              <w:ind w:left="26" w:right="567"/>
              <w:jc w:val="left"/>
              <w:rPr>
                <w:rFonts w:ascii="宋体" w:hAnsi="宋体" w:cs="宋体" w:eastAsia="宋体" w:hint="default"/>
                <w:sz w:val="18"/>
                <w:szCs w:val="18"/>
              </w:rPr>
            </w:pPr>
            <w:r>
              <w:rPr>
                <w:rFonts w:ascii="宋体" w:hAnsi="宋体" w:cs="宋体" w:eastAsia="宋体" w:hint="default"/>
                <w:spacing w:val="12"/>
                <w:sz w:val="18"/>
                <w:szCs w:val="18"/>
              </w:rPr>
              <w:t>平潭综合实验区交通投资发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展有限公司</w:t>
            </w:r>
          </w:p>
        </w:tc>
        <w:tc>
          <w:tcPr>
            <w:tcW w:w="1813"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04"/>
              <w:jc w:val="right"/>
              <w:rPr>
                <w:rFonts w:ascii="Times New Roman" w:hAnsi="Times New Roman" w:cs="Times New Roman" w:eastAsia="Times New Roman" w:hint="default"/>
                <w:sz w:val="18"/>
                <w:szCs w:val="18"/>
              </w:rPr>
            </w:pPr>
            <w:r>
              <w:rPr>
                <w:rFonts w:ascii="Times New Roman"/>
                <w:spacing w:val="-1"/>
                <w:sz w:val="18"/>
              </w:rPr>
              <w:t>3,244,000.00</w:t>
            </w:r>
            <w:r>
              <w:rPr>
                <w:rFonts w:ascii="Times New Roman"/>
                <w:sz w:val="18"/>
              </w:rPr>
            </w:r>
          </w:p>
        </w:tc>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54"/>
              <w:jc w:val="right"/>
              <w:rPr>
                <w:rFonts w:ascii="Times New Roman" w:hAnsi="Times New Roman" w:cs="Times New Roman" w:eastAsia="Times New Roman" w:hint="default"/>
                <w:sz w:val="18"/>
                <w:szCs w:val="18"/>
              </w:rPr>
            </w:pPr>
            <w:r>
              <w:rPr>
                <w:rFonts w:ascii="Times New Roman"/>
                <w:spacing w:val="-1"/>
                <w:sz w:val="18"/>
              </w:rPr>
              <w:t>4.46</w:t>
            </w:r>
            <w:r>
              <w:rPr>
                <w:rFonts w:ascii="Times New Roman"/>
                <w:sz w:val="18"/>
              </w:rPr>
            </w:r>
          </w:p>
        </w:tc>
        <w:tc>
          <w:tcPr>
            <w:tcW w:w="157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162,200.00</w:t>
            </w:r>
          </w:p>
        </w:tc>
      </w:tr>
      <w:tr>
        <w:trPr>
          <w:trHeight w:val="353" w:hRule="exact"/>
        </w:trPr>
        <w:tc>
          <w:tcPr>
            <w:tcW w:w="2908"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13"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05"/>
              <w:jc w:val="right"/>
              <w:rPr>
                <w:rFonts w:ascii="Times New Roman" w:hAnsi="Times New Roman" w:cs="Times New Roman" w:eastAsia="Times New Roman" w:hint="default"/>
                <w:sz w:val="18"/>
                <w:szCs w:val="18"/>
              </w:rPr>
            </w:pPr>
            <w:r>
              <w:rPr>
                <w:rFonts w:ascii="Times New Roman"/>
                <w:spacing w:val="-1"/>
                <w:sz w:val="18"/>
              </w:rPr>
              <w:t>30,196,711.81</w:t>
            </w:r>
          </w:p>
        </w:tc>
        <w:tc>
          <w:tcPr>
            <w:tcW w:w="3000"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51"/>
              <w:jc w:val="right"/>
              <w:rPr>
                <w:rFonts w:ascii="Times New Roman" w:hAnsi="Times New Roman" w:cs="Times New Roman" w:eastAsia="Times New Roman" w:hint="default"/>
                <w:sz w:val="18"/>
                <w:szCs w:val="18"/>
              </w:rPr>
            </w:pPr>
            <w:r>
              <w:rPr>
                <w:rFonts w:ascii="Times New Roman"/>
                <w:sz w:val="18"/>
              </w:rPr>
              <w:t>41.50</w:t>
            </w:r>
          </w:p>
        </w:tc>
        <w:tc>
          <w:tcPr>
            <w:tcW w:w="1574"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533,893.24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6</w:t>
      </w:r>
      <w:r>
        <w:rPr/>
        <w:t>）转移应收账款且继续涉入形成的资产、负</w:t>
      </w:r>
      <w:bookmarkStart w:name="（5）因金融资产转移而终止确认的应收账款" w:id="499"/>
      <w:bookmarkEnd w:id="499"/>
      <w:r>
        <w:rPr/>
        <w:t>债</w:t>
      </w:r>
      <w:r>
        <w:rPr/>
        <w:t>金额</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转移应收账款且继续涉入形成的资产、负债金额" w:id="500"/>
      <w:bookmarkEnd w:id="500"/>
      <w:r>
        <w:rPr/>
      </w:r>
      <w:bookmarkStart w:name="2、其他应收款" w:id="501"/>
      <w:bookmarkEnd w:id="501"/>
      <w:r>
        <w:rPr/>
      </w:r>
      <w:bookmarkStart w:name="（1）其他应收款分类披露" w:id="502"/>
      <w:bookmarkEnd w:id="502"/>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281,560,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896.38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4,374,72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1.55%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277,186,1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69.81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110,499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,489.02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3,442,820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107,056,66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8.78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281,560,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896.38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4,374,72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6.57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1.55%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277,186,1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69.81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110,499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,489.02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3,442,820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107,056,66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8.78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791"/>
        <w:jc w:val="left"/>
      </w:pPr>
      <w:r>
        <w:rPr/>
        <w:t>期末单项金额重大并单项计提坏账准备的其他应收款：</w:t>
      </w:r>
    </w:p>
    <w:p>
      <w:pPr>
        <w:pStyle w:val="BodyText"/>
        <w:spacing w:line="338" w:lineRule="auto" w:before="117"/>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spacing w:after="0" w:line="338" w:lineRule="auto"/>
        <w:jc w:val="left"/>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791"/>
        <w:jc w:val="left"/>
      </w:pPr>
      <w:bookmarkStart w:name="（4）其他应收款按款项性质分类情况" w:id="503"/>
      <w:bookmarkEnd w:id="503"/>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15,489,437.12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774,471.86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3,673,894.09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367,389.41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732,132.10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146,426.42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3,086,438.88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3,086,438.88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22,981,902.19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4,374,726.57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19.04%</w:t>
            </w:r>
          </w:p>
        </w:tc>
      </w:tr>
    </w:tbl>
    <w:p>
      <w:pPr>
        <w:pStyle w:val="BodyText"/>
        <w:spacing w:line="357" w:lineRule="auto" w:before="49"/>
        <w:ind w:right="5274"/>
        <w:jc w:val="left"/>
      </w:pPr>
      <w:r>
        <w:rPr/>
        <w:t>确定该组合依据的说明： 该组合为除合并范围内关联方的客户。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62" w:top="1060" w:bottom="1180" w:left="980" w:right="98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931,906.33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bookmarkStart w:name="（2）本期计提、收回或转回的坏账准备情况" w:id="504"/>
      <w:bookmarkEnd w:id="504"/>
      <w:r>
        <w:rPr/>
      </w:r>
      <w:r>
        <w:rPr/>
        <w:t>单位：</w:t>
      </w:r>
      <w:r>
        <w:rPr>
          <w:spacing w:val="1"/>
        </w:rPr>
        <w:t> </w:t>
      </w:r>
      <w:r>
        <w:rPr/>
        <w:t>元</w:t>
      </w:r>
    </w:p>
    <w:p>
      <w:pPr>
        <w:spacing w:after="0" w:line="240" w:lineRule="auto"/>
        <w:jc w:val="left"/>
        <w:sectPr>
          <w:type w:val="continuous"/>
          <w:pgSz w:w="11910" w:h="16840"/>
          <w:pgMar w:top="1060" w:bottom="1180" w:left="980" w:right="980"/>
          <w:cols w:num="2" w:equalWidth="0">
            <w:col w:w="6324" w:space="2504"/>
            <w:col w:w="112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本期实际核销的其他应收款情况" w:id="505"/>
      <w:bookmarkEnd w:id="505"/>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791"/>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49"/>
        <w:ind w:right="7974"/>
        <w:jc w:val="left"/>
      </w:pPr>
      <w:r>
        <w:rPr/>
        <w:t>其他应收款核销说明：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258,578,994.19</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89,502,359.50</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15,449,843.27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12,621,630.51</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4,863,285.35</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3,797,600.35</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575,735.32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575,735.32</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2,093,038.25</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4,002,163.34</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281,560,896.38</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110,499,489.02</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7）因金融资产转移而终止确认的其他应收款" w:id="506"/>
      <w:bookmarkEnd w:id="506"/>
      <w:r>
        <w:rPr>
          <w:b w:val="0"/>
          <w:bCs w:val="0"/>
        </w:rPr>
      </w:r>
      <w:bookmarkStart w:name="（8）转移其他应收款且继续涉入形成的资产、负债金额" w:id="507"/>
      <w:bookmarkEnd w:id="507"/>
      <w:r>
        <w:rPr>
          <w:b w:val="0"/>
          <w:bCs w:val="0"/>
        </w:rPr>
      </w:r>
      <w:r>
        <w:rPr/>
        <w:t>（</w:t>
      </w:r>
      <w:r>
        <w:rPr>
          <w:rFonts w:ascii="Times New Roman" w:hAnsi="Times New Roman" w:cs="Times New Roman" w:eastAsia="Times New Roman" w:hint="default"/>
        </w:rPr>
        <w:t>5</w:t>
      </w:r>
      <w:r>
        <w:rPr/>
        <w:t>）按欠款方归集的期末</w:t>
      </w:r>
      <w:bookmarkStart w:name="（5）按欠款方归集的期末余额前五名的其他应收款情况" w:id="508"/>
      <w:bookmarkEnd w:id="508"/>
      <w:r>
        <w:rPr/>
        <w:t>余额前五名的其他</w:t>
      </w:r>
      <w:r>
        <w:rPr/>
        <w:t>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信阳榕基信息技术有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152,326,582.69</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马鞍山榕基软件信息 科技有限公司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39,825,234.82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河南榕基信息技术有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31,155,142.15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11.07%</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北京中榕基信息技术 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16,032,530.20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12,906,569.49</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3,125,960.71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浙江榕基信息技术有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11,520,785.48</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250,860,275.34</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89.09%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bookmarkStart w:name="（6）涉及政府补助的应收款项" w:id="509"/>
      <w:bookmarkEnd w:id="509"/>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3"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t>无。</w:t>
      </w:r>
    </w:p>
    <w:p>
      <w:pPr>
        <w:spacing w:after="0" w:line="240" w:lineRule="auto"/>
        <w:jc w:val="left"/>
        <w:sectPr>
          <w:pgSz w:w="11910" w:h="16840"/>
          <w:pgMar w:header="745" w:footer="96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3</w:t>
      </w:r>
      <w:bookmarkStart w:name="3、长期股权投资" w:id="510"/>
      <w:bookmarkEnd w:id="510"/>
      <w:r>
        <w:rPr>
          <w:rFonts w:ascii="Times New Roman" w:hAnsi="Times New Roman" w:cs="Times New Roman" w:eastAsia="Times New Roman" w:hint="default"/>
        </w:rPr>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754,576,537.29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754,576,537.29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656,571,945.89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656,571,945.89</w:t>
            </w:r>
            <w:r>
              <w:rPr>
                <w:rFonts w:ascii="Times New Roman"/>
                <w:sz w:val="18"/>
              </w:rPr>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754,576,537.29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754,576,537.29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656,571,945.89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656,571,945.89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对子公司投资" w:id="511"/>
      <w:bookmarkEnd w:id="51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福州创华电气自 动化系统有限公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7,496,345.89</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7,496,345.89</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41,700,000.00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榕基五一（北京） 信息技术有限公</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福建榕基投资公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榕基国际投资有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24,075,600.00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56,304,591.40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80,380,191.40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6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信阳榕基信息技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河南豫础置业有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656,571,945.89</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98,004,591.40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754,576,537.29</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bookmarkStart w:name="5、投资收益" w:id="512"/>
      <w:bookmarkEnd w:id="512"/>
      <w:r>
        <w:rPr>
          <w:b w:val="0"/>
          <w:bCs w:val="0"/>
        </w:rPr>
      </w:r>
      <w:bookmarkStart w:name="6、其他" w:id="513"/>
      <w:bookmarkEnd w:id="513"/>
      <w:r>
        <w:rPr>
          <w:b w:val="0"/>
          <w:bCs w:val="0"/>
        </w:rPr>
      </w:r>
      <w:r>
        <w:rPr/>
        <w:t>（</w:t>
      </w:r>
      <w:r>
        <w:rPr>
          <w:rFonts w:ascii="Times New Roman" w:hAnsi="Times New Roman" w:cs="Times New Roman" w:eastAsia="Times New Roman" w:hint="default"/>
        </w:rPr>
        <w:t>2</w:t>
      </w:r>
      <w:r>
        <w:rPr/>
        <w:t>）对联营、合营</w:t>
      </w:r>
      <w:bookmarkStart w:name="（2）对联营、合营企业投资" w:id="514"/>
      <w:bookmarkEnd w:id="514"/>
      <w:r>
        <w:rPr/>
        <w:t>企业</w:t>
      </w:r>
      <w:r>
        <w:rPr/>
        <w:t>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其他说明" w:id="515"/>
      <w:bookmarkEnd w:id="515"/>
      <w:r>
        <w:rPr/>
      </w:r>
      <w:bookmarkStart w:name="4、营业收入和营业成本" w:id="516"/>
      <w:bookmarkEnd w:id="516"/>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442,284,498.38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283,282,671.28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472,408,429.89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300,700,663.98</w:t>
            </w:r>
            <w:r>
              <w:rPr>
                <w:rFonts w:ascii="Times New Roman"/>
                <w:sz w:val="18"/>
              </w:rPr>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442,284,498.38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283,282,671.28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472,408,429.89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300,700,663.98</w:t>
            </w:r>
            <w:r>
              <w:rPr>
                <w:rFonts w:ascii="Times New Roman"/>
                <w:sz w:val="18"/>
              </w:rPr>
            </w:r>
          </w:p>
        </w:tc>
      </w:tr>
    </w:tbl>
    <w:p>
      <w:pPr>
        <w:pStyle w:val="BodyText"/>
        <w:spacing w:line="357" w:lineRule="auto" w:before="49"/>
        <w:ind w:right="85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791"/>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购买银行理财产品的收益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6,571,531.11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2,503,439.53</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6,571,531.11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2,503,439.53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after="0" w:line="240" w:lineRule="auto"/>
        <w:jc w:val="left"/>
        <w:sectPr>
          <w:pgSz w:w="11910" w:h="16840"/>
          <w:pgMar w:header="745" w:footer="96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91"/>
        <w:jc w:val="left"/>
        <w:rPr>
          <w:b w:val="0"/>
          <w:bCs w:val="0"/>
        </w:rPr>
      </w:pPr>
      <w:bookmarkStart w:name="3、境内外会计准则下会计数据差异" w:id="517"/>
      <w:bookmarkEnd w:id="517"/>
      <w:r>
        <w:rPr>
          <w:b w:val="0"/>
          <w:bCs w:val="0"/>
        </w:rPr>
      </w:r>
      <w:bookmarkStart w:name="（1）同时按照国际会计准则与按中国会计准则披露的财务报告中净利润和净资产差异情况" w:id="518"/>
      <w:bookmarkEnd w:id="518"/>
      <w:r>
        <w:rPr>
          <w:b w:val="0"/>
          <w:bCs w:val="0"/>
        </w:rPr>
      </w:r>
      <w:bookmarkStart w:name="（2）同时按照境外会计准则与按中国会计准则披露的财务报告中净利润和净资产差异情况" w:id="519"/>
      <w:bookmarkEnd w:id="519"/>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791"/>
        <w:jc w:val="left"/>
        <w:rPr>
          <w:b w:val="0"/>
          <w:bCs w:val="0"/>
        </w:rPr>
      </w:pPr>
      <w:r>
        <w:rPr>
          <w:rFonts w:ascii="Times New Roman" w:hAnsi="Times New Roman" w:cs="Times New Roman" w:eastAsia="Times New Roman" w:hint="default"/>
        </w:rPr>
        <w:t>1</w:t>
      </w:r>
      <w:bookmarkStart w:name="十八、补充资料" w:id="520"/>
      <w:bookmarkEnd w:id="520"/>
      <w:r>
        <w:rPr>
          <w:rFonts w:ascii="Times New Roman" w:hAnsi="Times New Roman" w:cs="Times New Roman" w:eastAsia="Times New Roman" w:hint="default"/>
        </w:rPr>
      </w:r>
      <w:bookmarkStart w:name="1、当期非经常性损益明细表" w:id="521"/>
      <w:bookmarkEnd w:id="521"/>
      <w:r>
        <w:rPr>
          <w:rFonts w:ascii="Times New Roman" w:hAnsi="Times New Roman" w:cs="Times New Roman" w:eastAsia="Times New Roman" w:hint="default"/>
        </w:rPr>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4,643,214.66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24,293,468.96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-50,851.91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5,280,562.88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16,141.11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23,589,127.72</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净资产收益率及每股收益" w:id="522"/>
            <w:bookmarkEnd w:id="522"/>
            <w:r>
              <w:rPr/>
            </w: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0.0358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0.0358</w:t>
            </w:r>
            <w:r>
              <w:rPr>
                <w:rFonts w:ascii="Times New Roman"/>
                <w:sz w:val="18"/>
              </w:rPr>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-0.0022</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791"/>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91"/>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791"/>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62" w:top="1060" w:bottom="1180" w:left="980" w:right="980"/>
        </w:sectPr>
      </w:pPr>
    </w:p>
    <w:p>
      <w:pPr>
        <w:spacing w:line="240" w:lineRule="auto" w:before="10"/>
        <w:rPr>
          <w:rFonts w:ascii="宋体" w:hAnsi="宋体" w:cs="宋体" w:eastAsia="宋体" w:hint="default"/>
          <w:sz w:val="24"/>
          <w:szCs w:val="24"/>
        </w:rPr>
      </w:pPr>
    </w:p>
    <w:p>
      <w:pPr>
        <w:pStyle w:val="Heading3"/>
        <w:spacing w:line="259" w:lineRule="auto" w:before="36"/>
        <w:ind w:right="147"/>
        <w:jc w:val="left"/>
        <w:rPr>
          <w:b w:val="0"/>
          <w:bCs w:val="0"/>
        </w:rPr>
      </w:pPr>
      <w:r>
        <w:rPr/>
        <w:t>（</w:t>
      </w:r>
      <w:r>
        <w:rPr>
          <w:rFonts w:ascii="Times New Roman" w:hAnsi="Times New Roman" w:cs="Times New Roman" w:eastAsia="Times New Roman" w:hint="default"/>
        </w:rPr>
        <w:t>3</w:t>
      </w:r>
      <w:bookmarkStart w:name="（3）境内外会计准则下会计数据差异原因说明，对已经境外审计机构审计的数据进行差异" w:id="523"/>
      <w:bookmarkEnd w:id="523"/>
      <w:r>
        <w:rPr>
          <w:rFonts w:ascii="Times New Roman" w:hAnsi="Times New Roman" w:cs="Times New Roman" w:eastAsia="Times New Roman" w:hint="default"/>
        </w:rPr>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791"/>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791"/>
        <w:jc w:val="left"/>
        <w:rPr>
          <w:b w:val="0"/>
          <w:bCs w:val="0"/>
        </w:rPr>
      </w:pPr>
      <w:r>
        <w:rPr>
          <w:rFonts w:ascii="Times New Roman" w:hAnsi="Times New Roman" w:cs="Times New Roman" w:eastAsia="Times New Roman" w:hint="default"/>
        </w:rPr>
        <w:t>4</w:t>
      </w:r>
      <w:bookmarkStart w:name="4、会计政策变更相关补充资料" w:id="524"/>
      <w:bookmarkEnd w:id="524"/>
      <w:r>
        <w:rPr>
          <w:rFonts w:ascii="Times New Roman" w:hAnsi="Times New Roman" w:cs="Times New Roman" w:eastAsia="Times New Roman" w:hint="default"/>
        </w:rPr>
      </w:r>
      <w:r>
        <w:rPr/>
        <w:t>、会计政策变更相关补充资料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公司根据财政部</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2"/>
        <w:ind w:right="791"/>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日合并资产负债表如下：</w:t>
      </w:r>
    </w:p>
    <w:p>
      <w:pPr>
        <w:pStyle w:val="BodyText"/>
        <w:spacing w:line="240" w:lineRule="auto" w:before="103"/>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1,071,886,397.96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399,619,093.57</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388,260,449.96</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15,735,600.55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24,950,351.00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17,701,639.15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46,093,815.83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58,639,308.73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74,951,370.16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74,958,289.67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21,182,965.58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22,973,183.09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12,778,660.60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1,426,747.66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791,610.79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17,543,318.87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21,659,015.29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24,054,020.81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134,949,426.71</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195,336,490.51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236,519,029.20</w:t>
            </w:r>
            <w:r>
              <w:rPr>
                <w:rFonts w:ascii="Times New Roman"/>
                <w:sz w:val="18"/>
              </w:rPr>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5,340,734.67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635,785,878.48</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447,426,948.71</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1,379,286,244.86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1,358,599,850.82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1,212,678,251.87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6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18,408,881.37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60,037,076.57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72,289,929.28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38,911,413.17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40,790,619.27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44,479,098.04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29,018,377.76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45,764,772.89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229,609,442.05</w:t>
            </w:r>
            <w:r>
              <w:rPr>
                <w:rFonts w:ascii="Times New Roman"/>
                <w:sz w:val="18"/>
              </w:rPr>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20,256,691.77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18,115,866.04</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813,389.97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87,747.42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403,838.90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3,041,075.02</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6,736,763.16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12,622,601.71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50,696,784.00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50,696,784.00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70,671,720.10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110,449,829.06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222,229,629.35</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473,476,630.08</w:t>
            </w:r>
            <w:r>
              <w:rPr>
                <w:rFonts w:ascii="Times New Roman"/>
                <w:sz w:val="18"/>
              </w:rPr>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1,489,736,073.92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1,580,829,480.17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1,686,154,881.95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17,951,000.00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17,951,000.00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24,913,862.36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69,903,913.87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90,965,022.34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121,794,267.23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101,736,545.88</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93,869,216.52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6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5,138,219.46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11,709,638.10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14,657,122.74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-363,931.78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7,871,064.66</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6,852,210.91</w:t>
            </w:r>
            <w:r>
              <w:rPr>
                <w:rFonts w:ascii="Times New Roman"/>
                <w:sz w:val="18"/>
              </w:rPr>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90,222.23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4,775,391.90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5,000,537.99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6,028,332.51</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2,129,841.26</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3,071,042.10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158,387,650.43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217,243,742.60</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292,462,127.25</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12,954,792.68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12,609,833.33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37,310,277.77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30,847.69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30,847.69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12,985,640.37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12,609,833.33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37,310,277.77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171,373,290.80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229,853,575.93</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329,772,405.02</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207,400,000.00</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622,200,000.00</w:t>
            </w:r>
            <w:r>
              <w:rPr>
                <w:rFonts w:ascii="Times New Roman"/>
                <w:sz w:val="18"/>
              </w:rPr>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778,442,750.88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674,742,750.88</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363,642,750.88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6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4"/>
        <w:gridCol w:w="2453"/>
        <w:gridCol w:w="2455"/>
        <w:gridCol w:w="2453"/>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-489,454.69</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-1,495,486.17</w:t>
            </w:r>
            <w:r>
              <w:rPr>
                <w:rFonts w:ascii="Times New Roman"/>
                <w:sz w:val="18"/>
              </w:rPr>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38,118,578.58</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47,237,304.14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53,377,956.18</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294,949,461.63</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317,559,442.71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318,114,413.56</w:t>
            </w:r>
          </w:p>
        </w:tc>
      </w:tr>
      <w:tr>
        <w:trPr>
          <w:trHeight w:val="71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1,318,910,791.09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1,350,150,043.04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1,355,839,634.45</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-548,007.97</w:t>
            </w:r>
            <w:r>
              <w:rPr>
                <w:rFonts w:ascii="Times New Roman"/>
                <w:sz w:val="18"/>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825,861.20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542,842.48</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1,318,362,783.12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1,350,975,904.24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1,356,382,476.93</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1,489,736,073.92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1,580,829,480.17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1,686,154,881.95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791"/>
        <w:jc w:val="left"/>
        <w:rPr>
          <w:b w:val="0"/>
          <w:bCs w:val="0"/>
        </w:rPr>
      </w:pPr>
      <w:bookmarkStart w:name="5、其他" w:id="525"/>
      <w:bookmarkEnd w:id="525"/>
      <w:r>
        <w:rPr>
          <w:b w:val="0"/>
          <w:bCs w:val="0"/>
        </w:rPr>
      </w: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791"/>
        <w:jc w:val="left"/>
      </w:pPr>
      <w:r>
        <w:rPr/>
        <w:t>无。</w:t>
      </w:r>
    </w:p>
    <w:p>
      <w:pPr>
        <w:spacing w:after="0" w:line="240" w:lineRule="auto"/>
        <w:jc w:val="left"/>
        <w:sectPr>
          <w:pgSz w:w="11910" w:h="16840"/>
          <w:pgMar w:header="745" w:footer="962" w:top="1060" w:bottom="1180" w:left="980" w:right="980"/>
        </w:sectPr>
      </w:pPr>
    </w:p>
    <w:p>
      <w:pPr>
        <w:spacing w:line="240" w:lineRule="auto" w:before="0"/>
        <w:rPr>
          <w:rFonts w:ascii="Times New Roman" w:hAnsi="Times New Roman" w:cs="Times New Roman" w:eastAsia="Times New Roman" w:hint="default"/>
          <w:sz w:val="7"/>
          <w:szCs w:val="7"/>
        </w:rPr>
      </w:pPr>
    </w:p>
    <w:p>
      <w:pPr>
        <w:spacing w:line="10094" w:lineRule="exact"/>
        <w:ind w:left="1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1"/>
          <w:sz w:val="20"/>
          <w:szCs w:val="20"/>
        </w:rPr>
        <w:pict>
          <v:group style="width:483.85pt;height:504.75pt;mso-position-horizontal-relative:char;mso-position-vertical-relative:line" coordorigin="0,0" coordsize="9677,10095">
            <v:group style="position:absolute;left:7;top:199;width:9663;height:2" coordorigin="7,199" coordsize="9663,2">
              <v:shape style="position:absolute;left:7;top:199;width:9663;height:2" coordorigin="7,199" coordsize="9663,0" path="m7,199l9670,199e" filled="false" stroked="true" strokeweight=".72pt" strokecolor="#3f4454">
                <v:path arrowok="t"/>
              </v:shape>
              <v:shape style="position:absolute;left:41;top:2050;width:5549;height:1915" type="#_x0000_t75" stroked="false">
                <v:imagedata r:id="rId31" o:title=""/>
              </v:shape>
              <v:shape style="position:absolute;left:5614;top:0;width:3994;height:10094" type="#_x0000_t75" stroked="false">
                <v:imagedata r:id="rId32" o:title=""/>
              </v:shape>
            </v:group>
          </v:group>
        </w:pict>
      </w:r>
      <w:r>
        <w:rPr>
          <w:rFonts w:ascii="Times New Roman" w:hAnsi="Times New Roman" w:cs="Times New Roman" w:eastAsia="Times New Roman" w:hint="default"/>
          <w:position w:val="-20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1526" w:lineRule="exact"/>
        <w:ind w:left="74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1536192" cy="969263"/>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33" cstate="print"/>
                    <a:stretch>
                      <a:fillRect/>
                    </a:stretch>
                  </pic:blipFill>
                  <pic:spPr>
                    <a:xfrm>
                      <a:off x="0" y="0"/>
                      <a:ext cx="1536192" cy="969263"/>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1"/>
        <w:rPr>
          <w:rFonts w:ascii="Times New Roman" w:hAnsi="Times New Roman" w:cs="Times New Roman" w:eastAsia="Times New Roman" w:hint="default"/>
          <w:sz w:val="25"/>
          <w:szCs w:val="25"/>
        </w:rPr>
      </w:pPr>
    </w:p>
    <w:p>
      <w:pPr>
        <w:spacing w:line="1238" w:lineRule="exact"/>
        <w:ind w:left="83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762000" cy="786384"/>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34" cstate="print"/>
                    <a:stretch>
                      <a:fillRect/>
                    </a:stretch>
                  </pic:blipFill>
                  <pic:spPr>
                    <a:xfrm>
                      <a:off x="0" y="0"/>
                      <a:ext cx="762000" cy="786384"/>
                    </a:xfrm>
                    <a:prstGeom prst="rect">
                      <a:avLst/>
                    </a:prstGeom>
                  </pic:spPr>
                </pic:pic>
              </a:graphicData>
            </a:graphic>
          </wp:inline>
        </w:drawing>
      </w:r>
      <w:r>
        <w:rPr>
          <w:rFonts w:ascii="Times New Roman" w:hAnsi="Times New Roman" w:cs="Times New Roman" w:eastAsia="Times New Roman" w:hint="default"/>
          <w:position w:val="-24"/>
          <w:sz w:val="20"/>
          <w:szCs w:val="20"/>
        </w:rPr>
      </w:r>
    </w:p>
    <w:sectPr>
      <w:headerReference w:type="default" r:id="rId29"/>
      <w:footerReference w:type="default" r:id="rId30"/>
      <w:pgSz w:w="11920" w:h="16840"/>
      <w:pgMar w:header="0" w:footer="962" w:top="900" w:bottom="1160" w:left="1000" w:right="980"/>
      <w:pgNumType w:start="17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982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960022pt;margin-top:782.080261pt;width:16.5pt;height:10.5pt;mso-position-horizontal-relative:page;mso-position-vertical-relative:page;z-index:-982576" type="#_x0000_t202" filled="false" stroked="false">
          <v:textbox inset="0,0,0,0">
            <w:txbxContent>
              <w:p>
                <w:pPr>
                  <w:spacing w:line="194" w:lineRule="exact" w:before="0"/>
                  <w:ind w:left="40" w:right="0" w:firstLine="0"/>
                  <w:jc w:val="left"/>
                  <w:rPr>
                    <w:rFonts w:ascii="Times New Roman" w:hAnsi="Times New Roman" w:cs="Times New Roman" w:eastAsia="Times New Roman" w:hint="default"/>
                    <w:sz w:val="17"/>
                    <w:szCs w:val="17"/>
                  </w:rPr>
                </w:pPr>
                <w:r>
                  <w:rPr>
                    <w:rFonts w:ascii="Times New Roman"/>
                    <w:color w:val="2A2F38"/>
                    <w:w w:val="98"/>
                    <w:sz w:val="17"/>
                  </w:rPr>
                </w:r>
                <w:r>
                  <w:rPr/>
                  <w:fldChar w:fldCharType="begin"/>
                </w:r>
                <w:r>
                  <w:rPr>
                    <w:rFonts w:ascii="Times New Roman"/>
                    <w:color w:val="2A2F38"/>
                    <w:sz w:val="17"/>
                  </w:rPr>
                  <w:instrText> PAGE </w:instrText>
                </w:r>
                <w:r>
                  <w:rPr/>
                  <w:fldChar w:fldCharType="separate"/>
                </w:r>
                <w:r>
                  <w:rPr/>
                  <w:t>174</w:t>
                </w:r>
                <w:r>
                  <w:rPr/>
                  <w:fldChar w:fldCharType="end"/>
                </w:r>
                <w:r>
                  <w:rPr>
                    <w:rFonts w:ascii="Times New Roman"/>
                    <w:sz w:val="17"/>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pt;margin-top:781.837891pt;width:8.5pt;height:11pt;mso-position-horizontal-relative:page;mso-position-vertical-relative:page;z-index:-982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82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82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82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82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82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7.105591pt;width:47pt;height:11pt;mso-position-horizontal-relative:page;mso-position-vertical-relative:page;z-index:-982648" type="#_x0000_t202" filled="false" stroked="false">
          <v:textbox inset="0,0,0,0">
            <w:txbxContent>
              <w:p>
                <w:pPr>
                  <w:pStyle w:val="BodyText"/>
                  <w:spacing w:line="200" w:lineRule="exact"/>
                  <w:ind w:left="20" w:right="0"/>
                  <w:jc w:val="left"/>
                </w:pPr>
                <w:r>
                  <w:rPr/>
                  <w:t>其他说明：</w:t>
                </w:r>
              </w:p>
            </w:txbxContent>
          </v:textbox>
          <w10:wrap type="none"/>
        </v:shape>
      </w:pict>
    </w:r>
    <w:r>
      <w:rPr/>
      <w:pict>
        <v:shape style="position:absolute;margin-left:523pt;margin-top:781.837891pt;width:17.7pt;height:11pt;mso-position-horizontal-relative:page;mso-position-vertical-relative:page;z-index:-982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138</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523pt;margin-top:781.837891pt;width:20.5pt;height:11pt;mso-position-horizontal-relative:page;mso-position-vertical-relative:page;z-index:-982600" type="#_x0000_t202" filled="false" stroked="false">
          <v:textbox inset="0,0,0,0">
            <w:txbxContent>
              <w:p>
                <w:pPr>
                  <w:spacing w:before="1"/>
                  <w:ind w:left="119" w:right="0" w:firstLine="0"/>
                  <w:jc w:val="left"/>
                  <w:rPr>
                    <w:rFonts w:ascii="Times New Roman" w:hAnsi="Times New Roman" w:cs="Times New Roman" w:eastAsia="Times New Roman" w:hint="default"/>
                    <w:sz w:val="17"/>
                    <w:szCs w:val="17"/>
                  </w:rPr>
                </w:pPr>
                <w:r>
                  <w:rPr>
                    <w:rFonts w:ascii="Times New Roman"/>
                    <w:color w:val="2A2F38"/>
                    <w:w w:val="98"/>
                    <w:sz w:val="17"/>
                  </w:rPr>
                </w:r>
                <w:r>
                  <w:rPr/>
                  <w:fldChar w:fldCharType="begin"/>
                </w:r>
                <w:r>
                  <w:rPr>
                    <w:rFonts w:ascii="Times New Roman"/>
                    <w:color w:val="2A2F38"/>
                    <w:sz w:val="17"/>
                  </w:rPr>
                  <w:instrText> PAGE </w:instrText>
                </w:r>
                <w:r>
                  <w:rPr/>
                  <w:fldChar w:fldCharType="separate"/>
                </w:r>
                <w:r>
                  <w:rPr/>
                  <w:t>174</w:t>
                </w:r>
                <w:r>
                  <w:rPr/>
                  <w:fldChar w:fldCharType="end"/>
                </w:r>
                <w:r>
                  <w:rPr>
                    <w:rFonts w:ascii="Times New Roman"/>
                    <w:sz w:val="17"/>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pt;margin-top:36.265610pt;width:195.7pt;height:11.5pt;mso-position-horizontal-relative:page;mso-position-vertical-relative:page;z-index:-982840" type="#_x0000_t202" filled="false" stroked="false">
          <v:textbox inset="0,0,0,0">
            <w:txbxContent>
              <w:p>
                <w:pPr>
                  <w:pStyle w:val="BodyText"/>
                  <w:spacing w:line="214" w:lineRule="exact"/>
                  <w:ind w:left="20" w:right="0"/>
                  <w:jc w:val="left"/>
                </w:pPr>
                <w:r>
                  <w:rPr/>
                  <w:t>福建榕基软件股份有限公司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62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44"/>
      <w:ind w:left="63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rongji.com/" TargetMode="External"/><Relationship Id="rId10" Type="http://schemas.openxmlformats.org/officeDocument/2006/relationships/hyperlink" Target="mailto:rongji@rongji.com" TargetMode="External"/><Relationship Id="rId11" Type="http://schemas.openxmlformats.org/officeDocument/2006/relationships/hyperlink" Target="mailto:wanxiaoxiong@rongji.com" TargetMode="External"/><Relationship Id="rId12" Type="http://schemas.openxmlformats.org/officeDocument/2006/relationships/hyperlink" Target="mailto:chenlve@rongji.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www.cninfo.com.cn/finalpage/2014-09-30/1200275355.PDF" TargetMode="External"/><Relationship Id="rId18" Type="http://schemas.openxmlformats.org/officeDocument/2006/relationships/image" Target="media/image2.jpe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www.cninfo.com.cn/finalpage/2014-04-25/63911658.PDF" TargetMode="External"/><Relationship Id="rId22" Type="http://schemas.openxmlformats.org/officeDocument/2006/relationships/hyperlink" Target="http://www.cninfo.com.cn/finalpage/2014-10-30/1200351030.PDF" TargetMode="External"/><Relationship Id="rId23" Type="http://schemas.openxmlformats.org/officeDocument/2006/relationships/hyperlink" Target="http://www.cninfo.com.cn/finalpage/2014-10-30/1200351036.PDF" TargetMode="External"/><Relationship Id="rId24" Type="http://schemas.openxmlformats.org/officeDocument/2006/relationships/hyperlink" Target="http://www.cninfo.co/" TargetMode="Externa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2.xml"/><Relationship Id="rId30" Type="http://schemas.openxmlformats.org/officeDocument/2006/relationships/footer" Target="footer10.xml"/><Relationship Id="rId31" Type="http://schemas.openxmlformats.org/officeDocument/2006/relationships/image" Target="media/image5.jpeg"/><Relationship Id="rId32" Type="http://schemas.openxmlformats.org/officeDocument/2006/relationships/image" Target="media/image6.jpeg"/><Relationship Id="rId33" Type="http://schemas.openxmlformats.org/officeDocument/2006/relationships/image" Target="media/image7.jpeg"/><Relationship Id="rId3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福建榕基软件股份有限公司</dc:creator>
  <dc:title>福建榕基软件股份有限公司2014年年度报告全文</dc:title>
  <dcterms:created xsi:type="dcterms:W3CDTF">2020-05-06T17:29:53Z</dcterms:created>
  <dcterms:modified xsi:type="dcterms:W3CDTF">2020-05-06T17:29:53Z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2015-04-02T00:00:00Z</vt:filetime>
  </property>
  <property fmtid="{D5CDD505-2E9C-101B-9397-08002B2CF9AE}" pid="3" name="Creator">
    <vt:lpwstr>Acrobat PDFMaker 9.0 Word 版</vt:lpwstr>
  </property>
  <property fmtid="{D5CDD505-2E9C-101B-9397-08002B2CF9AE}" pid="4" name="LastSaved">
    <vt:filetime>2020-05-06T00:00:00Z</vt:filetime>
  </property>
</Properties>
</file>